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26, 2022, regarding its first-quarter results of operations and financial condition is attached hereto as Exhibit 99.</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42"/>
              <w:spacing w:after="0" w:line="135"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62"/>
              <w:spacing w:after="0" w:line="135" w:lineRule="exact"/>
              <w:rPr>
                <w:sz w:val="20"/>
                <w:szCs w:val="20"/>
                <w:color w:val="auto"/>
              </w:rPr>
            </w:pPr>
            <w:r>
              <w:rPr>
                <w:rFonts w:ascii="Arial" w:cs="Arial" w:eastAsia="Arial" w:hAnsi="Arial"/>
                <w:sz w:val="14"/>
                <w:szCs w:val="14"/>
                <w:color w:val="auto"/>
                <w:w w:val="98"/>
              </w:rPr>
              <w:t>in this</w:t>
            </w:r>
          </w:p>
        </w:tc>
        <w:tc>
          <w:tcPr>
            <w:tcW w:w="20" w:type="dxa"/>
            <w:vAlign w:val="bottom"/>
          </w:tcPr>
          <w:p>
            <w:pPr>
              <w:spacing w:after="0"/>
              <w:rPr>
                <w:sz w:val="11"/>
                <w:szCs w:val="11"/>
                <w:color w:val="auto"/>
              </w:rPr>
            </w:pPr>
          </w:p>
        </w:tc>
        <w:tc>
          <w:tcPr>
            <w:tcW w:w="9640" w:type="dxa"/>
            <w:vAlign w:val="bottom"/>
            <w:gridSpan w:val="2"/>
            <w:vMerge w:val="restart"/>
          </w:tcPr>
          <w:p>
            <w:pPr>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6"/>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5"/>
              </w:rPr>
              <w:t>Report</w:t>
            </w:r>
          </w:p>
        </w:tc>
        <w:tc>
          <w:tcPr>
            <w:tcW w:w="20" w:type="dxa"/>
            <w:vAlign w:val="bottom"/>
            <w:tcBorders>
              <w:bottom w:val="single" w:sz="8" w:color="auto"/>
            </w:tcBorders>
          </w:tcPr>
          <w:p>
            <w:pPr>
              <w:spacing w:after="0"/>
              <w:rPr>
                <w:sz w:val="16"/>
                <w:szCs w:val="16"/>
                <w:color w:val="auto"/>
              </w:rPr>
            </w:pPr>
          </w:p>
        </w:tc>
        <w:tc>
          <w:tcPr>
            <w:tcW w:w="9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964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Registrant’s News Release</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Dated April 26, 2022 (furnished pursuant to Item 2.02)</w:t>
            </w:r>
          </w:p>
        </w:tc>
        <w:tc>
          <w:tcPr>
            <w:tcW w:w="0" w:type="dxa"/>
            <w:vAlign w:val="bottom"/>
          </w:tcPr>
          <w:p>
            <w:pPr>
              <w:spacing w:after="0"/>
              <w:rPr>
                <w:sz w:val="1"/>
                <w:szCs w:val="1"/>
                <w:color w:val="auto"/>
              </w:rPr>
            </w:pPr>
          </w:p>
        </w:tc>
      </w:tr>
      <w:tr>
        <w:trPr>
          <w:trHeight w:val="23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20" w:type="dxa"/>
            <w:vAlign w:val="bottom"/>
            <w:gridSpan w:val="2"/>
          </w:tcPr>
          <w:p>
            <w:pPr>
              <w:ind w:left="23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April 26, 2022</w:t>
            </w:r>
          </w:p>
        </w:tc>
        <w:tc>
          <w:tcPr>
            <w:tcW w:w="3140" w:type="dxa"/>
            <w:vAlign w:val="bottom"/>
          </w:tcPr>
          <w:p>
            <w:pPr>
              <w:ind w:left="23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7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first quarter 2022 financial results and shareholder returns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DALLAS (April 26, 2022) – Texas Instruments Incorporated (TI) (Nasdaq: TXN) today reported first quarter revenue of $4.91 billion, net income of $2.20 billion and earnings per share of $2.35. Earnings per share included a 2-cent benefit for items that were not in the company's original guidance.</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Regarding the company's performance and returns to shareholders, Rich Templeton, TI's chairman, president and CEO, made the following comments:</w:t>
      </w:r>
    </w:p>
    <w:p>
      <w:pPr>
        <w:spacing w:after="0" w:line="198" w:lineRule="exact"/>
        <w:rPr>
          <w:sz w:val="20"/>
          <w:szCs w:val="20"/>
          <w:color w:val="auto"/>
        </w:rPr>
      </w:pPr>
    </w:p>
    <w:p>
      <w:pPr>
        <w:ind w:left="620" w:hanging="329"/>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14% from the same quarter a year ago primarily due to growth in industrial and automotive.</w:t>
      </w:r>
    </w:p>
    <w:p>
      <w:pPr>
        <w:spacing w:after="0" w:line="211" w:lineRule="exact"/>
        <w:rPr>
          <w:rFonts w:ascii="Arial" w:cs="Arial" w:eastAsia="Arial" w:hAnsi="Arial"/>
          <w:sz w:val="18"/>
          <w:szCs w:val="18"/>
          <w:color w:val="auto"/>
        </w:rPr>
      </w:pPr>
    </w:p>
    <w:p>
      <w:pPr>
        <w:ind w:left="620" w:right="200" w:hanging="329"/>
        <w:spacing w:after="0"/>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$9.1 billion for the trailing 12 months again underscored the strength of our business model. Free cash flow for the same period was $6.5 billion and 34% of revenue. This reflects the quality of our product portfolio, as well as the efficiency of our manufacturing strategy, including the benefit of 300-millimeter production.</w:t>
      </w:r>
    </w:p>
    <w:p>
      <w:pPr>
        <w:spacing w:after="0" w:line="202" w:lineRule="exact"/>
        <w:rPr>
          <w:rFonts w:ascii="Arial" w:cs="Arial" w:eastAsia="Arial" w:hAnsi="Arial"/>
          <w:sz w:val="18"/>
          <w:szCs w:val="18"/>
          <w:color w:val="auto"/>
        </w:rPr>
      </w:pPr>
    </w:p>
    <w:p>
      <w:pPr>
        <w:ind w:left="620" w:right="180" w:hanging="329"/>
        <w:spacing w:after="0" w:line="246"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 the past 12 months we invested $3.2 billion in R&amp;D and SG&amp;A, invested $2.6 billion in capital expenditures and returned $5.0 billion to owners.</w:t>
      </w:r>
    </w:p>
    <w:p>
      <w:pPr>
        <w:spacing w:after="0" w:line="192" w:lineRule="exact"/>
        <w:rPr>
          <w:rFonts w:ascii="Arial" w:cs="Arial" w:eastAsia="Arial" w:hAnsi="Arial"/>
          <w:sz w:val="18"/>
          <w:szCs w:val="18"/>
          <w:color w:val="auto"/>
        </w:rPr>
      </w:pPr>
    </w:p>
    <w:p>
      <w:pPr>
        <w:ind w:left="620" w:hanging="329"/>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second quarter outlook is for revenue in the range of $4.20 billion to $4.80 billion and earnings per share between $1.84 and</w:t>
      </w:r>
    </w:p>
    <w:p>
      <w:pPr>
        <w:ind w:left="620" w:right="80"/>
        <w:spacing w:after="0" w:line="246" w:lineRule="auto"/>
        <w:rPr>
          <w:rFonts w:ascii="Arial" w:cs="Arial" w:eastAsia="Arial" w:hAnsi="Arial"/>
          <w:sz w:val="18"/>
          <w:szCs w:val="18"/>
          <w:color w:val="auto"/>
        </w:rPr>
      </w:pPr>
      <w:r>
        <w:rPr>
          <w:rFonts w:ascii="Arial" w:cs="Arial" w:eastAsia="Arial" w:hAnsi="Arial"/>
          <w:sz w:val="18"/>
          <w:szCs w:val="18"/>
          <w:color w:val="auto"/>
        </w:rPr>
        <w:t>$2.26. This outlook comprehends an impact due to reduced demand from COVID-19 restrictions in China. We continue to expect our 2022 annual operating tax rate to be about 14%."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3480" w:type="dxa"/>
            <w:vAlign w:val="bottom"/>
            <w:tcBorders>
              <w:bottom w:val="single" w:sz="8" w:color="DBDBDB"/>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4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Q1 2022</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Q1 2021</w:t>
            </w:r>
          </w:p>
        </w:tc>
        <w:tc>
          <w:tcPr>
            <w:tcW w:w="100" w:type="dxa"/>
            <w:vAlign w:val="bottom"/>
            <w:tcBorders>
              <w:bottom w:val="single" w:sz="8" w:color="DBDBDB"/>
            </w:tcBorders>
            <w:gridSpan w:val="2"/>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4,905</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4,289</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2,563</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2,201</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1,753</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59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Cash generation</w:t>
            </w: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2"/>
                <w:szCs w:val="22"/>
                <w:color w:val="auto"/>
              </w:rPr>
            </w:pPr>
          </w:p>
        </w:tc>
      </w:tr>
      <w:tr>
        <w:trPr>
          <w:trHeight w:val="223"/>
        </w:trPr>
        <w:tc>
          <w:tcPr>
            <w:tcW w:w="102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34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Q1 2022</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Q1 2022</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Q1 2021</w:t>
            </w:r>
          </w:p>
        </w:tc>
        <w:tc>
          <w:tcPr>
            <w:tcW w:w="100" w:type="dxa"/>
            <w:vAlign w:val="bottom"/>
            <w:tcBorders>
              <w:bottom w:val="single" w:sz="8" w:color="DBDBDB"/>
            </w:tcBorders>
            <w:gridSpan w:val="3"/>
          </w:tcPr>
          <w:p>
            <w:pPr>
              <w:spacing w:after="0"/>
              <w:rPr>
                <w:sz w:val="19"/>
                <w:szCs w:val="19"/>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9,050</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7,138</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29"/>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6,453</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6,342</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580"/>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Cash return</w:t>
            </w:r>
          </w:p>
        </w:tc>
        <w:tc>
          <w:tcPr>
            <w:tcW w:w="38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2"/>
                <w:szCs w:val="22"/>
                <w:color w:val="auto"/>
              </w:rPr>
            </w:pPr>
          </w:p>
        </w:tc>
      </w:tr>
      <w:tr>
        <w:trPr>
          <w:trHeight w:val="223"/>
        </w:trPr>
        <w:tc>
          <w:tcPr>
            <w:tcW w:w="102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348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Q1 2022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Q1 2022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Q1 2021</w:t>
            </w:r>
          </w:p>
        </w:tc>
        <w:tc>
          <w:tcPr>
            <w:tcW w:w="120" w:type="dxa"/>
            <w:vAlign w:val="bottom"/>
            <w:tcBorders>
              <w:bottom w:val="single" w:sz="8" w:color="DBDBDB"/>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4,009</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3,525</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4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1,652</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5,025</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4,537</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8260" w:type="dxa"/>
            <w:vAlign w:val="bottom"/>
            <w:gridSpan w:val="4"/>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vMerge w:val="continue"/>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36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4,905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36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1,463</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3,442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2,563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Interest and debt expense</w:t>
            </w:r>
          </w:p>
        </w:tc>
        <w:tc>
          <w:tcPr>
            <w:tcW w:w="36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2,526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6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2,201</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3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4300" w:type="dxa"/>
            <w:vAlign w:val="bottom"/>
            <w:gridSpan w:val="3"/>
            <w:shd w:val="clear" w:color="auto" w:fill="DBDBDB"/>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3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3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Basic</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923</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36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36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3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4300" w:type="dxa"/>
            <w:vAlign w:val="bottom"/>
            <w:gridSpan w:val="3"/>
            <w:shd w:val="clear" w:color="auto" w:fill="DBDBDB"/>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3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4300" w:type="dxa"/>
            <w:vAlign w:val="bottom"/>
            <w:gridSpan w:val="3"/>
          </w:tcPr>
          <w:p>
            <w:pPr>
              <w:jc w:val="center"/>
              <w:ind w:right="990"/>
              <w:spacing w:after="0"/>
              <w:rPr>
                <w:sz w:val="20"/>
                <w:szCs w:val="20"/>
                <w:color w:val="auto"/>
              </w:rPr>
            </w:pPr>
            <w:r>
              <w:rPr>
                <w:rFonts w:ascii="Arial" w:cs="Arial" w:eastAsia="Arial" w:hAnsi="Arial"/>
                <w:sz w:val="18"/>
                <w:szCs w:val="18"/>
                <w:b w:val="1"/>
                <w:bCs w:val="1"/>
                <w:color w:val="auto"/>
                <w:w w:val="99"/>
              </w:rPr>
              <w:t>Supplemental Information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Pr>
          <w:p>
            <w:pPr>
              <w:spacing w:after="0"/>
              <w:rPr>
                <w:sz w:val="20"/>
                <w:szCs w:val="20"/>
                <w:color w:val="auto"/>
              </w:rPr>
            </w:pPr>
          </w:p>
        </w:tc>
        <w:tc>
          <w:tcPr>
            <w:tcW w:w="4300" w:type="dxa"/>
            <w:vAlign w:val="bottom"/>
            <w:gridSpan w:val="3"/>
          </w:tcPr>
          <w:p>
            <w:pPr>
              <w:jc w:val="center"/>
              <w:ind w:right="1010"/>
              <w:spacing w:after="0"/>
              <w:rPr>
                <w:sz w:val="20"/>
                <w:szCs w:val="20"/>
                <w:color w:val="auto"/>
              </w:rPr>
            </w:pPr>
            <w:r>
              <w:rPr>
                <w:rFonts w:ascii="Arial" w:cs="Arial" w:eastAsia="Arial" w:hAnsi="Arial"/>
                <w:sz w:val="18"/>
                <w:szCs w:val="18"/>
                <w:b w:val="1"/>
                <w:bCs w:val="1"/>
                <w:color w:val="auto"/>
                <w:w w:val="99"/>
              </w:rPr>
              <w:t>(Quarterly, except as noted)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annual operating tax rate, which does not include discrete tax items, was 14% in both periods.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6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r>
      <w:tr>
        <w:trPr>
          <w:trHeight w:val="257"/>
        </w:trPr>
        <w:tc>
          <w:tcPr>
            <w:tcW w:w="7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680" w:type="dxa"/>
            <w:vAlign w:val="bottom"/>
            <w:shd w:val="clear" w:color="auto" w:fill="DBDBDB"/>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361</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DBDBDB"/>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680" w:type="dxa"/>
            <w:vAlign w:val="bottom"/>
            <w:tcBorders>
              <w:bottom w:val="single" w:sz="8" w:color="auto"/>
            </w:tcBorders>
            <w:shd w:val="clear" w:color="auto" w:fill="DBDBDB"/>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325</w:t>
            </w: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auto"/>
            </w:tcBorders>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0" w:right="740"/>
        <w:spacing w:after="0" w:line="22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2,201</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1,753</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2,192</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1,745</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80" w:top="886" w:right="33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239"/>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1"/>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3,505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2,442</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6,320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4,244</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($9) and ($9)</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1,795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1,584</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980</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2,060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1,890</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14,010</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10,405</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5,967</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(2,536)</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5,439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762</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25,276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19,639</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641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2,528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1,700</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7,242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6,250</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1,314</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1,305</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11,259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47,053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42,860</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March 31, 2022 – 819; March 31, 2021 – 818</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(37,291)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(36,479)</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14,017</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10,166</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25,276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19,639</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balance sheet have been reclassified to conform to the current presentation.</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8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2"/>
                <w:szCs w:val="22"/>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29"/>
        </w:trPr>
        <w:tc>
          <w:tcPr>
            <w:tcW w:w="77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2,201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2,144</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2,774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Repayment of debt</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(1,602)</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4,631</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3,505</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80" w:top="88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5"/>
        </w:trPr>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140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Q1 2022</w:t>
            </w:r>
          </w:p>
        </w:tc>
        <w:tc>
          <w:tcPr>
            <w:tcW w:w="24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Q1 2021</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1,533 %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2"/>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line="202" w:lineRule="exact"/>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63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9,050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7,138</w:t>
            </w:r>
          </w:p>
        </w:tc>
        <w:tc>
          <w:tcPr>
            <w:tcW w:w="16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(2,597)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6,453</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6,342</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spacing w:after="0"/>
              <w:rPr>
                <w:sz w:val="17"/>
                <w:szCs w:val="17"/>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18,960</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15,421</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47.7 %</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30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4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98" w:lineRule="exact"/>
        <w:rPr>
          <w:sz w:val="20"/>
          <w:szCs w:val="20"/>
          <w:color w:val="auto"/>
        </w:rPr>
      </w:pPr>
    </w:p>
    <w:p>
      <w:pPr>
        <w:ind w:left="620" w:right="160" w:hanging="329"/>
        <w:spacing w:after="0" w:line="234"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1" w:lineRule="exact"/>
        <w:rPr>
          <w:rFonts w:ascii="Arial" w:cs="Arial" w:eastAsia="Arial" w:hAnsi="Arial"/>
          <w:sz w:val="18"/>
          <w:szCs w:val="18"/>
          <w:color w:val="auto"/>
        </w:rPr>
      </w:pPr>
    </w:p>
    <w:p>
      <w:pPr>
        <w:ind w:left="620" w:right="34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ind w:left="620" w:right="22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0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ind w:left="620" w:right="120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2022-04-26T15:16:41Z</dcterms:created>
  <dcterms:modified xsi:type="dcterms:W3CDTF">2022-04-26T15:16:41Z</dcterms:modified>
</cp:coreProperties>
</file>