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09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09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Lovett Melendy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01/23/2014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01/23/2014</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7,542</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70,042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3"/>
          </w:tcPr>
          <w:p>
            <w:pPr>
              <w:jc w:val="right"/>
              <w:ind w:right="219"/>
              <w:spacing w:after="0" w:line="214" w:lineRule="exact"/>
              <w:rPr>
                <w:sz w:val="20"/>
                <w:szCs w:val="20"/>
                <w:color w:val="auto"/>
              </w:rPr>
            </w:pPr>
            <w:r>
              <w:rPr>
                <w:rFonts w:ascii="Arial" w:cs="Arial" w:eastAsia="Arial" w:hAnsi="Arial"/>
                <w:sz w:val="17"/>
                <w:szCs w:val="17"/>
                <w:color w:val="0000FF"/>
              </w:rPr>
              <w:t>2,955.87</w:t>
            </w:r>
            <w:r>
              <w:rPr>
                <w:rFonts w:ascii="Arial" w:cs="Arial" w:eastAsia="Arial" w:hAnsi="Arial"/>
                <w:sz w:val="22"/>
                <w:szCs w:val="22"/>
                <w:color w:val="008000"/>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6"/>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right"/>
              <w:ind w:righ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44.09</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01/23/2014</w:t>
            </w:r>
          </w:p>
        </w:tc>
        <w:tc>
          <w:tcPr>
            <w:tcW w:w="11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40,897</w:t>
            </w:r>
          </w:p>
        </w:tc>
        <w:tc>
          <w:tcPr>
            <w:tcW w:w="36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01/23/2024</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3"/>
              <w:spacing w:after="0"/>
              <w:rPr>
                <w:sz w:val="20"/>
                <w:szCs w:val="20"/>
                <w:color w:val="auto"/>
              </w:rPr>
            </w:pPr>
            <w:r>
              <w:rPr>
                <w:rFonts w:ascii="Arial" w:cs="Arial" w:eastAsia="Arial" w:hAnsi="Arial"/>
                <w:sz w:val="17"/>
                <w:szCs w:val="17"/>
                <w:color w:val="0000FF"/>
                <w:w w:val="88"/>
              </w:rPr>
              <w:t>40,897</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40,897</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ind w:left="12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51"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12-31-13. (Interests in this account are denominated in units. Consequently, share amount shown is an estimate.) This statement does not include changes in beneficial ownership of shares held in such account occurring after 12-31-13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23, 2015.</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01/27/2014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2019-12-17T02:25:56Z</dcterms:created>
  <dcterms:modified xsi:type="dcterms:W3CDTF">2019-12-17T02:25:56Z</dcterms:modified>
</cp:coreProperties>
</file>