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15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TEMPLETON RICHARD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color w:val="0000FF"/>
        </w:rPr>
        <w:t>Chairman</w:t>
      </w:r>
    </w:p>
    <w:p>
      <w:pPr>
        <w:spacing w:after="0" w:line="277" w:lineRule="exact"/>
        <w:rPr>
          <w:sz w:val="24"/>
          <w:szCs w:val="24"/>
          <w:color w:val="auto"/>
        </w:rPr>
      </w:pPr>
    </w:p>
    <w:p>
      <w:pPr>
        <w:sectPr>
          <w:pgSz w:w="11900" w:h="16838" w:orient="portrait"/>
          <w:cols w:equalWidth="0" w:num="3">
            <w:col w:w="3200" w:space="720"/>
            <w:col w:w="3200" w:space="620"/>
            <w:col w:w="3340"/>
          </w:cols>
          <w:pgMar w:left="460" w:top="217" w:right="359" w:bottom="1155"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9"/>
            <w:vMerge w:val="restart"/>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gridSpan w:val="9"/>
            <w:vMerge w:val="continue"/>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75243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01/27/2025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20,051</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423,902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48,840</w:t>
            </w:r>
            <w:r>
              <w:rPr>
                <w:rFonts w:ascii="Times New Roman" w:cs="Times New Roman" w:eastAsia="Times New Roman" w:hAnsi="Times New Roman"/>
                <w:sz w:val="21"/>
                <w:szCs w:val="21"/>
                <w:color w:val="008000"/>
                <w:w w:val="95"/>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307.94</w:t>
            </w:r>
            <w:r>
              <w:rPr>
                <w:rFonts w:ascii="Times New Roman" w:cs="Times New Roman" w:eastAsia="Times New Roman" w:hAnsi="Times New Roman"/>
                <w:sz w:val="21"/>
                <w:szCs w:val="21"/>
                <w:color w:val="008000"/>
                <w:w w:val="95"/>
                <w:vertAlign w:val="superscript"/>
              </w:rPr>
              <w:t>(3)</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12,681.05</w:t>
            </w:r>
            <w:r>
              <w:rPr>
                <w:rFonts w:ascii="Times New Roman" w:cs="Times New Roman" w:eastAsia="Times New Roman" w:hAnsi="Times New Roman"/>
                <w:sz w:val="21"/>
                <w:szCs w:val="21"/>
                <w:color w:val="008000"/>
                <w:w w:val="94"/>
                <w:vertAlign w:val="superscript"/>
              </w:rPr>
              <w:t>(4)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187.03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01/27/2025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83,197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01/27/2035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83,197</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83,197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2024 Long-Term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trusts for benefit of children; beneficial ownership by reporting person disclaimed.</w:t>
      </w:r>
    </w:p>
    <w:p>
      <w:pPr>
        <w:spacing w:after="0" w:line="43"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12/31/2024. (Interests in this account are denominated in units. Consequently, share amount shown is an estimate.) This statement does not include changes in beneficial ownership of shares held in this account occurring after 12/31/2024 that are eligible for deferred reporting on Form 5.</w:t>
      </w:r>
    </w:p>
    <w:p>
      <w:pPr>
        <w:spacing w:after="0" w:line="17"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12/31/2024. (Interests in this account are denominated in units. Consequently, share amount shown is an estimate.) This statement does not include changes in beneficial ownership of shares held in such account occurring after 12/31/2024 that are eligible for deferred reporting on Form 5.</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becomes exercisable in four equal installments beginning on January 27, 2026.</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1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3470" TargetMode="External"/><Relationship Id="rId14"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2025-01-29T16:08:20Z</dcterms:created>
  <dcterms:modified xsi:type="dcterms:W3CDTF">2025-01-29T16:08:20Z</dcterms:modified>
</cp:coreProperties>
</file>