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333-209678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5"/>
              <w:spacing w:after="0" w:line="116" w:lineRule="exact"/>
              <w:rPr>
                <w:sz w:val="20"/>
                <w:szCs w:val="20"/>
                <w:color w:val="auto"/>
              </w:rPr>
            </w:pPr>
            <w:r>
              <w:rPr>
                <w:rFonts w:ascii="Arial" w:cs="Arial" w:eastAsia="Arial" w:hAnsi="Arial"/>
                <w:sz w:val="13"/>
                <w:szCs w:val="13"/>
                <w:b w:val="1"/>
                <w:bCs w:val="1"/>
                <w:color w:val="auto"/>
                <w:w w:val="96"/>
              </w:rPr>
              <w:t>Proposed</w:t>
            </w:r>
          </w:p>
        </w:tc>
        <w:tc>
          <w:tcPr>
            <w:tcW w:w="1600" w:type="dxa"/>
            <w:vAlign w:val="bottom"/>
            <w:tcBorders>
              <w:right w:val="single" w:sz="8" w:color="auto"/>
            </w:tcBorders>
          </w:tcPr>
          <w:p>
            <w:pPr>
              <w:jc w:val="center"/>
              <w:ind w:left="23"/>
              <w:spacing w:after="0" w:line="116" w:lineRule="exact"/>
              <w:rPr>
                <w:sz w:val="20"/>
                <w:szCs w:val="20"/>
                <w:color w:val="auto"/>
              </w:rPr>
            </w:pPr>
            <w:r>
              <w:rPr>
                <w:rFonts w:ascii="Arial" w:cs="Arial" w:eastAsia="Arial" w:hAnsi="Arial"/>
                <w:sz w:val="13"/>
                <w:szCs w:val="13"/>
                <w:b w:val="1"/>
                <w:bCs w:val="1"/>
                <w:color w:val="auto"/>
                <w:w w:val="96"/>
              </w:rPr>
              <w:t>Proposed</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3"/>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3"/>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6"/>
              </w:rPr>
              <w:t>Per Unit</w:t>
            </w: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4.150% Notes due 2048</w:t>
            </w:r>
          </w:p>
        </w:tc>
        <w:tc>
          <w:tcPr>
            <w:tcW w:w="16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89"/>
              </w:rPr>
              <w:t>$1,300,000,000</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8"/>
                <w:szCs w:val="18"/>
                <w:color w:val="auto"/>
                <w:w w:val="90"/>
              </w:rPr>
              <w:t>99.556%</w:t>
            </w: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8"/>
                <w:szCs w:val="18"/>
                <w:color w:val="auto"/>
                <w:w w:val="89"/>
              </w:rPr>
              <w:t>$1,294,228.000</w:t>
            </w:r>
          </w:p>
        </w:tc>
        <w:tc>
          <w:tcPr>
            <w:tcW w:w="1560" w:type="dxa"/>
            <w:vAlign w:val="bottom"/>
            <w:tcBorders>
              <w:bottom w:val="single" w:sz="8" w:color="auto"/>
            </w:tcBorders>
          </w:tcPr>
          <w:p>
            <w:pPr>
              <w:jc w:val="center"/>
              <w:ind w:left="19"/>
              <w:spacing w:after="0"/>
              <w:rPr>
                <w:sz w:val="20"/>
                <w:szCs w:val="20"/>
                <w:color w:val="auto"/>
              </w:rPr>
            </w:pPr>
            <w:r>
              <w:rPr>
                <w:rFonts w:ascii="Arial" w:cs="Arial" w:eastAsia="Arial" w:hAnsi="Arial"/>
                <w:sz w:val="18"/>
                <w:szCs w:val="18"/>
                <w:color w:val="auto"/>
                <w:w w:val="89"/>
              </w:rPr>
              <w:t>$161,131.39</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89"/>
              </w:rPr>
              <w:t>$1,300,000,000</w:t>
            </w:r>
          </w:p>
        </w:tc>
        <w:tc>
          <w:tcPr>
            <w:tcW w:w="160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8"/>
                <w:szCs w:val="18"/>
                <w:color w:val="auto"/>
                <w:w w:val="89"/>
              </w:rPr>
              <w:t>$1,294,228.000</w:t>
            </w:r>
          </w:p>
        </w:tc>
        <w:tc>
          <w:tcPr>
            <w:tcW w:w="1560" w:type="dxa"/>
            <w:vAlign w:val="bottom"/>
            <w:tcBorders>
              <w:bottom w:val="single" w:sz="8" w:color="auto"/>
            </w:tcBorders>
          </w:tcPr>
          <w:p>
            <w:pPr>
              <w:jc w:val="center"/>
              <w:ind w:left="19"/>
              <w:spacing w:after="0"/>
              <w:rPr>
                <w:sz w:val="20"/>
                <w:szCs w:val="20"/>
                <w:color w:val="auto"/>
              </w:rPr>
            </w:pPr>
            <w:r>
              <w:rPr>
                <w:rFonts w:ascii="Arial" w:cs="Arial" w:eastAsia="Arial" w:hAnsi="Arial"/>
                <w:sz w:val="18"/>
                <w:szCs w:val="18"/>
                <w:color w:val="auto"/>
                <w:w w:val="89"/>
              </w:rPr>
              <w:t>$161,131.39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February 24,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160020</wp:posOffset>
            </wp:positionV>
            <wp:extent cx="28644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$1,300,000,000 4.150% Notes due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245745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Texas Instruments Incorporated is offering $1,300,000,000 aggregate principal amount of its 4.150% Notes due 2048 (the “Notes”), which will bear interest at the rate per year as set forth above. Interest on the Notes will be payable semi-annually in arrears on May 15 and November 15 of each year, beginning on November 15, 2018.</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mature on May 15, 2048.</w:t>
      </w:r>
    </w:p>
    <w:p>
      <w:pPr>
        <w:spacing w:after="0" w:line="22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may redeem some or all of the Notes at any time at the redemption prices indicated under the caption “Description of the Notes—Optional Redemption.”</w:t>
      </w:r>
    </w:p>
    <w:p>
      <w:pPr>
        <w:spacing w:after="0" w:line="170"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203200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the Notes involves risks. See “</w:t>
      </w:r>
      <w:hyperlink w:anchor="page14">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234315</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320"/>
        <w:spacing w:after="0" w:line="342" w:lineRule="auto"/>
        <w:rPr>
          <w:sz w:val="20"/>
          <w:szCs w:val="20"/>
          <w:color w:val="auto"/>
        </w:rPr>
      </w:pPr>
      <w:r>
        <w:rPr>
          <w:rFonts w:ascii="Arial" w:cs="Arial" w:eastAsia="Arial" w:hAnsi="Arial"/>
          <w:sz w:val="16"/>
          <w:szCs w:val="16"/>
          <w:color w:val="auto"/>
        </w:rPr>
        <w:t>Neither the U.S.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173355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Per</w:t>
            </w:r>
          </w:p>
        </w:tc>
        <w:tc>
          <w:tcPr>
            <w:tcW w:w="100" w:type="dxa"/>
            <w:vAlign w:val="bottom"/>
          </w:tcPr>
          <w:p>
            <w:pPr>
              <w:spacing w:after="0"/>
              <w:rPr>
                <w:sz w:val="14"/>
                <w:szCs w:val="14"/>
                <w:color w:val="auto"/>
              </w:rPr>
            </w:pPr>
          </w:p>
        </w:tc>
        <w:tc>
          <w:tcPr>
            <w:tcW w:w="104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1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Note</w:t>
            </w: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99.556%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1,294,228,000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Underwriting discount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0.750%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98.806%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1,284,478,000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on the Notes will accrue from May 7, 2018 to the date of delivery.</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underwriters expect to deliver the Notes to purchasers only in book-entry form through the facilities of The Depository Trust Company and its participants, including Euroclear Bank S.A./N.V. and Clearstream Banking, S.A., on or about May 7, 2018, which is the fifth business day following the date of this prospectus supplement. See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210185</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75"/>
        </w:trPr>
        <w:tc>
          <w:tcPr>
            <w:tcW w:w="1800" w:type="dxa"/>
            <w:vAlign w:val="bottom"/>
          </w:tcPr>
          <w:p>
            <w:pPr>
              <w:spacing w:after="0"/>
              <w:rPr>
                <w:sz w:val="20"/>
                <w:szCs w:val="20"/>
                <w:color w:val="auto"/>
              </w:rPr>
            </w:pPr>
            <w:r>
              <w:rPr>
                <w:rFonts w:ascii="Arial" w:cs="Arial" w:eastAsia="Arial" w:hAnsi="Arial"/>
                <w:sz w:val="29"/>
                <w:szCs w:val="29"/>
                <w:b w:val="1"/>
                <w:bCs w:val="1"/>
                <w:color w:val="auto"/>
              </w:rPr>
              <w:t>Citigroup</w:t>
            </w:r>
          </w:p>
        </w:tc>
        <w:tc>
          <w:tcPr>
            <w:tcW w:w="5300" w:type="dxa"/>
            <w:vAlign w:val="bottom"/>
            <w:gridSpan w:val="3"/>
          </w:tcPr>
          <w:p>
            <w:pPr>
              <w:ind w:left="2980"/>
              <w:spacing w:after="0"/>
              <w:rPr>
                <w:sz w:val="20"/>
                <w:szCs w:val="20"/>
                <w:color w:val="auto"/>
              </w:rPr>
            </w:pPr>
            <w:r>
              <w:rPr>
                <w:rFonts w:ascii="Arial" w:cs="Arial" w:eastAsia="Arial" w:hAnsi="Arial"/>
                <w:sz w:val="29"/>
                <w:szCs w:val="29"/>
                <w:b w:val="1"/>
                <w:bCs w:val="1"/>
                <w:color w:val="auto"/>
                <w:w w:val="93"/>
              </w:rPr>
              <w:t>Mizuho Securities</w:t>
            </w:r>
          </w:p>
        </w:tc>
        <w:tc>
          <w:tcPr>
            <w:tcW w:w="21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29"/>
                <w:szCs w:val="29"/>
                <w:b w:val="1"/>
                <w:bCs w:val="1"/>
                <w:color w:val="auto"/>
                <w:w w:val="99"/>
              </w:rPr>
              <w:t>Morgan Stanley</w:t>
            </w:r>
          </w:p>
        </w:tc>
        <w:tc>
          <w:tcPr>
            <w:tcW w:w="0" w:type="dxa"/>
            <w:vAlign w:val="bottom"/>
          </w:tcPr>
          <w:p>
            <w:pPr>
              <w:spacing w:after="0"/>
              <w:rPr>
                <w:sz w:val="1"/>
                <w:szCs w:val="1"/>
                <w:color w:val="auto"/>
              </w:rPr>
            </w:pPr>
          </w:p>
        </w:tc>
      </w:tr>
      <w:tr>
        <w:trPr>
          <w:trHeight w:val="422"/>
        </w:trPr>
        <w:tc>
          <w:tcPr>
            <w:tcW w:w="180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5300" w:type="dxa"/>
            <w:vAlign w:val="bottom"/>
            <w:gridSpan w:val="3"/>
          </w:tcPr>
          <w:p>
            <w:pPr>
              <w:ind w:left="1660"/>
              <w:spacing w:after="0"/>
              <w:rPr>
                <w:sz w:val="20"/>
                <w:szCs w:val="20"/>
                <w:color w:val="auto"/>
              </w:rPr>
            </w:pPr>
            <w:r>
              <w:rPr>
                <w:rFonts w:ascii="Arial" w:cs="Arial" w:eastAsia="Arial" w:hAnsi="Arial"/>
                <w:sz w:val="25"/>
                <w:szCs w:val="25"/>
                <w:b w:val="1"/>
                <w:bCs w:val="1"/>
                <w:color w:val="auto"/>
              </w:rPr>
              <w:t>BofA Merrill Lynch</w:t>
            </w:r>
          </w:p>
        </w:tc>
        <w:tc>
          <w:tcPr>
            <w:tcW w:w="2160" w:type="dxa"/>
            <w:vAlign w:val="bottom"/>
          </w:tcPr>
          <w:p>
            <w:pPr>
              <w:ind w:left="660"/>
              <w:spacing w:after="0"/>
              <w:rPr>
                <w:sz w:val="20"/>
                <w:szCs w:val="20"/>
                <w:color w:val="auto"/>
              </w:rPr>
            </w:pPr>
            <w:r>
              <w:rPr>
                <w:rFonts w:ascii="Arial" w:cs="Arial" w:eastAsia="Arial" w:hAnsi="Arial"/>
                <w:sz w:val="25"/>
                <w:szCs w:val="25"/>
                <w:b w:val="1"/>
                <w:bCs w:val="1"/>
                <w:color w:val="auto"/>
              </w:rPr>
              <w:t>J.P. Morgan</w:t>
            </w:r>
          </w:p>
        </w:tc>
        <w:tc>
          <w:tcPr>
            <w:tcW w:w="2160" w:type="dxa"/>
            <w:vAlign w:val="bottom"/>
          </w:tcPr>
          <w:p>
            <w:pPr>
              <w:jc w:val="right"/>
              <w:spacing w:after="0"/>
              <w:rPr>
                <w:sz w:val="20"/>
                <w:szCs w:val="20"/>
                <w:color w:val="auto"/>
              </w:rPr>
            </w:pPr>
            <w:r>
              <w:rPr>
                <w:rFonts w:ascii="Arial" w:cs="Arial" w:eastAsia="Arial" w:hAnsi="Arial"/>
                <w:sz w:val="25"/>
                <w:szCs w:val="25"/>
                <w:b w:val="1"/>
                <w:bCs w:val="1"/>
                <w:color w:val="auto"/>
              </w:rPr>
              <w:t>MUFG</w:t>
            </w:r>
          </w:p>
        </w:tc>
        <w:tc>
          <w:tcPr>
            <w:tcW w:w="0" w:type="dxa"/>
            <w:vAlign w:val="bottom"/>
          </w:tcPr>
          <w:p>
            <w:pPr>
              <w:spacing w:after="0"/>
              <w:rPr>
                <w:sz w:val="1"/>
                <w:szCs w:val="1"/>
                <w:color w:val="auto"/>
              </w:rPr>
            </w:pPr>
          </w:p>
        </w:tc>
      </w:tr>
      <w:tr>
        <w:trPr>
          <w:trHeight w:val="461"/>
        </w:trPr>
        <w:tc>
          <w:tcPr>
            <w:tcW w:w="18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240" w:type="dxa"/>
            <w:vAlign w:val="bottom"/>
            <w:gridSpan w:val="2"/>
          </w:tcPr>
          <w:p>
            <w:pPr>
              <w:ind w:left="260"/>
              <w:spacing w:after="0"/>
              <w:rPr>
                <w:sz w:val="20"/>
                <w:szCs w:val="20"/>
                <w:color w:val="auto"/>
              </w:rPr>
            </w:pPr>
            <w:r>
              <w:rPr>
                <w:rFonts w:ascii="Arial" w:cs="Arial" w:eastAsia="Arial" w:hAnsi="Arial"/>
                <w:sz w:val="22"/>
                <w:szCs w:val="22"/>
                <w:i w:val="1"/>
                <w:iCs w:val="1"/>
                <w:color w:val="auto"/>
              </w:rPr>
              <w:t>Co-Managers</w:t>
            </w:r>
          </w:p>
        </w:tc>
        <w:tc>
          <w:tcPr>
            <w:tcW w:w="2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800" w:type="dxa"/>
            <w:vAlign w:val="bottom"/>
          </w:tcPr>
          <w:p>
            <w:pPr>
              <w:spacing w:after="0"/>
              <w:rPr>
                <w:sz w:val="20"/>
                <w:szCs w:val="20"/>
                <w:color w:val="auto"/>
              </w:rPr>
            </w:pPr>
            <w:r>
              <w:rPr>
                <w:rFonts w:ascii="Arial" w:cs="Arial" w:eastAsia="Arial" w:hAnsi="Arial"/>
                <w:sz w:val="22"/>
                <w:szCs w:val="22"/>
                <w:b w:val="1"/>
                <w:bCs w:val="1"/>
                <w:color w:val="auto"/>
              </w:rPr>
              <w:t>US Bancorp</w:t>
            </w:r>
          </w:p>
        </w:tc>
        <w:tc>
          <w:tcPr>
            <w:tcW w:w="5300" w:type="dxa"/>
            <w:vAlign w:val="bottom"/>
            <w:gridSpan w:val="3"/>
            <w:vMerge w:val="restart"/>
          </w:tcPr>
          <w:p>
            <w:pPr>
              <w:ind w:left="600"/>
              <w:spacing w:after="0"/>
              <w:rPr>
                <w:sz w:val="20"/>
                <w:szCs w:val="20"/>
                <w:color w:val="auto"/>
              </w:rPr>
            </w:pPr>
            <w:r>
              <w:rPr>
                <w:rFonts w:ascii="Arial" w:cs="Arial" w:eastAsia="Arial" w:hAnsi="Arial"/>
                <w:sz w:val="22"/>
                <w:szCs w:val="22"/>
                <w:b w:val="1"/>
                <w:bCs w:val="1"/>
                <w:color w:val="auto"/>
              </w:rPr>
              <w:t>The Williams Capital Group, L.P.</w:t>
            </w:r>
          </w:p>
        </w:tc>
        <w:tc>
          <w:tcPr>
            <w:tcW w:w="2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1"/>
                <w:szCs w:val="21"/>
                <w:color w:val="auto"/>
              </w:rPr>
            </w:pPr>
          </w:p>
        </w:tc>
        <w:tc>
          <w:tcPr>
            <w:tcW w:w="5300" w:type="dxa"/>
            <w:vAlign w:val="bottom"/>
            <w:gridSpan w:val="3"/>
            <w:vMerge w:val="continue"/>
          </w:tcPr>
          <w:p>
            <w:pPr>
              <w:spacing w:after="0"/>
              <w:rPr>
                <w:sz w:val="21"/>
                <w:szCs w:val="21"/>
                <w:color w:val="auto"/>
              </w:rPr>
            </w:pPr>
          </w:p>
        </w:tc>
        <w:tc>
          <w:tcPr>
            <w:tcW w:w="2160" w:type="dxa"/>
            <w:vAlign w:val="bottom"/>
            <w:vMerge w:val="restart"/>
          </w:tcPr>
          <w:p>
            <w:pPr>
              <w:ind w:left="100"/>
              <w:spacing w:after="0"/>
              <w:rPr>
                <w:sz w:val="20"/>
                <w:szCs w:val="20"/>
                <w:color w:val="auto"/>
              </w:rPr>
            </w:pPr>
            <w:r>
              <w:rPr>
                <w:rFonts w:ascii="Arial" w:cs="Arial" w:eastAsia="Arial" w:hAnsi="Arial"/>
                <w:sz w:val="22"/>
                <w:szCs w:val="22"/>
                <w:b w:val="1"/>
                <w:bCs w:val="1"/>
                <w:color w:val="auto"/>
              </w:rPr>
              <w:t>BNP PARIBAS</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160" w:type="dxa"/>
            <w:vAlign w:val="bottom"/>
            <w:vMerge w:val="continue"/>
          </w:tcPr>
          <w:p>
            <w:pPr>
              <w:spacing w:after="0"/>
              <w:rPr>
                <w:sz w:val="21"/>
                <w:szCs w:val="21"/>
                <w:color w:val="auto"/>
              </w:rPr>
            </w:pPr>
          </w:p>
        </w:tc>
        <w:tc>
          <w:tcPr>
            <w:tcW w:w="216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HSBC</w:t>
            </w: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180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7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April 30, 2018</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216535</wp:posOffset>
            </wp:positionV>
            <wp:extent cx="10890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40" w:type="dxa"/>
            <w:vAlign w:val="bottom"/>
            <w:gridSpan w:val="5"/>
          </w:tcPr>
          <w:p>
            <w:pPr>
              <w:ind w:left="12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Page</w:t>
            </w: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0" w:type="dxa"/>
            <w:vAlign w:val="bottom"/>
            <w:gridSpan w:val="3"/>
            <w:vMerge w:val="restart"/>
          </w:tcPr>
          <w:p>
            <w:pPr>
              <w:jc w:val="center"/>
              <w:ind w:right="3740"/>
              <w:spacing w:after="0"/>
              <w:rPr>
                <w:sz w:val="20"/>
                <w:szCs w:val="20"/>
                <w:color w:val="auto"/>
              </w:rPr>
            </w:pPr>
            <w:r>
              <w:rPr>
                <w:rFonts w:ascii="Arial" w:cs="Arial" w:eastAsia="Arial" w:hAnsi="Arial"/>
                <w:sz w:val="18"/>
                <w:szCs w:val="18"/>
                <w:b w:val="1"/>
                <w:bCs w:val="1"/>
                <w:color w:val="auto"/>
                <w:w w:val="88"/>
              </w:rPr>
              <w:t>Prospectus Supplement</w:t>
            </w:r>
          </w:p>
        </w:tc>
        <w:tc>
          <w:tcPr>
            <w:tcW w:w="420" w:type="dxa"/>
            <w:vAlign w:val="bottom"/>
            <w:tcBorders>
              <w:bottom w:val="single" w:sz="8" w:color="auto"/>
            </w:tcBorders>
            <w:vMerge w:val="continue"/>
          </w:tcPr>
          <w:p>
            <w:pPr>
              <w:spacing w:after="0"/>
              <w:rPr>
                <w:sz w:val="24"/>
                <w:szCs w:val="24"/>
                <w:color w:val="auto"/>
              </w:rPr>
            </w:pP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gridSpan w:val="21"/>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Notice Regarding Forward-Looking Statements</w:t>
              </w:r>
            </w:hyperlink>
          </w:p>
        </w:tc>
        <w:tc>
          <w:tcPr>
            <w:tcW w:w="7400" w:type="dxa"/>
            <w:vAlign w:val="bottom"/>
            <w:gridSpan w:val="3"/>
            <w:vMerge w:val="continue"/>
          </w:tcPr>
          <w:p>
            <w:pPr>
              <w:spacing w:after="0"/>
              <w:rPr>
                <w:sz w:val="17"/>
                <w:szCs w:val="17"/>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S-ii</w:t>
            </w:r>
          </w:p>
        </w:tc>
        <w:tc>
          <w:tcPr>
            <w:tcW w:w="0" w:type="dxa"/>
            <w:vAlign w:val="bottom"/>
          </w:tcPr>
          <w:p>
            <w:pPr>
              <w:spacing w:after="0"/>
              <w:rPr>
                <w:sz w:val="1"/>
                <w:szCs w:val="1"/>
                <w:color w:val="auto"/>
              </w:rPr>
            </w:pPr>
          </w:p>
        </w:tc>
      </w:tr>
      <w:tr>
        <w:trPr>
          <w:trHeight w:val="284"/>
        </w:trPr>
        <w:tc>
          <w:tcPr>
            <w:tcW w:w="3540" w:type="dxa"/>
            <w:vAlign w:val="bottom"/>
            <w:gridSpan w:val="21"/>
            <w:vMerge w:val="continue"/>
          </w:tcPr>
          <w:p>
            <w:pPr>
              <w:spacing w:after="0"/>
              <w:rPr>
                <w:sz w:val="24"/>
                <w:szCs w:val="24"/>
                <w:color w:val="auto"/>
              </w:rPr>
            </w:pP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50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About this Prospectus Supplement</w:t>
              </w:r>
            </w:hyperlink>
          </w:p>
        </w:tc>
        <w:tc>
          <w:tcPr>
            <w:tcW w:w="94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S-iv</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Risk Factors</w:t>
              </w:r>
            </w:hyperlink>
          </w:p>
        </w:tc>
        <w:tc>
          <w:tcPr>
            <w:tcW w:w="2620" w:type="dxa"/>
            <w:vAlign w:val="bottom"/>
            <w:gridSpan w:val="18"/>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Use of Proceeds</w:t>
              </w:r>
            </w:hyperlink>
          </w:p>
        </w:tc>
        <w:tc>
          <w:tcPr>
            <w:tcW w:w="2360" w:type="dxa"/>
            <w:vAlign w:val="bottom"/>
            <w:gridSpan w:val="14"/>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Capitalization</w:t>
              </w:r>
            </w:hyperlink>
          </w:p>
        </w:tc>
        <w:tc>
          <w:tcPr>
            <w:tcW w:w="2520" w:type="dxa"/>
            <w:vAlign w:val="bottom"/>
            <w:gridSpan w:val="16"/>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S-12</w:t>
            </w:r>
          </w:p>
        </w:tc>
        <w:tc>
          <w:tcPr>
            <w:tcW w:w="0" w:type="dxa"/>
            <w:vAlign w:val="bottom"/>
          </w:tcPr>
          <w:p>
            <w:pPr>
              <w:spacing w:after="0"/>
              <w:rPr>
                <w:sz w:val="1"/>
                <w:szCs w:val="1"/>
                <w:color w:val="auto"/>
              </w:rPr>
            </w:pPr>
          </w:p>
        </w:tc>
      </w:tr>
      <w:tr>
        <w:trPr>
          <w:trHeight w:val="196"/>
        </w:trPr>
        <w:tc>
          <w:tcPr>
            <w:tcW w:w="17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Description of the Notes</w:t>
              </w:r>
            </w:hyperlink>
          </w:p>
        </w:tc>
        <w:tc>
          <w:tcPr>
            <w:tcW w:w="1760" w:type="dxa"/>
            <w:vAlign w:val="bottom"/>
            <w:gridSpan w:val="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S-13</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Material U.S. Federal Income Tax Consequences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Underwriting</w:t>
              </w:r>
            </w:hyperlink>
          </w:p>
        </w:tc>
        <w:tc>
          <w:tcPr>
            <w:tcW w:w="2560" w:type="dxa"/>
            <w:vAlign w:val="bottom"/>
            <w:gridSpan w:val="17"/>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S-24</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Validity of Securities</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Where You Can Find More Information</w:t>
              </w:r>
            </w:hyperlink>
          </w:p>
        </w:tc>
        <w:tc>
          <w:tcPr>
            <w:tcW w:w="1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S-31</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80" w:type="dxa"/>
            <w:vAlign w:val="bottom"/>
            <w:gridSpan w:val="2"/>
            <w:vMerge w:val="restart"/>
          </w:tcPr>
          <w:p>
            <w:pPr>
              <w:jc w:val="center"/>
              <w:ind w:right="5060"/>
              <w:spacing w:after="0"/>
              <w:rPr>
                <w:sz w:val="20"/>
                <w:szCs w:val="20"/>
                <w:color w:val="auto"/>
              </w:rPr>
            </w:pPr>
            <w:r>
              <w:rPr>
                <w:rFonts w:ascii="Arial" w:cs="Arial" w:eastAsia="Arial" w:hAnsi="Arial"/>
                <w:sz w:val="18"/>
                <w:szCs w:val="18"/>
                <w:b w:val="1"/>
                <w:bCs w:val="1"/>
                <w:color w:val="auto"/>
                <w:w w:val="83"/>
              </w:rPr>
              <w:t>Prospectus</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80" w:type="dxa"/>
            <w:vAlign w:val="bottom"/>
            <w:gridSpan w:val="2"/>
            <w:vMerge w:val="continue"/>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104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The Company</w:t>
              </w:r>
            </w:hyperlink>
          </w:p>
        </w:tc>
        <w:tc>
          <w:tcPr>
            <w:tcW w:w="2500" w:type="dxa"/>
            <w:vAlign w:val="bottom"/>
            <w:gridSpan w:val="15"/>
          </w:tcPr>
          <w:p>
            <w:pPr>
              <w:spacing w:after="0"/>
              <w:rPr>
                <w:sz w:val="24"/>
                <w:szCs w:val="24"/>
                <w:color w:val="auto"/>
              </w:rPr>
            </w:pPr>
          </w:p>
        </w:tc>
        <w:tc>
          <w:tcPr>
            <w:tcW w:w="7840" w:type="dxa"/>
            <w:vAlign w:val="bottom"/>
            <w:gridSpan w:val="5"/>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About this Prospectus</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80" w:type="dxa"/>
            <w:vAlign w:val="bottom"/>
            <w:gridSpan w:val="7"/>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Where You Can Find More Information</w:t>
              </w:r>
            </w:hyperlink>
          </w:p>
        </w:tc>
        <w:tc>
          <w:tcPr>
            <w:tcW w:w="660" w:type="dxa"/>
            <w:vAlign w:val="bottom"/>
            <w:gridSpan w:val="2"/>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Notice Regarding Forward-Looking Statements</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3"/>
          </w:tcPr>
          <w:p>
            <w:pPr>
              <w:spacing w:after="0"/>
              <w:rPr>
                <w:sz w:val="17"/>
                <w:szCs w:val="17"/>
                <w:color w:val="auto"/>
              </w:rPr>
            </w:pPr>
          </w:p>
        </w:tc>
        <w:tc>
          <w:tcPr>
            <w:tcW w:w="100" w:type="dxa"/>
            <w:vAlign w:val="bottom"/>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Ratios of Earnings to Fixed Charges</w:t>
              </w:r>
            </w:hyperlink>
          </w:p>
        </w:tc>
        <w:tc>
          <w:tcPr>
            <w:tcW w:w="920" w:type="dxa"/>
            <w:vAlign w:val="bottom"/>
            <w:gridSpan w:val="3"/>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Description of Debt Securities</w:t>
              </w:r>
            </w:hyperlink>
          </w:p>
        </w:tc>
        <w:tc>
          <w:tcPr>
            <w:tcW w:w="1340" w:type="dxa"/>
            <w:vAlign w:val="bottom"/>
            <w:gridSpan w:val="5"/>
          </w:tcPr>
          <w:p>
            <w:pPr>
              <w:spacing w:after="0"/>
              <w:rPr>
                <w:sz w:val="17"/>
                <w:szCs w:val="17"/>
                <w:color w:val="auto"/>
              </w:rPr>
            </w:pPr>
          </w:p>
        </w:tc>
        <w:tc>
          <w:tcPr>
            <w:tcW w:w="7840" w:type="dxa"/>
            <w:vAlign w:val="bottom"/>
            <w:gridSpan w:val="5"/>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Description of Warrants</w:t>
              </w:r>
            </w:hyperlink>
          </w:p>
        </w:tc>
        <w:tc>
          <w:tcPr>
            <w:tcW w:w="1800" w:type="dxa"/>
            <w:vAlign w:val="bottom"/>
            <w:gridSpan w:val="8"/>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Description of Units</w:t>
              </w:r>
            </w:hyperlink>
          </w:p>
        </w:tc>
        <w:tc>
          <w:tcPr>
            <w:tcW w:w="2060" w:type="dxa"/>
            <w:vAlign w:val="bottom"/>
            <w:gridSpan w:val="11"/>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Forms of Securities</w:t>
              </w:r>
            </w:hyperlink>
          </w:p>
        </w:tc>
        <w:tc>
          <w:tcPr>
            <w:tcW w:w="2120" w:type="dxa"/>
            <w:vAlign w:val="bottom"/>
            <w:gridSpan w:val="13"/>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Plan of Distribution</w:t>
              </w:r>
            </w:hyperlink>
          </w:p>
        </w:tc>
        <w:tc>
          <w:tcPr>
            <w:tcW w:w="2100" w:type="dxa"/>
            <w:vAlign w:val="bottom"/>
            <w:gridSpan w:val="12"/>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Validity of Securities</w:t>
              </w:r>
            </w:hyperlink>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Experts</w:t>
              </w:r>
            </w:hyperlink>
          </w:p>
        </w:tc>
        <w:tc>
          <w:tcPr>
            <w:tcW w:w="960" w:type="dxa"/>
            <w:vAlign w:val="bottom"/>
            <w:tcBorders>
              <w:top w:val="single" w:sz="8" w:color="0000EE"/>
            </w:tcBorders>
            <w:gridSpan w:val="10"/>
          </w:tcPr>
          <w:p>
            <w:pPr>
              <w:spacing w:after="0"/>
              <w:rPr>
                <w:sz w:val="17"/>
                <w:szCs w:val="17"/>
                <w:color w:val="auto"/>
              </w:rPr>
            </w:pPr>
          </w:p>
        </w:tc>
        <w:tc>
          <w:tcPr>
            <w:tcW w:w="2020" w:type="dxa"/>
            <w:vAlign w:val="bottom"/>
            <w:gridSpan w:val="10"/>
          </w:tcPr>
          <w:p>
            <w:pPr>
              <w:spacing w:after="0"/>
              <w:rPr>
                <w:sz w:val="17"/>
                <w:szCs w:val="17"/>
                <w:color w:val="auto"/>
              </w:rPr>
            </w:pPr>
          </w:p>
        </w:tc>
        <w:tc>
          <w:tcPr>
            <w:tcW w:w="7820" w:type="dxa"/>
            <w:vAlign w:val="bottom"/>
            <w:gridSpan w:val="4"/>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660" w:right="40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660" w:right="100" w:hanging="20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Evolving cybersecurity threats to our information technology systems or those of our customers or suppliers;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Natural events such as severe weather, geological events or health epidemics in the locations in which we, our customers or our suppliers operate;</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42" w:lineRule="exact"/>
        <w:rPr>
          <w:rFonts w:ascii="Arial" w:cs="Arial" w:eastAsia="Arial" w:hAnsi="Arial"/>
          <w:sz w:val="17"/>
          <w:szCs w:val="17"/>
          <w:color w:val="auto"/>
        </w:rPr>
      </w:pPr>
    </w:p>
    <w:p>
      <w:pPr>
        <w:ind w:left="660" w:right="640" w:hanging="206"/>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manufacture or ship our products or operate our business, or subject us to fines, penalties or other legal liability;</w:t>
      </w:r>
    </w:p>
    <w:p>
      <w:pPr>
        <w:spacing w:after="0" w:line="86"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660" w:right="380" w:hanging="206"/>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tax law and accounting standards that can impact the tax rate applicable to us, the jurisdictions in which profits are determined to be earned and taxed, adverse resolution of tax audits, increases in tariff rates, and the ability to realize deferred tax assets;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30" w:lineRule="exact"/>
        <w:rPr>
          <w:rFonts w:ascii="Arial" w:cs="Arial" w:eastAsia="Arial" w:hAnsi="Arial"/>
          <w:sz w:val="18"/>
          <w:szCs w:val="18"/>
          <w:color w:val="auto"/>
        </w:rPr>
      </w:pPr>
    </w:p>
    <w:p>
      <w:pPr>
        <w:ind w:left="660" w:right="600" w:hanging="206"/>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 or the loss of a significant number of distributors;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despite changes in the regulatory environment;</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75" w:lineRule="exact"/>
        <w:rPr>
          <w:rFonts w:ascii="Arial" w:cs="Arial" w:eastAsia="Arial" w:hAnsi="Arial"/>
          <w:sz w:val="18"/>
          <w:szCs w:val="18"/>
          <w:color w:val="auto"/>
        </w:rPr>
      </w:pPr>
    </w:p>
    <w:p>
      <w:pPr>
        <w:ind w:left="660" w:right="42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our ability to fund our daily operations, invest in the business, make strategic acquisitions, or make principal and interest payments on our debt;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skilled engineering, management and technical personnel;</w:t>
      </w:r>
    </w:p>
    <w:p>
      <w:pPr>
        <w:spacing w:after="0" w:line="130"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or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S-iii</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24, 2016. The accompanying prospectus contains a description of our debt securities and gives more general information, some of which may not apply to this offering.</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the description of this offering varies between this prospectus supplement and the accompanying prospectus, you should rely on the information in this prospectus supplement.</w:t>
      </w:r>
    </w:p>
    <w:p>
      <w:pPr>
        <w:spacing w:after="0" w:line="16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S-iv</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61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8616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29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Texas Instruments Incorporated</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22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On April 24, 2018, we announced our results of operations as of and for the three months ended March 31, 2018. A summary of these results is as follows: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Summary of 1Q18 Results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640" w:type="dxa"/>
            <w:vAlign w:val="bottom"/>
          </w:tcPr>
          <w:p>
            <w:pPr>
              <w:spacing w:after="0"/>
              <w:rPr>
                <w:sz w:val="20"/>
                <w:szCs w:val="20"/>
                <w:color w:val="auto"/>
              </w:rPr>
            </w:pPr>
            <w:r>
              <w:rPr>
                <w:rFonts w:ascii="Arial" w:cs="Arial" w:eastAsia="Arial" w:hAnsi="Arial"/>
                <w:sz w:val="14"/>
                <w:szCs w:val="14"/>
                <w:b w:val="1"/>
                <w:bCs w:val="1"/>
                <w:color w:val="auto"/>
              </w:rPr>
              <w:t>(Millions of dollars, except per-share amounts)</w:t>
            </w:r>
          </w:p>
        </w:tc>
        <w:tc>
          <w:tcPr>
            <w:tcW w:w="28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1Q18</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1Q17</w:t>
            </w:r>
          </w:p>
        </w:tc>
        <w:tc>
          <w:tcPr>
            <w:tcW w:w="4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20"/>
        </w:trPr>
        <w:tc>
          <w:tcPr>
            <w:tcW w:w="5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8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vMerge w:val="continue"/>
            <w:shd w:val="clear" w:color="auto" w:fill="CCEEFF"/>
          </w:tcPr>
          <w:p>
            <w:pPr>
              <w:spacing w:after="0"/>
              <w:rPr>
                <w:sz w:val="18"/>
                <w:szCs w:val="18"/>
                <w:color w:val="auto"/>
              </w:rPr>
            </w:pPr>
          </w:p>
        </w:tc>
        <w:tc>
          <w:tcPr>
            <w:tcW w:w="2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3,789</w:t>
            </w:r>
          </w:p>
        </w:tc>
        <w:tc>
          <w:tcPr>
            <w:tcW w:w="22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3,402</w:t>
            </w:r>
          </w:p>
        </w:tc>
        <w:tc>
          <w:tcPr>
            <w:tcW w:w="460" w:type="dxa"/>
            <w:vAlign w:val="bottom"/>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profit</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1,548</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1,252</w:t>
            </w: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0.97</w:t>
            </w:r>
          </w:p>
        </w:tc>
        <w:tc>
          <w:tcPr>
            <w:tcW w:w="4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1,112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1Q18 Additional Financial Information</w:t>
      </w:r>
    </w:p>
    <w:p>
      <w:pPr>
        <w:spacing w:after="0" w:line="252" w:lineRule="exact"/>
        <w:rPr>
          <w:sz w:val="20"/>
          <w:szCs w:val="20"/>
          <w:color w:val="auto"/>
        </w:rPr>
      </w:pPr>
    </w:p>
    <w:p>
      <w:pPr>
        <w:ind w:left="840" w:hanging="211"/>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and short-term investments were $4.1 billion at the end of the quarter.</w:t>
      </w:r>
    </w:p>
    <w:p>
      <w:pPr>
        <w:spacing w:after="0" w:line="130" w:lineRule="exact"/>
        <w:rPr>
          <w:rFonts w:ascii="Arial" w:cs="Arial" w:eastAsia="Arial" w:hAnsi="Arial"/>
          <w:sz w:val="18"/>
          <w:szCs w:val="18"/>
          <w:color w:val="auto"/>
        </w:rPr>
      </w:pPr>
    </w:p>
    <w:p>
      <w:pPr>
        <w:ind w:left="840" w:right="22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flows from operating activities in the first quarter were $1.1 billion. For the trailing twelve months, cash flows from operating activities were $5.7 billion, as compared with $4.8 billion in the year-ago trailing twelve-month period.</w:t>
      </w:r>
    </w:p>
    <w:p>
      <w:pPr>
        <w:spacing w:after="0" w:line="75" w:lineRule="exact"/>
        <w:rPr>
          <w:rFonts w:ascii="Arial" w:cs="Arial" w:eastAsia="Arial" w:hAnsi="Arial"/>
          <w:sz w:val="18"/>
          <w:szCs w:val="18"/>
          <w:color w:val="auto"/>
        </w:rPr>
      </w:pPr>
    </w:p>
    <w:p>
      <w:pPr>
        <w:ind w:left="840" w:right="12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Free cash flow in the first quarter was $0.9 billion. For the trailing twelve months, free cash flow was $4.9 billion, or 32 percent of revenue, as compared with $4.2 billion, or 31 percent of revenue, in the year-ago trailing twelve-month period.</w:t>
      </w:r>
    </w:p>
    <w:p>
      <w:pPr>
        <w:spacing w:after="0" w:line="75" w:lineRule="exact"/>
        <w:rPr>
          <w:rFonts w:ascii="Arial" w:cs="Arial" w:eastAsia="Arial" w:hAnsi="Arial"/>
          <w:sz w:val="18"/>
          <w:szCs w:val="18"/>
          <w:color w:val="auto"/>
        </w:rPr>
      </w:pPr>
    </w:p>
    <w:p>
      <w:pPr>
        <w:ind w:left="840" w:right="140" w:hanging="211"/>
        <w:spacing w:after="0" w:line="277" w:lineRule="auto"/>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returned $1.5 billion in the first quarter to shareholders through dividends and stock repurchases. For the trailing twelve months, the return to shareholders totaled $5.1 billion.</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Free cash flow is Cash flow from operations minus Capital expenditures. Free cash flow and the ratios based on it are non-GAAP financial measures. For a reconciliation of these measures to the most directly comparable measures under generally accepted accounting principles in the United States (“GAAP”), see “Non-GAAP Financial Information” below.</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340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340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1Q18 Segment Results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020" w:type="dxa"/>
            <w:vAlign w:val="bottom"/>
          </w:tcPr>
          <w:p>
            <w:pPr>
              <w:spacing w:after="0"/>
              <w:rPr>
                <w:sz w:val="20"/>
                <w:szCs w:val="20"/>
                <w:color w:val="auto"/>
              </w:rPr>
            </w:pPr>
            <w:r>
              <w:rPr>
                <w:rFonts w:ascii="Arial" w:cs="Arial" w:eastAsia="Arial" w:hAnsi="Arial"/>
                <w:sz w:val="14"/>
                <w:szCs w:val="14"/>
                <w:b w:val="1"/>
                <w:bCs w:val="1"/>
                <w:color w:val="auto"/>
              </w:rPr>
              <w:t>(Millions of dollars)</w:t>
            </w:r>
          </w:p>
        </w:tc>
        <w:tc>
          <w:tcPr>
            <w:tcW w:w="33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1Q18</w:t>
            </w:r>
          </w:p>
        </w:tc>
        <w:tc>
          <w:tcPr>
            <w:tcW w:w="46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rPr>
              <w:t>1Q17</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5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Analog:</w:t>
            </w:r>
          </w:p>
        </w:tc>
        <w:tc>
          <w:tcPr>
            <w:tcW w:w="3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2,566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2,256</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Embedded Processing:</w:t>
            </w:r>
          </w:p>
        </w:tc>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Revenue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Operating profit</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240</w:t>
            </w:r>
          </w:p>
        </w:tc>
        <w:tc>
          <w:tcPr>
            <w:tcW w:w="4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5020" w:type="dxa"/>
            <w:vAlign w:val="bottom"/>
          </w:tcPr>
          <w:p>
            <w:pPr>
              <w:ind w:left="360"/>
              <w:spacing w:after="0"/>
              <w:rPr>
                <w:sz w:val="20"/>
                <w:szCs w:val="20"/>
                <w:color w:val="auto"/>
              </w:rPr>
            </w:pPr>
            <w:r>
              <w:rPr>
                <w:rFonts w:ascii="Arial" w:cs="Arial" w:eastAsia="Arial" w:hAnsi="Arial"/>
                <w:sz w:val="18"/>
                <w:szCs w:val="18"/>
                <w:color w:val="auto"/>
              </w:rPr>
              <w:t>Revenue</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343</w:t>
            </w:r>
          </w:p>
        </w:tc>
        <w:tc>
          <w:tcPr>
            <w:tcW w:w="4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 *</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bl>
    <w:p>
      <w:pPr>
        <w:spacing w:after="0" w:line="175" w:lineRule="exact"/>
        <w:rPr>
          <w:sz w:val="20"/>
          <w:szCs w:val="20"/>
          <w:color w:val="auto"/>
        </w:rPr>
      </w:pPr>
    </w:p>
    <w:p>
      <w:pPr>
        <w:ind w:left="620" w:hanging="424"/>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Acquisition charges and Restructuring charges/other</w:t>
      </w:r>
    </w:p>
    <w:p>
      <w:pPr>
        <w:spacing w:after="0" w:line="200" w:lineRule="exact"/>
        <w:rPr>
          <w:sz w:val="20"/>
          <w:szCs w:val="20"/>
          <w:color w:val="auto"/>
        </w:rPr>
      </w:pPr>
    </w:p>
    <w:p>
      <w:pPr>
        <w:spacing w:after="0" w:line="390" w:lineRule="exact"/>
        <w:rPr>
          <w:sz w:val="20"/>
          <w:szCs w:val="20"/>
          <w:color w:val="auto"/>
        </w:rPr>
      </w:pPr>
    </w:p>
    <w:p>
      <w:pPr>
        <w:jc w:val="both"/>
        <w:ind w:left="200" w:right="66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8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424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4241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ind w:left="200"/>
              <w:spacing w:after="0"/>
              <w:rPr>
                <w:sz w:val="20"/>
                <w:szCs w:val="20"/>
                <w:color w:val="auto"/>
              </w:rPr>
            </w:pPr>
            <w:r>
              <w:rPr>
                <w:rFonts w:ascii="Arial" w:cs="Arial" w:eastAsia="Arial" w:hAnsi="Arial"/>
                <w:sz w:val="18"/>
                <w:szCs w:val="18"/>
                <w:color w:val="auto"/>
              </w:rPr>
              <w:t>Issuer</w:t>
            </w:r>
          </w:p>
        </w:tc>
        <w:tc>
          <w:tcPr>
            <w:tcW w:w="8240" w:type="dxa"/>
            <w:vAlign w:val="bottom"/>
          </w:tcPr>
          <w:p>
            <w:pPr>
              <w:ind w:left="1200"/>
              <w:spacing w:after="0"/>
              <w:rPr>
                <w:sz w:val="20"/>
                <w:szCs w:val="20"/>
                <w:color w:val="auto"/>
              </w:rPr>
            </w:pPr>
            <w:r>
              <w:rPr>
                <w:rFonts w:ascii="Arial" w:cs="Arial" w:eastAsia="Arial" w:hAnsi="Arial"/>
                <w:sz w:val="18"/>
                <w:szCs w:val="18"/>
                <w:color w:val="auto"/>
              </w:rPr>
              <w:t>Texas Instruments Incorporated.</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8240" w:type="dxa"/>
            <w:vAlign w:val="bottom"/>
          </w:tcPr>
          <w:p>
            <w:pPr>
              <w:ind w:left="1200"/>
              <w:spacing w:after="0"/>
              <w:rPr>
                <w:sz w:val="20"/>
                <w:szCs w:val="20"/>
                <w:color w:val="auto"/>
              </w:rPr>
            </w:pPr>
            <w:r>
              <w:rPr>
                <w:rFonts w:ascii="Arial" w:cs="Arial" w:eastAsia="Arial" w:hAnsi="Arial"/>
                <w:sz w:val="18"/>
                <w:szCs w:val="18"/>
                <w:color w:val="auto"/>
              </w:rPr>
              <w:t>$1,300,000,000 aggregate principal amount of 4.150% Notes due 2048.</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Maturity Date</w:t>
            </w:r>
          </w:p>
        </w:tc>
        <w:tc>
          <w:tcPr>
            <w:tcW w:w="8240" w:type="dxa"/>
            <w:vAlign w:val="bottom"/>
          </w:tcPr>
          <w:p>
            <w:pPr>
              <w:ind w:left="1200"/>
              <w:spacing w:after="0"/>
              <w:rPr>
                <w:sz w:val="20"/>
                <w:szCs w:val="20"/>
                <w:color w:val="auto"/>
              </w:rPr>
            </w:pPr>
            <w:r>
              <w:rPr>
                <w:rFonts w:ascii="Arial" w:cs="Arial" w:eastAsia="Arial" w:hAnsi="Arial"/>
                <w:sz w:val="18"/>
                <w:szCs w:val="18"/>
                <w:color w:val="auto"/>
              </w:rPr>
              <w:t>May 15, 2048.</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Original Issue Date</w:t>
            </w:r>
          </w:p>
        </w:tc>
        <w:tc>
          <w:tcPr>
            <w:tcW w:w="8240" w:type="dxa"/>
            <w:vAlign w:val="bottom"/>
          </w:tcPr>
          <w:p>
            <w:pPr>
              <w:ind w:left="1200"/>
              <w:spacing w:after="0"/>
              <w:rPr>
                <w:sz w:val="20"/>
                <w:szCs w:val="20"/>
                <w:color w:val="auto"/>
              </w:rPr>
            </w:pPr>
            <w:r>
              <w:rPr>
                <w:rFonts w:ascii="Arial" w:cs="Arial" w:eastAsia="Arial" w:hAnsi="Arial"/>
                <w:sz w:val="18"/>
                <w:szCs w:val="18"/>
                <w:color w:val="auto"/>
              </w:rPr>
              <w:t>May 7, 2018.</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Interest Rate</w:t>
            </w:r>
          </w:p>
        </w:tc>
        <w:tc>
          <w:tcPr>
            <w:tcW w:w="8240" w:type="dxa"/>
            <w:vAlign w:val="bottom"/>
          </w:tcPr>
          <w:p>
            <w:pPr>
              <w:ind w:left="1200"/>
              <w:spacing w:after="0"/>
              <w:rPr>
                <w:sz w:val="20"/>
                <w:szCs w:val="20"/>
                <w:color w:val="auto"/>
              </w:rPr>
            </w:pPr>
            <w:r>
              <w:rPr>
                <w:rFonts w:ascii="Arial" w:cs="Arial" w:eastAsia="Arial" w:hAnsi="Arial"/>
                <w:sz w:val="18"/>
                <w:szCs w:val="18"/>
                <w:color w:val="auto"/>
              </w:rPr>
              <w:t>Fixed rate of 4.150%.</w:t>
            </w:r>
          </w:p>
        </w:tc>
      </w:tr>
      <w:tr>
        <w:trPr>
          <w:trHeight w:val="473"/>
        </w:trPr>
        <w:tc>
          <w:tcPr>
            <w:tcW w:w="318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240" w:type="dxa"/>
            <w:vAlign w:val="bottom"/>
          </w:tcPr>
          <w:p>
            <w:pPr>
              <w:ind w:left="1200"/>
              <w:spacing w:after="0"/>
              <w:rPr>
                <w:sz w:val="20"/>
                <w:szCs w:val="20"/>
                <w:color w:val="auto"/>
              </w:rPr>
            </w:pPr>
            <w:r>
              <w:rPr>
                <w:rFonts w:ascii="Arial" w:cs="Arial" w:eastAsia="Arial" w:hAnsi="Arial"/>
                <w:sz w:val="18"/>
                <w:szCs w:val="18"/>
                <w:color w:val="auto"/>
                <w:w w:val="95"/>
              </w:rPr>
              <w:t>Each May 15 and November 15, beginning on November 15, 2018, and on the maturity date.</w:t>
            </w:r>
          </w:p>
        </w:tc>
      </w:tr>
      <w:tr>
        <w:trPr>
          <w:trHeight w:val="458"/>
        </w:trPr>
        <w:tc>
          <w:tcPr>
            <w:tcW w:w="3180" w:type="dxa"/>
            <w:vAlign w:val="bottom"/>
          </w:tcPr>
          <w:p>
            <w:pPr>
              <w:ind w:left="200"/>
              <w:spacing w:after="0"/>
              <w:rPr>
                <w:sz w:val="20"/>
                <w:szCs w:val="20"/>
                <w:color w:val="auto"/>
              </w:rPr>
            </w:pPr>
            <w:r>
              <w:rPr>
                <w:rFonts w:ascii="Arial" w:cs="Arial" w:eastAsia="Arial" w:hAnsi="Arial"/>
                <w:sz w:val="18"/>
                <w:szCs w:val="18"/>
                <w:color w:val="auto"/>
              </w:rPr>
              <w:t>Ranking</w:t>
            </w:r>
          </w:p>
        </w:tc>
        <w:tc>
          <w:tcPr>
            <w:tcW w:w="8240" w:type="dxa"/>
            <w:vAlign w:val="bottom"/>
          </w:tcPr>
          <w:p>
            <w:pPr>
              <w:ind w:left="1200"/>
              <w:spacing w:after="0"/>
              <w:rPr>
                <w:sz w:val="20"/>
                <w:szCs w:val="20"/>
                <w:color w:val="auto"/>
              </w:rPr>
            </w:pPr>
            <w:r>
              <w:rPr>
                <w:rFonts w:ascii="Arial" w:cs="Arial" w:eastAsia="Arial" w:hAnsi="Arial"/>
                <w:sz w:val="18"/>
                <w:szCs w:val="18"/>
                <w:color w:val="auto"/>
                <w:w w:val="94"/>
              </w:rPr>
              <w:t>The Notes will be the senior unsecured obligations of Texas Instruments Incorporated and will</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rank equally with all of its existing and future senior indebtedness from time to time</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outstanding. All existing and future liabilities of subsidiaries of Texas Instruments</w:t>
            </w:r>
          </w:p>
        </w:tc>
      </w:tr>
      <w:tr>
        <w:trPr>
          <w:trHeight w:val="230"/>
        </w:trPr>
        <w:tc>
          <w:tcPr>
            <w:tcW w:w="3180" w:type="dxa"/>
            <w:vAlign w:val="bottom"/>
          </w:tcPr>
          <w:p>
            <w:pPr>
              <w:spacing w:after="0"/>
              <w:rPr>
                <w:sz w:val="20"/>
                <w:szCs w:val="20"/>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Incorporated will be effectively senior to the Notes.</w:t>
            </w:r>
          </w:p>
        </w:tc>
      </w:tr>
      <w:tr>
        <w:trPr>
          <w:trHeight w:val="445"/>
        </w:trPr>
        <w:tc>
          <w:tcPr>
            <w:tcW w:w="3180" w:type="dxa"/>
            <w:vAlign w:val="bottom"/>
          </w:tcPr>
          <w:p>
            <w:pPr>
              <w:spacing w:after="0"/>
              <w:rPr>
                <w:sz w:val="24"/>
                <w:szCs w:val="24"/>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5"/>
              </w:rPr>
              <w:t>As of December 31, 2017, Texas Instruments Incorporated had approximately $4.1 billion of</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outstanding indebtedness. As of December 31, 2017, Texas Instruments had approximately</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7"/>
              </w:rPr>
              <w:t>$7.3 billion of total liabilities on a consolidated basis. Of this amount, subsidiaries of Texas</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Instruments Incorporated had approximately $1.0 billion of liabilities (including trade</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payables and excluding intercompany debt) to which the Notes will be effectively</w:t>
            </w:r>
          </w:p>
        </w:tc>
      </w:tr>
      <w:tr>
        <w:trPr>
          <w:trHeight w:val="230"/>
        </w:trPr>
        <w:tc>
          <w:tcPr>
            <w:tcW w:w="3180" w:type="dxa"/>
            <w:vAlign w:val="bottom"/>
          </w:tcPr>
          <w:p>
            <w:pPr>
              <w:spacing w:after="0"/>
              <w:rPr>
                <w:sz w:val="20"/>
                <w:szCs w:val="20"/>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rPr>
              <w:t>subordinated.</w:t>
            </w:r>
          </w:p>
        </w:tc>
      </w:tr>
      <w:tr>
        <w:trPr>
          <w:trHeight w:val="445"/>
        </w:trPr>
        <w:tc>
          <w:tcPr>
            <w:tcW w:w="3180" w:type="dxa"/>
            <w:vAlign w:val="bottom"/>
          </w:tcPr>
          <w:p>
            <w:pPr>
              <w:ind w:left="200"/>
              <w:spacing w:after="0"/>
              <w:rPr>
                <w:sz w:val="20"/>
                <w:szCs w:val="20"/>
                <w:color w:val="auto"/>
              </w:rPr>
            </w:pPr>
            <w:r>
              <w:rPr>
                <w:rFonts w:ascii="Arial" w:cs="Arial" w:eastAsia="Arial" w:hAnsi="Arial"/>
                <w:sz w:val="18"/>
                <w:szCs w:val="18"/>
                <w:color w:val="auto"/>
              </w:rPr>
              <w:t>Form and Denomination</w:t>
            </w: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The Notes will be issued in the form of one or more fully registered global securities, without</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coupons, in denominations of $2,000 in principal amount and integral multiples of $1,000 in</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7"/>
              </w:rPr>
              <w:t>excess thereof. These global notes will be deposited with the trustee as custodian for, and</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3"/>
              </w:rPr>
              <w:t>registered in the name of, a nominee of The Depository Trust Company, or DTC. Except in the</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6"/>
              </w:rPr>
              <w:t>limited circumstances described under “Description of the Notes—Book-Entry; Delivery and</w:t>
            </w:r>
          </w:p>
        </w:tc>
      </w:tr>
      <w:tr>
        <w:trPr>
          <w:trHeight w:val="216"/>
        </w:trPr>
        <w:tc>
          <w:tcPr>
            <w:tcW w:w="3180" w:type="dxa"/>
            <w:vAlign w:val="bottom"/>
          </w:tcPr>
          <w:p>
            <w:pPr>
              <w:spacing w:after="0"/>
              <w:rPr>
                <w:sz w:val="18"/>
                <w:szCs w:val="18"/>
                <w:color w:val="auto"/>
              </w:rPr>
            </w:pPr>
          </w:p>
        </w:tc>
        <w:tc>
          <w:tcPr>
            <w:tcW w:w="8240" w:type="dxa"/>
            <w:vAlign w:val="bottom"/>
          </w:tcPr>
          <w:p>
            <w:pPr>
              <w:ind w:left="1200"/>
              <w:spacing w:after="0"/>
              <w:rPr>
                <w:sz w:val="20"/>
                <w:szCs w:val="20"/>
                <w:color w:val="auto"/>
              </w:rPr>
            </w:pPr>
            <w:r>
              <w:rPr>
                <w:rFonts w:ascii="Arial" w:cs="Arial" w:eastAsia="Arial" w:hAnsi="Arial"/>
                <w:sz w:val="18"/>
                <w:szCs w:val="18"/>
                <w:color w:val="auto"/>
                <w:w w:val="95"/>
              </w:rPr>
              <w:t>Form; Global Note,” Notes in certificated form will not be issued or exchanged for interests in</w:t>
            </w:r>
          </w:p>
        </w:tc>
      </w:tr>
      <w:tr>
        <w:trPr>
          <w:trHeight w:val="241"/>
        </w:trPr>
        <w:tc>
          <w:tcPr>
            <w:tcW w:w="3180" w:type="dxa"/>
            <w:vAlign w:val="bottom"/>
            <w:tcBorders>
              <w:bottom w:val="single" w:sz="8" w:color="auto"/>
            </w:tcBorders>
          </w:tcPr>
          <w:p>
            <w:pPr>
              <w:spacing w:after="0"/>
              <w:rPr>
                <w:sz w:val="20"/>
                <w:szCs w:val="20"/>
                <w:color w:val="auto"/>
              </w:rPr>
            </w:pPr>
          </w:p>
        </w:tc>
        <w:tc>
          <w:tcPr>
            <w:tcW w:w="82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global securities.</w:t>
            </w:r>
          </w:p>
        </w:tc>
      </w:tr>
      <w:tr>
        <w:trPr>
          <w:trHeight w:val="361"/>
        </w:trPr>
        <w:tc>
          <w:tcPr>
            <w:tcW w:w="3180" w:type="dxa"/>
            <w:vAlign w:val="bottom"/>
          </w:tcPr>
          <w:p>
            <w:pPr>
              <w:spacing w:after="0"/>
              <w:rPr>
                <w:sz w:val="24"/>
                <w:szCs w:val="24"/>
                <w:color w:val="auto"/>
              </w:rPr>
            </w:pPr>
          </w:p>
        </w:tc>
        <w:tc>
          <w:tcPr>
            <w:tcW w:w="8240" w:type="dxa"/>
            <w:vAlign w:val="bottom"/>
          </w:tcPr>
          <w:p>
            <w:pPr>
              <w:ind w:left="240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8"/>
        </w:trPr>
        <w:tc>
          <w:tcPr>
            <w:tcW w:w="306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360" w:type="dxa"/>
            <w:vAlign w:val="bottom"/>
            <w:tcBorders>
              <w:top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The internal laws of the State of New York.</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We expect to use the net proceeds of this offering for general corporate purposes, including to</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replenish our cash on hand following the repayment at maturity of $500 million principal</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5"/>
              </w:rPr>
              <w:t>amount of our 1.00% Notes due May 1, 2018. See “Use of Proceeds.” In connection with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issuance of the Notes, we may enter into interest rate swap agreements with financial</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institutions, which may include one or more of the underwriters or their affiliates.</w:t>
            </w:r>
          </w:p>
        </w:tc>
      </w:tr>
      <w:tr>
        <w:trPr>
          <w:trHeight w:val="445"/>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Further Issuances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Texas Instruments Incorporated may create and issue further notes ranking equally and ratably</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3"/>
              </w:rPr>
              <w:t>with the Notes offered by this prospectus supplement in all respects, so that such further notes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will be consolidated and form a single series with the Notes offered by this prospectus</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supplement.</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Sinking Fund</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None.</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Texas Instruments Incorporated may redeem some or all of the Notes at any time at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 prices indicated under the heading “Description of the Notes—Optional</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Redemption.”</w:t>
            </w:r>
          </w:p>
        </w:tc>
      </w:tr>
      <w:tr>
        <w:trPr>
          <w:trHeight w:val="445"/>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Trading</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2"/>
              </w:rPr>
              <w:t>The Notes are a new issue of securities with no established trading market. We do not intend to</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apply for listing of the Notes on any securities exchange. The underwriters have advised us</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that they intend to make a market in the Notes, but they are not obligated to do so and may</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6"/>
              </w:rPr>
              <w:t>discontinue market-making at any time without notice. See “Underwriting” in this prospectus</w:t>
            </w:r>
          </w:p>
        </w:tc>
      </w:tr>
      <w:tr>
        <w:trPr>
          <w:trHeight w:val="230"/>
        </w:trPr>
        <w:tc>
          <w:tcPr>
            <w:tcW w:w="3060" w:type="dxa"/>
            <w:vAlign w:val="bottom"/>
            <w:tcBorders>
              <w:left w:val="single" w:sz="8" w:color="auto"/>
            </w:tcBorders>
          </w:tcPr>
          <w:p>
            <w:pPr>
              <w:spacing w:after="0"/>
              <w:rPr>
                <w:sz w:val="20"/>
                <w:szCs w:val="20"/>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supplement for more information about possible market-making by the underwriters.</w:t>
            </w:r>
          </w:p>
        </w:tc>
      </w:tr>
      <w:tr>
        <w:trPr>
          <w:trHeight w:val="459"/>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Trustee</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U.S. Bank National Association.</w:t>
            </w:r>
          </w:p>
        </w:tc>
      </w:tr>
      <w:tr>
        <w:trPr>
          <w:trHeight w:val="458"/>
        </w:trPr>
        <w:tc>
          <w:tcPr>
            <w:tcW w:w="30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Risk Factors</w:t>
            </w: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8"/>
              </w:rPr>
              <w:t>You should carefully consider all of the information in this prospectus supplement and the</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w w:val="94"/>
              </w:rPr>
              <w:t>accompanying prospectus and the documents incorporated herein by reference. In particular,</w:t>
            </w:r>
          </w:p>
        </w:tc>
      </w:tr>
      <w:tr>
        <w:trPr>
          <w:trHeight w:val="216"/>
        </w:trPr>
        <w:tc>
          <w:tcPr>
            <w:tcW w:w="3060" w:type="dxa"/>
            <w:vAlign w:val="bottom"/>
            <w:tcBorders>
              <w:left w:val="single" w:sz="8" w:color="auto"/>
            </w:tcBorders>
          </w:tcPr>
          <w:p>
            <w:pPr>
              <w:spacing w:after="0"/>
              <w:rPr>
                <w:sz w:val="18"/>
                <w:szCs w:val="18"/>
                <w:color w:val="auto"/>
              </w:rPr>
            </w:pPr>
          </w:p>
        </w:tc>
        <w:tc>
          <w:tcPr>
            <w:tcW w:w="83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you should evaluate the information set forth under “Notice Regarding Forward-Looking</w:t>
            </w:r>
          </w:p>
        </w:tc>
      </w:tr>
      <w:tr>
        <w:trPr>
          <w:trHeight w:val="241"/>
        </w:trPr>
        <w:tc>
          <w:tcPr>
            <w:tcW w:w="3060" w:type="dxa"/>
            <w:vAlign w:val="bottom"/>
            <w:tcBorders>
              <w:left w:val="single" w:sz="8" w:color="auto"/>
              <w:bottom w:val="single" w:sz="8" w:color="auto"/>
            </w:tcBorders>
          </w:tcPr>
          <w:p>
            <w:pPr>
              <w:spacing w:after="0"/>
              <w:rPr>
                <w:sz w:val="20"/>
                <w:szCs w:val="20"/>
                <w:color w:val="auto"/>
              </w:rPr>
            </w:pPr>
          </w:p>
        </w:tc>
        <w:tc>
          <w:tcPr>
            <w:tcW w:w="8360" w:type="dxa"/>
            <w:vAlign w:val="bottom"/>
            <w:tcBorders>
              <w:bottom w:val="single" w:sz="8" w:color="auto"/>
              <w:right w:val="single" w:sz="8" w:color="auto"/>
            </w:tcBorders>
          </w:tcPr>
          <w:p>
            <w:pPr>
              <w:ind w:left="1320"/>
              <w:spacing w:after="0"/>
              <w:rPr>
                <w:sz w:val="20"/>
                <w:szCs w:val="20"/>
                <w:color w:val="auto"/>
              </w:rPr>
            </w:pPr>
            <w:r>
              <w:rPr>
                <w:rFonts w:ascii="Arial" w:cs="Arial" w:eastAsia="Arial" w:hAnsi="Arial"/>
                <w:sz w:val="18"/>
                <w:szCs w:val="18"/>
                <w:color w:val="auto"/>
              </w:rPr>
              <w:t>Statements” and “Risk Factors” before deciding whether to invest in the Notes.</w:t>
            </w:r>
          </w:p>
        </w:tc>
      </w:tr>
      <w:tr>
        <w:trPr>
          <w:trHeight w:val="361"/>
        </w:trPr>
        <w:tc>
          <w:tcPr>
            <w:tcW w:w="3060" w:type="dxa"/>
            <w:vAlign w:val="bottom"/>
          </w:tcPr>
          <w:p>
            <w:pPr>
              <w:spacing w:after="0"/>
              <w:rPr>
                <w:sz w:val="24"/>
                <w:szCs w:val="24"/>
                <w:color w:val="auto"/>
              </w:rPr>
            </w:pPr>
          </w:p>
        </w:tc>
        <w:tc>
          <w:tcPr>
            <w:tcW w:w="8360" w:type="dxa"/>
            <w:vAlign w:val="bottom"/>
          </w:tcPr>
          <w:p>
            <w:pPr>
              <w:ind w:left="252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720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4720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229" w:lineRule="exact"/>
        <w:rPr>
          <w:sz w:val="20"/>
          <w:szCs w:val="20"/>
          <w:color w:val="auto"/>
        </w:rPr>
      </w:pPr>
    </w:p>
    <w:p>
      <w:pPr>
        <w:ind w:left="200" w:right="580" w:firstLine="441"/>
        <w:spacing w:after="0" w:line="286" w:lineRule="auto"/>
        <w:rPr>
          <w:sz w:val="20"/>
          <w:szCs w:val="20"/>
          <w:color w:val="auto"/>
        </w:rPr>
      </w:pPr>
      <w:r>
        <w:rPr>
          <w:rFonts w:ascii="Arial" w:cs="Arial" w:eastAsia="Arial" w:hAnsi="Arial"/>
          <w:sz w:val="17"/>
          <w:szCs w:val="17"/>
          <w:color w:val="auto"/>
        </w:rPr>
        <w:t>The following tables set forth our summary historical financial information. The summary historical financial information for the years ended December 31, 2017, 2016 and 2015 and as of December 31, 2017 and 2016 has been derived from our audited consolidated financial statements included or incorporated by reference into this prospectus supplement and the accompanying prospectus.</w:t>
      </w:r>
    </w:p>
    <w:p>
      <w:pPr>
        <w:spacing w:after="0" w:line="166" w:lineRule="exact"/>
        <w:rPr>
          <w:sz w:val="20"/>
          <w:szCs w:val="20"/>
          <w:color w:val="auto"/>
        </w:rPr>
      </w:pPr>
    </w:p>
    <w:p>
      <w:pPr>
        <w:ind w:left="200" w:right="740" w:firstLine="441"/>
        <w:spacing w:after="0" w:line="259" w:lineRule="auto"/>
        <w:rPr>
          <w:sz w:val="20"/>
          <w:szCs w:val="20"/>
          <w:color w:val="auto"/>
        </w:rPr>
      </w:pPr>
      <w:r>
        <w:rPr>
          <w:rFonts w:ascii="Arial" w:cs="Arial" w:eastAsia="Arial" w:hAnsi="Arial"/>
          <w:sz w:val="18"/>
          <w:szCs w:val="18"/>
          <w:color w:val="auto"/>
        </w:rPr>
        <w:t>Various factors will have an effect on our financial condition and results of operations. You should read the summary historical financial information in conjunction with the information under “Risk Factors,” “Capitalization” and “Management’s Discussion and Analysis of Financial Condition and Results of Operations” and our consolidated financial statements and the related notes, all included elsewhere or incorporated by reference into this prospectus supplement and the accompanying prospectus.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11"/>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40" w:type="dxa"/>
            <w:vAlign w:val="bottom"/>
            <w:gridSpan w:val="2"/>
            <w:vMerge w:val="continue"/>
          </w:tcPr>
          <w:p>
            <w:pPr>
              <w:spacing w:after="0"/>
              <w:rPr>
                <w:sz w:val="12"/>
                <w:szCs w:val="12"/>
                <w:color w:val="auto"/>
              </w:rPr>
            </w:pPr>
          </w:p>
        </w:tc>
        <w:tc>
          <w:tcPr>
            <w:tcW w:w="4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14,961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13,370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revenue</w:t>
            </w:r>
          </w:p>
        </w:tc>
        <w:tc>
          <w:tcPr>
            <w:tcW w:w="4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Acquisition charges</w:t>
            </w: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charges/other</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ind w:left="200"/>
              <w:spacing w:after="0"/>
              <w:rPr>
                <w:sz w:val="20"/>
                <w:szCs w:val="20"/>
                <w:color w:val="auto"/>
              </w:rPr>
            </w:pPr>
            <w:r>
              <w:rPr>
                <w:rFonts w:ascii="Arial" w:cs="Arial" w:eastAsia="Arial" w:hAnsi="Arial"/>
                <w:sz w:val="18"/>
                <w:szCs w:val="18"/>
                <w:color w:val="auto"/>
              </w:rPr>
              <w:t>Operating profit</w:t>
            </w:r>
          </w:p>
        </w:tc>
        <w:tc>
          <w:tcPr>
            <w:tcW w:w="4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4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ind w:left="200"/>
              <w:spacing w:after="0"/>
              <w:rPr>
                <w:sz w:val="20"/>
                <w:szCs w:val="20"/>
                <w:color w:val="auto"/>
              </w:rPr>
            </w:pPr>
            <w:r>
              <w:rPr>
                <w:rFonts w:ascii="Arial" w:cs="Arial" w:eastAsia="Arial" w:hAnsi="Arial"/>
                <w:sz w:val="18"/>
                <w:szCs w:val="18"/>
                <w:color w:val="auto"/>
              </w:rPr>
              <w:t>Earnings per common share:</w:t>
            </w: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2"/>
            <w:vMerge w:val="continue"/>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4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4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440" w:type="dxa"/>
            <w:vAlign w:val="bottom"/>
            <w:vMerge w:val="continue"/>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4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440" w:type="dxa"/>
            <w:vAlign w:val="bottom"/>
          </w:tcPr>
          <w:p>
            <w:pPr>
              <w:ind w:left="360"/>
              <w:spacing w:after="0"/>
              <w:rPr>
                <w:sz w:val="20"/>
                <w:szCs w:val="20"/>
                <w:color w:val="auto"/>
              </w:rPr>
            </w:pPr>
            <w:r>
              <w:rPr>
                <w:rFonts w:ascii="Arial" w:cs="Arial" w:eastAsia="Arial" w:hAnsi="Arial"/>
                <w:sz w:val="18"/>
                <w:szCs w:val="18"/>
                <w:color w:val="auto"/>
              </w:rPr>
              <w:t>Basic</w:t>
            </w:r>
          </w:p>
        </w:tc>
        <w:tc>
          <w:tcPr>
            <w:tcW w:w="4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1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200" w:type="dxa"/>
            <w:vAlign w:val="bottom"/>
            <w:gridSpan w:val="2"/>
          </w:tcPr>
          <w:p>
            <w:pPr>
              <w:jc w:val="right"/>
              <w:ind w:right="2910"/>
              <w:spacing w:after="0"/>
              <w:rPr>
                <w:sz w:val="20"/>
                <w:szCs w:val="20"/>
                <w:color w:val="auto"/>
              </w:rPr>
            </w:pPr>
            <w:r>
              <w:rPr>
                <w:rFonts w:ascii="Arial" w:cs="Arial" w:eastAsia="Arial" w:hAnsi="Arial"/>
                <w:sz w:val="18"/>
                <w:szCs w:val="18"/>
                <w:color w:val="auto"/>
              </w:rPr>
              <w:t>S-5</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61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5613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(Millions of dollars)</w:t>
            </w: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520" w:type="dxa"/>
            <w:vAlign w:val="bottom"/>
            <w:tcBorders>
              <w:bottom w:val="single" w:sz="8" w:color="CCEEFF"/>
            </w:tcBorders>
            <w:vMerge w:val="continue"/>
          </w:tcPr>
          <w:p>
            <w:pPr>
              <w:spacing w:after="0"/>
              <w:rPr>
                <w:sz w:val="12"/>
                <w:szCs w:val="12"/>
                <w:color w:val="auto"/>
              </w:rPr>
            </w:pPr>
          </w:p>
        </w:tc>
        <w:tc>
          <w:tcPr>
            <w:tcW w:w="29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4,469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Inventories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1,957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2,664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Acquisition-related intangibles, net</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946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17,642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Long-term debt</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3,577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10,337</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10,473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17,642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Information</w:t>
      </w:r>
    </w:p>
    <w:p>
      <w:pPr>
        <w:spacing w:after="0" w:line="121"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This prospectus supplement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81"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Reconciliation to the most directly comparable GAAP-based measures is provided in the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35"/>
        </w:trPr>
        <w:tc>
          <w:tcPr>
            <w:tcW w:w="200" w:type="dxa"/>
            <w:vAlign w:val="bottom"/>
          </w:tcPr>
          <w:p>
            <w:pPr>
              <w:spacing w:after="0"/>
              <w:rPr>
                <w:sz w:val="3"/>
                <w:szCs w:val="3"/>
                <w:color w:val="auto"/>
              </w:rPr>
            </w:pPr>
          </w:p>
        </w:tc>
        <w:tc>
          <w:tcPr>
            <w:tcW w:w="48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3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0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Twelve Months</w:t>
            </w: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00" w:type="dxa"/>
            <w:vAlign w:val="bottom"/>
            <w:gridSpan w:val="6"/>
            <w:vMerge w:val="continue"/>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Ended</w:t>
            </w:r>
          </w:p>
        </w:tc>
        <w:tc>
          <w:tcPr>
            <w:tcW w:w="4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900" w:type="dxa"/>
            <w:vAlign w:val="bottom"/>
            <w:gridSpan w:val="6"/>
            <w:vMerge w:val="continue"/>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48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900" w:type="dxa"/>
            <w:vAlign w:val="bottom"/>
            <w:gridSpan w:val="6"/>
            <w:vMerge w:val="restart"/>
          </w:tcPr>
          <w:p>
            <w:pPr>
              <w:jc w:val="right"/>
              <w:ind w:right="680"/>
              <w:spacing w:after="0"/>
              <w:rPr>
                <w:sz w:val="20"/>
                <w:szCs w:val="20"/>
                <w:color w:val="auto"/>
              </w:rPr>
            </w:pPr>
            <w:r>
              <w:rPr>
                <w:rFonts w:ascii="Arial" w:cs="Arial" w:eastAsia="Arial" w:hAnsi="Arial"/>
                <w:sz w:val="14"/>
                <w:szCs w:val="14"/>
                <w:b w:val="1"/>
                <w:bCs w:val="1"/>
                <w:color w:val="auto"/>
              </w:rPr>
              <w:t>Ended March 31,</w:t>
            </w: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March 31,</w:t>
            </w:r>
          </w:p>
        </w:tc>
        <w:tc>
          <w:tcPr>
            <w:tcW w:w="480" w:type="dxa"/>
            <w:vAlign w:val="bottom"/>
            <w:tcBorders>
              <w:lef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6"/>
            <w:vMerge w:val="continue"/>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5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(Millions of dollars, except percentages)</w:t>
            </w: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vMerge w:val="restart"/>
          </w:tcPr>
          <w:p>
            <w:pPr>
              <w:jc w:val="right"/>
              <w:ind w:right="76"/>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0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
                <w:szCs w:val="2"/>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line="20" w:lineRule="exact"/>
              <w:rPr>
                <w:sz w:val="1"/>
                <w:szCs w:val="1"/>
                <w:color w:val="auto"/>
              </w:rPr>
            </w:pPr>
          </w:p>
        </w:tc>
      </w:tr>
      <w:tr>
        <w:trPr>
          <w:trHeight w:val="171"/>
        </w:trPr>
        <w:tc>
          <w:tcPr>
            <w:tcW w:w="5040" w:type="dxa"/>
            <w:vAlign w:val="bottom"/>
            <w:gridSpan w:val="2"/>
            <w:vMerge w:val="continue"/>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19"/>
              <w:spacing w:after="0"/>
              <w:rPr>
                <w:sz w:val="20"/>
                <w:szCs w:val="20"/>
                <w:color w:val="auto"/>
              </w:rPr>
            </w:pPr>
            <w:r>
              <w:rPr>
                <w:rFonts w:ascii="Arial" w:cs="Arial" w:eastAsia="Arial" w:hAnsi="Arial"/>
                <w:sz w:val="14"/>
                <w:szCs w:val="14"/>
                <w:b w:val="1"/>
                <w:bCs w:val="1"/>
                <w:color w:val="auto"/>
                <w:w w:val="96"/>
              </w:rPr>
              <w:t>2018</w:t>
            </w:r>
          </w:p>
        </w:tc>
        <w:tc>
          <w:tcPr>
            <w:tcW w:w="420" w:type="dxa"/>
            <w:vAlign w:val="bottom"/>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flows from operations (GAAP)</w:t>
            </w:r>
          </w:p>
        </w:tc>
        <w:tc>
          <w:tcPr>
            <w:tcW w:w="17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80" w:type="dxa"/>
            <w:vAlign w:val="bottom"/>
            <w:tcBorders>
              <w:left w:val="single" w:sz="8" w:color="auto"/>
            </w:tcBorders>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40" w:type="dxa"/>
            <w:vAlign w:val="bottom"/>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420" w:type="dxa"/>
            <w:vAlign w:val="bottom"/>
            <w:shd w:val="clear" w:color="auto" w:fill="CCEEFF"/>
          </w:tcPr>
          <w:p>
            <w:pPr>
              <w:spacing w:after="0"/>
              <w:rPr>
                <w:sz w:val="18"/>
                <w:szCs w:val="18"/>
                <w:color w:val="auto"/>
              </w:rPr>
            </w:pPr>
          </w:p>
        </w:tc>
        <w:tc>
          <w:tcPr>
            <w:tcW w:w="480" w:type="dxa"/>
            <w:vAlign w:val="bottom"/>
            <w:tcBorders>
              <w:left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26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Capital expenditures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(189)</w:t>
            </w:r>
          </w:p>
        </w:tc>
        <w:tc>
          <w:tcPr>
            <w:tcW w:w="4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420" w:type="dxa"/>
            <w:vAlign w:val="bottom"/>
            <w:shd w:val="clear" w:color="auto" w:fill="CCEEFF"/>
          </w:tcPr>
          <w:p>
            <w:pPr>
              <w:spacing w:after="0"/>
              <w:rPr>
                <w:sz w:val="18"/>
                <w:szCs w:val="18"/>
                <w:color w:val="auto"/>
              </w:rPr>
            </w:pPr>
          </w:p>
        </w:tc>
        <w:tc>
          <w:tcPr>
            <w:tcW w:w="5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4,923</w:t>
            </w: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ind w:left="200"/>
              <w:spacing w:after="0"/>
              <w:rPr>
                <w:sz w:val="20"/>
                <w:szCs w:val="20"/>
                <w:color w:val="auto"/>
              </w:rPr>
            </w:pPr>
            <w:r>
              <w:rPr>
                <w:rFonts w:ascii="Arial" w:cs="Arial" w:eastAsia="Arial" w:hAnsi="Arial"/>
                <w:sz w:val="18"/>
                <w:szCs w:val="18"/>
                <w:color w:val="auto"/>
              </w:rPr>
              <w:t>Revenue</w:t>
            </w: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15,348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13,764</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Free cash flow as a percent of revenue (non-GAAP)</w:t>
            </w:r>
          </w:p>
        </w:tc>
        <w:tc>
          <w:tcPr>
            <w:tcW w:w="1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8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30.7%</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1"/>
        </w:trPr>
        <w:tc>
          <w:tcPr>
            <w:tcW w:w="2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860" w:type="dxa"/>
            <w:vAlign w:val="bottom"/>
            <w:gridSpan w:val="2"/>
          </w:tcPr>
          <w:p>
            <w:pPr>
              <w:jc w:val="right"/>
              <w:ind w:right="976"/>
              <w:spacing w:after="0"/>
              <w:rPr>
                <w:sz w:val="20"/>
                <w:szCs w:val="20"/>
                <w:color w:val="auto"/>
              </w:rPr>
            </w:pPr>
            <w:r>
              <w:rPr>
                <w:rFonts w:ascii="Arial" w:cs="Arial" w:eastAsia="Arial" w:hAnsi="Arial"/>
                <w:sz w:val="18"/>
                <w:szCs w:val="18"/>
                <w:color w:val="auto"/>
              </w:rPr>
              <w:t>S-6</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564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15646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Ratio of Earnings to Fixed Charges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Year Ended December 31,</w:t>
      </w:r>
    </w:p>
    <w:p>
      <w:pPr>
        <w:spacing w:after="0" w:line="11" w:lineRule="exact"/>
        <w:rPr>
          <w:sz w:val="20"/>
          <w:szCs w:val="20"/>
          <w:color w:val="auto"/>
        </w:rPr>
      </w:pPr>
    </w:p>
    <w:p>
      <w:pPr>
        <w:ind w:left="9320"/>
        <w:spacing w:after="0"/>
        <w:tabs>
          <w:tab w:leader="none" w:pos="10040" w:val="left"/>
          <w:tab w:leader="none" w:pos="107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2"/>
          <w:szCs w:val="12"/>
          <w:b w:val="1"/>
          <w:bCs w:val="1"/>
          <w:color w:val="auto"/>
        </w:rPr>
        <w:t>2015</w:t>
      </w:r>
    </w:p>
    <w:tbl>
      <w:tblPr>
        <w:tblLayout w:type="fixed"/>
        <w:tblInd w:w="200" w:type="dxa"/>
        <w:tblCellMar>
          <w:top w:w="0" w:type="dxa"/>
          <w:left w:w="0" w:type="dxa"/>
          <w:bottom w:w="0" w:type="dxa"/>
          <w:right w:w="0" w:type="dxa"/>
        </w:tblCellMar>
      </w:tblPr>
      <w:tr>
        <w:trPr>
          <w:trHeight w:val="210"/>
        </w:trPr>
        <w:tc>
          <w:tcPr>
            <w:tcW w:w="9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hereby incorporate by reference risk factors in Item 1A of our Annual Report on Form 10-K for the year ended December 31,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Offering</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 active trading market for the Notes may not develop.</w:t>
      </w:r>
    </w:p>
    <w:p>
      <w:pPr>
        <w:spacing w:after="0" w:line="117"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There is currently no public market for the Notes, and we do not currently plan to list the Notes on any national securities exchange. In addition, the liquidity of any trading market in the Notes, and the market price quoted for the Notes, may be adversely affected by changes in the overall market for these Notes, prevailing interest rates, ratings assigned to the Notes, time remaining to the maturity of the Notes, outstanding amount of the Notes, the market for similar securities, prospects for other companies in our industry and changes in our consolidated financial condition, results of operations or prospects. A liquid trading market in the Notes may not develop, which could decrease the amounts you would otherwise receive upon a sale or disposition of the Notes.</w:t>
      </w:r>
    </w:p>
    <w:p>
      <w:pPr>
        <w:spacing w:after="0" w:line="266"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73"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4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2017, we had approximately $7.3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will be subject to the prior claims of any future secured creditors.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74" w:lineRule="exact"/>
        <w:rPr>
          <w:sz w:val="20"/>
          <w:szCs w:val="20"/>
          <w:color w:val="auto"/>
        </w:rPr>
      </w:pPr>
    </w:p>
    <w:p>
      <w:pPr>
        <w:ind w:left="240" w:right="40"/>
        <w:spacing w:after="0" w:line="259" w:lineRule="auto"/>
        <w:rPr>
          <w:sz w:val="20"/>
          <w:szCs w:val="20"/>
          <w:color w:val="auto"/>
        </w:rPr>
      </w:pPr>
      <w:r>
        <w:rPr>
          <w:rFonts w:ascii="Arial" w:cs="Arial" w:eastAsia="Arial" w:hAnsi="Arial"/>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Increased leverage may harm our financial condition and results of operations.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an as adjusted basis after giving effect to this offering and the repayment at maturity of our 1.00% Notes due May 1, 2018, as of December 31, 2017, Texas Instruments Incorporated would have had approximately $4.9 billion of total long-term indebtedness (including the Notes), all of which would have been unsecured and unsubordinated.</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7"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Texas Instruments Incorporated will have additional cash requirements in order to support the payment of interest on its outstanding indebtedness;</w:t>
      </w:r>
    </w:p>
    <w:p>
      <w:pPr>
        <w:spacing w:after="0" w:line="153" w:lineRule="exact"/>
        <w:rPr>
          <w:rFonts w:ascii="Arial" w:cs="Arial" w:eastAsia="Arial" w:hAnsi="Arial"/>
          <w:sz w:val="16"/>
          <w:szCs w:val="16"/>
          <w:color w:val="auto"/>
        </w:rPr>
      </w:pPr>
    </w:p>
    <w:p>
      <w:pPr>
        <w:ind w:left="660" w:hanging="206"/>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its outstanding indebtedness and leverage will increase its vulnerability to adverse changes in general economic and industry conditions, as well as to competitive pressure;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its ability to obtain additional financing for working capital, capital expenditures, general corporate and other purposes may be limited.</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Texas Instruments Incorporated is unable to generate sufficient cash flow from operations in the future to service its debt, it may be required, among other things:</w:t>
      </w:r>
    </w:p>
    <w:p>
      <w:pPr>
        <w:spacing w:after="0" w:line="76"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seek additional financing in the debt or equity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refinance or restructure all or a portion of its indebtedness, including the Notes;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sell selected assets;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capital expenditures;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reduce or delay planned operating and investment expenditures.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terms of the Notes will not protect you in the event of highly leveraged transactions or a change of control.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ratings of the Notes may change and affect the market price and marketability of the Notes.</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 or marketability of the Notes. In addition, any decline in the ratings of the Notes may make it more difficult for us to raise capital on acceptable terms.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anticipate that we will receive net proceeds of approximately $1,282 million from this offering after underwriting discounts and other estimated expenses. We expect to use the net proceeds of this offering for general corporate purposes, including to replenish our cash on hand following the repayment at maturity of $500 million principal amount of our 1.00% Notes due May 1, 2018. Initially we intend to invest the net proceeds of this offering in certificates of deposit, United States government securities and certain other interest-bearing securities.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following table sets forth a summary of our consolidated cash, cash equivalents and short-term investments and our capitalization on an actual and as adjusted basis as of December 31, 2017. Our consolidated capitalization, as adjusted, gives effect to the issuance of the Notes offered by this prospectus supplement and the repayment of $500 million aggregate principal amount of our 1.00% Notes due May 1, 2018 at maturity. This table should be read in conjunction with our consolidated financial statements and the related notes incorporated by reference into this prospectus supplement and the accompanying prospectus.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(Millions of dollars, except share and per-share amounts)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7"/>
          </w:tcPr>
          <w:p>
            <w:pPr>
              <w:ind w:left="280"/>
              <w:spacing w:after="0"/>
              <w:rPr>
                <w:sz w:val="20"/>
                <w:szCs w:val="20"/>
                <w:color w:val="auto"/>
              </w:rPr>
            </w:pPr>
            <w:r>
              <w:rPr>
                <w:rFonts w:ascii="Arial" w:cs="Arial" w:eastAsia="Arial" w:hAnsi="Arial"/>
                <w:sz w:val="14"/>
                <w:szCs w:val="14"/>
                <w:b w:val="1"/>
                <w:bCs w:val="1"/>
                <w:color w:val="auto"/>
              </w:rPr>
              <w:t>As of December 31, 2017</w:t>
            </w:r>
          </w:p>
        </w:tc>
        <w:tc>
          <w:tcPr>
            <w:tcW w:w="0" w:type="dxa"/>
            <w:vAlign w:val="bottom"/>
          </w:tcPr>
          <w:p>
            <w:pPr>
              <w:spacing w:after="0"/>
              <w:rPr>
                <w:sz w:val="1"/>
                <w:szCs w:val="1"/>
                <w:color w:val="auto"/>
              </w:rPr>
            </w:pPr>
          </w:p>
        </w:tc>
      </w:tr>
      <w:tr>
        <w:trPr>
          <w:trHeight w:val="142"/>
        </w:trPr>
        <w:tc>
          <w:tcPr>
            <w:tcW w:w="8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Actual</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short-term investments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offered hereby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23"/>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3,577</w:t>
            </w:r>
            <w:r>
              <w:rPr>
                <w:rFonts w:ascii="Arial" w:cs="Arial" w:eastAsia="Arial" w:hAnsi="Arial"/>
                <w:sz w:val="15"/>
                <w:szCs w:val="15"/>
                <w:color w:val="auto"/>
              </w:rPr>
              <w:t>(2)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3,577</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long-term debt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$25 par value. Authorized—10,000,000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ind w:left="720"/>
              <w:spacing w:after="0"/>
              <w:rPr>
                <w:sz w:val="20"/>
                <w:szCs w:val="20"/>
                <w:color w:val="auto"/>
              </w:rPr>
            </w:pPr>
            <w:r>
              <w:rPr>
                <w:rFonts w:ascii="Arial" w:cs="Arial" w:eastAsia="Arial" w:hAnsi="Arial"/>
                <w:sz w:val="18"/>
                <w:szCs w:val="18"/>
                <w:color w:val="auto"/>
              </w:rPr>
              <w:t>Participating cumulative preferred. None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Common stock, $1 par value. Authorized–2,400,000,000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gridSpan w:val="2"/>
          </w:tcPr>
          <w:p>
            <w:pPr>
              <w:ind w:left="720"/>
              <w:spacing w:after="0"/>
              <w:rPr>
                <w:sz w:val="20"/>
                <w:szCs w:val="20"/>
                <w:color w:val="auto"/>
              </w:rPr>
            </w:pPr>
            <w:r>
              <w:rPr>
                <w:rFonts w:ascii="Arial" w:cs="Arial" w:eastAsia="Arial" w:hAnsi="Arial"/>
                <w:sz w:val="18"/>
                <w:szCs w:val="18"/>
                <w:color w:val="auto"/>
              </w:rPr>
              <w:t>Shares issued–1,740,815,939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16"/>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34,662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34,662</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Treasury common stock at cost (757,657,217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(27,458)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223"/>
        </w:trPr>
        <w:tc>
          <w:tcPr>
            <w:tcW w:w="8900" w:type="dxa"/>
            <w:vAlign w:val="bottom"/>
            <w:gridSpan w:val="2"/>
          </w:tcPr>
          <w:p>
            <w:pPr>
              <w:ind w:left="360"/>
              <w:spacing w:after="0"/>
              <w:rPr>
                <w:sz w:val="20"/>
                <w:szCs w:val="20"/>
                <w:color w:val="auto"/>
              </w:rPr>
            </w:pPr>
            <w:r>
              <w:rPr>
                <w:rFonts w:ascii="Arial" w:cs="Arial" w:eastAsia="Arial" w:hAnsi="Arial"/>
                <w:sz w:val="18"/>
                <w:szCs w:val="18"/>
                <w:color w:val="auto"/>
              </w:rPr>
              <w:t>Accumulated other comprehensive income (loss), net of taxes (AOCI)</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8"/>
                <w:szCs w:val="18"/>
                <w:color w:val="auto"/>
              </w:rPr>
              <w:t>(384)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8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10,337</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gridSpan w:val="2"/>
          </w:tcPr>
          <w:p>
            <w:pPr>
              <w:ind w:left="1080"/>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13,914</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7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Notes offered hereby are shown at the amount of the public offering price, less offering expenses (including underwriting discounts).</w:t>
      </w:r>
    </w:p>
    <w:p>
      <w:pPr>
        <w:spacing w:after="0" w:line="23" w:lineRule="exact"/>
        <w:rPr>
          <w:rFonts w:ascii="Arial" w:cs="Arial" w:eastAsia="Arial" w:hAnsi="Arial"/>
          <w:sz w:val="18"/>
          <w:szCs w:val="18"/>
          <w:color w:val="auto"/>
        </w:rPr>
      </w:pPr>
    </w:p>
    <w:p>
      <w:pPr>
        <w:ind w:left="460" w:right="5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$4.1 billion of our existing outstanding notes less net unamortized discount and debt issuance costs of $23 million, less $500 million representing the current portion of long-term debt.</w:t>
      </w: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$3.6 billion of our existing outstanding notes less net unamortized discount and debt issuance costs of $23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The summary herein of certain provisions of the indenture does not purport to be complete and is subject to, and is qualified in its entirety by reference to, all the provisions of the indenture, which has been filed as an exhibit to the current report on Form 8-K filed by TI on May 23, 2011.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Notes will mature on May 15, 2048. The Notes will be issued in book-entry form only, in denominations of $2,000 and multiples of $1,000 thereafter. Interest on the Notes will accrue from May 7, 2018 at the rate per annum shown on the cover of this prospectus supplement. Interest on the Notes will be payable semi-annually on May 15 and November 15, commencing on November 15, 2018 to the persons in whose names the Notes are registered at the close of business on the preceding May 1 or November 1, as the case may be. Interest on the Notes will be paid to but excluding the relevant interest payment date. Interest on the Notes will be calculated on the basis of a 360-day year comprised of twelve 30-day months.</w:t>
      </w:r>
    </w:p>
    <w:p>
      <w:pPr>
        <w:spacing w:after="0" w:line="17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Notes will be issued under the indenture dated May 23, 2011 by and between Texas Instruments Incorporated and U.S. Bank National Association, as may be further supplemented from time to time. U.S. Bank National Association is the trustee for any and all securities issued under the indenture, as amended, including the Notes, and is referred to herein as the “trustee.” Texas Instruments Incorporated will be the sole obligor on the Notes.</w:t>
      </w:r>
    </w:p>
    <w:p>
      <w:pPr>
        <w:spacing w:after="0" w:line="14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2017, Texas Instruments Incorporated had approximately $4.1 billion of outstanding indebtedness. As of December 31, 2017, we had approximately $7.3 billion of total liabilities on a consolidated basis. Of this amount, subsidiaries of Texas Instruments Incorporated had approximately $1.0 billion of liabilities (including trade payables and excluding intercompany debt) to which the Notes will be effectively subordinated.</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an as adjusted basis after giving effect to this offering and the repayment at maturity of our 1.00% Notes due May 1, 2018, as of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16" w:lineRule="exact"/>
        <w:rPr>
          <w:sz w:val="20"/>
          <w:szCs w:val="20"/>
          <w:color w:val="auto"/>
        </w:rPr>
      </w:pPr>
    </w:p>
    <w:p>
      <w:pPr>
        <w:ind w:left="660" w:hanging="20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 would have had approximately $4.9 billion of total long-term indebtedness (including the Notes), all of which would constitute senior and unsubordinated indebtedness;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would have had approximately $8.1 billion of total liabilities on a consolidated basis;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Texas Instruments Incorporated would not have had any secured indebtedness to which the Notes would have been effectively subordinated; and</w:t>
      </w:r>
    </w:p>
    <w:p>
      <w:pPr>
        <w:spacing w:after="0" w:line="153" w:lineRule="exact"/>
        <w:rPr>
          <w:rFonts w:ascii="Arial" w:cs="Arial" w:eastAsia="Arial" w:hAnsi="Arial"/>
          <w:sz w:val="16"/>
          <w:szCs w:val="16"/>
          <w:color w:val="auto"/>
        </w:rPr>
      </w:pPr>
    </w:p>
    <w:p>
      <w:pPr>
        <w:ind w:left="660" w:right="500" w:hanging="206"/>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Texas Instruments Incorporated’s subsidiaries would have had approximately $1.0 billion of liabilities (including trade payables but excluding intercompany debt) to which the Notes would have been structurally subordinated.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Notes</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Texas Instruments Incorporated may, without the consent of the holders, increase the principal amount of Notes by issuing additional Notes in the future on the same terms and conditions, except for any differences 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issue price and interest accrued prior to the issue date of the additional Notes. The additional Notes will have the same CUSIP number as the Notes;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additional Notes that are not fungible with the Notes for U.S. federal income tax purposes will be issued under a separate CUSIP number.</w:t>
      </w:r>
      <w:r>
        <w:rPr>
          <w:rFonts w:ascii="Arial" w:cs="Arial" w:eastAsia="Arial" w:hAnsi="Arial"/>
          <w:sz w:val="18"/>
          <w:szCs w:val="18"/>
          <w:i w:val="1"/>
          <w:iCs w:val="1"/>
          <w:color w:val="auto"/>
        </w:rPr>
        <w:t xml:space="preserve"> </w:t>
      </w:r>
      <w:r>
        <w:rPr>
          <w:rFonts w:ascii="Arial" w:cs="Arial" w:eastAsia="Arial" w:hAnsi="Arial"/>
          <w:sz w:val="18"/>
          <w:szCs w:val="18"/>
          <w:color w:val="auto"/>
        </w:rPr>
        <w:t>Texas Instruments Incorporated also may, without the consent of the holders, issue other series of debt securities under the indenture in the future on terms and conditions different from the series of Notes offered hereby.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Prior to November 15, 2047 (the date that is six months prior to the maturity date of the Notes), the Notes will be redeemable, in whole or in part at any time, or from time to time, at Texas Instruments Incorporated’s option, at a “make-whole premium” redemption price calculated by Texas Instruments Incorporated equal to the greater of:</w:t>
      </w:r>
    </w:p>
    <w:p>
      <w:pPr>
        <w:spacing w:after="0" w:line="73" w:lineRule="exact"/>
        <w:rPr>
          <w:sz w:val="20"/>
          <w:szCs w:val="20"/>
          <w:color w:val="auto"/>
        </w:rPr>
      </w:pPr>
    </w:p>
    <w:p>
      <w:pPr>
        <w:ind w:left="1120" w:hanging="217"/>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and</w:t>
      </w:r>
    </w:p>
    <w:p>
      <w:pPr>
        <w:spacing w:after="0" w:line="117" w:lineRule="exact"/>
        <w:rPr>
          <w:rFonts w:ascii="Arial" w:cs="Arial" w:eastAsia="Arial" w:hAnsi="Arial"/>
          <w:sz w:val="18"/>
          <w:szCs w:val="18"/>
          <w:color w:val="auto"/>
        </w:rPr>
      </w:pPr>
    </w:p>
    <w:p>
      <w:pPr>
        <w:jc w:val="both"/>
        <w:ind w:left="460" w:firstLine="443"/>
        <w:spacing w:after="0" w:line="279" w:lineRule="auto"/>
        <w:tabs>
          <w:tab w:leader="none" w:pos="1163"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sum of the present values of the principal amount of such Notes and the scheduled payments of interest thereon (not including any portion of such payments of interest accrued as of the date of redemption) from the date of redemption to November 15, 2047 (the date that is six months prior to the maturity date of the Notes), in each case discounted to the date of redemption on a semi-annual basis (assuming a 360-day year consisting of twelve 30-day months) at the Treasury Rate (as defined below), plus 20 basis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plus, in each case, accrued interest thereon to the date of redemption.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At any time on or after November 15, 2047 (the date that is six months prior to the maturity date of the Notes), the Notes will be redeemable, in whole or in part at any time and from time to time, at Texas Instruments Incorporated’s option at a redemption price equal to 100% of the principal amount of the Notes to be redeemed plus accrued interest thereon to the date of redemption.</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the foregoing discussion of an Optional Redemption, the following definitions are applicable:</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“Comparable Treasury Price” means, with respect to any redemption date, (i) the average of three Reference Treasury Dealer Quotations for such redemption date, after excluding the highest and lowest such Reference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Treasury Dealer Quotations, or (ii) if the Quotation Agent obtains fewer than three such Reference Treasury Dealer Quotations, the average of all such quotations, or (iii) if only one Reference Treasury Dealer Quotation is received, such quotation.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“Quotation Agent” means the Reference Treasury Dealer appointed by Texas Instruments Incorporated.</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“Reference Treasury Dealer” means (i) Citigroup Global Markets Inc., Mizuho Securities USA LLC and Morgan Stanley &amp; Co. LLC (or their respective affiliates that are Primary Treasury Dealers) and their respective successors; provided, however, that if any of the foregoing shall cease to be a primary U.S. Government securities dealer in New York City (a “Primary Treasury Dealer”), Texas Instruments Incorporated will substitute therefor another Primary Treasury Dealer, and (ii) any other Primary Treasury Dealer selected by Texas Instruments Incorporated.</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5:00 p.m., New York City time, on the third business day preceding such redemption date.</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holder of the Notes to be redeemed. Unless Texas Instruments Incorporated defaults in payment of the redemption price, on and after the redemption date, interest will cease to accrue on the Notes or portions thereof called for redemption. If less than all of the Notes are to be redeemed, the Notes to be redeemed shall be selected by lot by The Depository Trust Company, in the case of Notes represented by a global note, or by the trustee by a method the trustee deems to be fair and appropriate, in the case of Notes that are not represented by a global note. No Notes of a principal amount of $2,000 or less will be redeemed in part. In addition, at any time we may repurchase Notes in the open market and may hold or surrender such Notes to the trustee for cancellation.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Sinking Fund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entitled to any sinking fund.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the Notes is defined under the indenture as being:</w:t>
      </w:r>
    </w:p>
    <w:p>
      <w:pPr>
        <w:spacing w:after="0" w:line="131" w:lineRule="exact"/>
        <w:rPr>
          <w:sz w:val="20"/>
          <w:szCs w:val="20"/>
          <w:color w:val="auto"/>
        </w:rPr>
      </w:pPr>
    </w:p>
    <w:p>
      <w:pPr>
        <w:ind w:left="660" w:right="160" w:hanging="206"/>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Texas Instruments Incorporated’s default in the payment of principal on the Notes when due and payable whether at maturity, upon redemption, by declaration or otherwise, but, in the case of technical or administrative difficulties, only if that default continues for a period of two days;</w:t>
      </w:r>
    </w:p>
    <w:p>
      <w:pPr>
        <w:spacing w:after="0" w:line="29" w:lineRule="exact"/>
        <w:rPr>
          <w:rFonts w:ascii="Arial" w:cs="Arial" w:eastAsia="Arial" w:hAnsi="Arial"/>
          <w:sz w:val="16"/>
          <w:szCs w:val="16"/>
          <w:color w:val="auto"/>
        </w:rPr>
      </w:pPr>
    </w:p>
    <w:p>
      <w:pPr>
        <w:ind w:left="660" w:right="200" w:hanging="206"/>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Texas Instruments Incorporated’s default in the payment of interest on the Notes when due and payable, if that default continues for a period of 30 days;</w:t>
      </w:r>
    </w:p>
    <w:p>
      <w:pPr>
        <w:spacing w:after="0" w:line="75" w:lineRule="exact"/>
        <w:rPr>
          <w:rFonts w:ascii="Arial" w:cs="Arial" w:eastAsia="Arial" w:hAnsi="Arial"/>
          <w:sz w:val="18"/>
          <w:szCs w:val="18"/>
          <w:color w:val="auto"/>
        </w:rPr>
      </w:pPr>
    </w:p>
    <w:p>
      <w:pPr>
        <w:jc w:val="both"/>
        <w:ind w:left="660" w:right="80" w:hanging="206"/>
        <w:spacing w:after="0" w:line="30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Texas Instruments Incorporated’s default in the performance of or breach of any of its other covenants or agreements in the indenture applicable to the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the Notes and any other series of debt securities affected thereby then outstanding;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relief in respect of Texas Instruments Incorporated in an involuntary case under any applicable bankruptcy, insolvency, or other similar law now or hereafter in effect,</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Texas Instruments Incorporated or for all or substantially all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winding up or liquidation of Texas Instruments Incorporated’s affairs,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Texas Instruments Incorporated: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consents to the entry of an order for relief in an involuntary case under any such law,</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default by Texas Instruments Incorporated under any other debt, including any other series of debt securities under the indenture, is not a default with respect to the Notes.</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If an event of default other than an event of default specified in the last two bullet points above occurs with respect to the Notes and is continuing under the indenture, then, and in each and every such case, either the trustee or the holders of not less than 25% in aggregate principal amount of the Notes then outstanding under the indenture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5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a declaration of acceleration, the principal amount of and accrued interest, if any, on such debt securities shall be immediately due and payable.</w:t>
      </w:r>
    </w:p>
    <w:p>
      <w:pPr>
        <w:spacing w:after="0" w:line="24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holders of at least a majority in aggregate principal amount of the Notes may direct the time, method, and place of conducting any proceeding for any remedy available to the trustee or exercising any trust or power conferred on the trustee with respect to the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the Notes unless:</w:t>
      </w:r>
    </w:p>
    <w:p>
      <w:pPr>
        <w:spacing w:after="0" w:line="99"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660" w:right="16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the Notes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Notes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 Global Note</w:t>
      </w:r>
    </w:p>
    <w:p>
      <w:pPr>
        <w:spacing w:after="0" w:line="12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Notes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93"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Upon the issuance of a registered global note, the depositary will credit, on its book-entry registration and transfer system, the participants’ accounts with the respective principal or face amounts of the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So long as the depositary, or its nominee, is the registered owner of a registered global note, that depositary or its nominee, as the case may be, will be considered the sole owner or holder of the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5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Texas Instruments Incorporated will make payments due on the Notes to Cede &amp; Co., as nominee of DTC, in immediately available funds. DTC’s practice upon receipt of any payment of principal, premium, interest or 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6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8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7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7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 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shall no longer be represented by a global note and will issue Notes in definitive form in exchange for such global note pursuant to the procedure described above.</w:t>
      </w:r>
    </w:p>
    <w:p>
      <w:pPr>
        <w:spacing w:after="0" w:line="166" w:lineRule="exact"/>
        <w:rPr>
          <w:sz w:val="20"/>
          <w:szCs w:val="20"/>
          <w:color w:val="auto"/>
        </w:rPr>
      </w:pPr>
    </w:p>
    <w:p>
      <w:pPr>
        <w:ind w:right="200" w:firstLine="456"/>
        <w:spacing w:after="0" w:line="273" w:lineRule="auto"/>
        <w:rPr>
          <w:sz w:val="20"/>
          <w:szCs w:val="20"/>
          <w:color w:val="auto"/>
        </w:rPr>
      </w:pPr>
      <w:r>
        <w:rPr>
          <w:rFonts w:ascii="Arial" w:cs="Arial" w:eastAsia="Arial" w:hAnsi="Arial"/>
          <w:sz w:val="17"/>
          <w:szCs w:val="17"/>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 DTC’s participants include securities brokers and dealers, banks, trust companies, clearing corporations and certain other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Notices to holders of the Notes will be made by first class mail, postage prepaid, to the addresses that appear on the security register for the Notes.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maintain ordinary banking relationships with the trustee and its affiliates and in the future may enter into additional such relationships. The trustee is a lender under our credit facility and an affiliate of the trustee is an underwriter of this offering.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i w:val="1"/>
          <w:iCs w:val="1"/>
          <w:color w:val="auto"/>
        </w:rPr>
        <w:t>The following are the material U.S. federal income tax consequences of owning and disposing of Notes purchased in this offering at the “issue price,” which we assume will be the applicable public offering price indicated on the cover of this prospectus supplement, and held as capital assets for U.S. federal income tax purposes.</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you in light of your particular circumstances, including alternative minimum tax consequences and differing tax consequences applicable to you if you are, for instance:</w:t>
      </w:r>
    </w:p>
    <w:p>
      <w:pPr>
        <w:spacing w:after="0" w:line="76"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financial institution;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insurance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regulated investment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dealer or trader in securities;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holding Notes as part of a “straddle” or integrated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U.S. Holder (as defined below) whose functional currency is not the U.S. dollar;</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partnership for U.S. federal income tax purposes;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you are a partnership for U.S. federal income tax purposes, the U.S. federal income tax treatment of each of your partners will generally depend on the status of the partner and your activities.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summary is based on the Code, administrative pronouncements, judicial decisions and final, temporary and proposed Treasury Regulations, changes to any of which subsequent to the date of this prospectus supplement may affect the tax consequences described herein. This summary does not discuss any aspect of state, local, or non-U.S. taxation, any federal taxes other than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of a Note and are:</w:t>
      </w:r>
    </w:p>
    <w:p>
      <w:pPr>
        <w:spacing w:after="0" w:line="76"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660" w:right="100" w:hanging="20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Stated interest on a Note will be taxable to you as ordinary interest income at the time it accrues or is received, in accordance with your method of accounting for U.S. federal income tax purposes. It is expected,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assumes, that the Notes will be issued without original issue discount for U.S. federal income tax purposes.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the Note has been held for more than one year. Long-term capital gains recognized by non-corporate U.S. Holders are subject to reduced tax rates. The deductibility of capital losses is subject to limitations.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section applies to you if are a Non-U.S. Holder. You are a Non-U.S. Holder if for U.S. federal income tax purposes you are a beneficial owner of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and are:</w:t>
      </w:r>
    </w:p>
    <w:p>
      <w:pPr>
        <w:spacing w:after="0" w:line="11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the Notes</w:t>
      </w:r>
    </w:p>
    <w:p>
      <w:pPr>
        <w:spacing w:after="0" w:line="117"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Subject to the discussion below under “—Backup Withholding and Information Reporting” and “FATCA Legislation,” payments of principal and interest on the Notes to you will not be subject to U.S. federal income or withholding tax, provided that, in the case of interest,</w:t>
      </w:r>
    </w:p>
    <w:p>
      <w:pPr>
        <w:spacing w:after="0" w:line="52"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you do not own, actually or constructively, ten percent or more of the total combined voting power of all classes of our stock entitled to vote;</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are not a controlled foreign corporation related, directly or indirectly, to us through stock ownership;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not effectively connected with your conduct of a trade or business in the United States as described below.</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Taxable Disposition of the Notes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under “—Backup Withholding and Information Reporting” and “FATCA Legislation,”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Effectively Connected Income</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The amount of any backup withholding from a payment to you will be allowed as a credit against your U.S. federal income tax liability and may entitle you to a refund, provided that the required information is timely furnished to the IRS.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Legislation</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Provisions commonly referred to as “FATCA” impose withholding of 30% on payments of interest on the Notes and (for dispositions after December 31, 2018) of proceeds of sales or redemptions of the Notes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Citigroup Global Markets Inc., Mizuho Securities USA LLC and Morgan Stanley &amp; Co. LLC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20" w:type="dxa"/>
            <w:vAlign w:val="bottom"/>
          </w:tcPr>
          <w:p>
            <w:pPr>
              <w:spacing w:after="0"/>
              <w:rPr>
                <w:sz w:val="14"/>
                <w:szCs w:val="14"/>
                <w:color w:val="auto"/>
              </w:rPr>
            </w:pPr>
          </w:p>
        </w:tc>
        <w:tc>
          <w:tcPr>
            <w:tcW w:w="13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Principal Amount of</w:t>
            </w:r>
          </w:p>
        </w:tc>
        <w:tc>
          <w:tcPr>
            <w:tcW w:w="0" w:type="dxa"/>
            <w:vAlign w:val="bottom"/>
          </w:tcPr>
          <w:p>
            <w:pPr>
              <w:spacing w:after="0"/>
              <w:rPr>
                <w:sz w:val="1"/>
                <w:szCs w:val="1"/>
                <w:color w:val="auto"/>
              </w:rPr>
            </w:pPr>
          </w:p>
        </w:tc>
      </w:tr>
      <w:tr>
        <w:trPr>
          <w:trHeight w:val="191"/>
        </w:trPr>
        <w:tc>
          <w:tcPr>
            <w:tcW w:w="10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7"/>
              </w:rPr>
              <w:t>Notes</w:t>
            </w:r>
          </w:p>
        </w:tc>
        <w:tc>
          <w:tcPr>
            <w:tcW w:w="0" w:type="dxa"/>
            <w:vAlign w:val="bottom"/>
          </w:tcPr>
          <w:p>
            <w:pPr>
              <w:spacing w:after="0"/>
              <w:rPr>
                <w:sz w:val="1"/>
                <w:szCs w:val="1"/>
                <w:color w:val="auto"/>
              </w:rPr>
            </w:pPr>
          </w:p>
        </w:tc>
      </w:tr>
      <w:tr>
        <w:trPr>
          <w:trHeight w:val="190"/>
        </w:trPr>
        <w:tc>
          <w:tcPr>
            <w:tcW w:w="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Citigroup</w:t>
            </w:r>
          </w:p>
        </w:tc>
        <w:tc>
          <w:tcPr>
            <w:tcW w:w="92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Global Markets Inc.</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247,000,000</w:t>
            </w: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247,000,000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247,000,000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4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91,000,000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91,000,000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004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9260" w:type="dxa"/>
            <w:vAlign w:val="bottom"/>
          </w:tcPr>
          <w:p>
            <w:pPr>
              <w:ind w:left="180"/>
              <w:spacing w:after="0"/>
              <w:rPr>
                <w:sz w:val="20"/>
                <w:szCs w:val="20"/>
                <w:color w:val="auto"/>
              </w:rPr>
            </w:pPr>
            <w:r>
              <w:rPr>
                <w:rFonts w:ascii="Arial" w:cs="Arial" w:eastAsia="Arial" w:hAnsi="Arial"/>
                <w:sz w:val="18"/>
                <w:szCs w:val="18"/>
                <w:color w:val="auto"/>
              </w:rPr>
              <w:t>Incorporated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91,000,000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91,000,000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Williams Capital Group, L.P.</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BNP Paribas Securities Corp.</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32,500,000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HSBC Securities (USA)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0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0.450% per Note. Any such securities dealers may resell any Notes purchased from the underwriters to certain other brokers or dealers at a discount from the initial public offering price not to exceed 0.300% per Note. If all the Notes are not sold at the initial offering price, the underwriters may change the offering price and the other selling terms.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shows the underwriting discounts that we are to pay to the underwriters in connection with this offering (expressed as a percentage of the principal amount of the Notes).</w:t>
      </w:r>
    </w:p>
    <w:p>
      <w:pPr>
        <w:spacing w:after="0" w:line="189" w:lineRule="exact"/>
        <w:rPr>
          <w:sz w:val="20"/>
          <w:szCs w:val="20"/>
          <w:color w:val="auto"/>
        </w:rPr>
      </w:pPr>
    </w:p>
    <w:p>
      <w:pPr>
        <w:ind w:left="10360"/>
        <w:spacing w:after="0"/>
        <w:rPr>
          <w:sz w:val="20"/>
          <w:szCs w:val="20"/>
          <w:color w:val="auto"/>
        </w:rPr>
      </w:pPr>
      <w:r>
        <w:rPr>
          <w:rFonts w:ascii="Arial" w:cs="Arial" w:eastAsia="Arial" w:hAnsi="Arial"/>
          <w:sz w:val="14"/>
          <w:szCs w:val="14"/>
          <w:b w:val="1"/>
          <w:bCs w:val="1"/>
          <w:color w:val="auto"/>
        </w:rPr>
        <w:t>Paid by Texas</w:t>
      </w:r>
    </w:p>
    <w:p>
      <w:pPr>
        <w:ind w:left="10420"/>
        <w:spacing w:after="0" w:line="226" w:lineRule="auto"/>
        <w:rPr>
          <w:sz w:val="20"/>
          <w:szCs w:val="20"/>
          <w:color w:val="auto"/>
        </w:rPr>
      </w:pPr>
      <w:r>
        <w:rPr>
          <w:rFonts w:ascii="Arial" w:cs="Arial" w:eastAsia="Arial" w:hAnsi="Arial"/>
          <w:sz w:val="14"/>
          <w:szCs w:val="14"/>
          <w:b w:val="1"/>
          <w:bCs w:val="1"/>
          <w:color w:val="auto"/>
        </w:rPr>
        <w:t>Instruments</w:t>
      </w:r>
    </w:p>
    <w:p>
      <w:pPr>
        <w:ind w:left="10380"/>
        <w:spacing w:after="0" w:line="232" w:lineRule="auto"/>
        <w:rPr>
          <w:sz w:val="20"/>
          <w:szCs w:val="20"/>
          <w:color w:val="auto"/>
        </w:rPr>
      </w:pPr>
      <w:r>
        <w:rPr>
          <w:rFonts w:ascii="Arial" w:cs="Arial" w:eastAsia="Arial" w:hAnsi="Arial"/>
          <w:sz w:val="14"/>
          <w:szCs w:val="14"/>
          <w:b w:val="1"/>
          <w:bCs w:val="1"/>
          <w:color w:val="auto"/>
        </w:rPr>
        <w:t>Incorporated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 Note</w:t>
            </w: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360" w:type="dxa"/>
            <w:vAlign w:val="bottom"/>
            <w:vMerge w:val="continue"/>
            <w:shd w:val="clear" w:color="auto" w:fill="CCEEFF"/>
          </w:tcPr>
          <w:p>
            <w:pPr>
              <w:spacing w:after="0"/>
              <w:rPr>
                <w:sz w:val="16"/>
                <w:szCs w:val="16"/>
                <w:color w:val="auto"/>
              </w:rPr>
            </w:pPr>
          </w:p>
        </w:tc>
        <w:tc>
          <w:tcPr>
            <w:tcW w:w="10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0.750%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for this offering will be approximately $12 million, including underwriting discounts.</w:t>
      </w:r>
    </w:p>
    <w:p>
      <w:pPr>
        <w:spacing w:after="0" w:line="225"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connection with the offering, the underwriters may purchase and sell the Notes in the open market. Purchases and sales in the open market may include short sales, purchases to cover short positions and stabilizing purchases.</w:t>
      </w:r>
    </w:p>
    <w:p>
      <w:pPr>
        <w:spacing w:after="0" w:line="76"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the Notes than they are required to purchase in this offering.</w:t>
      </w:r>
    </w:p>
    <w:p>
      <w:pPr>
        <w:spacing w:after="0" w:line="153" w:lineRule="exact"/>
        <w:rPr>
          <w:rFonts w:ascii="Arial" w:cs="Arial" w:eastAsia="Arial" w:hAnsi="Arial"/>
          <w:sz w:val="16"/>
          <w:szCs w:val="16"/>
          <w:color w:val="auto"/>
        </w:rPr>
      </w:pPr>
    </w:p>
    <w:p>
      <w:pPr>
        <w:jc w:val="center"/>
        <w:ind w:left="5540" w:right="160" w:hanging="5086"/>
        <w:spacing w:after="0" w:line="449" w:lineRule="auto"/>
        <w:tabs>
          <w:tab w:leader="none" w:pos="666"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Covering transactions involve purchases of the Notes in the open market after the distribution has been completed in order to cover short positions. S-24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Stabilizing transactions involve bids to purchase the Notes so long as the stabilizing bids do not exceed a specified maximum.</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70" w:lineRule="exact"/>
        <w:rPr>
          <w:sz w:val="20"/>
          <w:szCs w:val="20"/>
          <w:color w:val="auto"/>
        </w:rPr>
      </w:pPr>
    </w:p>
    <w:p>
      <w:pPr>
        <w:ind w:right="600" w:firstLine="456"/>
        <w:spacing w:after="0" w:line="264" w:lineRule="auto"/>
        <w:rPr>
          <w:sz w:val="20"/>
          <w:szCs w:val="20"/>
          <w:color w:val="auto"/>
        </w:rPr>
      </w:pPr>
      <w:r>
        <w:rPr>
          <w:rFonts w:ascii="Arial" w:cs="Arial" w:eastAsia="Arial" w:hAnsi="Arial"/>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1"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We expect to deliver the Notes against payment for the Notes on or about the date specified in the last paragraph of the cover page of this prospectus supplement, which will be the fifth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T+5, to specify alternative settlement arrangements to prevent a failed settlement.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 In addition, an affiliate of one of the underwriters is the trustee for the Notes and our other debt securities outstanding under the indenture.</w:t>
      </w:r>
    </w:p>
    <w:p>
      <w:pPr>
        <w:spacing w:after="0" w:line="17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For these purposes,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has been prepared on the basis that any offer of Notes in any Member State of the EEA will be made pursuant to an exemption under the Prospectus Directive from the requirement to publish a prospectus for offers of Notes. This prospectus is not a prospectus for the purposes of the Prospectus Directive.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who are (i) persons having professional experience in matters relating to investments falling within Article 19(5) of the Financial Services and Markets Act 2000 (Financial Promotion) Order 2005, as amended (the “Order”), or (ii) high net worth entities, companies or persons to whom it may otherwise be lawfully communicated, falling within Article 49(2)(a) to (d) of the Order, or (iii) persons to whom it would otherwise be lawful to distribute it, all such persons collectively being referred to as “relevant persons”. This document must not be acted on or relied on in the United Kingdom by persons who are not relevant persons. In the United Kingdom, any investment or investment activity to which this document relates is only available to, and any invitation, offer or agreement to subscribe, purchase or otherwise acquire such Notes will be engaged in only with, relevant persons. Any person in the United Kingdom that is not a relevant person should not act or rely on this document or its contents.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291"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Canadian investors are advised that this document has been prepared in reliance on section 3A.3 of National Instrument 33-105 </w:t>
      </w:r>
      <w:r>
        <w:rPr>
          <w:rFonts w:ascii="Arial" w:cs="Arial" w:eastAsia="Arial" w:hAnsi="Arial"/>
          <w:sz w:val="18"/>
          <w:szCs w:val="18"/>
          <w:b w:val="1"/>
          <w:bCs w:val="1"/>
          <w:i w:val="1"/>
          <w:iCs w:val="1"/>
          <w:color w:val="auto"/>
        </w:rPr>
        <w:t>Underwriting</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 xml:space="preserve">Conflicts </w:t>
      </w:r>
      <w:r>
        <w:rPr>
          <w:rFonts w:ascii="Arial" w:cs="Arial" w:eastAsia="Arial" w:hAnsi="Arial"/>
          <w:sz w:val="18"/>
          <w:szCs w:val="18"/>
          <w:b w:val="1"/>
          <w:bCs w:val="1"/>
          <w:color w:val="auto"/>
        </w:rPr>
        <w:t>(“NI 33-105”). Pursuant to section 3A.3 of NI 33-105, this document is exempt from the requirement to provide investors with certain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conflicts of interest disclosure pertaining to “connected issuer” and/or “related issuer” relationships as would otherwise be required pursuant to subsection 2.1(1) of NI 33-105.</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offer and sale of the Notes in Canada is being made on a private placement basis only and is exempt from the requirement to prepare and file a prospectus under applicable Canadian securities laws. Any resale of 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(“NI 45-106”) or, in Ontario, as such term is defined in section 73.3(1) of the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 </w:t>
      </w:r>
      <w:r>
        <w:rPr>
          <w:rFonts w:ascii="Arial" w:cs="Arial" w:eastAsia="Arial" w:hAnsi="Arial"/>
          <w:sz w:val="18"/>
          <w:szCs w:val="18"/>
          <w:color w:val="auto"/>
        </w:rPr>
        <w:t>(Ontario); and (iii) is a “permitted client” as such term is defined in section 1.1 of National Instrument 31-103</w:t>
      </w:r>
      <w:r>
        <w:rPr>
          <w:rFonts w:ascii="Arial" w:cs="Arial" w:eastAsia="Arial" w:hAnsi="Arial"/>
          <w:sz w:val="18"/>
          <w:szCs w:val="18"/>
          <w:i w:val="1"/>
          <w:iCs w:val="1"/>
          <w:color w:val="auto"/>
        </w:rPr>
        <w:t xml:space="preserve"> Registration Requirements, Exemptions and Ongoing Registrant Obligations</w:t>
      </w:r>
      <w:r>
        <w:rPr>
          <w:rFonts w:ascii="Arial" w:cs="Arial" w:eastAsia="Arial" w:hAnsi="Arial"/>
          <w:sz w:val="18"/>
          <w:szCs w:val="18"/>
          <w:color w:val="auto"/>
        </w:rPr>
        <w: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Rights of Action for Damages or Rescission</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Arial" w:cs="Arial" w:eastAsia="Arial" w:hAnsi="Arial"/>
          <w:sz w:val="16"/>
          <w:szCs w:val="16"/>
          <w:i w:val="1"/>
          <w:iCs w:val="1"/>
          <w:color w:val="auto"/>
        </w:rPr>
        <w:t>Ontario Prospectus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Registration Exemptions </w:t>
      </w:r>
      <w:r>
        <w:rPr>
          <w:rFonts w:ascii="Arial" w:cs="Arial" w:eastAsia="Arial" w:hAnsi="Arial"/>
          <w:sz w:val="16"/>
          <w:szCs w:val="16"/>
          <w:color w:val="auto"/>
        </w:rPr>
        <w:t>and in Multilateral Instrument 45-107</w:t>
      </w:r>
      <w:r>
        <w:rPr>
          <w:rFonts w:ascii="Arial" w:cs="Arial" w:eastAsia="Arial" w:hAnsi="Arial"/>
          <w:sz w:val="16"/>
          <w:szCs w:val="16"/>
          <w:i w:val="1"/>
          <w:iCs w:val="1"/>
          <w:color w:val="auto"/>
        </w:rPr>
        <w:t xml:space="preserve"> Listing Representation and Statutory Rights of Action Disclosure Exemptions</w:t>
      </w:r>
      <w:r>
        <w:rPr>
          <w:rFonts w:ascii="Arial" w:cs="Arial" w:eastAsia="Arial" w:hAnsi="Arial"/>
          <w:sz w:val="16"/>
          <w:szCs w:val="16"/>
          <w:color w:val="auto"/>
        </w:rPr>
        <w:t>,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Language of Documents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 canadien confirme par les présentes qu’il a expressément exigé que tous les documents faisant foi</w:t>
      </w:r>
      <w:r>
        <w:rPr>
          <w:rFonts w:ascii="Arial" w:cs="Arial" w:eastAsia="Arial" w:hAnsi="Arial"/>
          <w:sz w:val="18"/>
          <w:szCs w:val="18"/>
          <w:color w:val="auto"/>
        </w:rPr>
        <w:t xml:space="preserve"> </w:t>
      </w:r>
      <w:r>
        <w:rPr>
          <w:rFonts w:ascii="Arial" w:cs="Arial" w:eastAsia="Arial" w:hAnsi="Arial"/>
          <w:sz w:val="18"/>
          <w:szCs w:val="18"/>
          <w:i w:val="1"/>
          <w:iCs w:val="1"/>
          <w:color w:val="auto"/>
        </w:rPr>
        <w:t>ou se rapportant de quelque manière que ce soit à la vente des valeurs mobilières décrites aux présentes (incluant, pour plus de certitude, toute confirmation d’achat ou tout avis) soient rédigés en anglais seulement.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Neither this prospectus supplement nor any other offering material relating to the Notes described in this prospectus supplement has been submitted to the clearance procedures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or of the competent authority of another member state of the European Economic Area and notified to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The Notes have not been offered or sold and will not be offered or sold, directly or indirectly, to the public in France. Neither this prospectus supplement nor any other offering material relating to the Notes has been or will be:</w:t>
      </w:r>
    </w:p>
    <w:p>
      <w:pPr>
        <w:spacing w:after="0" w:line="77"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Notes to the public in France.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660" w:right="340" w:hanging="206"/>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660" w:right="40" w:hanging="206"/>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in a transaction that, in accordance with article L.411-2-II-1° -or-2° -or 3°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and article 211-2 of the General Regulations (</w:t>
      </w:r>
      <w:r>
        <w:rPr>
          <w:rFonts w:ascii="Arial" w:cs="Arial" w:eastAsia="Arial" w:hAnsi="Arial"/>
          <w:sz w:val="17"/>
          <w:szCs w:val="17"/>
          <w:i w:val="1"/>
          <w:iCs w:val="1"/>
          <w:color w:val="auto"/>
        </w:rPr>
        <w:t>Règlement Général</w:t>
      </w:r>
      <w:r>
        <w:rPr>
          <w:rFonts w:ascii="Arial" w:cs="Arial" w:eastAsia="Arial" w:hAnsi="Arial"/>
          <w:sz w:val="17"/>
          <w:szCs w:val="17"/>
          <w:color w:val="auto"/>
        </w:rPr>
        <w:t xml:space="preserve">)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does not constitute a public offer (</w:t>
      </w:r>
      <w:r>
        <w:rPr>
          <w:rFonts w:ascii="Arial" w:cs="Arial" w:eastAsia="Arial" w:hAnsi="Arial"/>
          <w:sz w:val="17"/>
          <w:szCs w:val="17"/>
          <w:i w:val="1"/>
          <w:iCs w:val="1"/>
          <w:color w:val="auto"/>
        </w:rPr>
        <w:t>appel public à l’épargne</w:t>
      </w:r>
      <w:r>
        <w:rPr>
          <w:rFonts w:ascii="Arial" w:cs="Arial" w:eastAsia="Arial" w:hAnsi="Arial"/>
          <w:sz w:val="17"/>
          <w:szCs w:val="17"/>
          <w:color w:val="auto"/>
        </w:rPr>
        <w:t>).</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The Notes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660" w:right="240" w:hanging="206"/>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24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9" w:lineRule="exact"/>
        <w:rPr>
          <w:sz w:val="20"/>
          <w:szCs w:val="20"/>
          <w:color w:val="auto"/>
        </w:rPr>
      </w:pPr>
    </w:p>
    <w:p>
      <w:pPr>
        <w:ind w:left="660" w:right="220" w:hanging="206"/>
        <w:spacing w:after="0" w:line="25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9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7" w:lineRule="exact"/>
        <w:rPr>
          <w:sz w:val="20"/>
          <w:szCs w:val="20"/>
          <w:color w:val="auto"/>
        </w:rPr>
      </w:pPr>
    </w:p>
    <w:p>
      <w:pPr>
        <w:ind w:right="580" w:firstLine="456"/>
        <w:spacing w:after="0" w:line="308" w:lineRule="auto"/>
        <w:rPr>
          <w:sz w:val="20"/>
          <w:szCs w:val="20"/>
          <w:color w:val="auto"/>
        </w:rPr>
      </w:pPr>
      <w:r>
        <w:rPr>
          <w:rFonts w:ascii="Arial" w:cs="Arial" w:eastAsia="Arial" w:hAnsi="Arial"/>
          <w:sz w:val="17"/>
          <w:szCs w:val="17"/>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Plan Investors</w:t>
      </w:r>
    </w:p>
    <w:p>
      <w:pPr>
        <w:spacing w:after="0" w:line="1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Each purchaser of the Notes that is (1) an employee benefit plan subject to Title I of the Employee Retirement Income Security Act of 1974, as amended (“ERISA”), (2) a plan or account, including an individual retirement account (an “IRA”), subject to Section 4975 of the Internal Revenue Code of 1986, as amended (the “Code”), or (3) an entity deemed to hold “plan assets” of any such employee benefit plan, plan or account, by acceptance of a Note, will be deemed to have represented and warranted that a fiduciary acting on its behalf is causing it to purchase the Notes and that such fiduciary:</w:t>
      </w:r>
    </w:p>
    <w:p>
      <w:pPr>
        <w:spacing w:after="0" w:line="60" w:lineRule="exact"/>
        <w:rPr>
          <w:sz w:val="20"/>
          <w:szCs w:val="20"/>
          <w:color w:val="auto"/>
        </w:rPr>
      </w:pPr>
    </w:p>
    <w:p>
      <w:pPr>
        <w:ind w:left="900" w:right="60" w:hanging="446"/>
        <w:spacing w:after="0" w:line="291"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Is a bank, an insurance carrier, a registered investment adviser, a registered broker-dealer or an independent fiduciary (other than a beneficiary of an IRA or a relative of such a beneficiary) with at least $50 million of assets under management or control as specified in 29 CFR</w:t>
      </w:r>
    </w:p>
    <w:p>
      <w:pPr>
        <w:ind w:left="900"/>
        <w:spacing w:after="0"/>
        <w:rPr>
          <w:rFonts w:ascii="Arial" w:cs="Arial" w:eastAsia="Arial" w:hAnsi="Arial"/>
          <w:sz w:val="16"/>
          <w:szCs w:val="16"/>
          <w:color w:val="auto"/>
        </w:rPr>
      </w:pPr>
      <w:r>
        <w:rPr>
          <w:rFonts w:ascii="Arial" w:cs="Arial" w:eastAsia="Arial" w:hAnsi="Arial"/>
          <w:sz w:val="18"/>
          <w:szCs w:val="18"/>
          <w:color w:val="auto"/>
        </w:rPr>
        <w:t>Section 2510.3-21(c)(1)(i);</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independent (for purposes of 29 CFR Section 2510.3-21(c)(1)) of the issuer, each underwriter and their respective affiliates (the “Transaction Parties”);</w:t>
      </w:r>
    </w:p>
    <w:p>
      <w:pPr>
        <w:spacing w:after="0" w:line="75"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capable of evaluating investment risks independently, both in general and with regard to particular transactions and investment strategies, including the purchaser’s transactions with the Transaction Parties hereunder;</w:t>
      </w:r>
    </w:p>
    <w:p>
      <w:pPr>
        <w:spacing w:after="0" w:line="75" w:lineRule="exact"/>
        <w:rPr>
          <w:rFonts w:ascii="Arial" w:cs="Arial" w:eastAsia="Arial" w:hAnsi="Arial"/>
          <w:sz w:val="18"/>
          <w:szCs w:val="18"/>
          <w:color w:val="auto"/>
        </w:rPr>
      </w:pPr>
    </w:p>
    <w:p>
      <w:pPr>
        <w:ind w:left="900" w:right="28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Has been advised that none of the Transaction Parties has undertaken or will undertake to provide impartial investment advice, or has given or will give advice in a fiduciary capacity, in connection with the purchaser’s transactions with the Transaction Parties contemplated hereby;</w:t>
      </w:r>
    </w:p>
    <w:p>
      <w:pPr>
        <w:spacing w:after="0" w:line="29" w:lineRule="exact"/>
        <w:rPr>
          <w:rFonts w:ascii="Arial" w:cs="Arial" w:eastAsia="Arial" w:hAnsi="Arial"/>
          <w:sz w:val="16"/>
          <w:szCs w:val="16"/>
          <w:color w:val="auto"/>
        </w:rPr>
      </w:pPr>
    </w:p>
    <w:p>
      <w:pPr>
        <w:ind w:left="900" w:right="80" w:hanging="446"/>
        <w:spacing w:after="0" w:line="34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Is a “fiduciary” under Section 3(21)(a) of ERISA or Section 4975(e)(3) of the Code, or both, as applicable, with respect to, and is responsible for exercising independent judgment in evaluating, the purchaser’s transactions with the Transaction Parties contemplated hereby; and</w:t>
      </w:r>
    </w:p>
    <w:p>
      <w:pPr>
        <w:spacing w:after="0" w:line="29" w:lineRule="exact"/>
        <w:rPr>
          <w:rFonts w:ascii="Arial" w:cs="Arial" w:eastAsia="Arial" w:hAnsi="Arial"/>
          <w:sz w:val="16"/>
          <w:szCs w:val="16"/>
          <w:color w:val="auto"/>
        </w:rPr>
      </w:pPr>
    </w:p>
    <w:p>
      <w:pPr>
        <w:ind w:left="900" w:hanging="446"/>
        <w:spacing w:after="0" w:line="273"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Understands and acknowledges the existence and nature of the underwriting discounts, commissions and fees, and any other related fees, compensation arrangements or financial interests described in this prospectus supplement; and understands, acknowledges and agrees that no such fee or other compensation is a fee or other compensation for the provision of investment advice, and that none of the Transaction Parties, nor any of their respective directors, officers, members, partners, employees, principals or agents has received or will receive a fee or other compensation from the purchaser or such fiduciary for the provision of investment advice (rather than other services) in connection with the purchaser’s transactions with the Transaction Parties contemplated hereby.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SECURITIES</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2017, and the effectiveness of our internal control over financial reporting as of December 31, 2017, as set forth in their reports, which are incorporated by reference herein. Our financial statements are incorporated by reference in reliance on Ernst &amp; Young LLP’s reports, given on their authority as experts in accounting and auditing.</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Annual Report on Form 10-K for the year ended December 31, 2017, filed on February 22, 2018, the sections of the Definitive Proxy Statement on Schedule 14A for the 2018 annual meeting of stockholders, filed on March 13, 2018 and incorporated by reference in the Annual Report on Form 10-K for the year ended December 31, 2017, the Current Reports on Form 8-K filed on January 22, 2018 and April 13, 2018 and all documents subsequently filed with the 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79"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172085</wp:posOffset>
            </wp:positionV>
            <wp:extent cx="2864485" cy="660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262255</wp:posOffset>
            </wp:positionV>
            <wp:extent cx="15176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following are types of securities that may be offered and sold by Texas Instruments Incorporated or by selling security holders under this prospectus from time to time:</w:t>
      </w:r>
    </w:p>
    <w:p>
      <w:pPr>
        <w:sectPr>
          <w:pgSz w:w="11900" w:h="16838" w:orient="portrait"/>
          <w:cols w:equalWidth="0" w:num="1">
            <w:col w:w="11420"/>
          </w:cols>
          <w:pgMar w:left="240" w:top="459" w:right="23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Warrants</w:t>
      </w:r>
    </w:p>
    <w:p>
      <w:pPr>
        <w:spacing w:after="0" w:line="139" w:lineRule="exact"/>
        <w:rPr>
          <w:sz w:val="20"/>
          <w:szCs w:val="20"/>
          <w:color w:val="auto"/>
        </w:rPr>
      </w:pPr>
    </w:p>
    <w:p>
      <w:pPr>
        <w:sectPr>
          <w:pgSz w:w="11900" w:h="16838" w:orient="portrait"/>
          <w:cols w:equalWidth="0" w:num="4">
            <w:col w:w="80" w:space="280"/>
            <w:col w:w="4740" w:space="720"/>
            <w:col w:w="80" w:space="260"/>
            <w:col w:w="5260"/>
          </w:cols>
          <w:pgMar w:left="240" w:top="459" w:right="239" w:bottom="1440" w:gutter="0" w:footer="0" w:header="0"/>
          <w:type w:val="continuous"/>
        </w:sect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Preferred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Units</w:t>
      </w:r>
    </w:p>
    <w:p>
      <w:pPr>
        <w:spacing w:after="0" w:line="139" w:lineRule="exact"/>
        <w:rPr>
          <w:sz w:val="20"/>
          <w:szCs w:val="20"/>
          <w:color w:val="auto"/>
        </w:rPr>
      </w:pPr>
    </w:p>
    <w:p>
      <w:pPr>
        <w:sectPr>
          <w:pgSz w:w="11900" w:h="16838" w:orient="portrait"/>
          <w:cols w:equalWidth="0" w:num="4">
            <w:col w:w="80" w:space="280"/>
            <w:col w:w="4740" w:space="720"/>
            <w:col w:w="80" w:space="280"/>
            <w:col w:w="5240"/>
          </w:cols>
          <w:pgMar w:left="240" w:top="459" w:right="239" w:bottom="1440" w:gutter="0" w:footer="0" w:header="0"/>
          <w:type w:val="continuous"/>
        </w:sect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Maturity</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Redemption terms</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Liquidation amount</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Interest rate</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Listing on a security exchange</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w w:val="87"/>
              </w:rPr>
              <w:t>Subsidiary guarantees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Currency of payments</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20"/>
              <w:spacing w:after="0"/>
              <w:rPr>
                <w:sz w:val="20"/>
                <w:szCs w:val="20"/>
                <w:color w:val="auto"/>
              </w:rPr>
            </w:pPr>
            <w:r>
              <w:rPr>
                <w:rFonts w:ascii="Arial" w:cs="Arial" w:eastAsia="Arial" w:hAnsi="Arial"/>
                <w:sz w:val="18"/>
                <w:szCs w:val="18"/>
                <w:color w:val="auto"/>
              </w:rPr>
              <w:t>Amount payable at maturity</w:t>
            </w:r>
          </w:p>
        </w:tc>
        <w:tc>
          <w:tcPr>
            <w:tcW w:w="1140" w:type="dxa"/>
            <w:vAlign w:val="bottom"/>
          </w:tcPr>
          <w:p>
            <w:pPr>
              <w:ind w:left="920"/>
              <w:spacing w:after="0"/>
              <w:rPr>
                <w:sz w:val="20"/>
                <w:szCs w:val="20"/>
                <w:color w:val="auto"/>
              </w:rPr>
            </w:pPr>
            <w:r>
              <w:rPr>
                <w:rFonts w:ascii="Arial" w:cs="Arial" w:eastAsia="Arial" w:hAnsi="Arial"/>
                <w:sz w:val="18"/>
                <w:szCs w:val="18"/>
                <w:color w:val="auto"/>
              </w:rPr>
              <w:t>•</w:t>
            </w:r>
          </w:p>
        </w:tc>
        <w:tc>
          <w:tcPr>
            <w:tcW w:w="1720" w:type="dxa"/>
            <w:vAlign w:val="bottom"/>
          </w:tcPr>
          <w:p>
            <w:pPr>
              <w:ind w:left="140"/>
              <w:spacing w:after="0"/>
              <w:rPr>
                <w:sz w:val="20"/>
                <w:szCs w:val="20"/>
                <w:color w:val="auto"/>
              </w:rPr>
            </w:pPr>
            <w:r>
              <w:rPr>
                <w:rFonts w:ascii="Arial" w:cs="Arial" w:eastAsia="Arial" w:hAnsi="Arial"/>
                <w:sz w:val="18"/>
                <w:szCs w:val="18"/>
                <w:color w:val="auto"/>
              </w:rPr>
              <w:t>Sinking fund terms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40"/>
              <w:spacing w:after="0"/>
              <w:rPr>
                <w:sz w:val="20"/>
                <w:szCs w:val="20"/>
                <w:color w:val="auto"/>
              </w:rPr>
            </w:pPr>
            <w:r>
              <w:rPr>
                <w:rFonts w:ascii="Arial" w:cs="Arial" w:eastAsia="Arial" w:hAnsi="Arial"/>
                <w:sz w:val="18"/>
                <w:szCs w:val="18"/>
                <w:color w:val="auto"/>
              </w:rPr>
              <w:t>Dividends</w:t>
            </w:r>
          </w:p>
        </w:tc>
        <w:tc>
          <w:tcPr>
            <w:tcW w:w="1760" w:type="dxa"/>
            <w:vAlign w:val="bottom"/>
          </w:tcPr>
          <w:p>
            <w:pPr>
              <w:ind w:left="1560"/>
              <w:spacing w:after="0"/>
              <w:rPr>
                <w:sz w:val="20"/>
                <w:szCs w:val="20"/>
                <w:color w:val="auto"/>
              </w:rPr>
            </w:pPr>
            <w:r>
              <w:rPr>
                <w:rFonts w:ascii="Arial" w:cs="Arial" w:eastAsia="Arial" w:hAnsi="Arial"/>
                <w:sz w:val="18"/>
                <w:szCs w:val="18"/>
                <w:color w:val="auto"/>
              </w:rPr>
              <w:t>•</w:t>
            </w:r>
          </w:p>
        </w:tc>
        <w:tc>
          <w:tcPr>
            <w:tcW w:w="3280" w:type="dxa"/>
            <w:vAlign w:val="bottom"/>
          </w:tcPr>
          <w:p>
            <w:pPr>
              <w:ind w:left="140"/>
              <w:spacing w:after="0"/>
              <w:rPr>
                <w:sz w:val="20"/>
                <w:szCs w:val="20"/>
                <w:color w:val="auto"/>
              </w:rPr>
            </w:pPr>
            <w:r>
              <w:rPr>
                <w:rFonts w:ascii="Arial" w:cs="Arial" w:eastAsia="Arial" w:hAnsi="Arial"/>
                <w:sz w:val="18"/>
                <w:szCs w:val="18"/>
                <w:color w:val="auto"/>
              </w:rPr>
              <w:t>Conversion or exchange rights</w:t>
            </w:r>
          </w:p>
        </w:tc>
        <w:tc>
          <w:tcPr>
            <w:tcW w:w="114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Our common stock is quoted on The NASDAQ Global Select Market under the ticker symbol TXN. On February 23, 2016, the reported last sale price on The NASDAQ Global Select Market for our common stock was $52.24.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right="360" w:firstLine="456"/>
        <w:spacing w:after="0" w:line="335" w:lineRule="auto"/>
        <w:rPr>
          <w:sz w:val="20"/>
          <w:szCs w:val="20"/>
          <w:color w:val="auto"/>
        </w:rPr>
      </w:pPr>
      <w:r>
        <w:rPr>
          <w:rFonts w:ascii="Arial" w:cs="Arial" w:eastAsia="Arial" w:hAnsi="Arial"/>
          <w:sz w:val="19"/>
          <w:szCs w:val="19"/>
          <w:b w:val="1"/>
          <w:bCs w:val="1"/>
          <w:color w:val="auto"/>
        </w:rPr>
        <w:t>Investing in these securities involves certain risks. See “Item 1A—Risk Factors” beginning on page 9 of our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161925</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24, 2016</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80" w:type="dxa"/>
            <w:vAlign w:val="bottom"/>
            <w:gridSpan w:val="3"/>
          </w:tcPr>
          <w:p>
            <w:pPr>
              <w:jc w:val="right"/>
              <w:ind w:right="470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1040" w:type="dxa"/>
            <w:vAlign w:val="bottom"/>
            <w:gridSpan w:val="2"/>
            <w:vMerge w:val="restart"/>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The Company</w:t>
              </w:r>
            </w:hyperlink>
          </w:p>
        </w:tc>
        <w:tc>
          <w:tcPr>
            <w:tcW w:w="3060" w:type="dxa"/>
            <w:vAlign w:val="bottom"/>
            <w:gridSpan w:val="12"/>
            <w:vMerge w:val="restart"/>
          </w:tcPr>
          <w:p>
            <w:pPr>
              <w:spacing w:after="0"/>
              <w:rPr>
                <w:sz w:val="24"/>
                <w:szCs w:val="24"/>
                <w:color w:val="auto"/>
              </w:rPr>
            </w:pPr>
          </w:p>
        </w:tc>
        <w:tc>
          <w:tcPr>
            <w:tcW w:w="69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0000EE"/>
            </w:tcBorders>
            <w:gridSpan w:val="2"/>
            <w:vMerge w:val="continue"/>
          </w:tcPr>
          <w:p>
            <w:pPr>
              <w:spacing w:after="0"/>
              <w:rPr>
                <w:sz w:val="13"/>
                <w:szCs w:val="13"/>
                <w:color w:val="auto"/>
              </w:rPr>
            </w:pPr>
          </w:p>
        </w:tc>
        <w:tc>
          <w:tcPr>
            <w:tcW w:w="3060" w:type="dxa"/>
            <w:vAlign w:val="bottom"/>
            <w:gridSpan w:val="12"/>
            <w:vMerge w:val="continue"/>
          </w:tcPr>
          <w:p>
            <w:pPr>
              <w:spacing w:after="0"/>
              <w:rPr>
                <w:sz w:val="13"/>
                <w:szCs w:val="13"/>
                <w:color w:val="auto"/>
              </w:rPr>
            </w:pPr>
          </w:p>
        </w:tc>
        <w:tc>
          <w:tcPr>
            <w:tcW w:w="698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10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About this Prospectus</w:t>
              </w:r>
            </w:hyperlink>
          </w:p>
        </w:tc>
        <w:tc>
          <w:tcPr>
            <w:tcW w:w="7280" w:type="dxa"/>
            <w:vAlign w:val="bottom"/>
            <w:gridSpan w:val="3"/>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Where You Can Find More Information</w:t>
              </w:r>
            </w:hyperlink>
          </w:p>
        </w:tc>
        <w:tc>
          <w:tcPr>
            <w:tcW w:w="1220" w:type="dxa"/>
            <w:vAlign w:val="bottom"/>
            <w:gridSpan w:val="2"/>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Notice Regarding Forward-Looking Statements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Use of Proceeds</w:t>
              </w:r>
            </w:hyperlink>
          </w:p>
        </w:tc>
        <w:tc>
          <w:tcPr>
            <w:tcW w:w="2260" w:type="dxa"/>
            <w:vAlign w:val="bottom"/>
            <w:tcBorders>
              <w:top w:val="single" w:sz="8" w:color="0000EE"/>
            </w:tcBorders>
            <w:gridSpan w:val="10"/>
          </w:tcPr>
          <w:p>
            <w:pPr>
              <w:spacing w:after="0"/>
              <w:rPr>
                <w:sz w:val="17"/>
                <w:szCs w:val="17"/>
                <w:color w:val="auto"/>
              </w:rPr>
            </w:pPr>
          </w:p>
        </w:tc>
        <w:tc>
          <w:tcPr>
            <w:tcW w:w="660" w:type="dxa"/>
            <w:vAlign w:val="bottom"/>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Ratios of Earnings to Fixed Charges</w:t>
              </w:r>
            </w:hyperlink>
          </w:p>
        </w:tc>
        <w:tc>
          <w:tcPr>
            <w:tcW w:w="1480" w:type="dxa"/>
            <w:vAlign w:val="bottom"/>
            <w:gridSpan w:val="3"/>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Capital Stock</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Description of Debt Securities</w:t>
              </w:r>
            </w:hyperlink>
          </w:p>
        </w:tc>
        <w:tc>
          <w:tcPr>
            <w:tcW w:w="1900" w:type="dxa"/>
            <w:vAlign w:val="bottom"/>
            <w:gridSpan w:val="4"/>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Description of Warrants</w:t>
              </w:r>
            </w:hyperlink>
          </w:p>
        </w:tc>
        <w:tc>
          <w:tcPr>
            <w:tcW w:w="2360" w:type="dxa"/>
            <w:vAlign w:val="bottom"/>
            <w:gridSpan w:val="6"/>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Description of Units</w:t>
              </w:r>
            </w:hyperlink>
          </w:p>
        </w:tc>
        <w:tc>
          <w:tcPr>
            <w:tcW w:w="2620" w:type="dxa"/>
            <w:vAlign w:val="bottom"/>
            <w:gridSpan w:val="8"/>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4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Forms of Securities</w:t>
              </w:r>
            </w:hyperlink>
          </w:p>
        </w:tc>
        <w:tc>
          <w:tcPr>
            <w:tcW w:w="2680" w:type="dxa"/>
            <w:vAlign w:val="bottom"/>
            <w:gridSpan w:val="10"/>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Plan of Distribution</w:t>
              </w:r>
            </w:hyperlink>
          </w:p>
        </w:tc>
        <w:tc>
          <w:tcPr>
            <w:tcW w:w="2660" w:type="dxa"/>
            <w:vAlign w:val="bottom"/>
            <w:gridSpan w:val="9"/>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4100" w:type="dxa"/>
            <w:vAlign w:val="bottom"/>
            <w:gridSpan w:val="14"/>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Validity of Securities</w:t>
              </w:r>
            </w:hyperlink>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Experts</w:t>
              </w:r>
            </w:hyperlink>
          </w:p>
        </w:tc>
        <w:tc>
          <w:tcPr>
            <w:tcW w:w="1020" w:type="dxa"/>
            <w:vAlign w:val="bottom"/>
            <w:tcBorders>
              <w:top w:val="single" w:sz="8" w:color="0000EE"/>
            </w:tcBorders>
            <w:gridSpan w:val="6"/>
          </w:tcPr>
          <w:p>
            <w:pPr>
              <w:spacing w:after="0"/>
              <w:rPr>
                <w:sz w:val="17"/>
                <w:szCs w:val="17"/>
                <w:color w:val="auto"/>
              </w:rPr>
            </w:pPr>
          </w:p>
        </w:tc>
        <w:tc>
          <w:tcPr>
            <w:tcW w:w="2520" w:type="dxa"/>
            <w:vAlign w:val="bottom"/>
            <w:gridSpan w:val="7"/>
          </w:tcPr>
          <w:p>
            <w:pPr>
              <w:spacing w:after="0"/>
              <w:rPr>
                <w:sz w:val="17"/>
                <w:szCs w:val="17"/>
                <w:color w:val="auto"/>
              </w:rPr>
            </w:pPr>
          </w:p>
        </w:tc>
        <w:tc>
          <w:tcPr>
            <w:tcW w:w="72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314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3147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We design and make semiconductors that we sell to electronics designers and manufacturers all over the world. We began operations in 1930. We are incorporated in Delaware, headquartered in Dallas, Texas, and have design, manufacturing or sales operations in more than 30 countries.</w:t>
      </w:r>
    </w:p>
    <w:p>
      <w:pPr>
        <w:spacing w:after="0" w:line="124" w:lineRule="exact"/>
        <w:rPr>
          <w:sz w:val="20"/>
          <w:szCs w:val="20"/>
          <w:color w:val="auto"/>
        </w:rPr>
      </w:pPr>
    </w:p>
    <w:p>
      <w:pPr>
        <w:jc w:val="both"/>
        <w:ind w:left="200" w:right="640" w:firstLine="441"/>
        <w:spacing w:after="0" w:line="264" w:lineRule="auto"/>
        <w:rPr>
          <w:sz w:val="20"/>
          <w:szCs w:val="20"/>
          <w:color w:val="auto"/>
        </w:rPr>
      </w:pPr>
      <w:r>
        <w:rPr>
          <w:rFonts w:ascii="Arial" w:cs="Arial" w:eastAsia="Arial" w:hAnsi="Arial"/>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We file annual, quarterly and current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 website at www.sec.gov, from which interested persons can electronically access our SEC filings, including the registration statement of which this prospectus forms a part and the exhibits and schedules thereto.</w:t>
      </w:r>
    </w:p>
    <w:p>
      <w:pPr>
        <w:spacing w:after="0" w:line="154"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Form 10-K for the year ended December 31, 2015, filed on February 24, 2016, and all documents subsequently filed with the SEC pursuant to Section 13(a), 13(c), 14, or 15(d) of the Securities Exchange Act of 1934, as amended (the “Exchange Act”) prior to the termination of the offering under this prospectus.</w:t>
      </w:r>
    </w:p>
    <w:p>
      <w:pPr>
        <w:spacing w:after="0" w:line="173"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8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You may request a copy of these filings at no cost, by writing or telephoning us at: 12500 TI Boulevard, P.O. Box 660199, Dallas, Texas 75266-0199, Attention: Manager of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9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our company or our management:</w:t>
      </w:r>
    </w:p>
    <w:p>
      <w:pPr>
        <w:spacing w:after="0" w:line="76"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demand for semiconductors, particularly in our end markets;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53" w:lineRule="exact"/>
        <w:rPr>
          <w:rFonts w:ascii="Arial" w:cs="Arial" w:eastAsia="Arial" w:hAnsi="Arial"/>
          <w:sz w:val="16"/>
          <w:szCs w:val="16"/>
          <w:color w:val="auto"/>
        </w:rPr>
      </w:pPr>
    </w:p>
    <w:p>
      <w:pPr>
        <w:ind w:left="900" w:right="1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company inventory that results from demand that differs from projections;</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w:t>
      </w:r>
    </w:p>
    <w:p>
      <w:pPr>
        <w:spacing w:after="0" w:line="130" w:lineRule="exact"/>
        <w:rPr>
          <w:rFonts w:ascii="Arial" w:cs="Arial" w:eastAsia="Arial" w:hAnsi="Arial"/>
          <w:sz w:val="18"/>
          <w:szCs w:val="18"/>
          <w:color w:val="auto"/>
        </w:rPr>
      </w:pPr>
    </w:p>
    <w:p>
      <w:pPr>
        <w:jc w:val="both"/>
        <w:ind w:left="900" w:right="120" w:hanging="446"/>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we, our customers or our suppliers operate, including security risks, health conditions, possible disruptions in transportation, communications and information technology networks and fluctuations in foreign currency exchange rates;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Natural events such as health epidemics, severe weather and earthquakes in the locations in which we, our customers or our suppliers operate;</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Breaches of our information technology systems or those of our customers or suppliers;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53" w:lineRule="exact"/>
        <w:rPr>
          <w:rFonts w:ascii="Arial" w:cs="Arial" w:eastAsia="Arial" w:hAnsi="Arial"/>
          <w:sz w:val="16"/>
          <w:szCs w:val="16"/>
          <w:color w:val="auto"/>
        </w:rPr>
      </w:pPr>
    </w:p>
    <w:p>
      <w:pPr>
        <w:ind w:left="9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obtain needed licenses from third parties, expiration of license agreements between us and our patent licensees, and market conditions reducing royalty payments to us;</w:t>
      </w:r>
    </w:p>
    <w:p>
      <w:pPr>
        <w:spacing w:after="0" w:line="75" w:lineRule="exact"/>
        <w:rPr>
          <w:rFonts w:ascii="Arial" w:cs="Arial" w:eastAsia="Arial" w:hAnsi="Arial"/>
          <w:sz w:val="18"/>
          <w:szCs w:val="18"/>
          <w:color w:val="auto"/>
        </w:rPr>
      </w:pPr>
    </w:p>
    <w:p>
      <w:pPr>
        <w:ind w:left="900" w:right="60" w:hanging="446"/>
        <w:spacing w:after="0" w:line="342"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Compliance with or changes in the complex laws, rules and regulations to which we are or may become subject, or actions of enforcement authorities, that restrict our ability to manufacture our products or operate our business, or subject us to fines, penalties, or other legal liability;</w:t>
      </w:r>
    </w:p>
    <w:p>
      <w:pPr>
        <w:spacing w:after="0" w:line="29" w:lineRule="exact"/>
        <w:rPr>
          <w:rFonts w:ascii="Arial" w:cs="Arial" w:eastAsia="Arial" w:hAnsi="Arial"/>
          <w:sz w:val="16"/>
          <w:szCs w:val="16"/>
          <w:color w:val="auto"/>
        </w:rPr>
      </w:pPr>
    </w:p>
    <w:p>
      <w:pPr>
        <w:ind w:left="900" w:right="38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our products, manufacturing, services, design or communications, or recalls by our customers for a product containing one of our parts;</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tax rate applicable to us as the result of changes in tax law, the jurisdictions in which profits are determined to be earned and taxed, adverse resolution of tax audits and the ability to realize deferred tax assets;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our detriment;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our consigned inventory;</w:t>
      </w:r>
    </w:p>
    <w:p>
      <w:pPr>
        <w:spacing w:after="0" w:line="130" w:lineRule="exact"/>
        <w:rPr>
          <w:rFonts w:ascii="Arial" w:cs="Arial" w:eastAsia="Arial" w:hAnsi="Arial"/>
          <w:sz w:val="18"/>
          <w:szCs w:val="18"/>
          <w:color w:val="auto"/>
        </w:rPr>
      </w:pPr>
    </w:p>
    <w:p>
      <w:pPr>
        <w:ind w:left="900" w:right="140" w:hanging="446"/>
        <w:spacing w:after="0" w:line="308" w:lineRule="auto"/>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Instability in the global credit and financial markets that affects our ability to fund our daily operations, invest in our business, make strategic acquisitions, repurchase outstanding shares of our common stock, or make principal and interest payments on our debt;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successfully integrate and realize opportunities for growth from acquisitions, and our ability to realize our expectations regarding the amount and timing of restructuring charges and associated cost savings;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ratio of earnings to fixed charges for each of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Pr>
          <w:p>
            <w:pPr>
              <w:spacing w:after="0"/>
              <w:rPr>
                <w:sz w:val="12"/>
                <w:szCs w:val="12"/>
                <w:color w:val="auto"/>
              </w:rPr>
            </w:pPr>
          </w:p>
        </w:tc>
      </w:tr>
      <w:tr>
        <w:trPr>
          <w:trHeight w:val="210"/>
        </w:trPr>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37.2x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27.3x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20.6x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55.9x</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Earnings consist of earnings from continuing operations, fixed charges, and other income or loss (including interest income, distributions from equity investments, and other miscellaneous non-operational items such as currency exchange gains or losses). Fixed charges consist of total interest on loans, interest attributable to rental and lease expense, and capitalized interest.</w:t>
      </w:r>
    </w:p>
    <w:p>
      <w:pPr>
        <w:spacing w:after="0" w:line="18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no preferred shares outstanding and have paid no preferred dividends to date; therefore, our ratios of earnings to combined fixed charges and preferred dividends are the same as our ratios of earnings to fixed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Restated Certificate of Incorporation authorizes us to issue 2,400,000,000 shares of common stock, $1.00 par value per share, and 10,000,000 shares of preferred stock, $25.00 par value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of January 31, 2016, there were 1,008,975,790 shares of common stock outstanding which were held of record by 15,458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2 North LaSalle Street, Chicago, Illinois 60602.</w:t>
      </w:r>
    </w:p>
    <w:p>
      <w:pPr>
        <w:spacing w:after="0" w:line="17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By-Laws provide that the annual meeting of stockholders shall be held on the third Thursday in April each year or on such other date as may be fixed by the our board of directors and as stated in a written notice, which must be mailed or delivered to each stockholder at least 10 days prior to any stockholder meeting.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January 31, 2016,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Texas Instruments’ Certificate of Incorporation and By-Laws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w:t>
      </w:r>
      <w:r>
        <w:rPr>
          <w:rFonts w:ascii="Arial" w:cs="Arial" w:eastAsia="Arial" w:hAnsi="Arial"/>
          <w:sz w:val="14"/>
          <w:szCs w:val="14"/>
          <w:color w:val="auto"/>
        </w:rPr>
        <w:t>th</w:t>
      </w:r>
      <w:r>
        <w:rPr>
          <w:rFonts w:ascii="Arial" w:cs="Arial" w:eastAsia="Arial" w:hAnsi="Arial"/>
          <w:sz w:val="17"/>
          <w:szCs w:val="17"/>
          <w:color w:val="auto"/>
        </w:rPr>
        <w:t xml:space="preserve"> day prior to such annual meeting or the 10</w:t>
      </w:r>
      <w:r>
        <w:rPr>
          <w:rFonts w:ascii="Arial" w:cs="Arial" w:eastAsia="Arial" w:hAnsi="Arial"/>
          <w:sz w:val="14"/>
          <w:szCs w:val="14"/>
          <w:color w:val="auto"/>
        </w:rPr>
        <w:t>th</w:t>
      </w:r>
      <w:r>
        <w:rPr>
          <w:rFonts w:ascii="Arial" w:cs="Arial" w:eastAsia="Arial" w:hAnsi="Arial"/>
          <w:sz w:val="17"/>
          <w:szCs w:val="17"/>
          <w:color w:val="auto"/>
        </w:rPr>
        <w:t xml:space="preserve"> day following the day on which public announcement of the date of the meeting is first made.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Effects of Delaware Law</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7"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date the interested stockholder obtained such status;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w:t>
      </w:r>
    </w:p>
    <w:p>
      <w:pPr>
        <w:spacing w:after="0" w:line="14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8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71" w:lineRule="exact"/>
        <w:rPr>
          <w:sz w:val="20"/>
          <w:szCs w:val="20"/>
          <w:color w:val="auto"/>
        </w:rPr>
      </w:pPr>
    </w:p>
    <w:p>
      <w:pPr>
        <w:jc w:val="both"/>
        <w:ind w:right="80" w:firstLine="456"/>
        <w:spacing w:after="0" w:line="342" w:lineRule="auto"/>
        <w:rPr>
          <w:sz w:val="20"/>
          <w:szCs w:val="20"/>
          <w:color w:val="auto"/>
        </w:rPr>
      </w:pPr>
      <w:r>
        <w:rPr>
          <w:rFonts w:ascii="Arial" w:cs="Arial" w:eastAsia="Arial" w:hAnsi="Arial"/>
          <w:sz w:val="16"/>
          <w:szCs w:val="16"/>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960" w:firstLine="456"/>
        <w:spacing w:after="0" w:line="277" w:lineRule="auto"/>
        <w:rPr>
          <w:sz w:val="20"/>
          <w:szCs w:val="20"/>
          <w:color w:val="auto"/>
        </w:rPr>
      </w:pPr>
      <w:r>
        <w:rPr>
          <w:rFonts w:ascii="Arial" w:cs="Arial" w:eastAsia="Arial" w:hAnsi="Arial"/>
          <w:sz w:val="18"/>
          <w:szCs w:val="18"/>
          <w:color w:val="auto"/>
        </w:rPr>
        <w:t>The debt securities will constitute unsecured and unsubordinated obligations of ours and will rank pari passu with our other unsecured and unsubordinated obligations.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should look in the prospectus supplement for any additional or different terms of the debt securities being offered, including the following terms:</w:t>
      </w:r>
    </w:p>
    <w:p>
      <w:pPr>
        <w:spacing w:after="0" w:line="15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debt securities’ designation;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30"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w:t>
      </w:r>
    </w:p>
    <w:p>
      <w:pPr>
        <w:spacing w:after="0" w:line="130"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exchanged for the cash value of other securities issued by us or by a third party;</w:t>
      </w:r>
    </w:p>
    <w:p>
      <w:pPr>
        <w:spacing w:after="0" w:line="75" w:lineRule="exact"/>
        <w:rPr>
          <w:rFonts w:ascii="Arial" w:cs="Arial" w:eastAsia="Arial" w:hAnsi="Arial"/>
          <w:sz w:val="18"/>
          <w:szCs w:val="18"/>
          <w:color w:val="auto"/>
        </w:rPr>
      </w:pPr>
    </w:p>
    <w:p>
      <w:pPr>
        <w:ind w:left="900" w:right="7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provisions for electronic issuance of debt securities or for debt securities in uncertificated form; and</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66"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Debt Securities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color w:val="auto"/>
        </w:rPr>
        <w:t>Certain Definitions</w:t>
      </w:r>
      <w:r>
        <w:rPr>
          <w:rFonts w:ascii="Arial" w:cs="Arial" w:eastAsia="Arial" w:hAnsi="Arial"/>
          <w:sz w:val="17"/>
          <w:szCs w:val="17"/>
          <w:color w:val="auto"/>
        </w:rPr>
        <w:t>. The term “attributable debt” in respect of a sale and leaseback transaction means, at the time of determination, the lesser of (1)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7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54"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Restrictions on Liens</w:t>
      </w:r>
      <w:r>
        <w:rPr>
          <w:rFonts w:ascii="Arial" w:cs="Arial" w:eastAsia="Arial" w:hAnsi="Arial"/>
          <w:sz w:val="18"/>
          <w:szCs w:val="18"/>
          <w:color w:val="auto"/>
        </w:rPr>
        <w:t>. The indenture provides that, unless as may otherwise be indicated by resolution of our board of directors, officers’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supplemental indenture, we will not issue or assume any debt for money borrowed (which, including guarantees of debt for borrowed money, we refer to as “debt”), if the debt is secured by a mortgage, pledge, lien or other encumbrance (which we refer to as a “mortgage”) upon any principal manufacturing property (whether such principal manufacturing property is now owned or subsequently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7" w:lineRule="exact"/>
        <w:rPr>
          <w:sz w:val="20"/>
          <w:szCs w:val="20"/>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existing as of the closing date of the offering of the relevant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mortgages on property existing at the time of or within 120 days after acquisition of the property and certain purchase money mortgages;</w:t>
      </w:r>
    </w:p>
    <w:p>
      <w:pPr>
        <w:spacing w:after="0" w:line="142" w:lineRule="exact"/>
        <w:rPr>
          <w:rFonts w:ascii="Arial" w:cs="Arial" w:eastAsia="Arial" w:hAnsi="Arial"/>
          <w:sz w:val="17"/>
          <w:szCs w:val="17"/>
          <w:color w:val="auto"/>
        </w:rPr>
      </w:pPr>
    </w:p>
    <w:p>
      <w:pPr>
        <w:ind w:left="900" w:right="2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on property of an entity existing at the time that entity is merged into or consolidated with us or substantially all the assets of which are acquired by us;</w:t>
      </w:r>
    </w:p>
    <w:p>
      <w:pPr>
        <w:spacing w:after="0" w:line="75"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92"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for taxes, assessments or other governmental charges not yet due or payable or subject to penalties for non-payment or which we are contesting in good faith by appropriate proceedings;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75" w:lineRule="exact"/>
        <w:rPr>
          <w:rFonts w:ascii="Arial" w:cs="Arial" w:eastAsia="Arial" w:hAnsi="Arial"/>
          <w:sz w:val="18"/>
          <w:szCs w:val="18"/>
          <w:color w:val="auto"/>
        </w:rPr>
      </w:pPr>
    </w:p>
    <w:p>
      <w:pPr>
        <w:ind w:left="900" w:right="40" w:hanging="446"/>
        <w:spacing w:after="0" w:line="25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93"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extension, renewal or replacement (or successive extensions, renewals or replacements), in whole or in part, of any mortgage referred to in the bullet points above.</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Restrictions on Sale and Leaseback Transactions</w:t>
      </w:r>
      <w:r>
        <w:rPr>
          <w:rFonts w:ascii="Arial" w:cs="Arial" w:eastAsia="Arial" w:hAnsi="Arial"/>
          <w:sz w:val="17"/>
          <w:szCs w:val="17"/>
          <w:color w:val="auto"/>
        </w:rPr>
        <w:t>. The indenture provides that, unless as may otherwise be indicated by resolution of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77" w:lineRule="exact"/>
        <w:rPr>
          <w:sz w:val="20"/>
          <w:szCs w:val="20"/>
          <w:color w:val="auto"/>
        </w:rPr>
      </w:pPr>
    </w:p>
    <w:p>
      <w:pPr>
        <w:ind w:left="900" w:right="14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92" w:lineRule="exact"/>
        <w:rPr>
          <w:rFonts w:ascii="Arial" w:cs="Arial" w:eastAsia="Arial" w:hAnsi="Arial"/>
          <w:sz w:val="18"/>
          <w:szCs w:val="18"/>
          <w:color w:val="auto"/>
        </w:rPr>
      </w:pPr>
    </w:p>
    <w:p>
      <w:pPr>
        <w:ind w:left="900" w:right="400" w:hanging="446"/>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proceeds of such sale and leaseback transaction and we elect to designate such amount as a credit against such transaction, or</w:t>
      </w:r>
    </w:p>
    <w:p>
      <w:pPr>
        <w:spacing w:after="0" w:line="142" w:lineRule="exact"/>
        <w:rPr>
          <w:rFonts w:ascii="Arial" w:cs="Arial" w:eastAsia="Arial" w:hAnsi="Arial"/>
          <w:sz w:val="17"/>
          <w:szCs w:val="17"/>
          <w:color w:val="auto"/>
        </w:rPr>
      </w:pPr>
    </w:p>
    <w:p>
      <w:pPr>
        <w:ind w:left="1460" w:right="260" w:hanging="547"/>
        <w:spacing w:after="0" w:line="277"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20" w:hanging="446"/>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Exempted Debt</w:t>
      </w:r>
      <w:r>
        <w:rPr>
          <w:rFonts w:ascii="Arial" w:cs="Arial" w:eastAsia="Arial" w:hAnsi="Arial"/>
          <w:sz w:val="18"/>
          <w:szCs w:val="18"/>
          <w:color w:val="auto"/>
        </w:rPr>
        <w:t>. The indenture provides that, notwithstanding the restrictions on mortgages and sale and leaseback transactions described above, we</w:t>
      </w:r>
      <w:r>
        <w:rPr>
          <w:rFonts w:ascii="Arial" w:cs="Arial" w:eastAsia="Arial" w:hAnsi="Arial"/>
          <w:sz w:val="18"/>
          <w:szCs w:val="18"/>
          <w:i w:val="1"/>
          <w:iCs w:val="1"/>
          <w:color w:val="auto"/>
        </w:rPr>
        <w:t xml:space="preserve"> </w:t>
      </w:r>
      <w:r>
        <w:rPr>
          <w:rFonts w:ascii="Arial" w:cs="Arial" w:eastAsia="Arial" w:hAnsi="Arial"/>
          <w:sz w:val="18"/>
          <w:szCs w:val="18"/>
          <w:color w:val="auto"/>
        </w:rPr>
        <w:t>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Consolidation, Merger and Sale or Conveyance</w:t>
      </w:r>
      <w:r>
        <w:rPr>
          <w:rFonts w:ascii="Arial" w:cs="Arial" w:eastAsia="Arial" w:hAnsi="Arial"/>
          <w:sz w:val="18"/>
          <w:szCs w:val="18"/>
          <w:color w:val="auto"/>
        </w:rPr>
        <w:t>. We may not consolidate with, merge with or into, or sell, or convey (including by way of lease) all or</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assets to any person or permit any person to merge with or into us unless:</w:t>
      </w:r>
    </w:p>
    <w:p>
      <w:pPr>
        <w:spacing w:after="0" w:line="76" w:lineRule="exact"/>
        <w:rPr>
          <w:sz w:val="20"/>
          <w:szCs w:val="20"/>
          <w:color w:val="auto"/>
        </w:rPr>
      </w:pPr>
    </w:p>
    <w:p>
      <w:pPr>
        <w:ind w:left="900" w:hanging="446"/>
        <w:spacing w:after="0" w:line="255"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8"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130" w:lineRule="exact"/>
        <w:rPr>
          <w:rFonts w:ascii="Arial" w:cs="Arial" w:eastAsia="Arial" w:hAnsi="Arial"/>
          <w:sz w:val="18"/>
          <w:szCs w:val="18"/>
          <w:color w:val="auto"/>
        </w:rPr>
      </w:pPr>
    </w:p>
    <w:p>
      <w:pPr>
        <w:jc w:val="both"/>
        <w:ind w:left="900" w:right="180" w:hanging="446"/>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bullets above shall not be applicable to:</w:t>
      </w:r>
    </w:p>
    <w:p>
      <w:pPr>
        <w:spacing w:after="0" w:line="131" w:lineRule="exact"/>
        <w:rPr>
          <w:sz w:val="20"/>
          <w:szCs w:val="20"/>
          <w:color w:val="auto"/>
        </w:rPr>
      </w:pPr>
    </w:p>
    <w:p>
      <w:pPr>
        <w:ind w:left="900" w:right="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of ours pursuant to Section 251(g) (or any successor provision) of the General Corporation Law of the State of Delaware.</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any series of debt securities is defined under the indenture as being:</w:t>
      </w:r>
    </w:p>
    <w:p>
      <w:pPr>
        <w:spacing w:after="0" w:line="131" w:lineRule="exact"/>
        <w:rPr>
          <w:sz w:val="20"/>
          <w:szCs w:val="20"/>
          <w:color w:val="auto"/>
        </w:rPr>
      </w:pPr>
    </w:p>
    <w:p>
      <w:pPr>
        <w:ind w:left="900" w:right="440" w:hanging="446"/>
        <w:spacing w:after="0" w:line="34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default in the payment of interest on any debt securities of such series when due and payable, if that default continues for a period of 30 days;</w:t>
      </w:r>
    </w:p>
    <w:p>
      <w:pPr>
        <w:spacing w:after="0" w:line="153" w:lineRule="exact"/>
        <w:rPr>
          <w:rFonts w:ascii="Arial" w:cs="Arial" w:eastAsia="Arial" w:hAnsi="Arial"/>
          <w:sz w:val="16"/>
          <w:szCs w:val="16"/>
          <w:color w:val="auto"/>
        </w:rPr>
      </w:pPr>
    </w:p>
    <w:p>
      <w:pPr>
        <w:ind w:left="900" w:right="200" w:hanging="446"/>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debt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relief in respect of us in an involuntary case under any applicable bankruptcy, insolvency, or other similar law now or hereafter in effect;</w:t>
      </w:r>
    </w:p>
    <w:p>
      <w:pPr>
        <w:spacing w:after="0" w:line="153" w:lineRule="exact"/>
        <w:rPr>
          <w:rFonts w:ascii="Arial" w:cs="Arial" w:eastAsia="Arial" w:hAnsi="Arial"/>
          <w:sz w:val="16"/>
          <w:szCs w:val="16"/>
          <w:color w:val="auto"/>
        </w:rPr>
      </w:pPr>
    </w:p>
    <w:p>
      <w:pPr>
        <w:ind w:left="1460" w:right="40" w:hanging="547"/>
        <w:spacing w:after="0" w:line="277" w:lineRule="auto"/>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appointment of a receiver, liquidator, assignee, custodian, trustee, sequestrator, or similar official of us or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winding up or liquidation of our affairs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commence a voluntary case under any applicable bankruptcy, insolvency, or other similar law now or hereafter in effect;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 to the entry of an order for relief in an involuntary case under any such law;</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consent to the appointment of or taking possession by a receiver, liquidator, assignee, custodian, trustee, sequestrator, or similar official of us for all or substantially all of our property; or</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effect any general assignment for the benefit of creditors.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default by us under any other debt, including any other series of debt securities, is not a default under the indenture.</w:t>
      </w:r>
    </w:p>
    <w:p>
      <w:pPr>
        <w:spacing w:after="0" w:line="225" w:lineRule="exact"/>
        <w:rPr>
          <w:sz w:val="20"/>
          <w:szCs w:val="20"/>
          <w:color w:val="auto"/>
        </w:rPr>
      </w:pPr>
    </w:p>
    <w:p>
      <w:pPr>
        <w:jc w:val="both"/>
        <w:ind w:right="80" w:firstLine="456"/>
        <w:spacing w:after="0" w:line="257" w:lineRule="auto"/>
        <w:rPr>
          <w:sz w:val="20"/>
          <w:szCs w:val="20"/>
          <w:color w:val="auto"/>
        </w:rPr>
      </w:pPr>
      <w:r>
        <w:rPr>
          <w:rFonts w:ascii="Arial" w:cs="Arial" w:eastAsia="Arial" w:hAnsi="Arial"/>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8"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8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7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84" w:lineRule="exact"/>
        <w:rPr>
          <w:sz w:val="20"/>
          <w:szCs w:val="20"/>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30" w:lineRule="exact"/>
        <w:rPr>
          <w:rFonts w:ascii="Arial" w:cs="Arial" w:eastAsia="Arial" w:hAnsi="Arial"/>
          <w:sz w:val="18"/>
          <w:szCs w:val="18"/>
          <w:color w:val="auto"/>
        </w:rPr>
      </w:pPr>
    </w:p>
    <w:p>
      <w:pPr>
        <w:ind w:left="900" w:right="46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debt securities make a written request to the trustee to pursue the remedy in respect of such event of default;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 and</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debt securities do not give the trustee a direction that is inconsistent with the request.</w:t>
      </w:r>
    </w:p>
    <w:p>
      <w:pPr>
        <w:spacing w:after="0" w:line="170"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8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76" w:lineRule="exact"/>
        <w:rPr>
          <w:sz w:val="20"/>
          <w:szCs w:val="20"/>
          <w:color w:val="auto"/>
        </w:rPr>
      </w:pPr>
    </w:p>
    <w:p>
      <w:pPr>
        <w:ind w:left="900" w:right="22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75" w:lineRule="exact"/>
        <w:rPr>
          <w:rFonts w:ascii="Arial" w:cs="Arial" w:eastAsia="Arial" w:hAnsi="Arial"/>
          <w:sz w:val="18"/>
          <w:szCs w:val="18"/>
          <w:color w:val="auto"/>
        </w:rPr>
      </w:pPr>
    </w:p>
    <w:p>
      <w:pPr>
        <w:ind w:left="900" w:right="180" w:hanging="446"/>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debt securities of such series previously authenticated and delivered have been delivered to the trustee for cancellation, and we have paid all sums payable by us under the indenture;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300"/>
        <w:spacing w:after="0" w:line="264" w:lineRule="auto"/>
        <w:rPr>
          <w:sz w:val="20"/>
          <w:szCs w:val="20"/>
          <w:color w:val="auto"/>
        </w:rPr>
      </w:pPr>
      <w:r>
        <w:rPr>
          <w:rFonts w:ascii="Arial" w:cs="Arial" w:eastAsia="Arial" w:hAnsi="Arial"/>
          <w:sz w:val="18"/>
          <w:szCs w:val="18"/>
          <w:color w:val="auto"/>
        </w:rPr>
        <w:t>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92" w:lineRule="exact"/>
        <w:rPr>
          <w:sz w:val="20"/>
          <w:szCs w:val="20"/>
          <w:color w:val="auto"/>
        </w:rPr>
      </w:pPr>
    </w:p>
    <w:p>
      <w:pPr>
        <w:ind w:left="900" w:hanging="446"/>
        <w:spacing w:after="0" w:line="290"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71" w:lineRule="exact"/>
        <w:rPr>
          <w:rFonts w:ascii="Arial" w:cs="Arial" w:eastAsia="Arial" w:hAnsi="Arial"/>
          <w:sz w:val="16"/>
          <w:szCs w:val="16"/>
          <w:color w:val="auto"/>
        </w:rPr>
      </w:pPr>
    </w:p>
    <w:p>
      <w:pPr>
        <w:ind w:left="900" w:right="120" w:hanging="446"/>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indenture or any other agreement or instrument to which we are a party or by which we are bound;</w:t>
      </w:r>
    </w:p>
    <w:p>
      <w:pPr>
        <w:spacing w:after="0" w:line="75" w:lineRule="exact"/>
        <w:rPr>
          <w:rFonts w:ascii="Arial" w:cs="Arial" w:eastAsia="Arial" w:hAnsi="Arial"/>
          <w:sz w:val="18"/>
          <w:szCs w:val="18"/>
          <w:color w:val="auto"/>
        </w:rPr>
      </w:pPr>
    </w:p>
    <w:p>
      <w:pPr>
        <w:ind w:left="900" w:hanging="446"/>
        <w:spacing w:after="0" w:line="25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93"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convey, mortgage or pledge any assets as security for the securities of one or more series;</w:t>
      </w:r>
    </w:p>
    <w:p>
      <w:pPr>
        <w:spacing w:after="0" w:line="130"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us, and the assumption by such successor corporation of our covenants, agreements and obligations under the indenture;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or Conveyance”;</w:t>
      </w:r>
    </w:p>
    <w:p>
      <w:pPr>
        <w:spacing w:after="0" w:line="130"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establish the form or forms or terms of the debt securities as permitted by the indenture;</w:t>
      </w:r>
    </w:p>
    <w:p>
      <w:pPr>
        <w:spacing w:after="0" w:line="130" w:lineRule="exact"/>
        <w:rPr>
          <w:rFonts w:ascii="Arial" w:cs="Arial" w:eastAsia="Arial" w:hAnsi="Arial"/>
          <w:sz w:val="18"/>
          <w:szCs w:val="18"/>
          <w:color w:val="auto"/>
        </w:rPr>
      </w:pPr>
    </w:p>
    <w:p>
      <w:pPr>
        <w:ind w:left="900" w:right="420" w:hanging="446"/>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any change that is necessary or desirable provided that such change shall not adversely affect the interests of the holders of the debt securities of any series in any material respect;</w:t>
      </w:r>
    </w:p>
    <w:p>
      <w:pPr>
        <w:spacing w:after="0" w:line="75" w:lineRule="exact"/>
        <w:rPr>
          <w:rFonts w:ascii="Arial" w:cs="Arial" w:eastAsia="Arial" w:hAnsi="Arial"/>
          <w:sz w:val="18"/>
          <w:szCs w:val="18"/>
          <w:color w:val="auto"/>
        </w:rPr>
      </w:pPr>
    </w:p>
    <w:p>
      <w:pPr>
        <w:ind w:left="900" w:right="180" w:hanging="446"/>
        <w:spacing w:after="0" w:line="34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92" w:lineRule="exact"/>
        <w:rPr>
          <w:sz w:val="20"/>
          <w:szCs w:val="20"/>
          <w:color w:val="auto"/>
        </w:rPr>
      </w:pPr>
    </w:p>
    <w:p>
      <w:pPr>
        <w:ind w:left="900" w:hanging="446"/>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extends the stated maturity of the principal of, or the time of payment of any installment of interest on, any debt securities of such series;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reduces the principal amount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the place or currency of payment of principal of, or interest on, any debt securities of such series;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impairs the right of holders to institute suit for the enforcement of any payment of any debt securities of such series;</w:t>
      </w:r>
    </w:p>
    <w:p>
      <w:pPr>
        <w:spacing w:after="0" w:line="130"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75" w:lineRule="exact"/>
        <w:rPr>
          <w:rFonts w:ascii="Arial" w:cs="Arial" w:eastAsia="Arial" w:hAnsi="Arial"/>
          <w:sz w:val="18"/>
          <w:szCs w:val="18"/>
          <w:color w:val="auto"/>
        </w:rPr>
      </w:pPr>
    </w:p>
    <w:p>
      <w:pPr>
        <w:ind w:left="900" w:right="380" w:hanging="446"/>
        <w:spacing w:after="0" w:line="34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waives a default in respect of a covenant or provision which cannot be modified or amended without the consent of each affected holder.</w:t>
      </w:r>
    </w:p>
    <w:p>
      <w:pPr>
        <w:spacing w:after="0" w:line="23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11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internal laws of the State of New York.</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indenture in the ordinary course of business.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securities based on the value, rate or price of one or more specified commodities, currencies, securities or indices, or any combination of the</w:t>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FORMS OF SECURITIES</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i w:val="1"/>
          <w:iCs w:val="1"/>
          <w:color w:val="auto"/>
        </w:rPr>
        <w:t>Registered Global Securities</w:t>
      </w:r>
      <w:r>
        <w:rPr>
          <w:rFonts w:ascii="Arial" w:cs="Arial" w:eastAsia="Arial" w:hAnsi="Arial"/>
          <w:sz w:val="17"/>
          <w:szCs w:val="17"/>
          <w:color w:val="auto"/>
        </w:rPr>
        <w:t>. We may issue the registered debt securities, warrants and units in the form of one or more fully registered global</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6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or selling security holders may sell the securities being offered hereby in the following manner or any manner specified in a prospectus supplement:</w:t>
      </w:r>
    </w:p>
    <w:p>
      <w:pPr>
        <w:spacing w:after="0" w:line="15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225"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5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7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dealer may then resell such securities to the public at varying prices to be determined by such dealer at the time of resale.</w:t>
      </w:r>
    </w:p>
    <w:p>
      <w:pPr>
        <w:spacing w:after="0" w:line="21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66"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VALIDITY OF SECURITIES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included in our Annual Report on Form 10-K for the year ended December 31, 2015, and the effectiveness of our internal control over financial reporting as of December 31, 2015, as set forth in their reports, which are incorporated by reference into this prospectus and elsewhere in the registration statement. Our financial statements and our management’s assessment of the effectiveness of internal control over financial reporting as of December 31, 2015, are incorporated by reference in reliance on Ernst &amp; Young LLP’s reports, given on their authority as experts in accounting and auditing.</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548640</wp:posOffset>
            </wp:positionV>
            <wp:extent cx="2864485" cy="660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644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$1,300,000,000 4.150% Notes due 2048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894715</wp:posOffset>
            </wp:positionV>
            <wp:extent cx="7289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317500</wp:posOffset>
            </wp:positionV>
            <wp:extent cx="7289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Citigroup</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1580"/>
        <w:spacing w:after="0"/>
        <w:rPr>
          <w:sz w:val="20"/>
          <w:szCs w:val="20"/>
          <w:color w:val="auto"/>
        </w:rPr>
      </w:pPr>
      <w:r>
        <w:rPr>
          <w:rFonts w:ascii="Arial" w:cs="Arial" w:eastAsia="Arial" w:hAnsi="Arial"/>
          <w:sz w:val="32"/>
          <w:szCs w:val="32"/>
          <w:b w:val="1"/>
          <w:bCs w:val="1"/>
          <w:color w:val="auto"/>
        </w:rPr>
        <w:t>Mizuho Securities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33"/>
          <w:szCs w:val="33"/>
          <w:b w:val="1"/>
          <w:bCs w:val="1"/>
          <w:color w:val="auto"/>
        </w:rPr>
        <w:t>Morgan Stanley</w:t>
      </w:r>
    </w:p>
    <w:p>
      <w:pPr>
        <w:spacing w:after="0" w:line="158" w:lineRule="exact"/>
        <w:rPr>
          <w:sz w:val="20"/>
          <w:szCs w:val="20"/>
          <w:color w:val="auto"/>
        </w:rPr>
      </w:pPr>
    </w:p>
    <w:p>
      <w:pPr>
        <w:sectPr>
          <w:pgSz w:w="11900" w:h="16838" w:orient="portrait"/>
          <w:cols w:equalWidth="0" w:num="3">
            <w:col w:w="3160" w:space="720"/>
            <w:col w:w="4360" w:space="720"/>
            <w:col w:w="2460"/>
          </w:cols>
          <w:pgMar w:left="240" w:top="459" w:right="239" w:bottom="1440" w:gutter="0" w:footer="0" w:header="0"/>
          <w:type w:val="continuous"/>
        </w:sectPr>
      </w:pPr>
    </w:p>
    <w:p>
      <w:pPr>
        <w:spacing w:after="0"/>
        <w:rPr>
          <w:sz w:val="20"/>
          <w:szCs w:val="20"/>
          <w:color w:val="auto"/>
        </w:rPr>
      </w:pPr>
      <w:r>
        <w:rPr>
          <w:rFonts w:ascii="Arial" w:cs="Arial" w:eastAsia="Arial" w:hAnsi="Arial"/>
          <w:sz w:val="28"/>
          <w:szCs w:val="28"/>
          <w:b w:val="1"/>
          <w:bCs w:val="1"/>
          <w:color w:val="auto"/>
        </w:rPr>
        <w:t>Barclays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0"/>
          <w:szCs w:val="30"/>
          <w:b w:val="1"/>
          <w:bCs w:val="1"/>
          <w:color w:val="auto"/>
        </w:rPr>
        <w:t>BofA Merrill Lynch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2"/>
          <w:szCs w:val="32"/>
          <w:b w:val="1"/>
          <w:bCs w:val="1"/>
          <w:color w:val="auto"/>
        </w:rPr>
        <w:t>MUFG</w:t>
      </w:r>
    </w:p>
    <w:p>
      <w:pPr>
        <w:spacing w:after="0" w:line="200" w:lineRule="exact"/>
        <w:rPr>
          <w:sz w:val="20"/>
          <w:szCs w:val="20"/>
          <w:color w:val="auto"/>
        </w:rPr>
      </w:pPr>
    </w:p>
    <w:p>
      <w:pPr>
        <w:sectPr>
          <w:pgSz w:w="11900" w:h="16838" w:orient="portrait"/>
          <w:cols w:equalWidth="0" w:num="4">
            <w:col w:w="2380" w:space="720"/>
            <w:col w:w="3580" w:space="720"/>
            <w:col w:w="2300" w:space="720"/>
            <w:col w:w="1000"/>
          </w:cols>
          <w:pgMar w:left="240" w:top="459" w:right="239" w:bottom="1440" w:gutter="0" w:footer="0" w:header="0"/>
          <w:type w:val="continuous"/>
        </w:sectPr>
      </w:pPr>
    </w:p>
    <w:p>
      <w:pPr>
        <w:spacing w:after="0" w:line="3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Co-Managers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Bancorp</w:t>
      </w:r>
    </w:p>
    <w:p>
      <w:pPr>
        <w:spacing w:after="0" w:line="4" w:lineRule="exact"/>
        <w:rPr>
          <w:sz w:val="20"/>
          <w:szCs w:val="20"/>
          <w:color w:val="auto"/>
        </w:rPr>
      </w:pPr>
    </w:p>
    <w:p>
      <w:pPr>
        <w:ind w:left="2400"/>
        <w:spacing w:after="0"/>
        <w:rPr>
          <w:sz w:val="20"/>
          <w:szCs w:val="20"/>
          <w:color w:val="auto"/>
        </w:rPr>
      </w:pPr>
      <w:r>
        <w:rPr>
          <w:rFonts w:ascii="Arial" w:cs="Arial" w:eastAsia="Arial" w:hAnsi="Arial"/>
          <w:sz w:val="22"/>
          <w:szCs w:val="22"/>
          <w:b w:val="1"/>
          <w:bCs w:val="1"/>
          <w:color w:val="auto"/>
        </w:rPr>
        <w:t>The Williams Capital Group, L.P.</w:t>
      </w:r>
    </w:p>
    <w:p>
      <w:pPr>
        <w:ind w:left="7200"/>
        <w:spacing w:after="0" w:line="230" w:lineRule="auto"/>
        <w:rPr>
          <w:sz w:val="20"/>
          <w:szCs w:val="20"/>
          <w:color w:val="auto"/>
        </w:rPr>
      </w:pPr>
      <w:r>
        <w:rPr>
          <w:rFonts w:ascii="Arial" w:cs="Arial" w:eastAsia="Arial" w:hAnsi="Arial"/>
          <w:sz w:val="22"/>
          <w:szCs w:val="22"/>
          <w:b w:val="1"/>
          <w:bCs w:val="1"/>
          <w:color w:val="auto"/>
        </w:rPr>
        <w:t>BNP PARIBAS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HSBC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742315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802005</wp:posOffset>
            </wp:positionV>
            <wp:extent cx="72466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lowerRoman"/>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lvl w:ilvl="1">
      <w:lvlJc w:val="left"/>
      <w:lvlText w:val="(%2)"/>
      <w:numFmt w:val="decimal"/>
      <w:start w:val="1"/>
    </w:lvl>
  </w:abstractNum>
  <w:abstractNum w:abstractNumId="12">
    <w:nsid w:val="1E7FF521"/>
    <w:multiLevelType w:val="hybridMultilevel"/>
    <w:lvl w:ilvl="0">
      <w:lvlJc w:val="left"/>
      <w:lvlText w:val="•"/>
      <w:numFmt w:val="bullet"/>
      <w:start w:val="1"/>
    </w:lvl>
    <w:lvl w:ilvl="1">
      <w:lvlJc w:val="left"/>
      <w:lvlText w:val="(%2)"/>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1)"/>
      <w:numFmt w:val="lowerRoman"/>
      <w:start w:val="1"/>
    </w:lvl>
  </w:abstractNum>
  <w:abstractNum w:abstractNumId="26">
    <w:nsid w:val="7724C67E"/>
    <w:multiLevelType w:val="hybridMultilevel"/>
    <w:lvl w:ilvl="0">
      <w:lvlJc w:val="left"/>
      <w:lvlText w:val="(%1)"/>
      <w:numFmt w:val="lowerRoman"/>
      <w:start w:val="2"/>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lvl w:ilvl="1">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lvl w:ilvl="1">
      <w:lvlJc w:val="left"/>
      <w:lvlText w:val="•"/>
      <w:numFmt w:val="bullet"/>
      <w:start w:val="1"/>
    </w:lvl>
  </w:abstractNum>
  <w:abstractNum w:abstractNumId="40">
    <w:nsid w:val="2CD89A32"/>
    <w:multiLevelType w:val="hybridMultilevel"/>
    <w:lvl w:ilvl="0">
      <w:lvlJc w:val="left"/>
      <w:lvlText w:val="•"/>
      <w:numFmt w:val="bullet"/>
      <w:start w:val="1"/>
    </w:lvl>
    <w:lvl w:ilvl="1">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2019-12-05T09:38:20Z</dcterms:created>
  <dcterms:modified xsi:type="dcterms:W3CDTF">2019-12-05T09:38:20Z</dcterms:modified>
</cp:coreProperties>
</file>