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DATE OF REPORT (DATE OF EARLIEST EVENT REPORTED): September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TEXAS INSTRUMENTS INCORPORATED</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940" w:space="720"/>
            <w:col w:w="2820" w:space="720"/>
            <w:col w:w="3100"/>
          </w:cols>
          <w:pgMar w:left="240" w:top="544" w:right="359" w:bottom="1440" w:gutter="0" w:footer="0" w:header="0"/>
          <w:type w:val="continuous"/>
        </w:sectPr>
      </w:pPr>
    </w:p>
    <w:p>
      <w:pPr>
        <w:ind w:left="1240"/>
        <w:spacing w:after="0"/>
        <w:rPr>
          <w:sz w:val="20"/>
          <w:szCs w:val="20"/>
          <w:color w:val="auto"/>
        </w:rPr>
      </w:pPr>
      <w:r>
        <w:rPr>
          <w:rFonts w:ascii="Arial" w:cs="Arial" w:eastAsia="Arial" w:hAnsi="Arial"/>
          <w:sz w:val="16"/>
          <w:szCs w:val="16"/>
          <w:b w:val="1"/>
          <w:bCs w:val="1"/>
          <w:color w:val="auto"/>
        </w:rPr>
        <w:t>of Incorporation)</w:t>
      </w:r>
    </w:p>
    <w:p>
      <w:pPr>
        <w:sectPr>
          <w:pgSz w:w="11900" w:h="16838" w:orient="portrait"/>
          <w:cols w:equalWidth="0" w:num="1">
            <w:col w:w="11300"/>
          </w:cols>
          <w:pgMar w:left="240" w:top="544" w:right="359" w:bottom="1440" w:gutter="0" w:footer="0" w:header="0"/>
          <w:type w:val="continuous"/>
        </w:sectPr>
      </w:pPr>
    </w:p>
    <w:p>
      <w:pPr>
        <w:spacing w:after="0" w:line="200" w:lineRule="exact"/>
        <w:rPr>
          <w:sz w:val="24"/>
          <w:szCs w:val="24"/>
          <w:color w:val="auto"/>
        </w:rPr>
      </w:pP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September 23, 2011, Texas Instruments Incorporated (“TI”) completed its previously announced acquisition of National Semiconductor Corporation (“National”). Pursuant to the terms of the Agreement and Plan of Merger, dated as of April 4, 2011 (the “Merger Agreement”), by and among TI, National and Orion Merger Corp., a wholly owned subsidiary of TI (“Merger Sub”), Merger Sub merged with and into National, with National continuing as the surviving corporation and as a wholly owned subsidiary of TI.</w:t>
      </w:r>
    </w:p>
    <w:p>
      <w:pPr>
        <w:spacing w:after="0" w:line="21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Under the terms of the Merger Agreement, each outstanding share of National common stock (other than treasury shares held by National and shares held by TI or its subsidiaries) was converted and exchanged into the right to receive $25.00 in cash, without interest. The merger consideration was funded from available cash and the proceeds of debt issuances, including $3.5 billion of debt securities issued by TI in the second quarter of 2011.</w:t>
      </w:r>
    </w:p>
    <w:p>
      <w:pPr>
        <w:spacing w:after="0" w:line="18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23, 2011, TI issued a news release relating to the completion of the acquisition of National. The news release is attached hereto as Exhibit 99 and is incorporated herein by reference.</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TI intends to assume, with effect as soon as practicable after the date hereof, all of the obligations of National under National’s 6.150% Senior Notes due 2012 ($375,000,000 in aggregate principal amount), 6.600% Senior Notes due 2017 ($375,000,000 in aggregate principal amount) and 3.950% Senior Notes due 2015 ($250,000,000 in aggregate principal amount), and under the indenture and supplemental indentures related thereto.</w:t>
      </w:r>
    </w:p>
    <w:p>
      <w:pPr>
        <w:spacing w:after="0" w:line="18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 acquired</w:t>
      </w:r>
      <w:r>
        <w:rPr>
          <w:rFonts w:ascii="Arial" w:cs="Arial" w:eastAsia="Arial" w:hAnsi="Arial"/>
          <w:sz w:val="18"/>
          <w:szCs w:val="18"/>
          <w:color w:val="auto"/>
        </w:rPr>
        <w:t>.</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historical financial statements of National required by Item 9.01(a) of Form 8-K will be filed by amendment within 71 calendar days after the date this report on Form 8-K must be filed.</w:t>
      </w:r>
    </w:p>
    <w:p>
      <w:pPr>
        <w:spacing w:after="0" w:line="197"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r>
        <w:rPr>
          <w:rFonts w:ascii="Arial" w:cs="Arial" w:eastAsia="Arial" w:hAnsi="Arial"/>
          <w:sz w:val="18"/>
          <w:szCs w:val="18"/>
          <w:color w:val="auto"/>
        </w:rPr>
        <w:t>.</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pro forma financial statements required by Item 9.01(b) of Form 8-K will be filed by amendment within 71 calendar days after the date this report on Form 8-K must be filed.</w:t>
      </w:r>
    </w:p>
    <w:p>
      <w:pPr>
        <w:spacing w:after="0" w:line="197"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September 23, 2011 (furnished pursuant to Item 7.01)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23,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20"/>
          </w:cols>
          <w:pgMar w:left="240" w:top="51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completes acquisition of National Semiconductor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National becomes part of TI’s Analog business and expands company’s ability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deliver more products, expertise and support for customers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SANTA CLARA, Calif. (Sept. 23, 2011) – Texas Instruments Incorporated (TI) (NYSE: TXN) today announced the acquisition of National Semiconductor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(NYSE: NSM) is complete.</w:t>
      </w:r>
    </w:p>
    <w:p>
      <w:pPr>
        <w:spacing w:after="0" w:line="2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“National is now a strategic part of TI’s Analog growth engine. Together, we’re focused on accelerating semiconductor innovation to improve performance and power efficiency for our customers’ electronic systems,” said Rich Templeton, TI’s chairman, president and chief executive officer.</w:t>
      </w:r>
    </w:p>
    <w:p>
      <w:pPr>
        <w:spacing w:after="0" w:line="17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More than 5,000 National employees will immediately become part of TI. The two companies will begin the work to integrate National as a unit of TI’s Analog business, which will have a combined portfolio of nearly 45,000 analog products, strong customer design tools, and a sales force that is 10 times larger than National’s previous footprint.</w:t>
      </w:r>
    </w:p>
    <w:p>
      <w:pPr>
        <w:spacing w:after="0" w:line="20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closing of this transaction allows TI to expand its market presence with more leading-edge analog products, greater manufacturing capacity, and the largest sales and applications team in the industry. Together, we will serve more customers in more markets,” Templeton said.</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transaction, announced on April 4, 2011, cleared all required regulatory reviews and was approved by National’s shareholders. TI will include National’s contribution to financial performance in the company’s third-quarter earnings announcement on October 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With today’s close, TI’s Analog semiconductor business now represents more than 50 percent of the company’s revenue.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 will continue to operate National’s manufacturing sites, located in Maine, Scotland and Malaysia, as well as business headquarters in Santa Clara and sales/design support around the world.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see www.ti.com/deliveringmoretogether.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will” or other words or phrases of similar import. Similarly, statements herein that describe TI’s business strategy, outlook, objectives, plans, intentions, or goals also are forward-looking</w:t>
      </w:r>
    </w:p>
    <w:p>
      <w:pPr>
        <w:ind w:right="100"/>
        <w:spacing w:after="0" w:line="270" w:lineRule="auto"/>
        <w:rPr>
          <w:sz w:val="20"/>
          <w:szCs w:val="20"/>
          <w:color w:val="auto"/>
        </w:rPr>
      </w:pPr>
      <w:r>
        <w:rPr>
          <w:rFonts w:ascii="Arial" w:cs="Arial" w:eastAsia="Arial" w:hAnsi="Arial"/>
          <w:sz w:val="17"/>
          <w:szCs w:val="17"/>
          <w:color w:val="auto"/>
        </w:rPr>
        <w:t>statements. All such forward-looking statements are subject to certain risks and uncertainties that could cause actual results to differ materially from those in forward-looking statements, including: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or National’s most recent Annual Report on Form 10-K and other SEC filings of the companies that could cause actual results to differ materially from the forward-looking statements. The forward-looking statements included in this release are made only as of the date of this release, and TI undertakes no obligation to update the forward-looking statements to reflect subsequent events or circumstances.</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2019-12-10T03:39:15Z</dcterms:created>
  <dcterms:modified xsi:type="dcterms:W3CDTF">2019-12-10T03:39:15Z</dcterms:modified>
</cp:coreProperties>
</file>