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9"/>
        <w:spacing w:after="0"/>
        <w:rPr>
          <w:sz w:val="20"/>
          <w:szCs w:val="20"/>
          <w:color w:val="auto"/>
        </w:rPr>
      </w:pPr>
      <w:r>
        <w:rPr>
          <w:rFonts w:ascii="Courier New" w:cs="Courier New" w:eastAsia="Courier New" w:hAnsi="Courier New"/>
          <w:sz w:val="18"/>
          <w:szCs w:val="18"/>
          <w:color w:val="auto"/>
        </w:rPr>
        <w:t>UNITED STATES</w:t>
      </w:r>
    </w:p>
    <w:p>
      <w:pPr>
        <w:jc w:val="center"/>
        <w:ind w:right="30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(Amendment)</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 (nyse)</w:t>
      </w:r>
    </w:p>
    <w:p>
      <w:pPr>
        <w:spacing w:after="0" w:line="200" w:lineRule="exact"/>
        <w:rPr>
          <w:sz w:val="24"/>
          <w:szCs w:val="24"/>
          <w:color w:val="auto"/>
        </w:rPr>
      </w:pPr>
    </w:p>
    <w:p>
      <w:pPr>
        <w:sectPr>
          <w:pgSz w:w="11900" w:h="16838" w:orient="portrait"/>
          <w:cols w:equalWidth="0" w:num="2">
            <w:col w:w="2440" w:space="720"/>
            <w:col w:w="70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38" w:orient="portrait"/>
          <w:cols w:equalWidth="0" w:num="2">
            <w:col w:w="2980" w:space="720"/>
            <w:col w:w="6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00" w:lineRule="exact"/>
        <w:rPr>
          <w:sz w:val="24"/>
          <w:szCs w:val="24"/>
          <w:color w:val="auto"/>
        </w:rPr>
      </w:pPr>
    </w:p>
    <w:p>
      <w:pPr>
        <w:sectPr>
          <w:pgSz w:w="11900" w:h="16838" w:orient="portrait"/>
          <w:cols w:equalWidth="0" w:num="2">
            <w:col w:w="2440" w:space="720"/>
            <w:col w:w="7059"/>
          </w:cols>
          <w:pgMar w:left="240" w:top="244" w:right="1440" w:bottom="0" w:gutter="0" w:footer="0" w:header="0"/>
          <w:type w:val="continuous"/>
        </w:sectPr>
      </w:pPr>
    </w:p>
    <w:p>
      <w:pPr>
        <w:spacing w:after="0" w:line="226"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10 Pages</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2 of 10 Pages</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spacing w:after="0"/>
        <w:tabs>
          <w:tab w:leader="none" w:pos="1260" w:val="left"/>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Pr>
          <w:p>
            <w:pPr>
              <w:ind w:left="1800"/>
              <w:spacing w:after="0"/>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2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w:t>
            </w:r>
          </w:p>
        </w:tc>
        <w:tc>
          <w:tcPr>
            <w:tcW w:w="2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w:t>
            </w:r>
            <w:r>
              <w:rPr>
                <w:rFonts w:ascii="Courier New" w:cs="Courier New" w:eastAsia="Courier New" w:hAnsi="Courier New"/>
                <w:sz w:val="7"/>
                <w:szCs w:val="7"/>
                <w:color w:val="auto"/>
                <w:w w:val="73"/>
              </w:rPr>
              <w:t>-----------------------------</w:t>
            </w:r>
          </w:p>
        </w:tc>
        <w:tc>
          <w:tcPr>
            <w:tcW w:w="2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20" w:type="dxa"/>
            <w:vAlign w:val="bottom"/>
          </w:tcPr>
          <w:p>
            <w:pPr>
              <w:spacing w:after="0"/>
              <w:rPr>
                <w:sz w:val="17"/>
                <w:szCs w:val="17"/>
                <w:color w:val="auto"/>
              </w:rPr>
            </w:pPr>
          </w:p>
        </w:tc>
        <w:tc>
          <w:tcPr>
            <w:tcW w:w="2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w:t>
            </w:r>
          </w:p>
        </w:tc>
        <w:tc>
          <w:tcPr>
            <w:tcW w:w="2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w:t>
      </w:r>
    </w:p>
    <w:p>
      <w:pPr>
        <w:ind w:left="3700"/>
        <w:spacing w:after="0" w:line="237" w:lineRule="auto"/>
        <w:rPr>
          <w:sz w:val="20"/>
          <w:szCs w:val="20"/>
          <w:color w:val="auto"/>
        </w:rPr>
      </w:pPr>
      <w:r>
        <w:rPr>
          <w:rFonts w:ascii="Courier New" w:cs="Courier New" w:eastAsia="Courier New" w:hAnsi="Courier New"/>
          <w:sz w:val="18"/>
          <w:szCs w:val="18"/>
          <w:color w:val="auto"/>
        </w:rPr>
        <w:t>Dispositive 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3 of 10 Pages</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Putnam Investments, Inc.</w:t>
      </w:r>
    </w:p>
    <w:p>
      <w:pPr>
        <w:ind w:left="74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1,039,819</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400" w:space="720"/>
            <w:col w:w="80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3">
            <w:col w:w="1280" w:space="300"/>
            <w:col w:w="860" w:space="720"/>
            <w:col w:w="7059"/>
          </w:cols>
          <w:pgMar w:left="24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15,178,465</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15,178,465</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4 of 10 Pages</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5"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3"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4">
            <w:col w:w="1280" w:space="300"/>
            <w:col w:w="120" w:space="420"/>
            <w:col w:w="320" w:space="720"/>
            <w:col w:w="7059"/>
          </w:cols>
          <w:pgMar w:left="240" w:top="136" w:right="1440" w:bottom="0" w:gutter="0" w:footer="0" w:header="0"/>
          <w:type w:val="continuous"/>
        </w:sectPr>
      </w:pPr>
    </w:p>
    <w:p>
      <w:pPr>
        <w:ind w:left="5280"/>
        <w:spacing w:after="0" w:line="233" w:lineRule="auto"/>
        <w:tabs>
          <w:tab w:leader="none" w:pos="5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Dispositive Power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w:t>
      </w:r>
    </w:p>
    <w:p>
      <w:pPr>
        <w:ind w:left="3700"/>
        <w:spacing w:after="0" w:line="237" w:lineRule="auto"/>
        <w:rPr>
          <w:sz w:val="20"/>
          <w:szCs w:val="20"/>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13,384,695</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13,384,695</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3779" w:hanging="852"/>
        <w:spacing w:after="0" w:line="235" w:lineRule="auto"/>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5 of 10 Pages</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980" w:space="720"/>
            <w:col w:w="18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sectPr>
          <w:pgSz w:w="11900" w:h="16838" w:orient="portrait"/>
          <w:cols w:equalWidth="0" w:num="3">
            <w:col w:w="2980" w:space="720"/>
            <w:col w:w="100" w:space="420"/>
            <w:col w:w="5999"/>
          </w:cols>
          <w:pgMar w:left="24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Reporting Person with: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1,039,819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Sole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Dispositive Power</w:t>
      </w:r>
    </w:p>
    <w:p>
      <w:pPr>
        <w:spacing w:after="0" w:line="200" w:lineRule="exact"/>
        <w:rPr>
          <w:sz w:val="20"/>
          <w:szCs w:val="20"/>
          <w:color w:val="auto"/>
        </w:rPr>
      </w:pPr>
    </w:p>
    <w:p>
      <w:pPr>
        <w:sectPr>
          <w:pgSz w:w="11900" w:h="16838" w:orient="portrait"/>
          <w:cols w:equalWidth="0" w:num="4">
            <w:col w:w="1280" w:space="300"/>
            <w:col w:w="120" w:space="420"/>
            <w:col w:w="320" w:space="720"/>
            <w:col w:w="7059"/>
          </w:cols>
          <w:pgMar w:left="240" w:top="136" w:right="1440" w:bottom="0" w:gutter="0" w:footer="0" w:header="0"/>
          <w:type w:val="continuous"/>
        </w:sectPr>
      </w:pP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Dispositive Power</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1,793,770</w:t>
      </w:r>
    </w:p>
    <w:p>
      <w:pPr>
        <w:spacing w:after="0" w:line="4"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1,793,770</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259" w:firstLine="8"/>
        <w:spacing w:after="0" w:line="235"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8"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ectPr>
          <w:pgSz w:w="11900" w:h="16838" w:orient="portrait"/>
          <w:cols w:equalWidth="0" w:num="1">
            <w:col w:w="10219"/>
          </w:cols>
          <w:pgMar w:left="240" w:top="136" w:right="1440" w:bottom="0" w:gutter="0" w:footer="0" w:header="0"/>
          <w:type w:val="continuous"/>
        </w:sectPr>
      </w:pPr>
    </w:p>
    <w:bookmarkStart w:id="4" w:name="page5"/>
    <w:bookmarkEnd w:id="4"/>
    <w:p>
      <w:pPr>
        <w:jc w:val="center"/>
        <w:ind w:right="30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rPr>
              <w:t>Name of Issuer:</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Texas Instruments Inc.</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(nyse)</w:t>
            </w:r>
          </w:p>
        </w:tc>
        <w:tc>
          <w:tcPr>
            <w:tcW w:w="22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7060" w:type="dxa"/>
            <w:vAlign w:val="bottom"/>
            <w:gridSpan w:val="3"/>
          </w:tcPr>
          <w:p>
            <w:pPr>
              <w:spacing w:after="0"/>
              <w:rPr>
                <w:sz w:val="20"/>
                <w:szCs w:val="20"/>
                <w:color w:val="auto"/>
              </w:rPr>
            </w:pPr>
            <w:r>
              <w:rPr>
                <w:rFonts w:ascii="Courier New" w:cs="Courier New" w:eastAsia="Courier New" w:hAnsi="Courier New"/>
                <w:sz w:val="18"/>
                <w:szCs w:val="18"/>
                <w:color w:val="auto"/>
              </w:rPr>
              <w:t>13500 N. Central Expressway, P.O. Box 655474, Dallas, TX 75265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26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Item 2(b)</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3420" w:type="dxa"/>
            <w:vAlign w:val="bottom"/>
          </w:tcPr>
          <w:p>
            <w:pPr>
              <w:ind w:left="1640"/>
              <w:spacing w:after="0"/>
              <w:rPr>
                <w:sz w:val="20"/>
                <w:szCs w:val="20"/>
                <w:color w:val="auto"/>
              </w:rPr>
            </w:pPr>
            <w:r>
              <w:rPr>
                <w:rFonts w:ascii="Courier New" w:cs="Courier New" w:eastAsia="Courier New" w:hAnsi="Courier New"/>
                <w:sz w:val="18"/>
                <w:szCs w:val="18"/>
                <w:color w:val="auto"/>
              </w:rPr>
              <w:t>Address or</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Office or, if NONE,</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behalf of itself and:</w:t>
            </w:r>
          </w:p>
        </w:tc>
        <w:tc>
          <w:tcPr>
            <w:tcW w:w="3420" w:type="dxa"/>
            <w:vAlign w:val="bottom"/>
          </w:tcPr>
          <w:p>
            <w:pPr>
              <w:spacing w:after="0"/>
              <w:rPr>
                <w:sz w:val="17"/>
                <w:szCs w:val="17"/>
                <w:color w:val="auto"/>
              </w:rPr>
            </w:pP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*Marsh &amp; McLennan Companies,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1166 Avenue of the Americas</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("MMC")</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("PIM")</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("PAC")</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100" w:val="left"/>
          <w:tab w:leader="none" w:pos="3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PI, PIM and PAC are corporations</w:t>
      </w:r>
    </w:p>
    <w:p>
      <w:pPr>
        <w:spacing w:after="0" w:line="4" w:lineRule="exact"/>
        <w:rPr>
          <w:sz w:val="20"/>
          <w:szCs w:val="20"/>
          <w:color w:val="auto"/>
        </w:rPr>
      </w:pPr>
    </w:p>
    <w:p>
      <w:pPr>
        <w:ind w:left="1580" w:right="3259"/>
        <w:spacing w:after="0" w:line="236" w:lineRule="auto"/>
        <w:rPr>
          <w:sz w:val="20"/>
          <w:szCs w:val="20"/>
          <w:color w:val="auto"/>
        </w:rPr>
      </w:pPr>
      <w:r>
        <w:rPr>
          <w:rFonts w:ascii="Courier New" w:cs="Courier New" w:eastAsia="Courier New" w:hAnsi="Courier New"/>
          <w:sz w:val="18"/>
          <w:szCs w:val="18"/>
          <w:color w:val="auto"/>
        </w:rPr>
        <w:t>organized under Massachusetts law. The citizenship of other persons identified in Item 2(a) is designated as follows:</w:t>
      </w:r>
    </w:p>
    <w:p>
      <w:pPr>
        <w:spacing w:after="0" w:line="203" w:lineRule="exact"/>
        <w:rPr>
          <w:sz w:val="20"/>
          <w:szCs w:val="20"/>
          <w:color w:val="auto"/>
        </w:rPr>
      </w:pPr>
    </w:p>
    <w:p>
      <w:pPr>
        <w:ind w:left="2120" w:hanging="532"/>
        <w:spacing w:after="0"/>
        <w:tabs>
          <w:tab w:leader="none" w:pos="21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4" w:lineRule="exact"/>
        <w:rPr>
          <w:rFonts w:ascii="Courier New" w:cs="Courier New" w:eastAsia="Courier New" w:hAnsi="Courier New"/>
          <w:sz w:val="18"/>
          <w:szCs w:val="18"/>
          <w:color w:val="auto"/>
        </w:rPr>
      </w:pPr>
    </w:p>
    <w:p>
      <w:pPr>
        <w:ind w:left="2120" w:right="3039" w:firstLine="1048"/>
        <w:spacing w:after="0" w:line="290" w:lineRule="auto"/>
        <w:tabs>
          <w:tab w:leader="none" w:pos="370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association known as Massachusetts business trust - Massachusetts law</w:t>
      </w:r>
    </w:p>
    <w:p>
      <w:pPr>
        <w:spacing w:after="0" w:line="3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jc w:val="center"/>
        <w:ind w:right="3159"/>
        <w:spacing w:after="0"/>
        <w:tabs>
          <w:tab w:leader="none" w:pos="3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right="3139"/>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w w:val="99"/>
              </w:rPr>
              <w:t>Bank as defined in</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Section 3(a)(6)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Insurance Company as defined in Section 3(a)(19) 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Act</w:t>
            </w:r>
          </w:p>
        </w:tc>
        <w:tc>
          <w:tcPr>
            <w:tcW w:w="3840" w:type="dxa"/>
            <w:vAlign w:val="bottom"/>
          </w:tcPr>
          <w:p>
            <w:pPr>
              <w:spacing w:after="0"/>
              <w:rPr>
                <w:sz w:val="17"/>
                <w:szCs w:val="17"/>
                <w:color w:val="auto"/>
              </w:rPr>
            </w:pP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28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 Investment Company</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Investment Company</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w:t>
            </w:r>
          </w:p>
        </w:tc>
      </w:tr>
    </w:tbl>
    <w:p>
      <w:pPr>
        <w:spacing w:after="0" w:line="200" w:lineRule="exact"/>
        <w:rPr>
          <w:sz w:val="20"/>
          <w:szCs w:val="20"/>
          <w:color w:val="auto"/>
        </w:rPr>
      </w:pPr>
    </w:p>
    <w:p>
      <w:pPr>
        <w:spacing w:after="0" w:line="209" w:lineRule="exact"/>
        <w:rPr>
          <w:sz w:val="20"/>
          <w:szCs w:val="20"/>
          <w:color w:val="auto"/>
        </w:rPr>
      </w:pPr>
    </w:p>
    <w:p>
      <w:pPr>
        <w:ind w:left="1060" w:right="34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(f)(   )  Employee Benefit Plan, Pension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Fund which</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is subject to</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provisions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the Employee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Income Security</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1974 or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Endowment Fund;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(Section</w:t>
            </w:r>
          </w:p>
        </w:tc>
      </w:tr>
    </w:tbl>
    <w:p>
      <w:pPr>
        <w:ind w:left="1060"/>
        <w:spacing w:after="0" w:line="238" w:lineRule="auto"/>
        <w:rPr>
          <w:sz w:val="20"/>
          <w:szCs w:val="20"/>
          <w:color w:val="auto"/>
        </w:rPr>
      </w:pPr>
      <w:r>
        <w:rPr>
          <w:rFonts w:ascii="Courier New" w:cs="Courier New" w:eastAsia="Courier New" w:hAnsi="Courier New"/>
          <w:sz w:val="18"/>
          <w:szCs w:val="18"/>
          <w:color w:val="auto"/>
        </w:rPr>
        <w:t>240.13d-1(b)(1)(ii)(F)</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(g)( X )</w:t>
      </w:r>
      <w:r>
        <w:rPr>
          <w:sz w:val="20"/>
          <w:szCs w:val="20"/>
          <w:color w:val="auto"/>
        </w:rPr>
        <w:tab/>
      </w:r>
      <w:r>
        <w:rPr>
          <w:rFonts w:ascii="Courier New" w:cs="Courier New" w:eastAsia="Courier New" w:hAnsi="Courier New"/>
          <w:sz w:val="16"/>
          <w:szCs w:val="16"/>
          <w:color w:val="auto"/>
        </w:rPr>
        <w:t>Parent Holding Company, in accordance with Section</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1060"/>
        <w:spacing w:after="0"/>
        <w:rPr>
          <w:sz w:val="20"/>
          <w:szCs w:val="20"/>
          <w:color w:val="auto"/>
        </w:rPr>
      </w:pPr>
      <w:r>
        <w:rPr>
          <w:rFonts w:ascii="Courier New" w:cs="Courier New" w:eastAsia="Courier New" w:hAnsi="Courier New"/>
          <w:sz w:val="18"/>
          <w:szCs w:val="18"/>
          <w:color w:val="auto"/>
        </w:rPr>
        <w:t>240.13d-1(b)(ii)(G)</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ectPr>
          <w:pgSz w:w="11900" w:h="16838" w:orient="portrait"/>
          <w:cols w:equalWidth="0" w:num="1">
            <w:col w:w="10540"/>
          </w:cols>
          <w:pgMar w:left="240" w:top="136" w:right="1119" w:bottom="0" w:gutter="0" w:footer="0" w:header="0"/>
        </w:sect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M&amp;MC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PAC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w:t>
      </w:r>
    </w:p>
    <w:p>
      <w:pPr>
        <w:spacing w:after="0" w:line="16" w:lineRule="exact"/>
        <w:rPr>
          <w:sz w:val="20"/>
          <w:szCs w:val="20"/>
          <w:color w:val="auto"/>
        </w:rPr>
      </w:pPr>
    </w:p>
    <w:p>
      <w:pPr>
        <w:sectPr>
          <w:pgSz w:w="11900" w:h="16838" w:orient="portrait"/>
          <w:cols w:equalWidth="0" w:num="4">
            <w:col w:w="4560" w:space="720"/>
            <w:col w:w="860" w:space="720"/>
            <w:col w:w="860" w:space="720"/>
            <w:col w:w="2100"/>
          </w:cols>
          <w:pgMar w:left="240" w:top="136" w:right="1119" w:bottom="0" w:gutter="0" w:footer="0" w:header="0"/>
          <w:type w:val="continuous"/>
        </w:sect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(Parent holding</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company to PI)</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(Investment advisers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&amp; subsidiaries of PI)</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(Parent company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PIM and PAC)</w:t>
      </w:r>
    </w:p>
    <w:p>
      <w:pPr>
        <w:spacing w:after="0" w:line="200" w:lineRule="exact"/>
        <w:rPr>
          <w:sz w:val="20"/>
          <w:szCs w:val="20"/>
          <w:color w:val="auto"/>
        </w:rPr>
      </w:pPr>
    </w:p>
    <w:p>
      <w:pPr>
        <w:sectPr>
          <w:pgSz w:w="11900" w:h="16838" w:orient="portrait"/>
          <w:cols w:equalWidth="0" w:num="3">
            <w:col w:w="4560" w:space="720"/>
            <w:col w:w="2620" w:space="0"/>
            <w:col w:w="2640"/>
          </w:cols>
          <w:pgMar w:left="240" w:top="136" w:right="1119" w:bottom="0" w:gutter="0" w:footer="0" w:header="0"/>
          <w:type w:val="continuous"/>
        </w:sectPr>
      </w:pPr>
    </w:p>
    <w:p>
      <w:pPr>
        <w:spacing w:after="0" w:line="204"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tbl>
      <w:tblPr>
        <w:tblLayout w:type="fixed"/>
        <w:tblInd w:w="0" w:type="dxa"/>
        <w:tblCellMar>
          <w:top w:w="0" w:type="dxa"/>
          <w:left w:w="0" w:type="dxa"/>
          <w:bottom w:w="0" w:type="dxa"/>
          <w:right w:w="0" w:type="dxa"/>
        </w:tblCellMar>
      </w:tblP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13,384,695</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1,793,770</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15,178,465</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960" w:type="dxa"/>
            <w:vAlign w:val="bottom"/>
          </w:tcPr>
          <w:p>
            <w:pPr>
              <w:ind w:left="960"/>
              <w:spacing w:after="0"/>
              <w:rPr>
                <w:sz w:val="20"/>
                <w:szCs w:val="20"/>
                <w:color w:val="auto"/>
              </w:rPr>
            </w:pPr>
            <w:r>
              <w:rPr>
                <w:rFonts w:ascii="Courier New" w:cs="Courier New" w:eastAsia="Courier New" w:hAnsi="Courier New"/>
                <w:sz w:val="18"/>
                <w:szCs w:val="18"/>
                <w:color w:val="auto"/>
              </w:rPr>
              <w:t>NONE</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NONE =</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1220" w:type="dxa"/>
            <w:vAlign w:val="bottom"/>
          </w:tcPr>
          <w:p>
            <w:pPr>
              <w:spacing w:after="0"/>
              <w:rPr>
                <w:sz w:val="24"/>
                <w:szCs w:val="24"/>
                <w:color w:val="auto"/>
              </w:rPr>
            </w:pPr>
          </w:p>
        </w:tc>
      </w:tr>
    </w:tbl>
    <w:p>
      <w:pPr>
        <w:spacing w:after="0" w:line="201"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202" w:lineRule="exact"/>
        <w:rPr>
          <w:sz w:val="20"/>
          <w:szCs w:val="20"/>
          <w:color w:val="auto"/>
        </w:rPr>
      </w:pPr>
    </w:p>
    <w:p>
      <w:pPr>
        <w:ind w:left="540" w:hanging="532"/>
        <w:spacing w:after="0"/>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ind w:left="540"/>
        <w:spacing w:after="0"/>
        <w:tabs>
          <w:tab w:leader="none" w:pos="3680" w:val="left"/>
          <w:tab w:leader="none" w:pos="5780" w:val="left"/>
          <w:tab w:leader="none" w:pos="7360" w:val="left"/>
          <w:tab w:leader="none" w:pos="894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06" w:lineRule="exact"/>
        <w:rPr>
          <w:sz w:val="20"/>
          <w:szCs w:val="20"/>
          <w:color w:val="auto"/>
        </w:rPr>
      </w:pPr>
    </w:p>
    <w:p>
      <w:pPr>
        <w:ind w:left="540" w:right="7680" w:hanging="532"/>
        <w:spacing w:after="0" w:line="268" w:lineRule="auto"/>
        <w:tabs>
          <w:tab w:leader="none" w:pos="5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w:t>
      </w:r>
    </w:p>
    <w:p>
      <w:pPr>
        <w:ind w:left="540"/>
        <w:spacing w:after="0"/>
        <w:tabs>
          <w:tab w:leader="none" w:pos="3680" w:val="left"/>
          <w:tab w:leader="none" w:pos="5780" w:val="left"/>
          <w:tab w:leader="none" w:pos="7360" w:val="left"/>
          <w:tab w:leader="none" w:pos="946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1,039,819</w:t>
      </w:r>
      <w:r>
        <w:rPr>
          <w:sz w:val="20"/>
          <w:szCs w:val="20"/>
          <w:color w:val="auto"/>
        </w:rPr>
        <w:tab/>
      </w:r>
      <w:r>
        <w:rPr>
          <w:rFonts w:ascii="Courier New" w:cs="Courier New" w:eastAsia="Courier New" w:hAnsi="Courier New"/>
          <w:sz w:val="16"/>
          <w:szCs w:val="16"/>
          <w:color w:val="auto"/>
        </w:rPr>
        <w:t>1,039,819</w:t>
      </w:r>
    </w:p>
    <w:p>
      <w:pPr>
        <w:spacing w:after="0" w:line="208" w:lineRule="exact"/>
        <w:rPr>
          <w:sz w:val="20"/>
          <w:szCs w:val="20"/>
          <w:color w:val="auto"/>
        </w:rPr>
      </w:pPr>
    </w:p>
    <w:p>
      <w:pPr>
        <w:ind w:left="540" w:right="7800" w:hanging="532"/>
        <w:spacing w:after="0" w:line="236"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sz w:val="20"/>
          <w:szCs w:val="20"/>
          <w:color w:val="auto"/>
        </w:rPr>
      </w:pPr>
    </w:p>
    <w:p>
      <w:pPr>
        <w:ind w:left="540"/>
        <w:spacing w:after="0"/>
        <w:tabs>
          <w:tab w:leader="none" w:pos="3680" w:val="left"/>
          <w:tab w:leader="none" w:pos="5780" w:val="left"/>
          <w:tab w:leader="none" w:pos="7360" w:val="left"/>
          <w:tab w:leader="none" w:pos="894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07" w:lineRule="exact"/>
        <w:rPr>
          <w:sz w:val="20"/>
          <w:szCs w:val="20"/>
          <w:color w:val="auto"/>
        </w:rPr>
      </w:pPr>
    </w:p>
    <w:p>
      <w:pPr>
        <w:ind w:left="540" w:right="7900" w:hanging="532"/>
        <w:spacing w:after="0" w:line="268" w:lineRule="auto"/>
        <w:tabs>
          <w:tab w:leader="none" w:pos="5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ind w:left="540"/>
        <w:spacing w:after="0"/>
        <w:tabs>
          <w:tab w:leader="none" w:pos="3680" w:val="left"/>
          <w:tab w:leader="none" w:pos="5780" w:val="left"/>
          <w:tab w:leader="none" w:pos="7360" w:val="left"/>
          <w:tab w:leader="none" w:pos="894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ALL</w:t>
      </w:r>
      <w:r>
        <w:rPr>
          <w:sz w:val="20"/>
          <w:szCs w:val="20"/>
          <w:color w:val="auto"/>
        </w:rPr>
        <w:tab/>
      </w:r>
      <w:r>
        <w:rPr>
          <w:rFonts w:ascii="Courier New" w:cs="Courier New" w:eastAsia="Courier New" w:hAnsi="Courier New"/>
          <w:sz w:val="18"/>
          <w:szCs w:val="18"/>
          <w:color w:val="auto"/>
        </w:rPr>
        <w:t>ALL</w:t>
      </w:r>
      <w:r>
        <w:rPr>
          <w:sz w:val="20"/>
          <w:szCs w:val="20"/>
          <w:color w:val="auto"/>
        </w:rPr>
        <w:tab/>
      </w:r>
      <w:r>
        <w:rPr>
          <w:rFonts w:ascii="Courier New" w:cs="Courier New" w:eastAsia="Courier New" w:hAnsi="Courier New"/>
          <w:sz w:val="16"/>
          <w:szCs w:val="16"/>
          <w:color w:val="auto"/>
        </w:rPr>
        <w:t>ALL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320"/>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X ).</w:t>
      </w:r>
    </w:p>
    <w:p>
      <w:pPr>
        <w:spacing w:after="0" w:line="207"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8"/>
          <w:szCs w:val="18"/>
          <w:color w:val="auto"/>
        </w:rPr>
        <w:t>Item 6. Ownership of More than Five/Ten Percent on Behalf of Another Person:</w:t>
      </w:r>
    </w:p>
    <w:p>
      <w:pPr>
        <w:spacing w:after="0" w:line="6" w:lineRule="exact"/>
        <w:rPr>
          <w:sz w:val="20"/>
          <w:szCs w:val="20"/>
          <w:color w:val="auto"/>
        </w:rPr>
      </w:pPr>
    </w:p>
    <w:p>
      <w:pPr>
        <w:ind w:right="4320"/>
        <w:spacing w:after="0" w:line="238" w:lineRule="auto"/>
        <w:rPr>
          <w:sz w:val="20"/>
          <w:szCs w:val="20"/>
          <w:color w:val="auto"/>
        </w:rPr>
      </w:pPr>
      <w:r>
        <w:rPr>
          <w:rFonts w:ascii="Courier New" w:cs="Courier New" w:eastAsia="Courier New" w:hAnsi="Courier New"/>
          <w:sz w:val="18"/>
          <w:szCs w:val="18"/>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207" w:lineRule="exact"/>
        <w:rPr>
          <w:sz w:val="20"/>
          <w:szCs w:val="20"/>
          <w:color w:val="auto"/>
        </w:rPr>
      </w:pPr>
    </w:p>
    <w:p>
      <w:pPr>
        <w:ind w:right="432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9" w:lineRule="exact"/>
        <w:rPr>
          <w:sz w:val="20"/>
          <w:szCs w:val="20"/>
          <w:color w:val="auto"/>
        </w:rPr>
      </w:pPr>
    </w:p>
    <w:p>
      <w:pPr>
        <w:ind w:right="4320"/>
        <w:spacing w:after="0" w:line="290" w:lineRule="auto"/>
        <w:rPr>
          <w:sz w:val="20"/>
          <w:szCs w:val="20"/>
          <w:color w:val="auto"/>
        </w:rPr>
      </w:pPr>
      <w:r>
        <w:rPr>
          <w:rFonts w:ascii="Courier New" w:cs="Courier New" w:eastAsia="Courier New" w:hAnsi="Courier New"/>
          <w:sz w:val="16"/>
          <w:szCs w:val="16"/>
          <w:color w:val="auto"/>
        </w:rPr>
        <w:t>PI, which is a wholly-owned subsidiary of M&amp;MC, wholly owns two registered investment advisers: Putnam Investment</w:t>
      </w:r>
    </w:p>
    <w:p>
      <w:pPr>
        <w:sectPr>
          <w:pgSz w:w="11900" w:h="16838" w:orient="portrait"/>
          <w:cols w:equalWidth="0" w:num="1">
            <w:col w:w="10540"/>
          </w:cols>
          <w:pgMar w:left="240" w:top="136" w:right="1119" w:bottom="0" w:gutter="0" w:footer="0" w:header="0"/>
          <w:type w:val="continuous"/>
        </w:sectPr>
      </w:pPr>
    </w:p>
    <w:bookmarkStart w:id="6" w:name="page7"/>
    <w:bookmarkEnd w:id="6"/>
    <w:p>
      <w:pPr>
        <w:ind w:right="3899"/>
        <w:spacing w:after="0" w:line="238" w:lineRule="auto"/>
        <w:rPr>
          <w:sz w:val="20"/>
          <w:szCs w:val="20"/>
          <w:color w:val="auto"/>
        </w:rPr>
      </w:pPr>
      <w:r>
        <w:rPr>
          <w:rFonts w:ascii="Courier New" w:cs="Courier New" w:eastAsia="Courier New" w:hAnsi="Courier New"/>
          <w:sz w:val="18"/>
          <w:szCs w:val="18"/>
          <w:color w:val="auto"/>
        </w:rPr>
        <w:t>Management, Inc., which is the investment adviser to the Putnam family of mutual funds and The Putnam Advisory Company, Inc., which is the investment adviser to Putnam's institutional clients. Both subsidiaries have dispository power over the shares as investment managers, but each of the mutual fund's trustees have voting power over the shares held by each fund, and The Putnam Advisory Company, Inc.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208"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9 of 10 Pages</w:t>
      </w:r>
    </w:p>
    <w:p>
      <w:pPr>
        <w:spacing w:after="0" w:line="207"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9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/s/Frederick S. Marius</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ind w:left="540"/>
        <w:spacing w:after="0" w:line="238" w:lineRule="auto"/>
        <w:rPr>
          <w:sz w:val="20"/>
          <w:szCs w:val="20"/>
          <w:color w:val="auto"/>
        </w:rPr>
      </w:pPr>
      <w:r>
        <w:rPr>
          <w:rFonts w:ascii="Courier New" w:cs="Courier New" w:eastAsia="Courier New" w:hAnsi="Courier New"/>
          <w:sz w:val="18"/>
          <w:szCs w:val="18"/>
          <w:color w:val="auto"/>
        </w:rPr>
        <w:t>Vice President and Counsel</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16, 1998</w:t>
      </w:r>
    </w:p>
    <w:p>
      <w:pPr>
        <w:spacing w:after="0" w:line="200" w:lineRule="exact"/>
        <w:rPr>
          <w:sz w:val="20"/>
          <w:szCs w:val="20"/>
          <w:color w:val="auto"/>
        </w:rPr>
      </w:pP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pacing w:after="0" w:line="210"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For this and all future filings, reference is made to an Agreement dated June 28, 1990, with respect to one filing of Schedule 13G on behalf of said entities,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14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decimal"/>
      <w:start w:val="2"/>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3"/>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4"/>
    </w:lvl>
  </w:abstractNum>
  <w:abstractNum w:abstractNumId="8">
    <w:nsid w:val="725A06FB"/>
    <w:multiLevelType w:val="hybridMultilevel"/>
    <w:lvl w:ilvl="0">
      <w:lvlJc w:val="left"/>
      <w:lvlText w:val="-"/>
      <w:numFmt w:val="bullet"/>
      <w:start w:val="1"/>
    </w:lvl>
    <w:lvl w:ilvl="1">
      <w:lvlJc w:val="left"/>
      <w:lvlText w:val="%2."/>
      <w:numFmt w:val="decimal"/>
      <w:start w:val="5"/>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9"/>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0"/>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1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12"/>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decimal"/>
      <w:start w:val="1"/>
    </w:lvl>
    <w:lvl w:ilvl="1">
      <w:lvlJc w:val="left"/>
      <w:lvlText w:val="%2"/>
      <w:numFmt w:val="upperLetter"/>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2"/>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1."/>
      <w:numFmt w:val="decimal"/>
      <w:start w:val="3"/>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decimal"/>
      <w:start w:val="4"/>
    </w:lvl>
  </w:abstractNum>
  <w:abstractNum w:abstractNumId="26">
    <w:nsid w:val="70C6A529"/>
    <w:multiLevelType w:val="hybridMultilevel"/>
    <w:lvl w:ilvl="0">
      <w:lvlJc w:val="left"/>
      <w:lvlText w:val="-"/>
      <w:numFmt w:val="bullet"/>
      <w:start w:val="1"/>
    </w:lvl>
    <w:lvl w:ilvl="1">
      <w:lvlJc w:val="left"/>
      <w:lvlText w:val="%2."/>
      <w:numFmt w:val="decimal"/>
      <w:start w:val="5"/>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9"/>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decimal"/>
      <w:start w:val="10"/>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1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12"/>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decimal"/>
      <w:start w:val="2"/>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1."/>
      <w:numFmt w:val="decimal"/>
      <w:start w:val="3"/>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4"/>
    </w:lvl>
  </w:abstractNum>
  <w:abstractNum w:abstractNumId="44">
    <w:nsid w:val="61574095"/>
    <w:multiLevelType w:val="hybridMultilevel"/>
    <w:lvl w:ilvl="0">
      <w:lvlJc w:val="left"/>
      <w:lvlText w:val="-"/>
      <w:numFmt w:val="bullet"/>
      <w:start w:val="1"/>
    </w:lvl>
    <w:lvl w:ilvl="1">
      <w:lvlJc w:val="left"/>
      <w:lvlText w:val="%2."/>
      <w:numFmt w:val="decimal"/>
      <w:start w:val="5"/>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9"/>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decimal"/>
      <w:start w:val="10"/>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decimal"/>
      <w:start w:val="1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decimal"/>
      <w:start w:val="12"/>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decimal"/>
      <w:start w:val="1"/>
    </w:lvl>
    <w:lvl w:ilvl="1">
      <w:lvlJc w:val="left"/>
      <w:lvlText w:val="%2"/>
      <w:numFmt w:val="upperLetter"/>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decimal"/>
      <w:start w:val="2"/>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3"/>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decimal"/>
      <w:start w:val="4"/>
    </w:lvl>
  </w:abstractNum>
  <w:abstractNum w:abstractNumId="62">
    <w:nsid w:val="799D0247"/>
    <w:multiLevelType w:val="hybridMultilevel"/>
    <w:lvl w:ilvl="0">
      <w:lvlJc w:val="left"/>
      <w:lvlText w:val="-"/>
      <w:numFmt w:val="bullet"/>
      <w:start w:val="1"/>
    </w:lvl>
    <w:lvl w:ilvl="1">
      <w:lvlJc w:val="left"/>
      <w:lvlText w:val="%2."/>
      <w:numFmt w:val="decimal"/>
      <w:start w:val="5"/>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decimal"/>
      <w:start w:val="9"/>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0"/>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decimal"/>
      <w:start w:val="1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decimal"/>
      <w:start w:val="12"/>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lvl w:ilvl="1">
      <w:lvlJc w:val="left"/>
      <w:lvlText w:val="**"/>
      <w:numFmt w:val="bullet"/>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3"/>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2"/>
    </w:lvl>
  </w:abstractNum>
  <w:abstractNum w:abstractNumId="77">
    <w:nsid w:val="8F2B15E"/>
    <w:multiLevelType w:val="hybridMultilevel"/>
    <w:lvl w:ilvl="0">
      <w:lvlJc w:val="left"/>
      <w:lvlText w:val="(%1)"/>
      <w:numFmt w:val="decimal"/>
      <w:start w:val="3"/>
    </w:lvl>
  </w:abstractNum>
  <w:abstractNum w:abstractNumId="78">
    <w:nsid w:val="1A32234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2019-12-13T07:37:32Z</dcterms:created>
  <dcterms:modified xsi:type="dcterms:W3CDTF">2019-12-13T07:37:32Z</dcterms:modified>
</cp:coreProperties>
</file>