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292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2922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88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01/29/2009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88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8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jc w:val="center"/>
              <w:ind w:left="689"/>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89"/>
              <w:spacing w:after="0"/>
              <w:rPr>
                <w:sz w:val="20"/>
                <w:szCs w:val="20"/>
                <w:color w:val="auto"/>
              </w:rPr>
            </w:pPr>
            <w:r>
              <w:rPr>
                <w:rFonts w:ascii="Arial" w:cs="Arial" w:eastAsia="Arial" w:hAnsi="Arial"/>
                <w:sz w:val="17"/>
                <w:szCs w:val="17"/>
                <w:color w:val="0000FF"/>
                <w:w w:val="93"/>
              </w:rPr>
              <w:t>01/29/2009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46,667</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369,007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89"/>
              <w:spacing w:after="0"/>
              <w:rPr>
                <w:sz w:val="20"/>
                <w:szCs w:val="20"/>
                <w:color w:val="auto"/>
              </w:rPr>
            </w:pPr>
            <w:r>
              <w:rPr>
                <w:rFonts w:ascii="Arial" w:cs="Arial" w:eastAsia="Arial" w:hAnsi="Arial"/>
                <w:sz w:val="17"/>
                <w:szCs w:val="17"/>
                <w:color w:val="0000FF"/>
                <w:w w:val="93"/>
              </w:rPr>
              <w:t>01/29/2009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46,667</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415,674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89"/>
              <w:spacing w:after="0"/>
              <w:rPr>
                <w:sz w:val="20"/>
                <w:szCs w:val="20"/>
                <w:color w:val="auto"/>
              </w:rPr>
            </w:pPr>
            <w:r>
              <w:rPr>
                <w:rFonts w:ascii="Arial" w:cs="Arial" w:eastAsia="Arial" w:hAnsi="Arial"/>
                <w:sz w:val="17"/>
                <w:szCs w:val="17"/>
                <w:color w:val="0000FF"/>
                <w:w w:val="93"/>
              </w:rPr>
              <w:t>01/30/2009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50,000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left="8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14.87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365,674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406.36</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3,167.39</w:t>
            </w:r>
            <w:r>
              <w:rPr>
                <w:rFonts w:ascii="Arial" w:cs="Arial" w:eastAsia="Arial" w:hAnsi="Arial"/>
                <w:sz w:val="22"/>
                <w:szCs w:val="22"/>
                <w:color w:val="008000"/>
                <w:w w:val="87"/>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8"/>
                <w:szCs w:val="18"/>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140,000</w:t>
            </w:r>
          </w:p>
        </w:tc>
        <w:tc>
          <w:tcPr>
            <w:tcW w:w="280" w:type="dxa"/>
            <w:vAlign w:val="bottom"/>
          </w:tcPr>
          <w:p>
            <w:pPr>
              <w:spacing w:after="0"/>
              <w:rPr>
                <w:sz w:val="18"/>
                <w:szCs w:val="18"/>
                <w:color w:val="auto"/>
              </w:rPr>
            </w:pPr>
          </w:p>
        </w:tc>
        <w:tc>
          <w:tcPr>
            <w:tcW w:w="780" w:type="dxa"/>
            <w:vAlign w:val="bottom"/>
            <w:gridSpan w:val="2"/>
          </w:tcPr>
          <w:p>
            <w:pPr>
              <w:jc w:val="center"/>
              <w:ind w:right="3"/>
              <w:spacing w:after="0"/>
              <w:rPr>
                <w:sz w:val="20"/>
                <w:szCs w:val="20"/>
                <w:color w:val="auto"/>
              </w:rPr>
            </w:pPr>
            <w:r>
              <w:rPr>
                <w:rFonts w:ascii="Arial" w:cs="Arial" w:eastAsia="Arial" w:hAnsi="Arial"/>
                <w:sz w:val="11"/>
                <w:szCs w:val="11"/>
                <w:color w:val="008000"/>
                <w:w w:val="88"/>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01/29/2019</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140,000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140,000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ind w:left="6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8"/>
                <w:szCs w:val="18"/>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140,000</w:t>
            </w:r>
          </w:p>
        </w:tc>
        <w:tc>
          <w:tcPr>
            <w:tcW w:w="280" w:type="dxa"/>
            <w:vAlign w:val="bottom"/>
          </w:tcPr>
          <w:p>
            <w:pPr>
              <w:spacing w:after="0"/>
              <w:rPr>
                <w:sz w:val="18"/>
                <w:szCs w:val="18"/>
                <w:color w:val="auto"/>
              </w:rPr>
            </w:pPr>
          </w:p>
        </w:tc>
        <w:tc>
          <w:tcPr>
            <w:tcW w:w="780" w:type="dxa"/>
            <w:vAlign w:val="bottom"/>
            <w:gridSpan w:val="2"/>
          </w:tcPr>
          <w:p>
            <w:pPr>
              <w:jc w:val="center"/>
              <w:ind w:right="3"/>
              <w:spacing w:after="0"/>
              <w:rPr>
                <w:sz w:val="20"/>
                <w:szCs w:val="20"/>
                <w:color w:val="auto"/>
              </w:rPr>
            </w:pPr>
            <w:r>
              <w:rPr>
                <w:rFonts w:ascii="Arial" w:cs="Arial" w:eastAsia="Arial" w:hAnsi="Arial"/>
                <w:sz w:val="11"/>
                <w:szCs w:val="11"/>
                <w:color w:val="008000"/>
                <w:w w:val="88"/>
              </w:rPr>
              <w:t>(7)</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01/29/2019</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140,000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140,000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effected pursuant to a Rule 10b5-1 trading plan entered into by the reporting person on 8-3-08.</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12-31-08. (Interests in this account are denominated in units. Consequently, share amount shown is an estimate.) This statement does not include changes in beneficial ownership of shares held in this account occurring after 12-31-08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option grant; becomes exercisable in four equal annual installments beginning on January 29, 2010.</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8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2019-12-16T23:27:32Z</dcterms:created>
  <dcterms:modified xsi:type="dcterms:W3CDTF">2019-12-16T23:27:32Z</dcterms:modified>
</cp:coreProperties>
</file>