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4"/>
          <w:szCs w:val="24"/>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55" w:orient="portrait"/>
          <w:cols w:equalWidth="0" w:num="1">
            <w:col w:w="10219"/>
          </w:cols>
          <w:pgMar w:left="240" w:top="447"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1900" w:right="6639" w:hanging="523"/>
        <w:spacing w:after="0" w:line="470" w:lineRule="auto"/>
        <w:tabs>
          <w:tab w:leader="none" w:pos="179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 OWNED BY</w:t>
      </w:r>
    </w:p>
    <w:p>
      <w:pPr>
        <w:ind w:left="1380"/>
        <w:spacing w:after="0" w:line="238" w:lineRule="auto"/>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108,168,820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5" w:lineRule="exact"/>
        <w:rPr>
          <w:sz w:val="20"/>
          <w:szCs w:val="20"/>
          <w:color w:val="auto"/>
        </w:rPr>
      </w:pPr>
    </w:p>
    <w:p>
      <w:pPr>
        <w:ind w:left="1900" w:right="589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6"/>
          <w:szCs w:val="16"/>
          <w:color w:val="auto"/>
        </w:rPr>
        <w:t>108,168,820</w:t>
      </w:r>
      <w:r>
        <w:rPr>
          <w:sz w:val="20"/>
          <w:szCs w:val="20"/>
          <w:color w:val="auto"/>
        </w:rPr>
        <w:tab/>
      </w:r>
      <w:r>
        <w:rPr>
          <w:rFonts w:ascii="Courier New" w:cs="Courier New" w:eastAsia="Courier New" w:hAnsi="Courier New"/>
          <w:sz w:val="16"/>
          <w:szCs w:val="16"/>
          <w:color w:val="auto"/>
        </w:rPr>
        <w:t>Beneficial ownership disclaimed pursuant to Rule 13d-</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540" w:right="2519" w:hanging="427"/>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339"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339" w:right="1440" w:bottom="0" w:gutter="0" w:footer="0" w:header="0"/>
          <w:type w:val="continuous"/>
        </w:sectPr>
      </w:pP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479" w:hanging="535"/>
        <w:spacing w:after="0" w:line="235" w:lineRule="auto"/>
        <w:tabs>
          <w:tab w:leader="none" w:pos="170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740"/>
              <w:spacing w:after="0"/>
              <w:rPr>
                <w:sz w:val="20"/>
                <w:szCs w:val="20"/>
                <w:color w:val="auto"/>
              </w:rPr>
            </w:pPr>
            <w:r>
              <w:rPr>
                <w:rFonts w:ascii="Courier New" w:cs="Courier New" w:eastAsia="Courier New" w:hAnsi="Courier New"/>
                <w:sz w:val="18"/>
                <w:szCs w:val="18"/>
                <w:color w:val="auto"/>
              </w:rPr>
              <w:t>Capital</w:t>
            </w:r>
          </w:p>
        </w:tc>
        <w:tc>
          <w:tcPr>
            <w:tcW w:w="2520" w:type="dxa"/>
            <w:vAlign w:val="bottom"/>
            <w:gridSpan w:val="4"/>
          </w:tcPr>
          <w:p>
            <w:pPr>
              <w:ind w:left="40"/>
              <w:spacing w:after="0"/>
              <w:rPr>
                <w:sz w:val="20"/>
                <w:szCs w:val="20"/>
                <w:color w:val="auto"/>
              </w:rPr>
            </w:pPr>
            <w:r>
              <w:rPr>
                <w:rFonts w:ascii="Courier New" w:cs="Courier New" w:eastAsia="Courier New" w:hAnsi="Courier New"/>
                <w:sz w:val="18"/>
                <w:szCs w:val="18"/>
                <w:color w:val="auto"/>
                <w:w w:val="99"/>
              </w:rPr>
              <w:t>Research and Management</w:t>
            </w:r>
          </w:p>
        </w:tc>
        <w:tc>
          <w:tcPr>
            <w:tcW w:w="384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8"/>
              </w:rPr>
              <w:t>Company, an investment adviser</w:t>
            </w:r>
          </w:p>
        </w:tc>
      </w:tr>
      <w:tr>
        <w:trPr>
          <w:trHeight w:val="203"/>
        </w:trPr>
        <w:tc>
          <w:tcPr>
            <w:tcW w:w="1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registered</w:t>
            </w:r>
          </w:p>
        </w:tc>
        <w:tc>
          <w:tcPr>
            <w:tcW w:w="1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under Section 203</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8"/>
              </w:rPr>
              <w:t>the Investment Advisers Act of</w:t>
            </w:r>
          </w:p>
        </w:tc>
      </w:tr>
      <w:tr>
        <w:trPr>
          <w:trHeight w:val="203"/>
        </w:trPr>
        <w:tc>
          <w:tcPr>
            <w:tcW w:w="1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1940 is</w:t>
            </w:r>
          </w:p>
        </w:tc>
        <w:tc>
          <w:tcPr>
            <w:tcW w:w="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deemed</w:t>
            </w:r>
          </w:p>
        </w:tc>
        <w:tc>
          <w:tcPr>
            <w:tcW w:w="56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be the beneficial owner of 108,168,820 shares</w:t>
            </w:r>
          </w:p>
        </w:tc>
      </w:tr>
      <w:tr>
        <w:trPr>
          <w:trHeight w:val="203"/>
        </w:trPr>
        <w:tc>
          <w:tcPr>
            <w:tcW w:w="1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or 6.3%</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1,731,230,980</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of Common Stock believed to</w:t>
            </w:r>
          </w:p>
        </w:tc>
      </w:tr>
      <w:tr>
        <w:trPr>
          <w:trHeight w:val="203"/>
        </w:trPr>
        <w:tc>
          <w:tcPr>
            <w:tcW w:w="228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be outstanding</w:t>
            </w:r>
          </w:p>
        </w:tc>
        <w:tc>
          <w:tcPr>
            <w:tcW w:w="56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as a result of acting as investment adviser to</w:t>
            </w:r>
          </w:p>
        </w:tc>
      </w:tr>
      <w:tr>
        <w:trPr>
          <w:trHeight w:val="203"/>
        </w:trPr>
        <w:tc>
          <w:tcPr>
            <w:tcW w:w="1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various</w:t>
            </w:r>
          </w:p>
        </w:tc>
        <w:tc>
          <w:tcPr>
            <w:tcW w:w="2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investment companies</w:t>
            </w:r>
          </w:p>
        </w:tc>
        <w:tc>
          <w:tcPr>
            <w:tcW w:w="41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8"/>
              </w:rPr>
              <w:t>registered under Section 8 of the</w:t>
            </w:r>
          </w:p>
        </w:tc>
      </w:tr>
      <w:tr>
        <w:trPr>
          <w:trHeight w:val="203"/>
        </w:trPr>
        <w:tc>
          <w:tcPr>
            <w:tcW w:w="1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Investment</w:t>
            </w:r>
          </w:p>
        </w:tc>
        <w:tc>
          <w:tcPr>
            <w:tcW w:w="2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Company Act of 1940.</w:t>
            </w:r>
          </w:p>
        </w:tc>
        <w:tc>
          <w:tcPr>
            <w:tcW w:w="3840" w:type="dxa"/>
            <w:vAlign w:val="bottom"/>
          </w:tcPr>
          <w:p>
            <w:pPr>
              <w:spacing w:after="0"/>
              <w:rPr>
                <w:sz w:val="17"/>
                <w:szCs w:val="17"/>
                <w:color w:val="auto"/>
              </w:rPr>
            </w:pP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882508104</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 3 of 5</w:t>
            </w:r>
          </w:p>
        </w:tc>
      </w:tr>
    </w:tbl>
    <w:p>
      <w:pPr>
        <w:spacing w:after="0" w:line="200" w:lineRule="exact"/>
        <w:rPr>
          <w:sz w:val="20"/>
          <w:szCs w:val="20"/>
          <w:color w:val="auto"/>
        </w:rPr>
      </w:pPr>
    </w:p>
    <w:p>
      <w:pPr>
        <w:spacing w:after="0" w:line="209"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Shares reported by Capital Research and Management Company, include 36,000 shares resulting from the assumed conversion of $1,600,000 principal amount of the Burr-Brown Corporation 4.25% Convertible Note, due 2/15/07; and include 188,980 shares resulting from the assumed conversion of $8,400,000 principal amount of the Burr-Brown Corporation 4.25% 144A Convertible Subordinate Note, due 2/15/07.</w:t>
      </w:r>
    </w:p>
    <w:p>
      <w:pPr>
        <w:spacing w:after="0" w:line="211"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2003</w:t>
      </w:r>
    </w:p>
    <w:p>
      <w:pPr>
        <w:sectPr>
          <w:pgSz w:w="11900" w:h="16838" w:orient="portrait"/>
          <w:cols w:equalWidth="0" w:num="1">
            <w:col w:w="10219"/>
          </w:cols>
          <w:pgMar w:left="240" w:top="339" w:right="1440" w:bottom="0" w:gutter="0" w:footer="0" w:header="0"/>
        </w:sectPr>
      </w:pPr>
    </w:p>
    <w:bookmarkStart w:id="3" w:name="page4"/>
    <w:bookmarkEnd w:id="3"/>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ind w:left="860"/>
        <w:spacing w:after="0" w:line="238" w:lineRule="auto"/>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40"/>
        <w:spacing w:after="0"/>
        <w:rPr>
          <w:sz w:val="20"/>
          <w:szCs w:val="20"/>
          <w:color w:val="auto"/>
        </w:rPr>
      </w:pPr>
      <w:r>
        <w:rPr>
          <w:rFonts w:ascii="Courier New" w:cs="Courier New" w:eastAsia="Courier New" w:hAnsi="Courier New"/>
          <w:sz w:val="18"/>
          <w:szCs w:val="18"/>
          <w:color w:val="auto"/>
        </w:rPr>
        <w:t>President</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1">
            <w:col w:w="10219"/>
          </w:cols>
          <w:pgMar w:left="240" w:top="136" w:right="1440" w:bottom="5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5</w:t>
      </w:r>
    </w:p>
    <w:p>
      <w:pPr>
        <w:spacing w:after="0" w:line="200" w:lineRule="exact"/>
        <w:rPr>
          <w:sz w:val="20"/>
          <w:szCs w:val="20"/>
          <w:color w:val="auto"/>
        </w:rPr>
      </w:pPr>
    </w:p>
    <w:p>
      <w:pPr>
        <w:sectPr>
          <w:pgSz w:w="11900" w:h="16838" w:orient="portrait"/>
          <w:cols w:equalWidth="0" w:num="2">
            <w:col w:w="6020" w:space="720"/>
            <w:col w:w="3479"/>
          </w:cols>
          <w:pgMar w:left="240" w:top="136" w:right="1440" w:bottom="537" w:gutter="0" w:footer="0" w:header="0"/>
          <w:type w:val="continuous"/>
        </w:sectPr>
      </w:pPr>
    </w:p>
    <w:p>
      <w:pPr>
        <w:spacing w:after="0" w:line="22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Anna Jacobs Griffith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Anna Jacobs Griffith</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36" w:right="1440" w:bottom="537" w:gutter="0" w:footer="0" w:header="0"/>
          <w:type w:val="continuous"/>
        </w:sectPr>
      </w:pPr>
    </w:p>
    <w:p>
      <w:pPr>
        <w:spacing w:after="0" w:line="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9, 2002 included as an Exhibit to Schedule 13G filed with the Securities and Exchange Commission by Capital Research and Management Company on January 10, 2002 with respect to HotJobs.Com,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36" w:right="1440" w:bottom="5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8"/>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2019-12-12T10:20:53Z</dcterms:created>
  <dcterms:modified xsi:type="dcterms:W3CDTF">2019-12-12T10:20:53Z</dcterms:modified>
</cp:coreProperties>
</file>