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62230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41275</wp:posOffset>
            </wp:positionV>
            <wp:extent cx="4166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368" w:lineRule="exact"/>
        <w:rPr>
          <w:sz w:val="24"/>
          <w:szCs w:val="24"/>
          <w:color w:val="auto"/>
        </w:rPr>
      </w:pPr>
    </w:p>
    <w:p>
      <w:pPr>
        <w:ind w:left="760" w:right="340" w:hanging="734"/>
        <w:spacing w:after="0" w:line="256" w:lineRule="auto"/>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08" w:lineRule="exact"/>
        <w:rPr>
          <w:sz w:val="24"/>
          <w:szCs w:val="24"/>
          <w:color w:val="auto"/>
        </w:rPr>
      </w:pPr>
    </w:p>
    <w:p>
      <w:pPr>
        <w:ind w:left="760" w:right="320" w:hanging="734"/>
        <w:spacing w:after="0" w:line="256" w:lineRule="auto"/>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0"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34290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347" w:lineRule="exact"/>
        <w:rPr>
          <w:sz w:val="24"/>
          <w:szCs w:val="24"/>
          <w:color w:val="auto"/>
        </w:rPr>
      </w:pPr>
    </w:p>
    <w:tbl>
      <w:tblPr>
        <w:tblLayout w:type="fixed"/>
        <w:tblInd w:w="1580" w:type="dxa"/>
        <w:tblCellMar>
          <w:top w:w="0" w:type="dxa"/>
          <w:left w:w="0" w:type="dxa"/>
          <w:bottom w:w="0" w:type="dxa"/>
          <w:right w:w="0" w:type="dxa"/>
        </w:tblCellMar>
      </w:tblPr>
      <w:tr>
        <w:trPr>
          <w:trHeight w:val="234"/>
        </w:trPr>
        <w:tc>
          <w:tcPr>
            <w:tcW w:w="4180" w:type="dxa"/>
            <w:vAlign w:val="bottom"/>
          </w:tcPr>
          <w:p>
            <w:pPr>
              <w:jc w:val="center"/>
              <w:ind w:right="1499"/>
              <w:spacing w:after="0"/>
              <w:rPr>
                <w:sz w:val="20"/>
                <w:szCs w:val="20"/>
                <w:color w:val="auto"/>
              </w:rPr>
            </w:pPr>
            <w:r>
              <w:rPr>
                <w:rFonts w:ascii="Arial" w:cs="Arial" w:eastAsia="Arial" w:hAnsi="Arial"/>
                <w:sz w:val="18"/>
                <w:szCs w:val="18"/>
                <w:b w:val="1"/>
                <w:bCs w:val="1"/>
                <w:color w:val="auto"/>
                <w:w w:val="91"/>
              </w:rPr>
              <w:t>Delaware</w:t>
            </w:r>
          </w:p>
        </w:tc>
        <w:tc>
          <w:tcPr>
            <w:tcW w:w="3760" w:type="dxa"/>
            <w:vAlign w:val="bottom"/>
          </w:tcPr>
          <w:p>
            <w:pPr>
              <w:jc w:val="right"/>
              <w:ind w:right="579"/>
              <w:spacing w:after="0"/>
              <w:rPr>
                <w:sz w:val="20"/>
                <w:szCs w:val="20"/>
                <w:color w:val="auto"/>
              </w:rPr>
            </w:pPr>
            <w:r>
              <w:rPr>
                <w:rFonts w:ascii="Arial" w:cs="Arial" w:eastAsia="Arial" w:hAnsi="Arial"/>
                <w:sz w:val="18"/>
                <w:szCs w:val="18"/>
                <w:b w:val="1"/>
                <w:bCs w:val="1"/>
                <w:color w:val="auto"/>
              </w:rPr>
              <w:t>75-0289970</w:t>
            </w:r>
          </w:p>
        </w:tc>
      </w:tr>
      <w:tr>
        <w:trPr>
          <w:trHeight w:val="218"/>
        </w:trPr>
        <w:tc>
          <w:tcPr>
            <w:tcW w:w="4180" w:type="dxa"/>
            <w:vAlign w:val="bottom"/>
          </w:tcPr>
          <w:p>
            <w:pPr>
              <w:jc w:val="center"/>
              <w:ind w:right="1479"/>
              <w:spacing w:after="0"/>
              <w:rPr>
                <w:sz w:val="20"/>
                <w:szCs w:val="20"/>
                <w:color w:val="auto"/>
              </w:rPr>
            </w:pPr>
            <w:r>
              <w:rPr>
                <w:rFonts w:ascii="Arial" w:cs="Arial" w:eastAsia="Arial" w:hAnsi="Arial"/>
                <w:sz w:val="14"/>
                <w:szCs w:val="14"/>
                <w:b w:val="1"/>
                <w:bCs w:val="1"/>
                <w:color w:val="auto"/>
                <w:w w:val="94"/>
              </w:rPr>
              <w:t>(State of Incorporation)</w:t>
            </w:r>
          </w:p>
        </w:tc>
        <w:tc>
          <w:tcPr>
            <w:tcW w:w="3760" w:type="dxa"/>
            <w:vAlign w:val="bottom"/>
          </w:tcPr>
          <w:p>
            <w:pPr>
              <w:jc w:val="center"/>
              <w:ind w:left="147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63"/>
        </w:trPr>
        <w:tc>
          <w:tcPr>
            <w:tcW w:w="4180" w:type="dxa"/>
            <w:vAlign w:val="bottom"/>
          </w:tcPr>
          <w:p>
            <w:pPr>
              <w:jc w:val="center"/>
              <w:ind w:right="1479"/>
              <w:spacing w:after="0"/>
              <w:rPr>
                <w:sz w:val="20"/>
                <w:szCs w:val="20"/>
                <w:color w:val="auto"/>
              </w:rPr>
            </w:pPr>
            <w:r>
              <w:rPr>
                <w:rFonts w:ascii="Arial" w:cs="Arial" w:eastAsia="Arial" w:hAnsi="Arial"/>
                <w:sz w:val="18"/>
                <w:szCs w:val="18"/>
                <w:b w:val="1"/>
                <w:bCs w:val="1"/>
                <w:color w:val="auto"/>
                <w:w w:val="90"/>
              </w:rPr>
              <w:t>12500 TI Boulevard, Dallas, Texas</w:t>
            </w:r>
          </w:p>
        </w:tc>
        <w:tc>
          <w:tcPr>
            <w:tcW w:w="3760" w:type="dxa"/>
            <w:vAlign w:val="bottom"/>
          </w:tcPr>
          <w:p>
            <w:pPr>
              <w:jc w:val="right"/>
              <w:ind w:right="779"/>
              <w:spacing w:after="0"/>
              <w:rPr>
                <w:sz w:val="20"/>
                <w:szCs w:val="20"/>
                <w:color w:val="auto"/>
              </w:rPr>
            </w:pPr>
            <w:r>
              <w:rPr>
                <w:rFonts w:ascii="Arial" w:cs="Arial" w:eastAsia="Arial" w:hAnsi="Arial"/>
                <w:sz w:val="18"/>
                <w:szCs w:val="18"/>
                <w:b w:val="1"/>
                <w:bCs w:val="1"/>
                <w:color w:val="auto"/>
              </w:rPr>
              <w:t>75243</w:t>
            </w:r>
          </w:p>
        </w:tc>
      </w:tr>
      <w:tr>
        <w:trPr>
          <w:trHeight w:val="218"/>
        </w:trPr>
        <w:tc>
          <w:tcPr>
            <w:tcW w:w="4180" w:type="dxa"/>
            <w:vAlign w:val="bottom"/>
          </w:tcPr>
          <w:p>
            <w:pPr>
              <w:jc w:val="center"/>
              <w:ind w:right="14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760" w:type="dxa"/>
            <w:vAlign w:val="bottom"/>
          </w:tcPr>
          <w:p>
            <w:pPr>
              <w:jc w:val="center"/>
              <w:ind w:left="1499"/>
              <w:spacing w:after="0"/>
              <w:rPr>
                <w:sz w:val="20"/>
                <w:szCs w:val="20"/>
                <w:color w:val="auto"/>
              </w:rPr>
            </w:pPr>
            <w:r>
              <w:rPr>
                <w:rFonts w:ascii="Arial" w:cs="Arial" w:eastAsia="Arial" w:hAnsi="Arial"/>
                <w:sz w:val="14"/>
                <w:szCs w:val="14"/>
                <w:b w:val="1"/>
                <w:bCs w:val="1"/>
                <w:color w:val="auto"/>
                <w:w w:val="95"/>
              </w:rPr>
              <w:t>(Zip Code)</w:t>
            </w:r>
          </w:p>
        </w:tc>
      </w:tr>
    </w:tbl>
    <w:p>
      <w:pPr>
        <w:spacing w:after="0" w:line="1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194945</wp:posOffset>
            </wp:positionV>
            <wp:extent cx="4166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30" w:type="dxa"/>
        <w:tblCellMar>
          <w:top w:w="0" w:type="dxa"/>
          <w:left w:w="0" w:type="dxa"/>
          <w:bottom w:w="0" w:type="dxa"/>
          <w:right w:w="0" w:type="dxa"/>
        </w:tblCellMar>
      </w:tblPr>
      <w:tr>
        <w:trPr>
          <w:trHeight w:val="257"/>
        </w:trPr>
        <w:tc>
          <w:tcPr>
            <w:tcW w:w="36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5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r>
      <w:tr>
        <w:trPr>
          <w:trHeight w:val="237"/>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$1.00</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TXN</w:t>
            </w:r>
          </w:p>
        </w:tc>
        <w:tc>
          <w:tcPr>
            <w:tcW w:w="5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504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ind w:right="2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37" w:lineRule="exact"/>
        <w:rPr>
          <w:sz w:val="24"/>
          <w:szCs w:val="24"/>
          <w:color w:val="auto"/>
        </w:rPr>
      </w:pPr>
    </w:p>
    <w:p>
      <w:pPr>
        <w:ind w:right="60"/>
        <w:spacing w:after="0" w:line="28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57" w:right="339" w:bottom="1440" w:gutter="0" w:footer="0" w:header="0"/>
        </w:sectPr>
      </w:pP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8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640"/>
              <w:spacing w:after="0"/>
              <w:rPr>
                <w:sz w:val="20"/>
                <w:szCs w:val="20"/>
                <w:color w:val="auto"/>
              </w:rPr>
            </w:pPr>
            <w:r>
              <w:rPr>
                <w:rFonts w:ascii="Arial" w:cs="Arial" w:eastAsia="Arial" w:hAnsi="Arial"/>
                <w:sz w:val="18"/>
                <w:szCs w:val="18"/>
                <w:color w:val="auto"/>
              </w:rPr>
              <w:t>Accelerated filer</w:t>
            </w:r>
          </w:p>
        </w:tc>
      </w:tr>
      <w:tr>
        <w:trPr>
          <w:trHeight w:val="270"/>
        </w:trPr>
        <w:tc>
          <w:tcPr>
            <w:tcW w:w="2860" w:type="dxa"/>
            <w:vAlign w:val="bottom"/>
          </w:tcPr>
          <w:p>
            <w:pPr>
              <w:spacing w:after="0"/>
              <w:rPr>
                <w:sz w:val="20"/>
                <w:szCs w:val="20"/>
                <w:color w:val="auto"/>
              </w:rPr>
            </w:pPr>
            <w:r>
              <w:rPr>
                <w:rFonts w:ascii="Arial" w:cs="Arial" w:eastAsia="Arial" w:hAnsi="Arial"/>
                <w:sz w:val="18"/>
                <w:szCs w:val="18"/>
                <w:color w:val="auto"/>
              </w:rPr>
              <w:t>Non-accelerated filer</w:t>
            </w:r>
          </w:p>
        </w:tc>
        <w:tc>
          <w:tcPr>
            <w:tcW w:w="268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640"/>
              <w:spacing w:after="0"/>
              <w:rPr>
                <w:sz w:val="20"/>
                <w:szCs w:val="20"/>
                <w:color w:val="auto"/>
              </w:rPr>
            </w:pPr>
            <w:r>
              <w:rPr>
                <w:rFonts w:ascii="Arial" w:cs="Arial" w:eastAsia="Arial" w:hAnsi="Arial"/>
                <w:sz w:val="18"/>
                <w:szCs w:val="18"/>
                <w:color w:val="auto"/>
                <w:w w:val="90"/>
              </w:rPr>
              <w:t>Smaller reporting company</w:t>
            </w:r>
          </w:p>
        </w:tc>
      </w:tr>
      <w:tr>
        <w:trPr>
          <w:trHeight w:val="270"/>
        </w:trPr>
        <w:tc>
          <w:tcPr>
            <w:tcW w:w="28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8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spacing w:after="0"/>
              <w:rPr>
                <w:sz w:val="23"/>
                <w:szCs w:val="23"/>
                <w:color w:val="auto"/>
              </w:rPr>
            </w:pPr>
          </w:p>
        </w:tc>
      </w:tr>
    </w:tbl>
    <w:p>
      <w:pPr>
        <w:spacing w:after="0" w:line="82" w:lineRule="exact"/>
        <w:rPr>
          <w:sz w:val="24"/>
          <w:szCs w:val="24"/>
          <w:color w:val="auto"/>
        </w:rPr>
      </w:pPr>
    </w:p>
    <w:p>
      <w:pPr>
        <w:ind w:lef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w:t>
      </w:r>
      <w:r>
        <w:rPr>
          <w:rFonts w:ascii="Arial" w:cs="Arial" w:eastAsia="Arial" w:hAnsi="Arial"/>
          <w:sz w:val="16"/>
          <w:szCs w:val="16"/>
          <w:color w:val="auto"/>
        </w:rPr>
        <w:t>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29"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915,943,779</w:t>
      </w:r>
    </w:p>
    <w:p>
      <w:pPr>
        <w:spacing w:after="0" w:line="117"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23" w:lineRule="exact"/>
        <w:rPr>
          <w:sz w:val="24"/>
          <w:szCs w:val="24"/>
          <w:color w:val="auto"/>
        </w:rPr>
      </w:pPr>
    </w:p>
    <w:p>
      <w:pPr>
        <w:jc w:val="center"/>
        <w:ind w:left="740"/>
        <w:spacing w:after="0"/>
        <w:rPr>
          <w:sz w:val="20"/>
          <w:szCs w:val="20"/>
          <w:color w:val="auto"/>
        </w:rPr>
      </w:pPr>
      <w:r>
        <w:rPr>
          <w:rFonts w:ascii="Arial" w:cs="Arial" w:eastAsia="Arial" w:hAnsi="Arial"/>
          <w:sz w:val="18"/>
          <w:szCs w:val="18"/>
          <w:color w:val="auto"/>
        </w:rPr>
        <w:t>July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6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500" w:space="400"/>
            <w:col w:w="340"/>
          </w:cols>
          <w:pgMar w:left="320" w:top="105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ind w:left="140"/>
              <w:spacing w:after="0"/>
              <w:rPr>
                <w:sz w:val="20"/>
                <w:szCs w:val="20"/>
                <w:color w:val="auto"/>
              </w:rPr>
            </w:pPr>
            <w:r>
              <w:rPr>
                <w:rFonts w:ascii="Arial" w:cs="Arial" w:eastAsia="Arial" w:hAnsi="Arial"/>
                <w:sz w:val="16"/>
                <w:szCs w:val="16"/>
                <w:b w:val="1"/>
                <w:bCs w:val="1"/>
                <w:color w:val="auto"/>
              </w:rPr>
              <w:t>For Three Months Ended</w:t>
            </w:r>
          </w:p>
        </w:tc>
        <w:tc>
          <w:tcPr>
            <w:tcW w:w="280" w:type="dxa"/>
            <w:vAlign w:val="bottom"/>
          </w:tcPr>
          <w:p>
            <w:pPr>
              <w:spacing w:after="0"/>
              <w:rPr>
                <w:sz w:val="18"/>
                <w:szCs w:val="18"/>
                <w:color w:val="auto"/>
              </w:rPr>
            </w:pPr>
          </w:p>
        </w:tc>
        <w:tc>
          <w:tcPr>
            <w:tcW w:w="224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For Six Months Ended</w:t>
            </w:r>
          </w:p>
        </w:tc>
      </w:tr>
      <w:tr>
        <w:trPr>
          <w:trHeight w:val="257"/>
        </w:trPr>
        <w:tc>
          <w:tcPr>
            <w:tcW w:w="610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Income</w:t>
            </w:r>
          </w:p>
        </w:tc>
        <w:tc>
          <w:tcPr>
            <w:tcW w:w="240" w:type="dxa"/>
            <w:vAlign w:val="bottom"/>
          </w:tcPr>
          <w:p>
            <w:pPr>
              <w:spacing w:after="0"/>
              <w:rPr>
                <w:sz w:val="22"/>
                <w:szCs w:val="22"/>
                <w:color w:val="auto"/>
              </w:rPr>
            </w:pPr>
          </w:p>
        </w:tc>
        <w:tc>
          <w:tcPr>
            <w:tcW w:w="14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22"/>
                <w:szCs w:val="22"/>
                <w:color w:val="auto"/>
              </w:rPr>
            </w:pPr>
          </w:p>
        </w:tc>
      </w:tr>
      <w:tr>
        <w:trPr>
          <w:trHeight w:val="33"/>
        </w:trPr>
        <w:tc>
          <w:tcPr>
            <w:tcW w:w="6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100" w:type="dxa"/>
            <w:vAlign w:val="bottom"/>
            <w:gridSpan w:val="2"/>
          </w:tcPr>
          <w:p>
            <w:pPr>
              <w:ind w:left="20"/>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4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6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3,239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3,668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6,568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7,262</w:t>
            </w:r>
          </w:p>
        </w:tc>
      </w:tr>
      <w:tr>
        <w:trPr>
          <w:trHeight w:val="224"/>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Cost of revenue (COR)</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1,308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2,398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2,641</w:t>
            </w:r>
          </w:p>
        </w:tc>
      </w:tr>
      <w:tr>
        <w:trPr>
          <w:trHeight w:val="33"/>
        </w:trPr>
        <w:tc>
          <w:tcPr>
            <w:tcW w:w="6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2,360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4,170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4,621</w:t>
            </w: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 (R&amp;D)</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756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779</w:t>
            </w:r>
          </w:p>
        </w:tc>
      </w:tr>
      <w:tr>
        <w:trPr>
          <w:trHeight w:val="33"/>
        </w:trPr>
        <w:tc>
          <w:tcPr>
            <w:tcW w:w="6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6"/>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(SG&amp;A)</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834</w:t>
            </w:r>
          </w:p>
        </w:tc>
      </w:tr>
      <w:tr>
        <w:trPr>
          <w:trHeight w:val="224"/>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Acquisition charges</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159</w:t>
            </w:r>
          </w:p>
        </w:tc>
      </w:tr>
      <w:tr>
        <w:trPr>
          <w:trHeight w:val="33"/>
        </w:trPr>
        <w:tc>
          <w:tcPr>
            <w:tcW w:w="6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Restructuring charges/other</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17"/>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1,228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1,506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2,472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2,885</w:t>
            </w:r>
          </w:p>
        </w:tc>
      </w:tr>
      <w:tr>
        <w:trPr>
          <w:trHeight w:val="33"/>
        </w:trPr>
        <w:tc>
          <w:tcPr>
            <w:tcW w:w="6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 (OI&amp;E)</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w:t>
            </w: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Interest and debt expense</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82</w:t>
            </w:r>
          </w:p>
        </w:tc>
      </w:tr>
      <w:tr>
        <w:trPr>
          <w:trHeight w:val="33"/>
        </w:trPr>
        <w:tc>
          <w:tcPr>
            <w:tcW w:w="6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2,891</w:t>
            </w: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369</w:t>
            </w:r>
          </w:p>
        </w:tc>
      </w:tr>
      <w:tr>
        <w:trPr>
          <w:trHeight w:val="33"/>
        </w:trPr>
        <w:tc>
          <w:tcPr>
            <w:tcW w:w="6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2"/>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2,522</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7"/>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Earnings per common share (EPS):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53"/>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2.75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2.67</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6"/>
        </w:trPr>
        <w:tc>
          <w:tcPr>
            <w:tcW w:w="61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2.63</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6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7"/>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Average shares outstanding (millions):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54"/>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923</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938</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75"/>
        </w:trPr>
        <w:tc>
          <w:tcPr>
            <w:tcW w:w="61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953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954</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A portion of net income is allocated to unvested restricted stock units (RSUs) on which we pay dividend equivalents. Diluted EPS is calculated using the following:</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2,554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2,522</w:t>
            </w:r>
          </w:p>
        </w:tc>
      </w:tr>
      <w:tr>
        <w:trPr>
          <w:trHeight w:val="223"/>
        </w:trPr>
        <w:tc>
          <w:tcPr>
            <w:tcW w:w="6100" w:type="dxa"/>
            <w:vAlign w:val="bottom"/>
          </w:tcPr>
          <w:p>
            <w:pPr>
              <w:ind w:left="20"/>
              <w:spacing w:after="0"/>
              <w:rPr>
                <w:sz w:val="20"/>
                <w:szCs w:val="20"/>
                <w:color w:val="auto"/>
              </w:rPr>
            </w:pPr>
            <w:r>
              <w:rPr>
                <w:rFonts w:ascii="Arial" w:cs="Arial" w:eastAsia="Arial" w:hAnsi="Arial"/>
                <w:sz w:val="16"/>
                <w:szCs w:val="16"/>
                <w:color w:val="auto"/>
              </w:rPr>
              <w:t>Income allocated to RSUs</w:t>
            </w:r>
          </w:p>
        </w:tc>
        <w:tc>
          <w:tcPr>
            <w:tcW w:w="4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6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2"/>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allocated to common stock for diluted EPS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1,373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1,297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2,506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ind w:left="140"/>
              <w:spacing w:after="0"/>
              <w:rPr>
                <w:sz w:val="20"/>
                <w:szCs w:val="20"/>
                <w:color w:val="auto"/>
              </w:rPr>
            </w:pPr>
            <w:r>
              <w:rPr>
                <w:rFonts w:ascii="Arial" w:cs="Arial" w:eastAsia="Arial" w:hAnsi="Arial"/>
                <w:sz w:val="16"/>
                <w:szCs w:val="16"/>
                <w:b w:val="1"/>
                <w:bCs w:val="1"/>
                <w:color w:val="auto"/>
              </w:rPr>
              <w:t>For Three Months Ended</w:t>
            </w:r>
          </w:p>
        </w:tc>
        <w:tc>
          <w:tcPr>
            <w:tcW w:w="280" w:type="dxa"/>
            <w:vAlign w:val="bottom"/>
          </w:tcPr>
          <w:p>
            <w:pPr>
              <w:spacing w:after="0"/>
              <w:rPr>
                <w:sz w:val="18"/>
                <w:szCs w:val="18"/>
                <w:color w:val="auto"/>
              </w:rPr>
            </w:pPr>
          </w:p>
        </w:tc>
        <w:tc>
          <w:tcPr>
            <w:tcW w:w="224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For Six Months Ended</w:t>
            </w:r>
          </w:p>
        </w:tc>
      </w:tr>
      <w:tr>
        <w:trPr>
          <w:trHeight w:val="257"/>
        </w:trPr>
        <w:tc>
          <w:tcPr>
            <w:tcW w:w="610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240" w:type="dxa"/>
            <w:vAlign w:val="bottom"/>
          </w:tcPr>
          <w:p>
            <w:pPr>
              <w:spacing w:after="0"/>
              <w:rPr>
                <w:sz w:val="22"/>
                <w:szCs w:val="22"/>
                <w:color w:val="auto"/>
              </w:rPr>
            </w:pPr>
          </w:p>
        </w:tc>
        <w:tc>
          <w:tcPr>
            <w:tcW w:w="14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22"/>
                <w:szCs w:val="22"/>
                <w:color w:val="auto"/>
              </w:rPr>
            </w:pPr>
          </w:p>
        </w:tc>
      </w:tr>
      <w:tr>
        <w:trPr>
          <w:trHeight w:val="33"/>
        </w:trPr>
        <w:tc>
          <w:tcPr>
            <w:tcW w:w="6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100" w:type="dxa"/>
            <w:vAlign w:val="bottom"/>
            <w:gridSpan w:val="2"/>
          </w:tcPr>
          <w:p>
            <w:pPr>
              <w:ind w:left="20"/>
              <w:spacing w:after="0"/>
              <w:rPr>
                <w:sz w:val="20"/>
                <w:szCs w:val="20"/>
                <w:color w:val="auto"/>
              </w:rPr>
            </w:pPr>
            <w:r>
              <w:rPr>
                <w:rFonts w:ascii="Arial" w:cs="Arial" w:eastAsia="Arial" w:hAnsi="Arial"/>
                <w:sz w:val="16"/>
                <w:szCs w:val="16"/>
                <w:b w:val="1"/>
                <w:bCs w:val="1"/>
                <w:color w:val="auto"/>
              </w:rPr>
              <w:t>(Millions of dollars)</w:t>
            </w:r>
          </w:p>
        </w:tc>
        <w:tc>
          <w:tcPr>
            <w:tcW w:w="24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6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2,522</w:t>
            </w:r>
          </w:p>
        </w:tc>
      </w:tr>
      <w:tr>
        <w:trPr>
          <w:trHeight w:val="224"/>
        </w:trPr>
        <w:tc>
          <w:tcPr>
            <w:tcW w:w="610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3"/>
        </w:trPr>
        <w:tc>
          <w:tcPr>
            <w:tcW w:w="6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61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Net actuarial losses of defined benefit plans: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54"/>
        </w:trPr>
        <w:tc>
          <w:tcPr>
            <w:tcW w:w="6100" w:type="dxa"/>
            <w:vAlign w:val="bottom"/>
            <w:gridSpan w:val="2"/>
          </w:tcPr>
          <w:p>
            <w:pPr>
              <w:ind w:left="220"/>
              <w:spacing w:after="0"/>
              <w:rPr>
                <w:sz w:val="20"/>
                <w:szCs w:val="20"/>
                <w:color w:val="auto"/>
              </w:rPr>
            </w:pPr>
            <w:r>
              <w:rPr>
                <w:rFonts w:ascii="Arial" w:cs="Arial" w:eastAsia="Arial" w:hAnsi="Arial"/>
                <w:sz w:val="16"/>
                <w:szCs w:val="16"/>
                <w:color w:val="auto"/>
              </w:rPr>
              <w:t>Adjustments, net of tax effect of $4 and $2; $1 and $3</w:t>
            </w:r>
          </w:p>
        </w:tc>
        <w:tc>
          <w:tcPr>
            <w:tcW w:w="24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259"/>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Recognized within net income, net of tax effect of ($3) and ($4); ($5) and ($7)</w:t>
            </w: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r>
      <w:tr>
        <w:trPr>
          <w:trHeight w:val="224"/>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Available-for-sale investments: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3"/>
        </w:trPr>
        <w:tc>
          <w:tcPr>
            <w:tcW w:w="6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4"/>
        </w:trPr>
        <w:tc>
          <w:tcPr>
            <w:tcW w:w="61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Unrealized losses, net of tax effect of $0 and $0; $0 and $0</w:t>
            </w: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0"/>
        </w:trPr>
        <w:tc>
          <w:tcPr>
            <w:tcW w:w="6100" w:type="dxa"/>
            <w:vAlign w:val="bottom"/>
            <w:gridSpan w:val="2"/>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w:t>
            </w:r>
          </w:p>
        </w:tc>
      </w:tr>
      <w:tr>
        <w:trPr>
          <w:trHeight w:val="33"/>
        </w:trPr>
        <w:tc>
          <w:tcPr>
            <w:tcW w:w="6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2"/>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2,538</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December 31,</w:t>
            </w:r>
          </w:p>
        </w:tc>
      </w:tr>
      <w:tr>
        <w:trPr>
          <w:trHeight w:val="257"/>
        </w:trPr>
        <w:tc>
          <w:tcPr>
            <w:tcW w:w="848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Balance Sheets</w:t>
            </w:r>
          </w:p>
        </w:tc>
        <w:tc>
          <w:tcPr>
            <w:tcW w:w="240" w:type="dxa"/>
            <w:vAlign w:val="bottom"/>
          </w:tcPr>
          <w:p>
            <w:pPr>
              <w:spacing w:after="0"/>
              <w:rPr>
                <w:sz w:val="22"/>
                <w:szCs w:val="22"/>
                <w:color w:val="auto"/>
              </w:rPr>
            </w:pPr>
          </w:p>
        </w:tc>
        <w:tc>
          <w:tcPr>
            <w:tcW w:w="108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33"/>
        </w:trPr>
        <w:tc>
          <w:tcPr>
            <w:tcW w:w="8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8480" w:type="dxa"/>
            <w:vAlign w:val="bottom"/>
            <w:gridSpan w:val="2"/>
          </w:tcPr>
          <w:p>
            <w:pPr>
              <w:ind w:left="20"/>
              <w:spacing w:after="0"/>
              <w:rPr>
                <w:sz w:val="20"/>
                <w:szCs w:val="20"/>
                <w:color w:val="auto"/>
              </w:rPr>
            </w:pPr>
            <w:r>
              <w:rPr>
                <w:rFonts w:ascii="Arial" w:cs="Arial" w:eastAsia="Arial" w:hAnsi="Arial"/>
                <w:sz w:val="16"/>
                <w:szCs w:val="16"/>
                <w:b w:val="1"/>
                <w:bCs w:val="1"/>
                <w:color w:val="auto"/>
              </w:rPr>
              <w:t>(Millions of dollars, except share amounts)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4"/>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4,294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2,437</w:t>
            </w:r>
          </w:p>
        </w:tc>
      </w:tr>
      <w:tr>
        <w:trPr>
          <w:trHeight w:val="223"/>
        </w:trPr>
        <w:tc>
          <w:tcPr>
            <w:tcW w:w="848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666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2,950</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net of allowances of ($9) and ($8)</w:t>
            </w: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1,176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1,074</w:t>
            </w:r>
          </w:p>
        </w:tc>
      </w:tr>
      <w:tr>
        <w:trPr>
          <w:trHeight w:val="224"/>
        </w:trPr>
        <w:tc>
          <w:tcPr>
            <w:tcW w:w="8480" w:type="dxa"/>
            <w:vAlign w:val="bottom"/>
            <w:gridSpan w:val="2"/>
          </w:tcPr>
          <w:p>
            <w:pPr>
              <w:ind w:left="220"/>
              <w:spacing w:after="0"/>
              <w:rPr>
                <w:sz w:val="20"/>
                <w:szCs w:val="20"/>
                <w:color w:val="auto"/>
              </w:rPr>
            </w:pPr>
            <w:r>
              <w:rPr>
                <w:rFonts w:ascii="Arial" w:cs="Arial" w:eastAsia="Arial" w:hAnsi="Arial"/>
                <w:sz w:val="16"/>
                <w:szCs w:val="16"/>
                <w:color w:val="auto"/>
              </w:rPr>
              <w:t>Raw materials</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182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176</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4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Work in process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977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916</w:t>
            </w:r>
          </w:p>
        </w:tc>
      </w:tr>
      <w:tr>
        <w:trPr>
          <w:trHeight w:val="223"/>
        </w:trPr>
        <w:tc>
          <w:tcPr>
            <w:tcW w:w="8480" w:type="dxa"/>
            <w:vAlign w:val="bottom"/>
            <w:gridSpan w:val="2"/>
          </w:tcPr>
          <w:p>
            <w:pPr>
              <w:ind w:left="220"/>
              <w:spacing w:after="0"/>
              <w:rPr>
                <w:sz w:val="20"/>
                <w:szCs w:val="20"/>
                <w:color w:val="auto"/>
              </w:rPr>
            </w:pPr>
            <w:r>
              <w:rPr>
                <w:rFonts w:ascii="Arial" w:cs="Arial" w:eastAsia="Arial" w:hAnsi="Arial"/>
                <w:sz w:val="16"/>
                <w:szCs w:val="16"/>
                <w:color w:val="auto"/>
              </w:rPr>
              <w:t>Finished goods</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977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909</w:t>
            </w:r>
          </w:p>
        </w:tc>
      </w:tr>
      <w:tr>
        <w:trPr>
          <w:trHeight w:val="33"/>
        </w:trPr>
        <w:tc>
          <w:tcPr>
            <w:tcW w:w="8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2,136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2,001</w:t>
            </w:r>
          </w:p>
        </w:tc>
      </w:tr>
      <w:tr>
        <w:trPr>
          <w:trHeight w:val="217"/>
        </w:trPr>
        <w:tc>
          <w:tcPr>
            <w:tcW w:w="8480" w:type="dxa"/>
            <w:vAlign w:val="bottom"/>
            <w:gridSpan w:val="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216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299</w:t>
            </w:r>
          </w:p>
        </w:tc>
      </w:tr>
      <w:tr>
        <w:trPr>
          <w:trHeight w:val="33"/>
        </w:trPr>
        <w:tc>
          <w:tcPr>
            <w:tcW w:w="8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8,488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8,761</w:t>
            </w:r>
          </w:p>
        </w:tc>
      </w:tr>
      <w:tr>
        <w:trPr>
          <w:trHeight w:val="217"/>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Property, plant and equipment at cost</w:t>
            </w: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5,741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5,740</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Accumulated depreciation</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(2,437)</w:t>
            </w:r>
          </w:p>
        </w:tc>
      </w:tr>
      <w:tr>
        <w:trPr>
          <w:trHeight w:val="217"/>
        </w:trPr>
        <w:tc>
          <w:tcPr>
            <w:tcW w:w="8480" w:type="dxa"/>
            <w:vAlign w:val="bottom"/>
            <w:gridSpan w:val="2"/>
          </w:tcPr>
          <w:p>
            <w:pPr>
              <w:ind w:left="120"/>
              <w:spacing w:after="0"/>
              <w:rPr>
                <w:sz w:val="20"/>
                <w:szCs w:val="20"/>
                <w:color w:val="auto"/>
              </w:rPr>
            </w:pPr>
            <w:r>
              <w:rPr>
                <w:rFonts w:ascii="Arial" w:cs="Arial" w:eastAsia="Arial" w:hAnsi="Arial"/>
                <w:sz w:val="16"/>
                <w:szCs w:val="16"/>
                <w:color w:val="auto"/>
              </w:rPr>
              <w:t>Property, plant and equipment</w:t>
            </w: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3,201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3,303</w:t>
            </w:r>
          </w:p>
        </w:tc>
      </w:tr>
      <w:tr>
        <w:trPr>
          <w:trHeight w:val="33"/>
        </w:trPr>
        <w:tc>
          <w:tcPr>
            <w:tcW w:w="8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300</w:t>
            </w:r>
          </w:p>
        </w:tc>
      </w:tr>
      <w:tr>
        <w:trPr>
          <w:trHeight w:val="224"/>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4,362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4,362</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Acquisition-related intangibles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340</w:t>
            </w:r>
          </w:p>
        </w:tc>
      </w:tr>
      <w:tr>
        <w:trPr>
          <w:trHeight w:val="223"/>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236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197</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Capitalized software licenses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141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w:t>
            </w:r>
          </w:p>
        </w:tc>
      </w:tr>
      <w:tr>
        <w:trPr>
          <w:trHeight w:val="224"/>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Overfunded retirement plans</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223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218</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468</w:t>
            </w:r>
          </w:p>
        </w:tc>
      </w:tr>
      <w:tr>
        <w:trPr>
          <w:trHeight w:val="247"/>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17,445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18,018</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7"/>
        </w:trPr>
        <w:tc>
          <w:tcPr>
            <w:tcW w:w="8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848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23"/>
        </w:trPr>
        <w:tc>
          <w:tcPr>
            <w:tcW w:w="848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551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500</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388</w:t>
            </w:r>
          </w:p>
        </w:tc>
      </w:tr>
      <w:tr>
        <w:trPr>
          <w:trHeight w:val="223"/>
        </w:trPr>
        <w:tc>
          <w:tcPr>
            <w:tcW w:w="8480" w:type="dxa"/>
            <w:vAlign w:val="bottom"/>
            <w:gridSpan w:val="2"/>
          </w:tcPr>
          <w:p>
            <w:pPr>
              <w:ind w:left="12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505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714</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Income taxes payable</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w:t>
            </w:r>
          </w:p>
        </w:tc>
      </w:tr>
      <w:tr>
        <w:trPr>
          <w:trHeight w:val="223"/>
        </w:trPr>
        <w:tc>
          <w:tcPr>
            <w:tcW w:w="8480" w:type="dxa"/>
            <w:vAlign w:val="bottom"/>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519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475</w:t>
            </w:r>
          </w:p>
        </w:tc>
      </w:tr>
      <w:tr>
        <w:trPr>
          <w:trHeight w:val="33"/>
        </w:trPr>
        <w:tc>
          <w:tcPr>
            <w:tcW w:w="8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2,163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2,123</w:t>
            </w:r>
          </w:p>
        </w:tc>
      </w:tr>
      <w:tr>
        <w:trPr>
          <w:trHeight w:val="217"/>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6,245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5,303</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Underfunded retirement plans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w:t>
            </w:r>
          </w:p>
        </w:tc>
      </w:tr>
      <w:tr>
        <w:trPr>
          <w:trHeight w:val="223"/>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Deferred tax liabilities</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78</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1,514</w:t>
            </w:r>
          </w:p>
        </w:tc>
      </w:tr>
      <w:tr>
        <w:trPr>
          <w:trHeight w:val="217"/>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9,801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9,111</w:t>
            </w:r>
          </w:p>
        </w:tc>
      </w:tr>
      <w:tr>
        <w:trPr>
          <w:trHeight w:val="33"/>
        </w:trPr>
        <w:tc>
          <w:tcPr>
            <w:tcW w:w="8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54"/>
        </w:trPr>
        <w:tc>
          <w:tcPr>
            <w:tcW w:w="8480" w:type="dxa"/>
            <w:vAlign w:val="bottom"/>
            <w:gridSpan w:val="2"/>
          </w:tcPr>
          <w:p>
            <w:pPr>
              <w:ind w:left="140"/>
              <w:spacing w:after="0"/>
              <w:rPr>
                <w:sz w:val="20"/>
                <w:szCs w:val="20"/>
                <w:color w:val="auto"/>
              </w:rPr>
            </w:pPr>
            <w:r>
              <w:rPr>
                <w:rFonts w:ascii="Arial" w:cs="Arial" w:eastAsia="Arial" w:hAnsi="Arial"/>
                <w:sz w:val="16"/>
                <w:szCs w:val="16"/>
                <w:color w:val="auto"/>
              </w:rPr>
              <w:t>Preferred stock, $25 par value. Authorized – 10,000,000 shares</w:t>
            </w: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9"/>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Participating cumulative preferred – None issued</w:t>
            </w: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r>
      <w:tr>
        <w:trPr>
          <w:trHeight w:val="240"/>
        </w:trPr>
        <w:tc>
          <w:tcPr>
            <w:tcW w:w="8480" w:type="dxa"/>
            <w:vAlign w:val="bottom"/>
            <w:gridSpan w:val="2"/>
          </w:tcPr>
          <w:p>
            <w:pPr>
              <w:ind w:left="140"/>
              <w:spacing w:after="0"/>
              <w:rPr>
                <w:sz w:val="20"/>
                <w:szCs w:val="20"/>
                <w:color w:val="auto"/>
              </w:rPr>
            </w:pPr>
            <w:r>
              <w:rPr>
                <w:rFonts w:ascii="Arial" w:cs="Arial" w:eastAsia="Arial" w:hAnsi="Arial"/>
                <w:sz w:val="16"/>
                <w:szCs w:val="16"/>
                <w:color w:val="auto"/>
              </w:rPr>
              <w:t>Common stock, $1 par value. Authorized – 2,400,000,000 shares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0"/>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Shares issued – 1,740,815,939</w:t>
            </w: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1,741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1,741</w:t>
            </w:r>
          </w:p>
        </w:tc>
      </w:tr>
      <w:tr>
        <w:trPr>
          <w:trHeight w:val="223"/>
        </w:trPr>
        <w:tc>
          <w:tcPr>
            <w:tcW w:w="8480" w:type="dxa"/>
            <w:vAlign w:val="bottom"/>
            <w:gridSpan w:val="2"/>
          </w:tcPr>
          <w:p>
            <w:pPr>
              <w:ind w:left="120"/>
              <w:spacing w:after="0"/>
              <w:rPr>
                <w:sz w:val="20"/>
                <w:szCs w:val="20"/>
                <w:color w:val="auto"/>
              </w:rPr>
            </w:pPr>
            <w:r>
              <w:rPr>
                <w:rFonts w:ascii="Arial" w:cs="Arial" w:eastAsia="Arial" w:hAnsi="Arial"/>
                <w:sz w:val="16"/>
                <w:szCs w:val="16"/>
                <w:color w:val="auto"/>
              </w:rPr>
              <w:t>Paid-in capital</w:t>
            </w:r>
          </w:p>
        </w:tc>
        <w:tc>
          <w:tcPr>
            <w:tcW w:w="2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2,182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2,110</w:t>
            </w: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6"/>
        </w:trPr>
        <w:tc>
          <w:tcPr>
            <w:tcW w:w="8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40,780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39,898</w:t>
            </w:r>
          </w:p>
        </w:tc>
      </w:tr>
      <w:tr>
        <w:trPr>
          <w:trHeight w:val="223"/>
        </w:trPr>
        <w:tc>
          <w:tcPr>
            <w:tcW w:w="8480" w:type="dxa"/>
            <w:vAlign w:val="bottom"/>
            <w:gridSpan w:val="2"/>
          </w:tcPr>
          <w:p>
            <w:pPr>
              <w:ind w:left="120"/>
              <w:spacing w:after="0"/>
              <w:rPr>
                <w:sz w:val="20"/>
                <w:szCs w:val="20"/>
                <w:color w:val="auto"/>
              </w:rPr>
            </w:pPr>
            <w:r>
              <w:rPr>
                <w:rFonts w:ascii="Arial" w:cs="Arial" w:eastAsia="Arial" w:hAnsi="Arial"/>
                <w:sz w:val="16"/>
                <w:szCs w:val="16"/>
                <w:color w:val="auto"/>
              </w:rPr>
              <w:t>Treasury common stock at cost</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Shares: June 30, 2020 – 825,225,307; December 31, 2019 – 808,784,381</w:t>
            </w: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(36,725)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(34,495)</w:t>
            </w:r>
          </w:p>
        </w:tc>
      </w:tr>
      <w:tr>
        <w:trPr>
          <w:trHeight w:val="224"/>
        </w:trPr>
        <w:tc>
          <w:tcPr>
            <w:tcW w:w="848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24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(334)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(347)</w:t>
            </w:r>
          </w:p>
        </w:tc>
      </w:tr>
      <w:tr>
        <w:trPr>
          <w:trHeight w:val="33"/>
        </w:trPr>
        <w:tc>
          <w:tcPr>
            <w:tcW w:w="8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7,644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8,907</w:t>
            </w:r>
          </w:p>
        </w:tc>
      </w:tr>
      <w:tr>
        <w:trPr>
          <w:trHeight w:val="247"/>
        </w:trPr>
        <w:tc>
          <w:tcPr>
            <w:tcW w:w="8480" w:type="dxa"/>
            <w:vAlign w:val="bottom"/>
            <w:gridSpan w:val="2"/>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17,445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18,018</w:t>
            </w:r>
          </w:p>
        </w:tc>
      </w:tr>
      <w:tr>
        <w:trPr>
          <w:trHeight w:val="24"/>
        </w:trPr>
        <w:tc>
          <w:tcPr>
            <w:tcW w:w="8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11240"/>
          </w:cols>
          <w:pgMar w:left="320" w:top="121" w:right="339" w:bottom="73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3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4"/>
          </w:tcPr>
          <w:p>
            <w:pPr>
              <w:jc w:val="center"/>
              <w:ind w:right="179"/>
              <w:spacing w:after="0"/>
              <w:rPr>
                <w:sz w:val="20"/>
                <w:szCs w:val="20"/>
                <w:color w:val="auto"/>
              </w:rPr>
            </w:pPr>
            <w:r>
              <w:rPr>
                <w:rFonts w:ascii="Arial" w:cs="Arial" w:eastAsia="Arial" w:hAnsi="Arial"/>
                <w:sz w:val="16"/>
                <w:szCs w:val="16"/>
                <w:b w:val="1"/>
                <w:bCs w:val="1"/>
                <w:color w:val="auto"/>
                <w:w w:val="93"/>
              </w:rPr>
              <w:t>For Six Months Ended</w:t>
            </w:r>
          </w:p>
        </w:tc>
      </w:tr>
      <w:tr>
        <w:trPr>
          <w:trHeight w:val="257"/>
        </w:trPr>
        <w:tc>
          <w:tcPr>
            <w:tcW w:w="87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Cash Flows</w:t>
            </w:r>
          </w:p>
        </w:tc>
        <w:tc>
          <w:tcPr>
            <w:tcW w:w="280" w:type="dxa"/>
            <w:vAlign w:val="bottom"/>
          </w:tcPr>
          <w:p>
            <w:pPr>
              <w:spacing w:after="0"/>
              <w:rPr>
                <w:sz w:val="22"/>
                <w:szCs w:val="22"/>
                <w:color w:val="auto"/>
              </w:rPr>
            </w:pPr>
          </w:p>
        </w:tc>
        <w:tc>
          <w:tcPr>
            <w:tcW w:w="1380" w:type="dxa"/>
            <w:vAlign w:val="bottom"/>
            <w:gridSpan w:val="3"/>
          </w:tcPr>
          <w:p>
            <w:pPr>
              <w:jc w:val="center"/>
              <w:ind w:left="519"/>
              <w:spacing w:after="0"/>
              <w:rPr>
                <w:sz w:val="20"/>
                <w:szCs w:val="20"/>
                <w:color w:val="auto"/>
              </w:rPr>
            </w:pPr>
            <w:r>
              <w:rPr>
                <w:rFonts w:ascii="Arial" w:cs="Arial" w:eastAsia="Arial" w:hAnsi="Arial"/>
                <w:sz w:val="16"/>
                <w:szCs w:val="16"/>
                <w:b w:val="1"/>
                <w:bCs w:val="1"/>
                <w:color w:val="auto"/>
                <w:w w:val="90"/>
              </w:rPr>
              <w:t>June 30,</w:t>
            </w:r>
          </w:p>
        </w:tc>
        <w:tc>
          <w:tcPr>
            <w:tcW w:w="860" w:type="dxa"/>
            <w:vAlign w:val="bottom"/>
          </w:tcPr>
          <w:p>
            <w:pPr>
              <w:spacing w:after="0"/>
              <w:rPr>
                <w:sz w:val="22"/>
                <w:szCs w:val="22"/>
                <w:color w:val="auto"/>
              </w:rPr>
            </w:pPr>
          </w:p>
        </w:tc>
      </w:tr>
      <w:tr>
        <w:trPr>
          <w:trHeight w:val="33"/>
        </w:trPr>
        <w:tc>
          <w:tcPr>
            <w:tcW w:w="8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8720" w:type="dxa"/>
            <w:vAlign w:val="bottom"/>
            <w:gridSpan w:val="2"/>
          </w:tcPr>
          <w:p>
            <w:pPr>
              <w:ind w:left="20"/>
              <w:spacing w:after="0"/>
              <w:rPr>
                <w:sz w:val="20"/>
                <w:szCs w:val="20"/>
                <w:color w:val="auto"/>
              </w:rPr>
            </w:pPr>
            <w:r>
              <w:rPr>
                <w:rFonts w:ascii="Arial" w:cs="Arial" w:eastAsia="Arial" w:hAnsi="Arial"/>
                <w:sz w:val="16"/>
                <w:szCs w:val="16"/>
                <w:b w:val="1"/>
                <w:bCs w:val="1"/>
                <w:color w:val="auto"/>
              </w:rPr>
              <w:t>(Millions of dollars)</w:t>
            </w: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8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24"/>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2,554</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2,522</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8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2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370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339</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6"/>
        </w:trPr>
        <w:tc>
          <w:tcPr>
            <w:tcW w:w="8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acquisition-related intangibles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159</w:t>
            </w:r>
          </w:p>
        </w:tc>
      </w:tr>
      <w:tr>
        <w:trPr>
          <w:trHeight w:val="224"/>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Amortization of capitalized software</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27</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8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128</w:t>
            </w:r>
          </w:p>
        </w:tc>
      </w:tr>
      <w:tr>
        <w:trPr>
          <w:trHeight w:val="22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Gains on sales of assets</w:t>
            </w: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6"/>
        </w:trPr>
        <w:tc>
          <w:tcPr>
            <w:tcW w:w="8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Deferred taxes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r>
      <w:tr>
        <w:trPr>
          <w:trHeight w:val="224"/>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Increase (decrease) from changes in:</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8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w:t>
            </w:r>
          </w:p>
        </w:tc>
      </w:tr>
      <w:tr>
        <w:trPr>
          <w:trHeight w:val="224"/>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138</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8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241</w:t>
            </w:r>
          </w:p>
        </w:tc>
      </w:tr>
      <w:tr>
        <w:trPr>
          <w:trHeight w:val="22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(93)</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87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w:t>
            </w:r>
          </w:p>
        </w:tc>
      </w:tr>
      <w:tr>
        <w:trPr>
          <w:trHeight w:val="224"/>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(107)</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8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w:t>
            </w:r>
          </w:p>
        </w:tc>
      </w:tr>
      <w:tr>
        <w:trPr>
          <w:trHeight w:val="223"/>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8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2,903</w:t>
            </w:r>
          </w:p>
        </w:tc>
      </w:tr>
      <w:tr>
        <w:trPr>
          <w:trHeight w:val="236"/>
        </w:trPr>
        <w:tc>
          <w:tcPr>
            <w:tcW w:w="8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37"/>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23"/>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(291)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(535)</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8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asset sales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w:t>
            </w:r>
          </w:p>
        </w:tc>
      </w:tr>
      <w:tr>
        <w:trPr>
          <w:trHeight w:val="223"/>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Purchases of short-term investments</w:t>
            </w: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(895)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(388)</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6"/>
        </w:trPr>
        <w:tc>
          <w:tcPr>
            <w:tcW w:w="8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short-term investments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3,448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1,784</w:t>
            </w:r>
          </w:p>
        </w:tc>
      </w:tr>
      <w:tr>
        <w:trPr>
          <w:trHeight w:val="223"/>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24</w:t>
            </w:r>
          </w:p>
        </w:tc>
      </w:tr>
      <w:tr>
        <w:trPr>
          <w:trHeight w:val="33"/>
        </w:trPr>
        <w:tc>
          <w:tcPr>
            <w:tcW w:w="8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2,263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915</w:t>
            </w:r>
          </w:p>
        </w:tc>
      </w:tr>
      <w:tr>
        <w:trPr>
          <w:trHeight w:val="236"/>
        </w:trPr>
        <w:tc>
          <w:tcPr>
            <w:tcW w:w="8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37"/>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23"/>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1,498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743</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8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Dividends paid</w:t>
            </w: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(1,664)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(1,446)</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8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(2,015)</w:t>
            </w:r>
          </w:p>
        </w:tc>
      </w:tr>
      <w:tr>
        <w:trPr>
          <w:trHeight w:val="223"/>
        </w:trPr>
        <w:tc>
          <w:tcPr>
            <w:tcW w:w="8720" w:type="dxa"/>
            <w:vAlign w:val="bottom"/>
            <w:gridSpan w:val="2"/>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297</w:t>
            </w:r>
          </w:p>
        </w:tc>
      </w:tr>
      <w:tr>
        <w:trPr>
          <w:trHeight w:val="33"/>
        </w:trPr>
        <w:tc>
          <w:tcPr>
            <w:tcW w:w="8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87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17"/>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(2,977)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(2,443)</w:t>
            </w:r>
          </w:p>
        </w:tc>
      </w:tr>
      <w:tr>
        <w:trPr>
          <w:trHeight w:val="33"/>
        </w:trPr>
        <w:tc>
          <w:tcPr>
            <w:tcW w:w="8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8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bl>
    <w:p>
      <w:pPr>
        <w:spacing w:after="0" w:line="13"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at beginning of period</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1,857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1,375</w:t>
            </w:r>
          </w:p>
        </w:tc>
      </w:tr>
      <w:tr>
        <w:trPr>
          <w:trHeight w:val="256"/>
        </w:trPr>
        <w:tc>
          <w:tcPr>
            <w:tcW w:w="400" w:type="dxa"/>
            <w:vAlign w:val="bottom"/>
          </w:tcPr>
          <w:p>
            <w:pPr>
              <w:spacing w:after="0"/>
              <w:rPr>
                <w:sz w:val="22"/>
                <w:szCs w:val="22"/>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2,437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2,438</w:t>
            </w:r>
          </w:p>
        </w:tc>
      </w:tr>
      <w:tr>
        <w:trPr>
          <w:trHeight w:val="33"/>
        </w:trPr>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4,294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3,813</w:t>
            </w:r>
          </w:p>
        </w:tc>
      </w:tr>
      <w:tr>
        <w:trPr>
          <w:trHeight w:val="33"/>
        </w:trPr>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00" w:space="720"/>
            <w:col w:w="2520"/>
          </w:cols>
          <w:pgMar w:left="320" w:top="121" w:right="339" w:bottom="1440" w:gutter="0" w:footer="0" w:header="0"/>
          <w:type w:val="continuous"/>
        </w:sectPr>
      </w:pP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See accompanying notes.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2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which are established along major categories of products as follows:</w:t>
      </w:r>
    </w:p>
    <w:p>
      <w:pPr>
        <w:spacing w:after="0" w:line="170" w:lineRule="exact"/>
        <w:rPr>
          <w:sz w:val="20"/>
          <w:szCs w:val="20"/>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consisting of the following product lines: Power, Signal Chain and High Volume.</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consisting of the following product lines: Connected Microcontrollers and Processors.</w:t>
      </w:r>
    </w:p>
    <w:p>
      <w:pPr>
        <w:spacing w:after="0" w:line="225" w:lineRule="exact"/>
        <w:rPr>
          <w:sz w:val="20"/>
          <w:szCs w:val="20"/>
          <w:color w:val="auto"/>
        </w:rPr>
      </w:pPr>
    </w:p>
    <w:p>
      <w:pPr>
        <w:ind w:right="300"/>
        <w:spacing w:after="0" w:line="243"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products, calculators and custom ASIC products.</w:t>
      </w:r>
    </w:p>
    <w:p>
      <w:pPr>
        <w:spacing w:after="0" w:line="200"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ind w:left="140"/>
              <w:spacing w:after="0"/>
              <w:rPr>
                <w:sz w:val="20"/>
                <w:szCs w:val="20"/>
                <w:color w:val="auto"/>
              </w:rPr>
            </w:pPr>
            <w:r>
              <w:rPr>
                <w:rFonts w:ascii="Arial" w:cs="Arial" w:eastAsia="Arial" w:hAnsi="Arial"/>
                <w:sz w:val="16"/>
                <w:szCs w:val="16"/>
                <w:b w:val="1"/>
                <w:bCs w:val="1"/>
                <w:color w:val="auto"/>
              </w:rPr>
              <w:t>For Three Months Ended</w:t>
            </w:r>
          </w:p>
        </w:tc>
        <w:tc>
          <w:tcPr>
            <w:tcW w:w="280" w:type="dxa"/>
            <w:vAlign w:val="bottom"/>
          </w:tcPr>
          <w:p>
            <w:pPr>
              <w:spacing w:after="0"/>
              <w:rPr>
                <w:sz w:val="18"/>
                <w:szCs w:val="18"/>
                <w:color w:val="auto"/>
              </w:rPr>
            </w:pPr>
          </w:p>
        </w:tc>
        <w:tc>
          <w:tcPr>
            <w:tcW w:w="224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For Six Months Ended</w:t>
            </w:r>
          </w:p>
        </w:tc>
      </w:tr>
      <w:tr>
        <w:trPr>
          <w:trHeight w:val="257"/>
        </w:trPr>
        <w:tc>
          <w:tcPr>
            <w:tcW w:w="6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22"/>
                <w:szCs w:val="22"/>
                <w:color w:val="auto"/>
              </w:rPr>
            </w:pPr>
          </w:p>
        </w:tc>
      </w:tr>
      <w:tr>
        <w:trPr>
          <w:trHeight w:val="33"/>
        </w:trPr>
        <w:tc>
          <w:tcPr>
            <w:tcW w:w="6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24"/>
        </w:trPr>
        <w:tc>
          <w:tcPr>
            <w:tcW w:w="6100" w:type="dxa"/>
            <w:vAlign w:val="bottom"/>
          </w:tcPr>
          <w:p>
            <w:pPr>
              <w:ind w:left="120"/>
              <w:spacing w:after="0"/>
              <w:rPr>
                <w:sz w:val="20"/>
                <w:szCs w:val="20"/>
                <w:color w:val="auto"/>
              </w:rPr>
            </w:pPr>
            <w:r>
              <w:rPr>
                <w:rFonts w:ascii="Arial" w:cs="Arial" w:eastAsia="Arial" w:hAnsi="Arial"/>
                <w:sz w:val="16"/>
                <w:szCs w:val="16"/>
                <w:color w:val="auto"/>
              </w:rPr>
              <w:t>Analog</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2,434</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2,534</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4,894</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5,052</w:t>
            </w: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6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546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1,586</w:t>
            </w:r>
          </w:p>
        </w:tc>
      </w:tr>
      <w:tr>
        <w:trPr>
          <w:trHeight w:val="223"/>
        </w:trPr>
        <w:tc>
          <w:tcPr>
            <w:tcW w:w="6100" w:type="dxa"/>
            <w:vAlign w:val="bottom"/>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475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624</w:t>
            </w:r>
          </w:p>
        </w:tc>
      </w:tr>
      <w:tr>
        <w:trPr>
          <w:trHeight w:val="33"/>
        </w:trPr>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2"/>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3,239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3,668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6,568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7,262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23"/>
        </w:trPr>
        <w:tc>
          <w:tcPr>
            <w:tcW w:w="6100" w:type="dxa"/>
            <w:vAlign w:val="bottom"/>
          </w:tcPr>
          <w:p>
            <w:pPr>
              <w:ind w:left="120"/>
              <w:spacing w:after="0"/>
              <w:rPr>
                <w:sz w:val="20"/>
                <w:szCs w:val="20"/>
                <w:color w:val="auto"/>
              </w:rPr>
            </w:pPr>
            <w:r>
              <w:rPr>
                <w:rFonts w:ascii="Arial" w:cs="Arial" w:eastAsia="Arial" w:hAnsi="Arial"/>
                <w:sz w:val="16"/>
                <w:szCs w:val="16"/>
                <w:color w:val="auto"/>
              </w:rPr>
              <w:t>Analog</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1,053</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2,078</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2,196</w:t>
            </w: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6"/>
        </w:trPr>
        <w:tc>
          <w:tcPr>
            <w:tcW w:w="6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514</w:t>
            </w:r>
          </w:p>
        </w:tc>
      </w:tr>
      <w:tr>
        <w:trPr>
          <w:trHeight w:val="223"/>
        </w:trPr>
        <w:tc>
          <w:tcPr>
            <w:tcW w:w="6100" w:type="dxa"/>
            <w:vAlign w:val="bottom"/>
          </w:tcPr>
          <w:p>
            <w:pPr>
              <w:ind w:left="120"/>
              <w:spacing w:after="0"/>
              <w:rPr>
                <w:sz w:val="20"/>
                <w:szCs w:val="20"/>
                <w:color w:val="auto"/>
              </w:rPr>
            </w:pPr>
            <w:r>
              <w:rPr>
                <w:rFonts w:ascii="Arial" w:cs="Arial" w:eastAsia="Arial" w:hAnsi="Arial"/>
                <w:sz w:val="16"/>
                <w:szCs w:val="16"/>
                <w:color w:val="auto"/>
              </w:rPr>
              <w:t>Other (a)</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175</w:t>
            </w:r>
          </w:p>
        </w:tc>
      </w:tr>
      <w:tr>
        <w:trPr>
          <w:trHeight w:val="33"/>
        </w:trPr>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2"/>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profit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2,885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Includes acquisition charges and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following geographic area information includes revenue, based on product shipment destination. The geographic revenue information does not necessarily reflect end demand by geography because our products tend to be shipped to the locations where our customers manufacture their products.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ind w:left="140"/>
              <w:spacing w:after="0"/>
              <w:rPr>
                <w:sz w:val="20"/>
                <w:szCs w:val="20"/>
                <w:color w:val="auto"/>
              </w:rPr>
            </w:pPr>
            <w:r>
              <w:rPr>
                <w:rFonts w:ascii="Arial" w:cs="Arial" w:eastAsia="Arial" w:hAnsi="Arial"/>
                <w:sz w:val="16"/>
                <w:szCs w:val="16"/>
                <w:b w:val="1"/>
                <w:bCs w:val="1"/>
                <w:color w:val="auto"/>
              </w:rPr>
              <w:t>For Three Months Ended</w:t>
            </w:r>
          </w:p>
        </w:tc>
        <w:tc>
          <w:tcPr>
            <w:tcW w:w="280" w:type="dxa"/>
            <w:vAlign w:val="bottom"/>
          </w:tcPr>
          <w:p>
            <w:pPr>
              <w:spacing w:after="0"/>
              <w:rPr>
                <w:sz w:val="18"/>
                <w:szCs w:val="18"/>
                <w:color w:val="auto"/>
              </w:rPr>
            </w:pPr>
          </w:p>
        </w:tc>
        <w:tc>
          <w:tcPr>
            <w:tcW w:w="224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For Six Months Ended</w:t>
            </w:r>
          </w:p>
        </w:tc>
      </w:tr>
      <w:tr>
        <w:trPr>
          <w:trHeight w:val="257"/>
        </w:trPr>
        <w:tc>
          <w:tcPr>
            <w:tcW w:w="6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22"/>
                <w:szCs w:val="22"/>
                <w:color w:val="auto"/>
              </w:rPr>
            </w:pPr>
          </w:p>
        </w:tc>
      </w:tr>
      <w:tr>
        <w:trPr>
          <w:trHeight w:val="33"/>
        </w:trPr>
        <w:tc>
          <w:tcPr>
            <w:tcW w:w="6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r>
      <w:tr>
        <w:trPr>
          <w:trHeight w:val="33"/>
        </w:trPr>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23"/>
        </w:trPr>
        <w:tc>
          <w:tcPr>
            <w:tcW w:w="6100" w:type="dxa"/>
            <w:vAlign w:val="bottom"/>
          </w:tcPr>
          <w:p>
            <w:pPr>
              <w:ind w:left="120"/>
              <w:spacing w:after="0"/>
              <w:rPr>
                <w:sz w:val="20"/>
                <w:szCs w:val="20"/>
                <w:color w:val="auto"/>
              </w:rPr>
            </w:pPr>
            <w:r>
              <w:rPr>
                <w:rFonts w:ascii="Arial" w:cs="Arial" w:eastAsia="Arial" w:hAnsi="Arial"/>
                <w:sz w:val="16"/>
                <w:szCs w:val="16"/>
                <w:color w:val="auto"/>
              </w:rPr>
              <w:t>United States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349</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739</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964</w:t>
            </w: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6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Asia (a)</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2,174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2,157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4,201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4,249</w:t>
            </w:r>
          </w:p>
        </w:tc>
      </w:tr>
      <w:tr>
        <w:trPr>
          <w:trHeight w:val="224"/>
        </w:trPr>
        <w:tc>
          <w:tcPr>
            <w:tcW w:w="6100" w:type="dxa"/>
            <w:vAlign w:val="bottom"/>
          </w:tcPr>
          <w:p>
            <w:pPr>
              <w:ind w:left="120"/>
              <w:spacing w:after="0"/>
              <w:rPr>
                <w:sz w:val="20"/>
                <w:szCs w:val="20"/>
                <w:color w:val="auto"/>
              </w:rPr>
            </w:pPr>
            <w:r>
              <w:rPr>
                <w:rFonts w:ascii="Arial" w:cs="Arial" w:eastAsia="Arial" w:hAnsi="Arial"/>
                <w:sz w:val="16"/>
                <w:szCs w:val="16"/>
                <w:color w:val="auto"/>
              </w:rPr>
              <w:t>Europe, Middle East and Africa</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1,070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1,452</w:t>
            </w:r>
          </w:p>
        </w:tc>
      </w:tr>
      <w:tr>
        <w:trPr>
          <w:trHeight w:val="33"/>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6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Japan</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383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409</w:t>
            </w:r>
          </w:p>
        </w:tc>
      </w:tr>
      <w:tr>
        <w:trPr>
          <w:trHeight w:val="223"/>
        </w:trPr>
        <w:tc>
          <w:tcPr>
            <w:tcW w:w="6100" w:type="dxa"/>
            <w:vAlign w:val="bottom"/>
          </w:tcPr>
          <w:p>
            <w:pPr>
              <w:ind w:left="120"/>
              <w:spacing w:after="0"/>
              <w:rPr>
                <w:sz w:val="20"/>
                <w:szCs w:val="20"/>
                <w:color w:val="auto"/>
              </w:rPr>
            </w:pPr>
            <w:r>
              <w:rPr>
                <w:rFonts w:ascii="Arial" w:cs="Arial" w:eastAsia="Arial" w:hAnsi="Arial"/>
                <w:sz w:val="16"/>
                <w:szCs w:val="16"/>
                <w:color w:val="auto"/>
              </w:rPr>
              <w:t>Rest of world</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188</w:t>
            </w:r>
          </w:p>
        </w:tc>
      </w:tr>
      <w:tr>
        <w:trPr>
          <w:trHeight w:val="33"/>
        </w:trPr>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2"/>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3,239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3,668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6,568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7,262</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160" w:hanging="332"/>
        <w:spacing w:after="0" w:line="263"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products shipped into China was $1.8 billion for the second quarters of both 2020 and 2019, and $3.5 billion for the first six months of both 2020 and 2019, which includes shipments to customers that manufacture in China and then export end products to their customers around the world, as well as distributors that transship inventory through China to service other countries.</w:t>
      </w:r>
    </w:p>
    <w:p>
      <w:pPr>
        <w:spacing w:after="0" w:line="21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(GAAP) and on the same basis as the audited financial statements included in our annual report on Form 10-K for the year ended December 31, 2019. The Consolidated Statements of Income, Comprehensive Income and Cash Flows for the periods ended June 30, 2020 and 2019, and the Consolidated Balance Sheet as of June 30, 2020,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2019. The results for the three- and six-month periods are not necessarily indicative of a full year’s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20" w:type="dxa"/>
            <w:vAlign w:val="bottom"/>
            <w:gridSpan w:val="7"/>
          </w:tcPr>
          <w:p>
            <w:pPr>
              <w:jc w:val="center"/>
              <w:spacing w:after="0"/>
              <w:rPr>
                <w:sz w:val="20"/>
                <w:szCs w:val="20"/>
                <w:color w:val="auto"/>
              </w:rPr>
            </w:pPr>
            <w:r>
              <w:rPr>
                <w:rFonts w:ascii="Arial" w:cs="Arial" w:eastAsia="Arial" w:hAnsi="Arial"/>
                <w:sz w:val="16"/>
                <w:szCs w:val="16"/>
                <w:b w:val="1"/>
                <w:bCs w:val="1"/>
                <w:color w:val="auto"/>
                <w:w w:val="92"/>
              </w:rPr>
              <w:t>For Three Months Ended June 30,</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47"/>
        </w:trPr>
        <w:tc>
          <w:tcPr>
            <w:tcW w:w="4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17"/>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4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5"/>
              </w:rPr>
              <w:t>Net Income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EPS</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2"/>
              </w:rPr>
              <w:t>Net Income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EPS</w:t>
            </w:r>
          </w:p>
        </w:tc>
      </w:tr>
      <w:tr>
        <w:trPr>
          <w:trHeight w:val="33"/>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EPS: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3"/>
        </w:trPr>
        <w:tc>
          <w:tcPr>
            <w:tcW w:w="416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1,380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1,305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7"/>
        </w:trPr>
        <w:tc>
          <w:tcPr>
            <w:tcW w:w="4160" w:type="dxa"/>
            <w:vAlign w:val="bottom"/>
          </w:tcPr>
          <w:p>
            <w:pPr>
              <w:ind w:left="120"/>
              <w:spacing w:after="0"/>
              <w:rPr>
                <w:sz w:val="20"/>
                <w:szCs w:val="20"/>
                <w:color w:val="auto"/>
              </w:rPr>
            </w:pPr>
            <w:r>
              <w:rPr>
                <w:rFonts w:ascii="Arial" w:cs="Arial" w:eastAsia="Arial" w:hAnsi="Arial"/>
                <w:sz w:val="16"/>
                <w:szCs w:val="16"/>
                <w:color w:val="auto"/>
              </w:rPr>
              <w:t>Income allocated to common stock</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1,373</w:t>
            </w:r>
          </w:p>
        </w:tc>
        <w:tc>
          <w:tcPr>
            <w:tcW w:w="10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916</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1.50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937</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1.38</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r>
      <w:tr>
        <w:trPr>
          <w:trHeight w:val="206"/>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Dilutive effect of stock compensation plans</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257"/>
        </w:trPr>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4"/>
        </w:trPr>
        <w:tc>
          <w:tcPr>
            <w:tcW w:w="416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1,380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1,305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6"/>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7"/>
        </w:trPr>
        <w:tc>
          <w:tcPr>
            <w:tcW w:w="4160" w:type="dxa"/>
            <w:vAlign w:val="bottom"/>
          </w:tcPr>
          <w:p>
            <w:pPr>
              <w:ind w:left="120"/>
              <w:spacing w:after="0"/>
              <w:rPr>
                <w:sz w:val="20"/>
                <w:szCs w:val="20"/>
                <w:color w:val="auto"/>
              </w:rPr>
            </w:pPr>
            <w:r>
              <w:rPr>
                <w:rFonts w:ascii="Arial" w:cs="Arial" w:eastAsia="Arial" w:hAnsi="Arial"/>
                <w:sz w:val="16"/>
                <w:szCs w:val="16"/>
                <w:color w:val="auto"/>
              </w:rPr>
              <w:t>Income allocated to common stock</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1,373</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927</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1.48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1,297</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953</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1.36</w:t>
            </w:r>
          </w:p>
        </w:tc>
      </w:tr>
      <w:tr>
        <w:trPr>
          <w:trHeight w:val="23"/>
        </w:trPr>
        <w:tc>
          <w:tcPr>
            <w:tcW w:w="4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447"/>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92"/>
              </w:rPr>
              <w:t>For Six Months Ended June 30,</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
        </w:trPr>
        <w:tc>
          <w:tcPr>
            <w:tcW w:w="4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4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5"/>
              </w:rPr>
              <w:t>Net Income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EPS</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2"/>
              </w:rPr>
              <w:t>Net Income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EPS</w:t>
            </w:r>
          </w:p>
        </w:tc>
      </w:tr>
      <w:tr>
        <w:trPr>
          <w:trHeight w:val="33"/>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EPS:</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224"/>
        </w:trPr>
        <w:tc>
          <w:tcPr>
            <w:tcW w:w="416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2,554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2,522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6"/>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7"/>
        </w:trPr>
        <w:tc>
          <w:tcPr>
            <w:tcW w:w="4160" w:type="dxa"/>
            <w:vAlign w:val="bottom"/>
          </w:tcPr>
          <w:p>
            <w:pPr>
              <w:ind w:left="120"/>
              <w:spacing w:after="0"/>
              <w:rPr>
                <w:sz w:val="20"/>
                <w:szCs w:val="20"/>
                <w:color w:val="auto"/>
              </w:rPr>
            </w:pPr>
            <w:r>
              <w:rPr>
                <w:rFonts w:ascii="Arial" w:cs="Arial" w:eastAsia="Arial" w:hAnsi="Arial"/>
                <w:sz w:val="16"/>
                <w:szCs w:val="16"/>
                <w:color w:val="auto"/>
              </w:rPr>
              <w:t>Income allocated to common stock</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2,541</w:t>
            </w:r>
          </w:p>
        </w:tc>
        <w:tc>
          <w:tcPr>
            <w:tcW w:w="10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923</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2.75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2,505</w:t>
            </w:r>
          </w:p>
        </w:tc>
        <w:tc>
          <w:tcPr>
            <w:tcW w:w="100" w:type="dxa"/>
            <w:vAlign w:val="bottom"/>
          </w:tcPr>
          <w:p>
            <w:pPr>
              <w:spacing w:after="0"/>
              <w:rPr>
                <w:sz w:val="21"/>
                <w:szCs w:val="21"/>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938</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2.67</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r>
      <w:tr>
        <w:trPr>
          <w:trHeight w:val="207"/>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Dilutive effect of stock compensation plans</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256"/>
        </w:trPr>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3"/>
        </w:trPr>
        <w:tc>
          <w:tcPr>
            <w:tcW w:w="416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2,554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2,522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allocated to RSUs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7"/>
        </w:trPr>
        <w:tc>
          <w:tcPr>
            <w:tcW w:w="4160" w:type="dxa"/>
            <w:vAlign w:val="bottom"/>
          </w:tcPr>
          <w:p>
            <w:pPr>
              <w:ind w:left="120"/>
              <w:spacing w:after="0"/>
              <w:rPr>
                <w:sz w:val="20"/>
                <w:szCs w:val="20"/>
                <w:color w:val="auto"/>
              </w:rPr>
            </w:pPr>
            <w:r>
              <w:rPr>
                <w:rFonts w:ascii="Arial" w:cs="Arial" w:eastAsia="Arial" w:hAnsi="Arial"/>
                <w:sz w:val="16"/>
                <w:szCs w:val="16"/>
                <w:color w:val="auto"/>
              </w:rPr>
              <w:t>Income allocated to common stock</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2,541</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935</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auto"/>
              </w:rPr>
              <w:t>2.72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2,506</w:t>
            </w:r>
          </w:p>
        </w:tc>
        <w:tc>
          <w:tcPr>
            <w:tcW w:w="10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954</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2.63</w:t>
            </w:r>
          </w:p>
        </w:tc>
      </w:tr>
      <w:tr>
        <w:trPr>
          <w:trHeight w:val="24"/>
        </w:trPr>
        <w:tc>
          <w:tcPr>
            <w:tcW w:w="4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bl>
    <w:p>
      <w:pPr>
        <w:spacing w:after="0" w:line="20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Potentially dilutive securities representing 9 million and 7 million shares of common stock that were outstanding during the second quarters of 2020 and 2019, respectively, and 9 million shares outstanding during the first six months of both 2020 and 2019, were excluded from the computation of diluted earnings per common share during these periods because their effect would have been anti-dilutive.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93"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The fair values of our derivative financial instruments were not material as of June 30, 2020.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June 30, 2020, the carrying value of long-term debt, including the current portion, was $6.80 billion, and the estimated fair value was $7.74 billion. The estimated fair value is measured using broker-dealer quotes, which are Level 2 inputs. See Note 4 for a description of fair value and the definition of Level 2 inputs.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adopted standards for current period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adopted the following Accounting Standards Updates (ASU) during the current period, none of which had a material impact on our financial position or results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20" w:type="dxa"/>
            <w:vAlign w:val="bottom"/>
            <w:gridSpan w:val="2"/>
          </w:tcPr>
          <w:p>
            <w:pPr>
              <w:ind w:left="800"/>
              <w:spacing w:after="0"/>
              <w:rPr>
                <w:sz w:val="20"/>
                <w:szCs w:val="20"/>
                <w:color w:val="auto"/>
              </w:rPr>
            </w:pPr>
            <w:r>
              <w:rPr>
                <w:rFonts w:ascii="Arial" w:cs="Arial" w:eastAsia="Arial" w:hAnsi="Arial"/>
                <w:sz w:val="16"/>
                <w:szCs w:val="16"/>
                <w:b w:val="1"/>
                <w:bCs w:val="1"/>
                <w:color w:val="auto"/>
              </w:rPr>
              <w:t>ASU</w:t>
            </w:r>
          </w:p>
        </w:tc>
        <w:tc>
          <w:tcPr>
            <w:tcW w:w="7260" w:type="dxa"/>
            <w:vAlign w:val="bottom"/>
            <w:gridSpan w:val="2"/>
          </w:tcPr>
          <w:p>
            <w:pPr>
              <w:ind w:left="3180"/>
              <w:spacing w:after="0"/>
              <w:rPr>
                <w:sz w:val="20"/>
                <w:szCs w:val="20"/>
                <w:color w:val="auto"/>
              </w:rPr>
            </w:pPr>
            <w:r>
              <w:rPr>
                <w:rFonts w:ascii="Arial" w:cs="Arial" w:eastAsia="Arial" w:hAnsi="Arial"/>
                <w:sz w:val="16"/>
                <w:szCs w:val="16"/>
                <w:b w:val="1"/>
                <w:bCs w:val="1"/>
                <w:color w:val="auto"/>
              </w:rPr>
              <w:t>Description</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Adopted Date</w:t>
            </w:r>
          </w:p>
        </w:tc>
      </w:tr>
      <w:tr>
        <w:trPr>
          <w:trHeight w:val="33"/>
        </w:trPr>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0"/>
        </w:trPr>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ASU No. 2016-13</w:t>
            </w:r>
          </w:p>
        </w:tc>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w w:val="95"/>
              </w:rPr>
              <w:t>Financial Instruments – Credit Losses (Topic 326): Measurement of Credit Losses on Financial Instruments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January 1, 2020</w:t>
            </w:r>
          </w:p>
        </w:tc>
      </w:tr>
      <w:tr>
        <w:trPr>
          <w:trHeight w:val="220"/>
        </w:trPr>
        <w:tc>
          <w:tcPr>
            <w:tcW w:w="2020" w:type="dxa"/>
            <w:vAlign w:val="bottom"/>
            <w:gridSpan w:val="2"/>
          </w:tcPr>
          <w:p>
            <w:pPr>
              <w:ind w:left="20"/>
              <w:spacing w:after="0"/>
              <w:rPr>
                <w:sz w:val="20"/>
                <w:szCs w:val="20"/>
                <w:color w:val="auto"/>
              </w:rPr>
            </w:pPr>
            <w:r>
              <w:rPr>
                <w:rFonts w:ascii="Arial" w:cs="Arial" w:eastAsia="Arial" w:hAnsi="Arial"/>
                <w:sz w:val="16"/>
                <w:szCs w:val="16"/>
                <w:color w:val="auto"/>
              </w:rPr>
              <w:t>ASU No. 2018-13</w:t>
            </w:r>
          </w:p>
        </w:tc>
        <w:tc>
          <w:tcPr>
            <w:tcW w:w="7260" w:type="dxa"/>
            <w:vAlign w:val="bottom"/>
            <w:gridSpan w:val="2"/>
          </w:tcPr>
          <w:p>
            <w:pPr>
              <w:ind w:left="20"/>
              <w:spacing w:after="0"/>
              <w:rPr>
                <w:sz w:val="20"/>
                <w:szCs w:val="20"/>
                <w:color w:val="auto"/>
              </w:rPr>
            </w:pPr>
            <w:r>
              <w:rPr>
                <w:rFonts w:ascii="Arial" w:cs="Arial" w:eastAsia="Arial" w:hAnsi="Arial"/>
                <w:sz w:val="16"/>
                <w:szCs w:val="16"/>
                <w:i w:val="1"/>
                <w:iCs w:val="1"/>
                <w:color w:val="auto"/>
                <w:w w:val="94"/>
              </w:rPr>
              <w:t>Fair Value Measurement (Topic 820): Disclosure Framework – Changes to the Disclosure Requirements for</w:t>
            </w:r>
          </w:p>
        </w:tc>
        <w:tc>
          <w:tcPr>
            <w:tcW w:w="1900" w:type="dxa"/>
            <w:vAlign w:val="bottom"/>
          </w:tcPr>
          <w:p>
            <w:pPr>
              <w:jc w:val="center"/>
              <w:spacing w:after="0"/>
              <w:rPr>
                <w:sz w:val="20"/>
                <w:szCs w:val="20"/>
                <w:color w:val="auto"/>
              </w:rPr>
            </w:pPr>
            <w:r>
              <w:rPr>
                <w:rFonts w:ascii="Arial" w:cs="Arial" w:eastAsia="Arial" w:hAnsi="Arial"/>
                <w:sz w:val="16"/>
                <w:szCs w:val="16"/>
                <w:color w:val="auto"/>
                <w:w w:val="88"/>
              </w:rPr>
              <w:t>January 1, 2020</w:t>
            </w:r>
          </w:p>
        </w:tc>
      </w:tr>
      <w:tr>
        <w:trPr>
          <w:trHeight w:val="206"/>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60" w:type="dxa"/>
            <w:vAlign w:val="bottom"/>
            <w:gridSpan w:val="2"/>
          </w:tcPr>
          <w:p>
            <w:pPr>
              <w:ind w:left="20"/>
              <w:spacing w:after="0"/>
              <w:rPr>
                <w:sz w:val="20"/>
                <w:szCs w:val="20"/>
                <w:color w:val="auto"/>
              </w:rPr>
            </w:pPr>
            <w:r>
              <w:rPr>
                <w:rFonts w:ascii="Arial" w:cs="Arial" w:eastAsia="Arial" w:hAnsi="Arial"/>
                <w:sz w:val="16"/>
                <w:szCs w:val="16"/>
                <w:i w:val="1"/>
                <w:iCs w:val="1"/>
                <w:color w:val="auto"/>
              </w:rPr>
              <w:t>Fair Value Measurement</w:t>
            </w:r>
          </w:p>
        </w:tc>
        <w:tc>
          <w:tcPr>
            <w:tcW w:w="1900" w:type="dxa"/>
            <w:vAlign w:val="bottom"/>
          </w:tcPr>
          <w:p>
            <w:pPr>
              <w:spacing w:after="0"/>
              <w:rPr>
                <w:sz w:val="17"/>
                <w:szCs w:val="17"/>
                <w:color w:val="auto"/>
              </w:rPr>
            </w:pPr>
          </w:p>
        </w:tc>
      </w:tr>
      <w:tr>
        <w:trPr>
          <w:trHeight w:val="33"/>
        </w:trPr>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20"/>
        </w:trPr>
        <w:tc>
          <w:tcPr>
            <w:tcW w:w="2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ASU No. 2018-15</w:t>
            </w:r>
          </w:p>
        </w:tc>
        <w:tc>
          <w:tcPr>
            <w:tcW w:w="72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w w:val="98"/>
              </w:rPr>
              <w:t>Intangibles – Goodwill and Other – Internal-Use Software (Subtopic 350-40): Customer’s Accounting for</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January 1, 2020</w:t>
            </w:r>
          </w:p>
        </w:tc>
      </w:tr>
      <w:tr>
        <w:trPr>
          <w:trHeight w:val="206"/>
        </w:trPr>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Implementation Costs Incurred in a Cloud Computing Arrangement That Is a Service Contract</w:t>
            </w:r>
          </w:p>
        </w:tc>
        <w:tc>
          <w:tcPr>
            <w:tcW w:w="1900" w:type="dxa"/>
            <w:vAlign w:val="bottom"/>
            <w:shd w:val="clear" w:color="auto" w:fill="CCEEFF"/>
          </w:tcPr>
          <w:p>
            <w:pPr>
              <w:spacing w:after="0"/>
              <w:rPr>
                <w:sz w:val="17"/>
                <w:szCs w:val="17"/>
                <w:color w:val="auto"/>
              </w:rPr>
            </w:pPr>
          </w:p>
        </w:tc>
      </w:tr>
      <w:tr>
        <w:trPr>
          <w:trHeight w:val="33"/>
        </w:trPr>
        <w:tc>
          <w:tcPr>
            <w:tcW w:w="1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estimated annual effective tax rate is about 13%, which does not include discrete tax items. This differs from the 21% statutory corporate tax rate due to the effect of U.S. tax benefits.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For Three Months Ended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For Six Months Ended</w:t>
            </w:r>
          </w:p>
        </w:tc>
        <w:tc>
          <w:tcPr>
            <w:tcW w:w="160" w:type="dxa"/>
            <w:vAlign w:val="bottom"/>
          </w:tcPr>
          <w:p>
            <w:pPr>
              <w:spacing w:after="0"/>
              <w:rPr>
                <w:sz w:val="18"/>
                <w:szCs w:val="18"/>
                <w:color w:val="auto"/>
              </w:rPr>
            </w:pPr>
          </w:p>
        </w:tc>
      </w:tr>
      <w:tr>
        <w:trPr>
          <w:trHeight w:val="256"/>
        </w:trPr>
        <w:tc>
          <w:tcPr>
            <w:tcW w:w="5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33"/>
        </w:trPr>
        <w:tc>
          <w:tcPr>
            <w:tcW w:w="5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17"/>
        </w:trPr>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r>
      <w:tr>
        <w:trPr>
          <w:trHeight w:val="33"/>
        </w:trPr>
        <w:tc>
          <w:tcPr>
            <w:tcW w:w="5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Taxes calculated using the estimated annual effective tax rate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5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330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5900" w:type="dxa"/>
            <w:vAlign w:val="bottom"/>
          </w:tcPr>
          <w:p>
            <w:pPr>
              <w:ind w:left="20"/>
              <w:spacing w:after="0"/>
              <w:rPr>
                <w:sz w:val="20"/>
                <w:szCs w:val="20"/>
                <w:color w:val="auto"/>
              </w:rPr>
            </w:pPr>
            <w:r>
              <w:rPr>
                <w:rFonts w:ascii="Arial" w:cs="Arial" w:eastAsia="Arial" w:hAnsi="Arial"/>
                <w:sz w:val="16"/>
                <w:szCs w:val="16"/>
                <w:color w:val="auto"/>
              </w:rPr>
              <w:t>Discrete tax items</w:t>
            </w:r>
          </w:p>
        </w:tc>
        <w:tc>
          <w:tcPr>
            <w:tcW w:w="260" w:type="dxa"/>
            <w:vAlign w:val="bottom"/>
          </w:tcPr>
          <w:p>
            <w:pPr>
              <w:spacing w:after="0"/>
              <w:rPr>
                <w:sz w:val="19"/>
                <w:szCs w:val="19"/>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rPr>
              <w:t>(265)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(381)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w:t>
            </w:r>
          </w:p>
        </w:tc>
        <w:tc>
          <w:tcPr>
            <w:tcW w:w="160" w:type="dxa"/>
            <w:vAlign w:val="bottom"/>
          </w:tcPr>
          <w:p>
            <w:pPr>
              <w:spacing w:after="0"/>
              <w:rPr>
                <w:sz w:val="19"/>
                <w:szCs w:val="19"/>
                <w:color w:val="auto"/>
              </w:rPr>
            </w:pPr>
          </w:p>
        </w:tc>
      </w:tr>
      <w:tr>
        <w:trPr>
          <w:trHeight w:val="33"/>
        </w:trPr>
        <w:tc>
          <w:tcPr>
            <w:tcW w:w="5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67"/>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60" w:type="dxa"/>
            <w:vAlign w:val="bottom"/>
            <w:shd w:val="clear" w:color="auto" w:fill="CCEEFF"/>
          </w:tcPr>
          <w:p>
            <w:pPr>
              <w:spacing w:after="0"/>
              <w:rPr>
                <w:sz w:val="23"/>
                <w:szCs w:val="23"/>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r>
        <w:trPr>
          <w:trHeight w:val="166"/>
        </w:trPr>
        <w:tc>
          <w:tcPr>
            <w:tcW w:w="5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Actual effective tax rate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33"/>
        </w:trPr>
        <w:tc>
          <w:tcPr>
            <w:tcW w:w="5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520"/>
        <w:spacing w:after="0" w:line="342" w:lineRule="auto"/>
        <w:rPr>
          <w:sz w:val="20"/>
          <w:szCs w:val="20"/>
          <w:color w:val="auto"/>
        </w:rPr>
      </w:pPr>
      <w:r>
        <w:rPr>
          <w:rFonts w:ascii="Arial" w:cs="Arial" w:eastAsia="Arial" w:hAnsi="Arial"/>
          <w:sz w:val="16"/>
          <w:szCs w:val="16"/>
          <w:color w:val="auto"/>
        </w:rPr>
        <w:t>Our provision for income taxes for the second quarter and first six months of 2020 includes a $249 million discrete tax benefit for the settlement of a depreciation-related uncertain tax position. Accrued interest of $46 million related to this uncertain tax position was reversed and included in OI&amp;E.</w:t>
      </w:r>
    </w:p>
    <w:p>
      <w:pPr>
        <w:spacing w:after="0" w:line="36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Available-for-sale debt investments and trading securities are stated at fair value, which is generally based on market prices or broker quotes. See </w:t>
      </w:r>
      <w:r>
        <w:rPr>
          <w:rFonts w:ascii="Arial" w:cs="Arial" w:eastAsia="Arial" w:hAnsi="Arial"/>
          <w:sz w:val="18"/>
          <w:szCs w:val="18"/>
          <w:i w:val="1"/>
          <w:iCs w:val="1"/>
          <w:color w:val="auto"/>
        </w:rPr>
        <w:t xml:space="preserve">Fair-value considerations </w:t>
      </w:r>
      <w:r>
        <w:rPr>
          <w:rFonts w:ascii="Arial" w:cs="Arial" w:eastAsia="Arial" w:hAnsi="Arial"/>
          <w:sz w:val="18"/>
          <w:szCs w:val="18"/>
          <w:color w:val="auto"/>
        </w:rPr>
        <w:t>below. Unrealized gains and losses from available-for-sale debt securities are recorded as an increase or decrease, net of taxes, in</w:t>
      </w:r>
      <w:r>
        <w:rPr>
          <w:rFonts w:ascii="Arial" w:cs="Arial" w:eastAsia="Arial" w:hAnsi="Arial"/>
          <w:sz w:val="18"/>
          <w:szCs w:val="18"/>
          <w:i w:val="1"/>
          <w:iCs w:val="1"/>
          <w:color w:val="auto"/>
        </w:rPr>
        <w:t xml:space="preserve"> </w:t>
      </w:r>
      <w:r>
        <w:rPr>
          <w:rFonts w:ascii="Arial" w:cs="Arial" w:eastAsia="Arial" w:hAnsi="Arial"/>
          <w:sz w:val="18"/>
          <w:szCs w:val="18"/>
          <w:color w:val="auto"/>
        </w:rPr>
        <w:t>AOCI on our Consolidated Balance Sheets and any credit losses on available-for-sale debt securities are recorded as an allowance for credit losses with an offset recognized in OI&amp;E in our Consolidated Statements of Income.</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other investments include equity-method investments and non-marketable equity investments, which are not measured at fair value. These investments consist of interests in venture capital funds and other non-marketable equity securities. Gains and losses from equity-method investments are recognized in OI&amp;E based on our ownership share of the investee’s financial results.</w:t>
      </w:r>
    </w:p>
    <w:p>
      <w:pPr>
        <w:spacing w:after="0" w:line="18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Non-marketable equity securities are measured at cost with adjustments for observable changes in price or impairments. Gains and losses on non-marketable equity investments are recognized in OI&amp;E.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 2020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 2019</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350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3500" w:type="dxa"/>
            <w:vAlign w:val="bottom"/>
          </w:tcPr>
          <w:p>
            <w:pPr>
              <w:spacing w:after="0"/>
              <w:rPr>
                <w:sz w:val="18"/>
                <w:szCs w:val="18"/>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Cash and Cash</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Short-Term</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Long-Term</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Short-Term</w:t>
            </w:r>
          </w:p>
        </w:tc>
        <w:tc>
          <w:tcPr>
            <w:tcW w:w="1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Long-Term</w:t>
            </w:r>
          </w:p>
        </w:tc>
      </w:t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Equivalents</w:t>
            </w:r>
          </w:p>
        </w:tc>
        <w:tc>
          <w:tcPr>
            <w:tcW w:w="12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Investments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Investments</w:t>
            </w:r>
          </w:p>
        </w:tc>
        <w:tc>
          <w:tcPr>
            <w:tcW w:w="1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Equivalents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Investments</w:t>
            </w:r>
          </w:p>
        </w:tc>
        <w:tc>
          <w:tcPr>
            <w:tcW w:w="14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Investments</w:t>
            </w:r>
          </w:p>
        </w:tc>
      </w:tr>
      <w:tr>
        <w:trPr>
          <w:trHeight w:val="33"/>
        </w:trPr>
        <w:tc>
          <w:tcPr>
            <w:tcW w:w="3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Measured at fair value:</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4"/>
        </w:trPr>
        <w:tc>
          <w:tcPr>
            <w:tcW w:w="3500" w:type="dxa"/>
            <w:vAlign w:val="bottom"/>
          </w:tcPr>
          <w:p>
            <w:pPr>
              <w:ind w:left="20"/>
              <w:spacing w:after="0"/>
              <w:rPr>
                <w:sz w:val="20"/>
                <w:szCs w:val="20"/>
                <w:color w:val="auto"/>
              </w:rPr>
            </w:pPr>
            <w:r>
              <w:rPr>
                <w:rFonts w:ascii="Arial" w:cs="Arial" w:eastAsia="Arial" w:hAnsi="Arial"/>
                <w:sz w:val="16"/>
                <w:szCs w:val="16"/>
                <w:color w:val="auto"/>
              </w:rPr>
              <w:t>Available-for-sale debt securities: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2,827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350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14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216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1,216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6"/>
              </w:rPr>
              <w:t>U.S. government agency and Treasury 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3500" w:type="dxa"/>
            <w:vAlign w:val="bottom"/>
          </w:tcPr>
          <w:p>
            <w:pPr>
              <w:ind w:left="2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272</w:t>
            </w:r>
          </w:p>
        </w:tc>
      </w:tr>
      <w:tr>
        <w:trPr>
          <w:trHeight w:val="217"/>
        </w:trPr>
        <w:tc>
          <w:tcPr>
            <w:tcW w:w="350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3,826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666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1,991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2,950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272</w:t>
            </w: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35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Other measurement basis: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Equity-method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w:t>
            </w:r>
          </w:p>
        </w:tc>
      </w:tr>
      <w:tr>
        <w:trPr>
          <w:trHeight w:val="223"/>
        </w:trPr>
        <w:tc>
          <w:tcPr>
            <w:tcW w:w="3500" w:type="dxa"/>
            <w:vAlign w:val="bottom"/>
          </w:tcPr>
          <w:p>
            <w:pPr>
              <w:ind w:left="120"/>
              <w:spacing w:after="0"/>
              <w:rPr>
                <w:sz w:val="20"/>
                <w:szCs w:val="20"/>
                <w:color w:val="auto"/>
              </w:rPr>
            </w:pPr>
            <w:r>
              <w:rPr>
                <w:rFonts w:ascii="Arial" w:cs="Arial" w:eastAsia="Arial" w:hAnsi="Arial"/>
                <w:sz w:val="16"/>
                <w:szCs w:val="16"/>
                <w:color w:val="auto"/>
              </w:rPr>
              <w:t>Non-marketable equity investments</w:t>
            </w:r>
          </w:p>
        </w:tc>
        <w:tc>
          <w:tcPr>
            <w:tcW w:w="1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w:t>
            </w:r>
          </w:p>
        </w:tc>
      </w:tr>
      <w:tr>
        <w:trPr>
          <w:trHeight w:val="33"/>
        </w:trPr>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3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on hand</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47"/>
        </w:trPr>
        <w:tc>
          <w:tcPr>
            <w:tcW w:w="350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4,294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666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2,437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2,950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300</w:t>
            </w:r>
          </w:p>
        </w:tc>
      </w:tr>
      <w:tr>
        <w:trPr>
          <w:trHeight w:val="24"/>
        </w:trPr>
        <w:tc>
          <w:tcPr>
            <w:tcW w:w="3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of June 30, 2020 and December 31, 2019, unrealized gains and losses associated with our available-for-sale investments were not material. We did not recognize any credit losses related to available-for-sale investments for the first six months of 2020 and 2019. All of our debt securities classified as available for sale as of June 30, 2020, have maturities within one year.</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Proceeds from sales, redemptions and maturities of short-term available-for-sale investments were $1.81 billion and $200 million for the second quarters of 2020 and 2019, respectively, and $3.20 billion and $1.78 billion for the first six months of 2020 and 2019, respectively. Gross realized gains and losses from these sales were not material.</w:t>
      </w:r>
    </w:p>
    <w:p>
      <w:pPr>
        <w:spacing w:after="0" w:line="18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During the first six months of 2020, we entered into total return swaps to economically hedge the variability of certain deferred compensation obligations to employees. As a result, we received proceeds of $253 million from the sale of investments in mutual funds that were previously being utilized to offset this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extent and level of judgment used to estimate fair-value measurements.</w:t>
      </w:r>
    </w:p>
    <w:p>
      <w:pPr>
        <w:spacing w:after="0" w:line="225" w:lineRule="exact"/>
        <w:rPr>
          <w:sz w:val="20"/>
          <w:szCs w:val="20"/>
          <w:color w:val="auto"/>
        </w:rPr>
      </w:pPr>
    </w:p>
    <w:p>
      <w:pPr>
        <w:ind w:left="620" w:hanging="329"/>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reporting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7" w:lineRule="exact"/>
        <w:rPr>
          <w:sz w:val="20"/>
          <w:szCs w:val="20"/>
          <w:color w:val="auto"/>
        </w:rPr>
      </w:pPr>
    </w:p>
    <w:p>
      <w:pPr>
        <w:ind w:left="620" w:right="180" w:hanging="329"/>
        <w:spacing w:after="0" w:line="273" w:lineRule="auto"/>
        <w:tabs>
          <w:tab w:leader="none" w:pos="61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Uses inputs other than Level 1 that are either directly or indirectly observable as of the reporting date through correlation with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69" w:lineRule="exact"/>
        <w:rPr>
          <w:rFonts w:ascii="Arial" w:cs="Arial" w:eastAsia="Arial" w:hAnsi="Arial"/>
          <w:sz w:val="17"/>
          <w:szCs w:val="17"/>
          <w:color w:val="auto"/>
        </w:rPr>
      </w:pPr>
    </w:p>
    <w:p>
      <w:pPr>
        <w:ind w:left="620" w:right="200" w:hanging="329"/>
        <w:spacing w:after="0" w:line="263" w:lineRule="auto"/>
        <w:tabs>
          <w:tab w:leader="none" w:pos="61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 judgment.</w:t>
      </w:r>
      <w:r>
        <w:rPr>
          <w:rFonts w:ascii="Arial" w:cs="Arial" w:eastAsia="Arial" w:hAnsi="Arial"/>
          <w:sz w:val="18"/>
          <w:szCs w:val="18"/>
          <w:i w:val="1"/>
          <w:iCs w:val="1"/>
          <w:color w:val="auto"/>
        </w:rPr>
        <w:t xml:space="preserve"> </w:t>
      </w:r>
      <w:r>
        <w:rPr>
          <w:rFonts w:ascii="Arial" w:cs="Arial" w:eastAsia="Arial" w:hAnsi="Arial"/>
          <w:sz w:val="18"/>
          <w:szCs w:val="18"/>
          <w:color w:val="auto"/>
        </w:rPr>
        <w:t>These values are generally determined using pricing models that utilize management estimates of market participant assumptions. As of June 30, 2020 and December 31, 2019, we had no Level 3 assets or liabilities.</w:t>
      </w:r>
    </w:p>
    <w:p>
      <w:pPr>
        <w:spacing w:after="0" w:line="18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2020</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2019</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2</w:t>
            </w:r>
          </w:p>
        </w:tc>
        <w:tc>
          <w:tcPr>
            <w:tcW w:w="260" w:type="dxa"/>
            <w:vAlign w:val="bottom"/>
          </w:tcPr>
          <w:p>
            <w:pPr>
              <w:spacing w:after="0"/>
              <w:rPr>
                <w:sz w:val="18"/>
                <w:szCs w:val="18"/>
                <w:color w:val="auto"/>
              </w:rPr>
            </w:pPr>
          </w:p>
        </w:tc>
        <w:tc>
          <w:tcPr>
            <w:tcW w:w="104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Level 2</w:t>
            </w:r>
          </w:p>
        </w:tc>
        <w:tc>
          <w:tcPr>
            <w:tcW w:w="26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354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2,827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2,827</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1,213</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1,213</w:t>
            </w: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315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315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1,390</w:t>
            </w:r>
          </w:p>
        </w:tc>
      </w:tr>
      <w:tr>
        <w:trPr>
          <w:trHeight w:val="224"/>
        </w:trPr>
        <w:tc>
          <w:tcPr>
            <w:tcW w:w="3540" w:type="dxa"/>
            <w:vAlign w:val="bottom"/>
          </w:tcPr>
          <w:p>
            <w:pPr>
              <w:ind w:left="120"/>
              <w:spacing w:after="0"/>
              <w:rPr>
                <w:sz w:val="20"/>
                <w:szCs w:val="20"/>
                <w:color w:val="auto"/>
              </w:rPr>
            </w:pPr>
            <w:r>
              <w:rPr>
                <w:rFonts w:ascii="Arial" w:cs="Arial" w:eastAsia="Arial" w:hAnsi="Arial"/>
                <w:sz w:val="16"/>
                <w:szCs w:val="16"/>
                <w:color w:val="auto"/>
                <w:w w:val="98"/>
              </w:rPr>
              <w:t>U.S. government agency and Treasury securities</w:t>
            </w:r>
          </w:p>
        </w:tc>
        <w:tc>
          <w:tcPr>
            <w:tcW w:w="22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1,350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2,338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2,338</w:t>
            </w: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272</w:t>
            </w:r>
          </w:p>
        </w:tc>
      </w:tr>
      <w:tr>
        <w:trPr>
          <w:trHeight w:val="247"/>
        </w:trPr>
        <w:tc>
          <w:tcPr>
            <w:tcW w:w="35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4,193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315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4,508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3,823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1,390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5,213</w:t>
            </w: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6"/>
        </w:trPr>
        <w:tc>
          <w:tcPr>
            <w:tcW w:w="3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23"/>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286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298</w:t>
            </w:r>
          </w:p>
        </w:tc>
        <w:tc>
          <w:tcPr>
            <w:tcW w:w="3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298</w:t>
            </w:r>
          </w:p>
        </w:tc>
      </w:tr>
      <w:tr>
        <w:trPr>
          <w:trHeight w:val="247"/>
        </w:trPr>
        <w:tc>
          <w:tcPr>
            <w:tcW w:w="35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286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286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298</w:t>
            </w:r>
          </w:p>
        </w:tc>
      </w:tr>
      <w:tr>
        <w:trPr>
          <w:trHeight w:val="23"/>
        </w:trPr>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Goodwill and acquisition-related intangibles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Goodwill was $4.36 billion as of June 30, 2020 and December 31, 2019. There was no impairment of goodwill during the first six months of 2020 or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intangibles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80"/>
              <w:spacing w:after="0"/>
              <w:rPr>
                <w:sz w:val="20"/>
                <w:szCs w:val="20"/>
                <w:color w:val="auto"/>
              </w:rPr>
            </w:pPr>
            <w:r>
              <w:rPr>
                <w:rFonts w:ascii="Arial" w:cs="Arial" w:eastAsia="Arial" w:hAnsi="Arial"/>
                <w:sz w:val="16"/>
                <w:szCs w:val="16"/>
                <w:b w:val="1"/>
                <w:bCs w:val="1"/>
                <w:color w:val="auto"/>
              </w:rPr>
              <w:t>June 30, 2020</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gridSpan w:val="4"/>
          </w:tcPr>
          <w:p>
            <w:pPr>
              <w:spacing w:after="0"/>
              <w:rPr>
                <w:sz w:val="20"/>
                <w:szCs w:val="20"/>
                <w:color w:val="auto"/>
              </w:rPr>
            </w:pPr>
            <w:r>
              <w:rPr>
                <w:rFonts w:ascii="Arial" w:cs="Arial" w:eastAsia="Arial" w:hAnsi="Arial"/>
                <w:sz w:val="16"/>
                <w:szCs w:val="16"/>
                <w:b w:val="1"/>
                <w:bCs w:val="1"/>
                <w:color w:val="auto"/>
                <w:w w:val="99"/>
              </w:rPr>
              <w:t>December 31, 2019</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2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224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13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Gross Carrying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224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Period (Years)</w:t>
            </w:r>
          </w:p>
        </w:tc>
        <w:tc>
          <w:tcPr>
            <w:tcW w:w="2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Amortization</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18"/>
                <w:szCs w:val="18"/>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Net</w:t>
            </w:r>
          </w:p>
        </w:tc>
      </w:tr>
      <w:tr>
        <w:trPr>
          <w:trHeight w:val="33"/>
        </w:trPr>
        <w:tc>
          <w:tcPr>
            <w:tcW w:w="22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8</w:t>
            </w:r>
            <w:r>
              <w:rPr>
                <w:rFonts w:ascii="Arial" w:cs="Arial" w:eastAsia="Arial" w:hAnsi="Arial"/>
                <w:sz w:val="17"/>
                <w:szCs w:val="17"/>
                <w:color w:val="auto"/>
              </w:rPr>
              <w:t>–</w:t>
            </w:r>
            <w:r>
              <w:rPr>
                <w:rFonts w:ascii="Arial" w:cs="Arial" w:eastAsia="Arial" w:hAnsi="Arial"/>
                <w:sz w:val="16"/>
                <w:szCs w:val="16"/>
                <w:color w:val="auto"/>
              </w:rPr>
              <w:t>10</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1,760</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6"/>
                <w:szCs w:val="16"/>
                <w:b w:val="1"/>
                <w:bCs w:val="1"/>
                <w:color w:val="auto"/>
                <w:w w:val="89"/>
              </w:rPr>
              <w:t>$</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240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1,660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charges</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Acquisition charges represent the ongoing amortization of intangible assets resulting from the acquisition of National Semiconductor Corporation. These amounts are included in Other for segment reporting purposes, consistent with how management measures the performance of its segments.</w:t>
      </w:r>
    </w:p>
    <w:p>
      <w:pPr>
        <w:spacing w:after="0" w:line="12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Amortization of acquisition-related intangibles was $50 million and $80 million for the second quarters of 2020 and 2019, respectively, and $100 million and $159 million for the first six months of 2020 and 2019. Fully amortized assets are written off against accumulated amortization.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1920" w:type="dxa"/>
            <w:vAlign w:val="bottom"/>
            <w:gridSpan w:val="4"/>
          </w:tcPr>
          <w:p>
            <w:pPr>
              <w:jc w:val="right"/>
              <w:spacing w:after="0"/>
              <w:rPr>
                <w:sz w:val="20"/>
                <w:szCs w:val="20"/>
                <w:color w:val="auto"/>
              </w:rPr>
            </w:pPr>
            <w:r>
              <w:rPr>
                <w:rFonts w:ascii="Arial" w:cs="Arial" w:eastAsia="Arial" w:hAnsi="Arial"/>
                <w:sz w:val="16"/>
                <w:szCs w:val="16"/>
                <w:b w:val="1"/>
                <w:bCs w:val="1"/>
                <w:color w:val="auto"/>
              </w:rPr>
              <w:t>U.S. Defined Benefit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tcPr>
          <w:p>
            <w:pPr>
              <w:ind w:left="100"/>
              <w:spacing w:after="0"/>
              <w:rPr>
                <w:sz w:val="20"/>
                <w:szCs w:val="20"/>
                <w:color w:val="auto"/>
              </w:rPr>
            </w:pPr>
            <w:r>
              <w:rPr>
                <w:rFonts w:ascii="Arial" w:cs="Arial" w:eastAsia="Arial" w:hAnsi="Arial"/>
                <w:sz w:val="16"/>
                <w:szCs w:val="16"/>
                <w:b w:val="1"/>
                <w:bCs w:val="1"/>
                <w:color w:val="auto"/>
              </w:rPr>
              <w:t>U.S. Retiree Health Care</w:t>
            </w:r>
          </w:p>
        </w:tc>
        <w:tc>
          <w:tcPr>
            <w:tcW w:w="200" w:type="dxa"/>
            <w:vAlign w:val="bottom"/>
          </w:tcPr>
          <w:p>
            <w:pPr>
              <w:spacing w:after="0"/>
              <w:rPr>
                <w:sz w:val="18"/>
                <w:szCs w:val="18"/>
                <w:color w:val="auto"/>
              </w:rPr>
            </w:pPr>
          </w:p>
        </w:tc>
        <w:tc>
          <w:tcPr>
            <w:tcW w:w="210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5"/>
              </w:rPr>
              <w:t>Non-U.S. Defined Benefit</w:t>
            </w:r>
          </w:p>
        </w:tc>
      </w:tr>
      <w:tr>
        <w:trPr>
          <w:trHeight w:val="33"/>
        </w:trPr>
        <w:tc>
          <w:tcPr>
            <w:tcW w:w="41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For Three Months Ended June 30,</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33"/>
        </w:trPr>
        <w:tc>
          <w:tcPr>
            <w:tcW w:w="4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r>
      <w:tr>
        <w:trPr>
          <w:trHeight w:val="223"/>
        </w:trPr>
        <w:tc>
          <w:tcPr>
            <w:tcW w:w="41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72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11</w:t>
            </w:r>
          </w:p>
        </w:tc>
      </w:tr>
      <w:tr>
        <w:trPr>
          <w:trHeight w:val="33"/>
        </w:trPr>
        <w:tc>
          <w:tcPr>
            <w:tcW w:w="4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6"/>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r>
      <w:tr>
        <w:trPr>
          <w:trHeight w:val="224"/>
        </w:trPr>
        <w:tc>
          <w:tcPr>
            <w:tcW w:w="4140" w:type="dxa"/>
            <w:vAlign w:val="bottom"/>
          </w:tcPr>
          <w:p>
            <w:pPr>
              <w:ind w:left="20"/>
              <w:spacing w:after="0"/>
              <w:rPr>
                <w:sz w:val="20"/>
                <w:szCs w:val="20"/>
                <w:color w:val="auto"/>
              </w:rPr>
            </w:pPr>
            <w:r>
              <w:rPr>
                <w:rFonts w:ascii="Arial" w:cs="Arial" w:eastAsia="Arial" w:hAnsi="Arial"/>
                <w:sz w:val="16"/>
                <w:szCs w:val="16"/>
                <w:color w:val="auto"/>
              </w:rPr>
              <w:t>Recognized net actuarial loss</w:t>
            </w:r>
          </w:p>
        </w:tc>
        <w:tc>
          <w:tcPr>
            <w:tcW w:w="72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8</w:t>
            </w:r>
          </w:p>
        </w:tc>
      </w:tr>
      <w:tr>
        <w:trPr>
          <w:trHeight w:val="33"/>
        </w:trPr>
        <w:tc>
          <w:tcPr>
            <w:tcW w:w="4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costs</w:t>
            </w: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r>
      <w:tr>
        <w:trPr>
          <w:trHeight w:val="224"/>
        </w:trPr>
        <w:tc>
          <w:tcPr>
            <w:tcW w:w="4140" w:type="dxa"/>
            <w:vAlign w:val="bottom"/>
          </w:tcPr>
          <w:p>
            <w:pPr>
              <w:ind w:left="20"/>
              <w:spacing w:after="0"/>
              <w:rPr>
                <w:sz w:val="20"/>
                <w:szCs w:val="20"/>
                <w:color w:val="auto"/>
              </w:rPr>
            </w:pPr>
            <w:r>
              <w:rPr>
                <w:rFonts w:ascii="Arial" w:cs="Arial" w:eastAsia="Arial" w:hAnsi="Arial"/>
                <w:sz w:val="16"/>
                <w:szCs w:val="16"/>
                <w:color w:val="auto"/>
              </w:rPr>
              <w:t>Settlement losses</w:t>
            </w:r>
          </w:p>
        </w:tc>
        <w:tc>
          <w:tcPr>
            <w:tcW w:w="72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w:t>
            </w:r>
          </w:p>
        </w:tc>
      </w:tr>
      <w:tr>
        <w:trPr>
          <w:trHeight w:val="33"/>
        </w:trPr>
        <w:tc>
          <w:tcPr>
            <w:tcW w:w="4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including other postretirement losses</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r>
      <w:tr>
        <w:trPr>
          <w:trHeight w:val="20"/>
        </w:trPr>
        <w:tc>
          <w:tcPr>
            <w:tcW w:w="4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r>
      <w:tr>
        <w:trPr>
          <w:trHeight w:val="390"/>
        </w:trPr>
        <w:tc>
          <w:tcPr>
            <w:tcW w:w="4140" w:type="dxa"/>
            <w:vAlign w:val="bottom"/>
          </w:tcPr>
          <w:p>
            <w:pPr>
              <w:spacing w:after="0"/>
              <w:rPr>
                <w:sz w:val="24"/>
                <w:szCs w:val="24"/>
                <w:color w:val="auto"/>
              </w:rPr>
            </w:pPr>
          </w:p>
        </w:tc>
        <w:tc>
          <w:tcPr>
            <w:tcW w:w="1920" w:type="dxa"/>
            <w:vAlign w:val="bottom"/>
            <w:gridSpan w:val="4"/>
          </w:tcPr>
          <w:p>
            <w:pPr>
              <w:jc w:val="right"/>
              <w:spacing w:after="0"/>
              <w:rPr>
                <w:sz w:val="20"/>
                <w:szCs w:val="20"/>
                <w:color w:val="auto"/>
              </w:rPr>
            </w:pPr>
            <w:r>
              <w:rPr>
                <w:rFonts w:ascii="Arial" w:cs="Arial" w:eastAsia="Arial" w:hAnsi="Arial"/>
                <w:sz w:val="16"/>
                <w:szCs w:val="16"/>
                <w:b w:val="1"/>
                <w:bCs w:val="1"/>
                <w:color w:val="auto"/>
              </w:rPr>
              <w:t>U.S. Defined Benefit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5"/>
          </w:tcPr>
          <w:p>
            <w:pPr>
              <w:ind w:left="100"/>
              <w:spacing w:after="0"/>
              <w:rPr>
                <w:sz w:val="20"/>
                <w:szCs w:val="20"/>
                <w:color w:val="auto"/>
              </w:rPr>
            </w:pPr>
            <w:r>
              <w:rPr>
                <w:rFonts w:ascii="Arial" w:cs="Arial" w:eastAsia="Arial" w:hAnsi="Arial"/>
                <w:sz w:val="16"/>
                <w:szCs w:val="16"/>
                <w:b w:val="1"/>
                <w:bCs w:val="1"/>
                <w:color w:val="auto"/>
              </w:rPr>
              <w:t>U.S. Retiree Health Care</w:t>
            </w:r>
          </w:p>
        </w:tc>
        <w:tc>
          <w:tcPr>
            <w:tcW w:w="200" w:type="dxa"/>
            <w:vAlign w:val="bottom"/>
          </w:tcPr>
          <w:p>
            <w:pPr>
              <w:spacing w:after="0"/>
              <w:rPr>
                <w:sz w:val="24"/>
                <w:szCs w:val="24"/>
                <w:color w:val="auto"/>
              </w:rPr>
            </w:pPr>
          </w:p>
        </w:tc>
        <w:tc>
          <w:tcPr>
            <w:tcW w:w="210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5"/>
              </w:rPr>
              <w:t>Non-U.S. Defined Benefit</w:t>
            </w:r>
          </w:p>
        </w:tc>
      </w:tr>
      <w:tr>
        <w:trPr>
          <w:trHeight w:val="33"/>
        </w:trPr>
        <w:tc>
          <w:tcPr>
            <w:tcW w:w="41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For Six Months Ended June 30,</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33"/>
        </w:trPr>
        <w:tc>
          <w:tcPr>
            <w:tcW w:w="4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r>
      <w:tr>
        <w:trPr>
          <w:trHeight w:val="224"/>
        </w:trPr>
        <w:tc>
          <w:tcPr>
            <w:tcW w:w="41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72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17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22</w:t>
            </w:r>
          </w:p>
        </w:tc>
      </w:tr>
      <w:tr>
        <w:trPr>
          <w:trHeight w:val="33"/>
        </w:trPr>
        <w:tc>
          <w:tcPr>
            <w:tcW w:w="4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4"/>
              </w:rPr>
              <w:t>(18)</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r>
      <w:tr>
        <w:trPr>
          <w:trHeight w:val="223"/>
        </w:trPr>
        <w:tc>
          <w:tcPr>
            <w:tcW w:w="4140" w:type="dxa"/>
            <w:vAlign w:val="bottom"/>
          </w:tcPr>
          <w:p>
            <w:pPr>
              <w:ind w:left="20"/>
              <w:spacing w:after="0"/>
              <w:rPr>
                <w:sz w:val="20"/>
                <w:szCs w:val="20"/>
                <w:color w:val="auto"/>
              </w:rPr>
            </w:pPr>
            <w:r>
              <w:rPr>
                <w:rFonts w:ascii="Arial" w:cs="Arial" w:eastAsia="Arial" w:hAnsi="Arial"/>
                <w:sz w:val="16"/>
                <w:szCs w:val="16"/>
                <w:color w:val="auto"/>
              </w:rPr>
              <w:t>Recognized net actuarial loss</w:t>
            </w:r>
          </w:p>
        </w:tc>
        <w:tc>
          <w:tcPr>
            <w:tcW w:w="72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15</w:t>
            </w:r>
          </w:p>
        </w:tc>
      </w:tr>
      <w:tr>
        <w:trPr>
          <w:trHeight w:val="33"/>
        </w:trPr>
        <w:tc>
          <w:tcPr>
            <w:tcW w:w="4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costs</w:t>
            </w: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w:t>
            </w:r>
          </w:p>
        </w:tc>
      </w:tr>
      <w:tr>
        <w:trPr>
          <w:trHeight w:val="224"/>
        </w:trPr>
        <w:tc>
          <w:tcPr>
            <w:tcW w:w="4140" w:type="dxa"/>
            <w:vAlign w:val="bottom"/>
          </w:tcPr>
          <w:p>
            <w:pPr>
              <w:ind w:left="20"/>
              <w:spacing w:after="0"/>
              <w:rPr>
                <w:sz w:val="20"/>
                <w:szCs w:val="20"/>
                <w:color w:val="auto"/>
              </w:rPr>
            </w:pPr>
            <w:r>
              <w:rPr>
                <w:rFonts w:ascii="Arial" w:cs="Arial" w:eastAsia="Arial" w:hAnsi="Arial"/>
                <w:sz w:val="16"/>
                <w:szCs w:val="16"/>
                <w:color w:val="auto"/>
              </w:rPr>
              <w:t>Settlement losses</w:t>
            </w:r>
          </w:p>
        </w:tc>
        <w:tc>
          <w:tcPr>
            <w:tcW w:w="72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w:t>
            </w:r>
          </w:p>
        </w:tc>
      </w:tr>
      <w:tr>
        <w:trPr>
          <w:trHeight w:val="33"/>
        </w:trPr>
        <w:tc>
          <w:tcPr>
            <w:tcW w:w="4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2"/>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including other postretirement losses</w:t>
            </w: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June 30, 2020, we had a variable-rate revolving credit facility from a consortium of investment-grade banks that allows us to borrow up to $2 billion until March 2024. The interest rate on borrowings under this credit facility, if drawn, is indexed to the applicable London Interbank Offered Rate (LIBOR). As of June 30, 2020, our credit facility was undrawn, and we had no commercial paper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 the first quarter of 2020, we issued a principal amount of $750 million of fixed-rate, long-term debt due in 2025. We incurred $4 million of issuance costs. The proceeds of the offering were $749 million, net of the original issuance discount, which were used for general corporate purposes and the repayment of maturing debt.</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second quarter of 2020, we retired $500 million of maturing debt. We also issued a principal amount of $750 million of fixed-rate, long-term debt due in 2030. We incurred $5 million of issuance costs. The proceeds of the offering were $749 million, net of the original issuance discount, to be used for general corporate purposes.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w:t>
            </w:r>
          </w:p>
        </w:tc>
      </w:tr>
      <w:tr>
        <w:trPr>
          <w:trHeight w:val="257"/>
        </w:trPr>
        <w:tc>
          <w:tcPr>
            <w:tcW w:w="8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r>
      <w:tr>
        <w:trPr>
          <w:trHeight w:val="33"/>
        </w:trPr>
        <w:tc>
          <w:tcPr>
            <w:tcW w:w="8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2020 at 1.75%</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500</w:t>
            </w:r>
          </w:p>
        </w:tc>
      </w:tr>
      <w:tr>
        <w:trPr>
          <w:trHeight w:val="254"/>
        </w:trPr>
        <w:tc>
          <w:tcPr>
            <w:tcW w:w="8380" w:type="dxa"/>
            <w:vAlign w:val="bottom"/>
          </w:tcPr>
          <w:p>
            <w:pPr>
              <w:ind w:left="20"/>
              <w:spacing w:after="0"/>
              <w:rPr>
                <w:sz w:val="20"/>
                <w:szCs w:val="20"/>
                <w:color w:val="auto"/>
              </w:rPr>
            </w:pPr>
            <w:r>
              <w:rPr>
                <w:rFonts w:ascii="Arial" w:cs="Arial" w:eastAsia="Arial" w:hAnsi="Arial"/>
                <w:sz w:val="16"/>
                <w:szCs w:val="16"/>
                <w:color w:val="auto"/>
              </w:rPr>
              <w:t>Notes due 2021 at 2.75%</w:t>
            </w:r>
          </w:p>
        </w:tc>
        <w:tc>
          <w:tcPr>
            <w:tcW w:w="240" w:type="dxa"/>
            <w:vAlign w:val="bottom"/>
          </w:tcPr>
          <w:p>
            <w:pPr>
              <w:spacing w:after="0"/>
              <w:rPr>
                <w:sz w:val="22"/>
                <w:szCs w:val="22"/>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550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550</w:t>
            </w:r>
          </w:p>
        </w:tc>
      </w:tr>
      <w:tr>
        <w:trPr>
          <w:trHeight w:val="25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2022 at 1.85%</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500</w:t>
            </w:r>
          </w:p>
        </w:tc>
      </w:tr>
      <w:tr>
        <w:trPr>
          <w:trHeight w:val="254"/>
        </w:trPr>
        <w:tc>
          <w:tcPr>
            <w:tcW w:w="8380" w:type="dxa"/>
            <w:vAlign w:val="bottom"/>
          </w:tcPr>
          <w:p>
            <w:pPr>
              <w:ind w:left="20"/>
              <w:spacing w:after="0"/>
              <w:rPr>
                <w:sz w:val="20"/>
                <w:szCs w:val="20"/>
                <w:color w:val="auto"/>
              </w:rPr>
            </w:pPr>
            <w:r>
              <w:rPr>
                <w:rFonts w:ascii="Arial" w:cs="Arial" w:eastAsia="Arial" w:hAnsi="Arial"/>
                <w:sz w:val="16"/>
                <w:szCs w:val="16"/>
                <w:color w:val="auto"/>
              </w:rPr>
              <w:t>Notes due 2023 at 2.25%</w:t>
            </w:r>
          </w:p>
        </w:tc>
        <w:tc>
          <w:tcPr>
            <w:tcW w:w="240" w:type="dxa"/>
            <w:vAlign w:val="bottom"/>
          </w:tcPr>
          <w:p>
            <w:pPr>
              <w:spacing w:after="0"/>
              <w:rPr>
                <w:sz w:val="22"/>
                <w:szCs w:val="22"/>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500</w:t>
            </w:r>
          </w:p>
        </w:tc>
      </w:tr>
      <w:tr>
        <w:trPr>
          <w:trHeight w:val="25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2024 at 2.625%</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300</w:t>
            </w:r>
          </w:p>
        </w:tc>
      </w:tr>
      <w:tr>
        <w:trPr>
          <w:trHeight w:val="253"/>
        </w:trPr>
        <w:tc>
          <w:tcPr>
            <w:tcW w:w="8380" w:type="dxa"/>
            <w:vAlign w:val="bottom"/>
          </w:tcPr>
          <w:p>
            <w:pPr>
              <w:ind w:left="20"/>
              <w:spacing w:after="0"/>
              <w:rPr>
                <w:sz w:val="20"/>
                <w:szCs w:val="20"/>
                <w:color w:val="auto"/>
              </w:rPr>
            </w:pPr>
            <w:r>
              <w:rPr>
                <w:rFonts w:ascii="Arial" w:cs="Arial" w:eastAsia="Arial" w:hAnsi="Arial"/>
                <w:sz w:val="16"/>
                <w:szCs w:val="16"/>
                <w:color w:val="auto"/>
              </w:rPr>
              <w:t>Notes due 2025 at 1.375%</w:t>
            </w:r>
          </w:p>
        </w:tc>
        <w:tc>
          <w:tcPr>
            <w:tcW w:w="240" w:type="dxa"/>
            <w:vAlign w:val="bottom"/>
          </w:tcPr>
          <w:p>
            <w:pPr>
              <w:spacing w:after="0"/>
              <w:rPr>
                <w:sz w:val="22"/>
                <w:szCs w:val="22"/>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750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60"/>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2027 at 2.90%</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500</w:t>
            </w:r>
          </w:p>
        </w:tc>
      </w:tr>
      <w:tr>
        <w:trPr>
          <w:trHeight w:val="253"/>
        </w:trPr>
        <w:tc>
          <w:tcPr>
            <w:tcW w:w="8380" w:type="dxa"/>
            <w:vAlign w:val="bottom"/>
          </w:tcPr>
          <w:p>
            <w:pPr>
              <w:ind w:left="20"/>
              <w:spacing w:after="0"/>
              <w:rPr>
                <w:sz w:val="20"/>
                <w:szCs w:val="20"/>
                <w:color w:val="auto"/>
              </w:rPr>
            </w:pPr>
            <w:r>
              <w:rPr>
                <w:rFonts w:ascii="Arial" w:cs="Arial" w:eastAsia="Arial" w:hAnsi="Arial"/>
                <w:sz w:val="16"/>
                <w:szCs w:val="16"/>
                <w:color w:val="auto"/>
              </w:rPr>
              <w:t>Notes due 2029 at 2.25%</w:t>
            </w:r>
          </w:p>
        </w:tc>
        <w:tc>
          <w:tcPr>
            <w:tcW w:w="240" w:type="dxa"/>
            <w:vAlign w:val="bottom"/>
          </w:tcPr>
          <w:p>
            <w:pPr>
              <w:spacing w:after="0"/>
              <w:rPr>
                <w:sz w:val="22"/>
                <w:szCs w:val="22"/>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750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750</w:t>
            </w:r>
          </w:p>
        </w:tc>
      </w:tr>
      <w:tr>
        <w:trPr>
          <w:trHeight w:val="259"/>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2030 at 1.75%</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54"/>
        </w:trPr>
        <w:tc>
          <w:tcPr>
            <w:tcW w:w="8380" w:type="dxa"/>
            <w:vAlign w:val="bottom"/>
          </w:tcPr>
          <w:p>
            <w:pPr>
              <w:ind w:left="20"/>
              <w:spacing w:after="0"/>
              <w:rPr>
                <w:sz w:val="20"/>
                <w:szCs w:val="20"/>
                <w:color w:val="auto"/>
              </w:rPr>
            </w:pPr>
            <w:r>
              <w:rPr>
                <w:rFonts w:ascii="Arial" w:cs="Arial" w:eastAsia="Arial" w:hAnsi="Arial"/>
                <w:sz w:val="16"/>
                <w:szCs w:val="16"/>
                <w:color w:val="auto"/>
              </w:rPr>
              <w:t>Notes due 2039 at 3.875%</w:t>
            </w:r>
          </w:p>
        </w:tc>
        <w:tc>
          <w:tcPr>
            <w:tcW w:w="240" w:type="dxa"/>
            <w:vAlign w:val="bottom"/>
          </w:tcPr>
          <w:p>
            <w:pPr>
              <w:spacing w:after="0"/>
              <w:rPr>
                <w:sz w:val="22"/>
                <w:szCs w:val="22"/>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750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750</w:t>
            </w:r>
          </w:p>
        </w:tc>
      </w:tr>
      <w:tr>
        <w:trPr>
          <w:trHeight w:val="256"/>
        </w:trPr>
        <w:tc>
          <w:tcPr>
            <w:tcW w:w="8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2048 at 4.15%</w:t>
            </w: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1,500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1,500</w:t>
            </w:r>
          </w:p>
        </w:tc>
      </w:tr>
      <w:tr>
        <w:trPr>
          <w:trHeight w:val="220"/>
        </w:trPr>
        <w:tc>
          <w:tcPr>
            <w:tcW w:w="838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24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b w:val="1"/>
                <w:bCs w:val="1"/>
                <w:color w:val="auto"/>
              </w:rPr>
              <w:t>6,850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5,850</w:t>
            </w:r>
          </w:p>
        </w:tc>
      </w:tr>
      <w:tr>
        <w:trPr>
          <w:trHeight w:val="33"/>
        </w:trPr>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unamortized discounts, premiums and issuance costs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r>
      <w:tr>
        <w:trPr>
          <w:trHeight w:val="217"/>
        </w:trPr>
        <w:tc>
          <w:tcPr>
            <w:tcW w:w="8380" w:type="dxa"/>
            <w:vAlign w:val="bottom"/>
          </w:tcPr>
          <w:p>
            <w:pPr>
              <w:ind w:left="20"/>
              <w:spacing w:after="0"/>
              <w:rPr>
                <w:sz w:val="20"/>
                <w:szCs w:val="20"/>
                <w:color w:val="auto"/>
              </w:rPr>
            </w:pPr>
            <w:r>
              <w:rPr>
                <w:rFonts w:ascii="Arial" w:cs="Arial" w:eastAsia="Arial" w:hAnsi="Arial"/>
                <w:sz w:val="16"/>
                <w:szCs w:val="16"/>
                <w:color w:val="auto"/>
              </w:rPr>
              <w:t>Total debt, including net unamortized discounts, premiums and issuance costs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6,796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5,803</w:t>
            </w:r>
          </w:p>
        </w:tc>
      </w:tr>
      <w:tr>
        <w:trPr>
          <w:trHeight w:val="33"/>
        </w:trPr>
        <w:tc>
          <w:tcPr>
            <w:tcW w:w="8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6"/>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47"/>
        </w:trPr>
        <w:tc>
          <w:tcPr>
            <w:tcW w:w="83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6,245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5,303</w:t>
            </w:r>
          </w:p>
        </w:tc>
      </w:tr>
      <w:tr>
        <w:trPr>
          <w:trHeight w:val="23"/>
        </w:trPr>
        <w:tc>
          <w:tcPr>
            <w:tcW w:w="8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Interest and debt expense was $48 million and $44 million for the second quarters of 2020 and 2019, respectively, and $93 million and $82 million for the first six months of 2020 and 2019, respectively. This was net of the amortized discounts, premiums and issuance costs. Capitalized interest was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Stock</w:t>
            </w: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6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22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AOCI</w:t>
            </w:r>
          </w:p>
        </w:tc>
      </w:tr>
      <w:tr>
        <w:trPr>
          <w:trHeight w:val="33"/>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39,898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w:t>
            </w:r>
          </w:p>
        </w:tc>
      </w:tr>
      <w:tr>
        <w:trPr>
          <w:trHeight w:val="237"/>
        </w:trPr>
        <w:tc>
          <w:tcPr>
            <w:tcW w:w="5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3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23"/>
        </w:trPr>
        <w:tc>
          <w:tcPr>
            <w:tcW w:w="53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1,174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and paid ($0.90 per share)</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5320" w:type="dxa"/>
            <w:vAlign w:val="bottom"/>
          </w:tcPr>
          <w:p>
            <w:pPr>
              <w:ind w:left="120"/>
              <w:spacing w:after="0"/>
              <w:rPr>
                <w:sz w:val="20"/>
                <w:szCs w:val="20"/>
                <w:color w:val="auto"/>
              </w:rPr>
            </w:pPr>
            <w:r>
              <w:rPr>
                <w:rFonts w:ascii="Arial" w:cs="Arial" w:eastAsia="Arial" w:hAnsi="Arial"/>
                <w:sz w:val="16"/>
                <w:szCs w:val="16"/>
                <w:color w:val="auto"/>
              </w:rPr>
              <w:t>Common stock issued for stock-based awards</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5320" w:type="dxa"/>
            <w:vAlign w:val="bottom"/>
          </w:tcPr>
          <w:p>
            <w:pPr>
              <w:ind w:left="120"/>
              <w:spacing w:after="0"/>
              <w:rPr>
                <w:sz w:val="20"/>
                <w:szCs w:val="20"/>
                <w:color w:val="auto"/>
              </w:rPr>
            </w:pPr>
            <w:r>
              <w:rPr>
                <w:rFonts w:ascii="Arial" w:cs="Arial" w:eastAsia="Arial" w:hAnsi="Arial"/>
                <w:sz w:val="16"/>
                <w:szCs w:val="16"/>
                <w:color w:val="auto"/>
              </w:rPr>
              <w:t>Stock compensation</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r>
      <w:tr>
        <w:trPr>
          <w:trHeight w:val="224"/>
        </w:trPr>
        <w:tc>
          <w:tcPr>
            <w:tcW w:w="5320" w:type="dxa"/>
            <w:vAlign w:val="bottom"/>
          </w:tcPr>
          <w:p>
            <w:pPr>
              <w:ind w:left="120"/>
              <w:spacing w:after="0"/>
              <w:rPr>
                <w:sz w:val="20"/>
                <w:szCs w:val="20"/>
                <w:color w:val="auto"/>
              </w:rPr>
            </w:pPr>
            <w:r>
              <w:rPr>
                <w:rFonts w:ascii="Arial" w:cs="Arial" w:eastAsia="Arial" w:hAnsi="Arial"/>
                <w:sz w:val="16"/>
                <w:szCs w:val="16"/>
                <w:color w:val="auto"/>
              </w:rPr>
              <w:t>Dividend equivalents on RSUs</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2020</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40,227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(36,002)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w:t>
            </w:r>
          </w:p>
        </w:tc>
      </w:tr>
      <w:tr>
        <w:trPr>
          <w:trHeight w:val="236"/>
        </w:trPr>
        <w:tc>
          <w:tcPr>
            <w:tcW w:w="5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36"/>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1,380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253"/>
        </w:trPr>
        <w:tc>
          <w:tcPr>
            <w:tcW w:w="5320" w:type="dxa"/>
            <w:vAlign w:val="bottom"/>
          </w:tcPr>
          <w:p>
            <w:pPr>
              <w:ind w:left="140"/>
              <w:spacing w:after="0"/>
              <w:rPr>
                <w:sz w:val="20"/>
                <w:szCs w:val="20"/>
                <w:color w:val="auto"/>
              </w:rPr>
            </w:pPr>
            <w:r>
              <w:rPr>
                <w:rFonts w:ascii="Arial" w:cs="Arial" w:eastAsia="Arial" w:hAnsi="Arial"/>
                <w:sz w:val="16"/>
                <w:szCs w:val="16"/>
                <w:b w:val="1"/>
                <w:bCs w:val="1"/>
                <w:color w:val="auto"/>
              </w:rPr>
              <w:t>Dividends declared and paid ($0.90 per share)</w:t>
            </w:r>
          </w:p>
        </w:tc>
        <w:tc>
          <w:tcPr>
            <w:tcW w:w="16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2"/>
                <w:szCs w:val="2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(823)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240"/>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Common stock issued for stock-based awards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224"/>
        </w:trPr>
        <w:tc>
          <w:tcPr>
            <w:tcW w:w="5320" w:type="dxa"/>
            <w:vAlign w:val="bottom"/>
          </w:tcPr>
          <w:p>
            <w:pPr>
              <w:ind w:left="120"/>
              <w:spacing w:after="0"/>
              <w:rPr>
                <w:sz w:val="20"/>
                <w:szCs w:val="20"/>
                <w:color w:val="auto"/>
              </w:rPr>
            </w:pPr>
            <w:r>
              <w:rPr>
                <w:rFonts w:ascii="Arial" w:cs="Arial" w:eastAsia="Arial" w:hAnsi="Arial"/>
                <w:sz w:val="16"/>
                <w:szCs w:val="16"/>
                <w:b w:val="1"/>
                <w:bCs w:val="1"/>
                <w:color w:val="auto"/>
              </w:rPr>
              <w:t>Stock repurchases</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(793)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Stock compensation</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224"/>
        </w:trPr>
        <w:tc>
          <w:tcPr>
            <w:tcW w:w="5320" w:type="dxa"/>
            <w:vAlign w:val="bottom"/>
          </w:tcPr>
          <w:p>
            <w:pPr>
              <w:ind w:left="120"/>
              <w:spacing w:after="0"/>
              <w:rPr>
                <w:sz w:val="20"/>
                <w:szCs w:val="20"/>
                <w:color w:val="auto"/>
              </w:rPr>
            </w:pPr>
            <w:r>
              <w:rPr>
                <w:rFonts w:ascii="Arial" w:cs="Arial" w:eastAsia="Arial" w:hAnsi="Arial"/>
                <w:sz w:val="16"/>
                <w:szCs w:val="16"/>
                <w:b w:val="1"/>
                <w:bCs w:val="1"/>
                <w:color w:val="auto"/>
              </w:rPr>
              <w:t>Other comprehensive income (loss), net of taxes</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(6)</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Dividend equivalents on RSUs</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247"/>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Balance, June 30,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1,741</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2,182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40,780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(36,725)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(334)</w:t>
            </w:r>
          </w:p>
        </w:tc>
      </w:tr>
      <w:tr>
        <w:trPr>
          <w:trHeight w:val="24"/>
        </w:trPr>
        <w:tc>
          <w:tcPr>
            <w:tcW w:w="5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0"/>
        </w:trPr>
        <w:tc>
          <w:tcPr>
            <w:tcW w:w="5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Stock</w:t>
            </w: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16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22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b w:val="1"/>
                <w:bCs w:val="1"/>
                <w:color w:val="auto"/>
              </w:rPr>
              <w:t>AOCI</w:t>
            </w:r>
          </w:p>
        </w:tc>
      </w:tr>
      <w:tr>
        <w:trPr>
          <w:trHeight w:val="33"/>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37,906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w:t>
            </w:r>
          </w:p>
        </w:tc>
      </w:tr>
      <w:tr>
        <w:trPr>
          <w:trHeight w:val="237"/>
        </w:trPr>
        <w:tc>
          <w:tcPr>
            <w:tcW w:w="53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3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24"/>
        </w:trPr>
        <w:tc>
          <w:tcPr>
            <w:tcW w:w="53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1,217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and paid ($0.77 per share)</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320" w:type="dxa"/>
            <w:vAlign w:val="bottom"/>
          </w:tcPr>
          <w:p>
            <w:pPr>
              <w:ind w:left="120"/>
              <w:spacing w:after="0"/>
              <w:rPr>
                <w:sz w:val="20"/>
                <w:szCs w:val="20"/>
                <w:color w:val="auto"/>
              </w:rPr>
            </w:pPr>
            <w:r>
              <w:rPr>
                <w:rFonts w:ascii="Arial" w:cs="Arial" w:eastAsia="Arial" w:hAnsi="Arial"/>
                <w:sz w:val="16"/>
                <w:szCs w:val="16"/>
                <w:color w:val="auto"/>
              </w:rPr>
              <w:t>Common stock issued for stock-based awards</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5320" w:type="dxa"/>
            <w:vAlign w:val="bottom"/>
          </w:tcPr>
          <w:p>
            <w:pPr>
              <w:ind w:left="120"/>
              <w:spacing w:after="0"/>
              <w:rPr>
                <w:sz w:val="20"/>
                <w:szCs w:val="20"/>
                <w:color w:val="auto"/>
              </w:rPr>
            </w:pPr>
            <w:r>
              <w:rPr>
                <w:rFonts w:ascii="Arial" w:cs="Arial" w:eastAsia="Arial" w:hAnsi="Arial"/>
                <w:sz w:val="16"/>
                <w:szCs w:val="16"/>
                <w:color w:val="auto"/>
              </w:rPr>
              <w:t>Stock compensation</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r>
      <w:tr>
        <w:trPr>
          <w:trHeight w:val="224"/>
        </w:trPr>
        <w:tc>
          <w:tcPr>
            <w:tcW w:w="5320" w:type="dxa"/>
            <w:vAlign w:val="bottom"/>
          </w:tcPr>
          <w:p>
            <w:pPr>
              <w:ind w:left="120"/>
              <w:spacing w:after="0"/>
              <w:rPr>
                <w:sz w:val="20"/>
                <w:szCs w:val="20"/>
                <w:color w:val="auto"/>
              </w:rPr>
            </w:pPr>
            <w:r>
              <w:rPr>
                <w:rFonts w:ascii="Arial" w:cs="Arial" w:eastAsia="Arial" w:hAnsi="Arial"/>
                <w:sz w:val="16"/>
                <w:szCs w:val="16"/>
                <w:color w:val="auto"/>
              </w:rPr>
              <w:t>Dividend equivalents on RSUs</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17"/>
        </w:trPr>
        <w:tc>
          <w:tcPr>
            <w:tcW w:w="5320" w:type="dxa"/>
            <w:vAlign w:val="bottom"/>
          </w:tcPr>
          <w:p>
            <w:pPr>
              <w:ind w:left="20"/>
              <w:spacing w:after="0"/>
              <w:rPr>
                <w:sz w:val="20"/>
                <w:szCs w:val="20"/>
                <w:color w:val="auto"/>
              </w:rPr>
            </w:pPr>
            <w:r>
              <w:rPr>
                <w:rFonts w:ascii="Arial" w:cs="Arial" w:eastAsia="Arial" w:hAnsi="Arial"/>
                <w:sz w:val="16"/>
                <w:szCs w:val="16"/>
                <w:color w:val="auto"/>
              </w:rPr>
              <w:t>Balance, March 31, 2019</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1,927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38,396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(33,080)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(465)</w:t>
            </w:r>
          </w:p>
        </w:tc>
      </w:tr>
      <w:tr>
        <w:trPr>
          <w:trHeight w:val="33"/>
        </w:trPr>
        <w:tc>
          <w:tcPr>
            <w:tcW w:w="5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6"/>
        </w:trPr>
        <w:tc>
          <w:tcPr>
            <w:tcW w:w="5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4"/>
        </w:trPr>
        <w:tc>
          <w:tcPr>
            <w:tcW w:w="53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1,305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and paid ($0.77 per share)</w:t>
            </w: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320" w:type="dxa"/>
            <w:vAlign w:val="bottom"/>
          </w:tcPr>
          <w:p>
            <w:pPr>
              <w:ind w:left="120"/>
              <w:spacing w:after="0"/>
              <w:rPr>
                <w:sz w:val="20"/>
                <w:szCs w:val="20"/>
                <w:color w:val="auto"/>
              </w:rPr>
            </w:pPr>
            <w:r>
              <w:rPr>
                <w:rFonts w:ascii="Arial" w:cs="Arial" w:eastAsia="Arial" w:hAnsi="Arial"/>
                <w:sz w:val="16"/>
                <w:szCs w:val="16"/>
                <w:color w:val="auto"/>
              </w:rPr>
              <w:t>Common stock issued for stock-based awards</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5320" w:type="dxa"/>
            <w:vAlign w:val="bottom"/>
          </w:tcPr>
          <w:p>
            <w:pPr>
              <w:ind w:left="120"/>
              <w:spacing w:after="0"/>
              <w:rPr>
                <w:sz w:val="20"/>
                <w:szCs w:val="20"/>
                <w:color w:val="auto"/>
              </w:rPr>
            </w:pPr>
            <w:r>
              <w:rPr>
                <w:rFonts w:ascii="Arial" w:cs="Arial" w:eastAsia="Arial" w:hAnsi="Arial"/>
                <w:sz w:val="16"/>
                <w:szCs w:val="16"/>
                <w:color w:val="auto"/>
              </w:rPr>
              <w:t>Stock compensation</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r>
      <w:tr>
        <w:trPr>
          <w:trHeight w:val="223"/>
        </w:trPr>
        <w:tc>
          <w:tcPr>
            <w:tcW w:w="5320" w:type="dxa"/>
            <w:vAlign w:val="bottom"/>
          </w:tcPr>
          <w:p>
            <w:pPr>
              <w:ind w:left="120"/>
              <w:spacing w:after="0"/>
              <w:rPr>
                <w:sz w:val="20"/>
                <w:szCs w:val="20"/>
                <w:color w:val="auto"/>
              </w:rPr>
            </w:pPr>
            <w:r>
              <w:rPr>
                <w:rFonts w:ascii="Arial" w:cs="Arial" w:eastAsia="Arial" w:hAnsi="Arial"/>
                <w:sz w:val="16"/>
                <w:szCs w:val="16"/>
                <w:color w:val="auto"/>
              </w:rPr>
              <w:t>Dividend equivalents on RSUs</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5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47"/>
        </w:trPr>
        <w:tc>
          <w:tcPr>
            <w:tcW w:w="5320" w:type="dxa"/>
            <w:vAlign w:val="bottom"/>
          </w:tcPr>
          <w:p>
            <w:pPr>
              <w:ind w:left="20"/>
              <w:spacing w:after="0"/>
              <w:rPr>
                <w:sz w:val="20"/>
                <w:szCs w:val="20"/>
                <w:color w:val="auto"/>
              </w:rPr>
            </w:pPr>
            <w:r>
              <w:rPr>
                <w:rFonts w:ascii="Arial" w:cs="Arial" w:eastAsia="Arial" w:hAnsi="Arial"/>
                <w:sz w:val="16"/>
                <w:szCs w:val="16"/>
                <w:color w:val="auto"/>
              </w:rPr>
              <w:t>Balance, June 30,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2,003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38,974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(33,775)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(457)</w:t>
            </w:r>
          </w:p>
        </w:tc>
      </w:tr>
      <w:tr>
        <w:trPr>
          <w:trHeight w:val="23"/>
        </w:trPr>
        <w:tc>
          <w:tcPr>
            <w:tcW w:w="5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second quarter of 2020, we recognized $24 million of restructuring charges for severance and benefit costs associated with our Embedded Processing business. As of June 30, 2020, no payments have been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Our Consolidated Statements of Comprehensive Income include items that have been recognized within net income during the second quarters and first six months of 2020 and 2019. The table below details where these transactions are recorded in our Consolidated Statements of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2400" w:type="dxa"/>
            <w:vAlign w:val="bottom"/>
            <w:gridSpan w:val="6"/>
          </w:tcPr>
          <w:p>
            <w:pPr>
              <w:ind w:left="280"/>
              <w:spacing w:after="0"/>
              <w:rPr>
                <w:sz w:val="20"/>
                <w:szCs w:val="20"/>
                <w:color w:val="auto"/>
              </w:rPr>
            </w:pPr>
            <w:r>
              <w:rPr>
                <w:rFonts w:ascii="Arial" w:cs="Arial" w:eastAsia="Arial" w:hAnsi="Arial"/>
                <w:sz w:val="16"/>
                <w:szCs w:val="16"/>
                <w:b w:val="1"/>
                <w:bCs w:val="1"/>
                <w:color w:val="auto"/>
              </w:rPr>
              <w:t>For Three Months Ended</w:t>
            </w:r>
          </w:p>
        </w:tc>
        <w:tc>
          <w:tcPr>
            <w:tcW w:w="240" w:type="dxa"/>
            <w:vAlign w:val="bottom"/>
          </w:tcPr>
          <w:p>
            <w:pPr>
              <w:spacing w:after="0"/>
              <w:rPr>
                <w:sz w:val="18"/>
                <w:szCs w:val="18"/>
                <w:color w:val="auto"/>
              </w:rPr>
            </w:pPr>
          </w:p>
        </w:tc>
        <w:tc>
          <w:tcPr>
            <w:tcW w:w="1720" w:type="dxa"/>
            <w:vAlign w:val="bottom"/>
            <w:gridSpan w:val="3"/>
          </w:tcPr>
          <w:p>
            <w:pPr>
              <w:jc w:val="center"/>
              <w:ind w:left="39"/>
              <w:spacing w:after="0"/>
              <w:rPr>
                <w:sz w:val="20"/>
                <w:szCs w:val="20"/>
                <w:color w:val="auto"/>
              </w:rPr>
            </w:pPr>
            <w:r>
              <w:rPr>
                <w:rFonts w:ascii="Arial" w:cs="Arial" w:eastAsia="Arial" w:hAnsi="Arial"/>
                <w:sz w:val="16"/>
                <w:szCs w:val="16"/>
                <w:b w:val="1"/>
                <w:bCs w:val="1"/>
                <w:color w:val="auto"/>
                <w:w w:val="92"/>
              </w:rPr>
              <w:t>For Six Months Ended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gridSpan w:val="3"/>
          </w:tcPr>
          <w:p>
            <w:pPr>
              <w:ind w:left="100"/>
              <w:spacing w:after="0"/>
              <w:rPr>
                <w:sz w:val="20"/>
                <w:szCs w:val="20"/>
                <w:color w:val="auto"/>
              </w:rPr>
            </w:pPr>
            <w:r>
              <w:rPr>
                <w:rFonts w:ascii="Arial" w:cs="Arial" w:eastAsia="Arial" w:hAnsi="Arial"/>
                <w:sz w:val="16"/>
                <w:szCs w:val="16"/>
                <w:b w:val="1"/>
                <w:bCs w:val="1"/>
                <w:color w:val="auto"/>
                <w:w w:val="99"/>
              </w:rPr>
              <w:t>June 30,</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gridSpan w:val="3"/>
          </w:tcPr>
          <w:p>
            <w:pPr>
              <w:jc w:val="center"/>
              <w:ind w:left="19"/>
              <w:spacing w:after="0"/>
              <w:rPr>
                <w:sz w:val="20"/>
                <w:szCs w:val="20"/>
                <w:color w:val="auto"/>
              </w:rPr>
            </w:pPr>
            <w:r>
              <w:rPr>
                <w:rFonts w:ascii="Arial" w:cs="Arial" w:eastAsia="Arial" w:hAnsi="Arial"/>
                <w:sz w:val="16"/>
                <w:szCs w:val="16"/>
                <w:b w:val="1"/>
                <w:bCs w:val="1"/>
                <w:color w:val="auto"/>
                <w:w w:val="90"/>
              </w:rPr>
              <w:t>June 30,</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Impact to Related Statement of Income</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Arial" w:cs="Arial" w:eastAsia="Arial" w:hAnsi="Arial"/>
                <w:sz w:val="16"/>
                <w:szCs w:val="16"/>
                <w:b w:val="1"/>
                <w:bCs w:val="1"/>
                <w:color w:val="auto"/>
                <w:w w:val="90"/>
              </w:rPr>
              <w:t>Lines</w:t>
            </w:r>
          </w:p>
        </w:tc>
        <w:tc>
          <w:tcPr>
            <w:tcW w:w="0" w:type="dxa"/>
            <w:vAlign w:val="bottom"/>
          </w:tcPr>
          <w:p>
            <w:pPr>
              <w:spacing w:after="0"/>
              <w:rPr>
                <w:sz w:val="1"/>
                <w:szCs w:val="1"/>
                <w:color w:val="auto"/>
              </w:rPr>
            </w:pPr>
          </w:p>
        </w:tc>
      </w:tr>
      <w:tr>
        <w:trPr>
          <w:trHeight w:val="33"/>
        </w:trPr>
        <w:tc>
          <w:tcPr>
            <w:tcW w:w="35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actuarial losses of defined benefit plans:</w:t>
            </w:r>
          </w:p>
        </w:tc>
        <w:tc>
          <w:tcPr>
            <w:tcW w:w="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580" w:type="dxa"/>
            <w:vAlign w:val="bottom"/>
          </w:tcPr>
          <w:p>
            <w:pPr>
              <w:ind w:left="120"/>
              <w:spacing w:after="0"/>
              <w:rPr>
                <w:sz w:val="20"/>
                <w:szCs w:val="20"/>
                <w:color w:val="auto"/>
              </w:rPr>
            </w:pPr>
            <w:r>
              <w:rPr>
                <w:rFonts w:ascii="Arial" w:cs="Arial" w:eastAsia="Arial" w:hAnsi="Arial"/>
                <w:sz w:val="16"/>
                <w:szCs w:val="16"/>
                <w:color w:val="auto"/>
                <w:w w:val="93"/>
              </w:rPr>
              <w:t>Recognized net actuarial loss and settlement losses</w:t>
            </w:r>
          </w:p>
        </w:tc>
        <w:tc>
          <w:tcPr>
            <w:tcW w:w="7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tcPr>
          <w:p>
            <w:pPr>
              <w:ind w:left="560"/>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80" w:type="dxa"/>
            <w:vAlign w:val="bottom"/>
          </w:tcPr>
          <w:p>
            <w:pPr>
              <w:ind w:left="120"/>
              <w:spacing w:after="0"/>
              <w:rPr>
                <w:sz w:val="20"/>
                <w:szCs w:val="20"/>
                <w:color w:val="auto"/>
              </w:rPr>
            </w:pPr>
            <w:r>
              <w:rPr>
                <w:rFonts w:ascii="Arial" w:cs="Arial" w:eastAsia="Arial" w:hAnsi="Arial"/>
                <w:sz w:val="16"/>
                <w:szCs w:val="16"/>
                <w:color w:val="auto"/>
              </w:rPr>
              <w:t>(a)</w:t>
            </w:r>
          </w:p>
        </w:tc>
        <w:tc>
          <w:tcPr>
            <w:tcW w:w="76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Pr>
          <w:p>
            <w:pPr>
              <w:ind w:left="48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tcPr>
          <w:p>
            <w:pPr>
              <w:ind w:left="4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Decrease to OI&amp;E</w:t>
            </w:r>
          </w:p>
        </w:tc>
        <w:tc>
          <w:tcPr>
            <w:tcW w:w="0" w:type="dxa"/>
            <w:vAlign w:val="bottom"/>
          </w:tcPr>
          <w:p>
            <w:pPr>
              <w:spacing w:after="0"/>
              <w:rPr>
                <w:sz w:val="1"/>
                <w:szCs w:val="1"/>
                <w:color w:val="auto"/>
              </w:rPr>
            </w:pPr>
          </w:p>
        </w:tc>
      </w:tr>
      <w:tr>
        <w:trPr>
          <w:trHeight w:val="33"/>
        </w:trPr>
        <w:tc>
          <w:tcPr>
            <w:tcW w:w="3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Tax effect</w:t>
            </w:r>
          </w:p>
        </w:tc>
        <w:tc>
          <w:tcPr>
            <w:tcW w:w="7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47"/>
        </w:trPr>
        <w:tc>
          <w:tcPr>
            <w:tcW w:w="3580" w:type="dxa"/>
            <w:vAlign w:val="bottom"/>
          </w:tcPr>
          <w:p>
            <w:pPr>
              <w:ind w:left="120"/>
              <w:spacing w:after="0"/>
              <w:rPr>
                <w:sz w:val="20"/>
                <w:szCs w:val="20"/>
                <w:color w:val="auto"/>
              </w:rPr>
            </w:pPr>
            <w:r>
              <w:rPr>
                <w:rFonts w:ascii="Arial" w:cs="Arial" w:eastAsia="Arial" w:hAnsi="Arial"/>
                <w:sz w:val="16"/>
                <w:szCs w:val="16"/>
                <w:color w:val="auto"/>
              </w:rPr>
              <w:t>Recognized within net income, net of taxes</w:t>
            </w: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Detailed in Note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Total shares of 1,568,938 and 6,783,180 were issued from treasury shares during the second quarter and first six months of 2020, respectively, related to stock compensation.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design, make and sell semiconductors to electronics designers and manufacturers all over the world. For many years, we have run our business with three overarching ambitions in mind. First, we will act like owners who will own the company for decades. Second, we will adapt and succeed in a world that is ever changing. And third, we will be a company that we are personally proud to be a part of and that we would want as our neighbor. When we are successful in achieving these ambitions, our employees, customers, communities and shareholders all win.</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business model is designed around the following four sustainable competitive advantages that we believe, in combination, put us in a unique class of companies:</w:t>
      </w:r>
    </w:p>
    <w:p>
      <w:pPr>
        <w:spacing w:after="0" w:line="170" w:lineRule="exact"/>
        <w:rPr>
          <w:sz w:val="20"/>
          <w:szCs w:val="20"/>
          <w:color w:val="auto"/>
        </w:rPr>
      </w:pPr>
    </w:p>
    <w:p>
      <w:pPr>
        <w:ind w:left="620" w:right="20" w:hanging="329"/>
        <w:spacing w:after="0" w:line="273" w:lineRule="auto"/>
        <w:tabs>
          <w:tab w:leader="none" w:pos="615"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A strong foundation of manufacturing and technology. </w:t>
      </w:r>
      <w:r>
        <w:rPr>
          <w:rFonts w:ascii="Arial" w:cs="Arial" w:eastAsia="Arial" w:hAnsi="Arial"/>
          <w:sz w:val="17"/>
          <w:szCs w:val="17"/>
          <w:color w:val="auto"/>
        </w:rPr>
        <w:t>We invest in manufacturing technologies and do most of our manufacturing in-house. This</w:t>
      </w:r>
      <w:r>
        <w:rPr>
          <w:rFonts w:ascii="Arial" w:cs="Arial" w:eastAsia="Arial" w:hAnsi="Arial"/>
          <w:sz w:val="17"/>
          <w:szCs w:val="17"/>
          <w:i w:val="1"/>
          <w:iCs w:val="1"/>
          <w:color w:val="auto"/>
        </w:rPr>
        <w:t xml:space="preserve"> </w:t>
      </w:r>
      <w:r>
        <w:rPr>
          <w:rFonts w:ascii="Arial" w:cs="Arial" w:eastAsia="Arial" w:hAnsi="Arial"/>
          <w:sz w:val="17"/>
          <w:szCs w:val="17"/>
          <w:color w:val="auto"/>
        </w:rPr>
        <w:t>strategic decision to directly control our manufacturing helps ensure a consistent supply of products for our customers and also allows us to invest in technology that differentiates the features of our products. We have focused on creating a competitive manufacturing cost advantage by investing in our advanced analog 300-millimeter capacity, which has about a 40% cost advantage per unpackaged chip over 200-millimeter. To strengthen this advantage, we are moving forward with our plan to build our new 300-millimeter wafer fabrication facility in Richardson, Texas, as 300-millimeter wafers will continue to support the majority of our Analog growth.</w:t>
      </w:r>
    </w:p>
    <w:p>
      <w:pPr>
        <w:spacing w:after="0" w:line="69" w:lineRule="exact"/>
        <w:rPr>
          <w:rFonts w:ascii="Arial" w:cs="Arial" w:eastAsia="Arial" w:hAnsi="Arial"/>
          <w:sz w:val="17"/>
          <w:szCs w:val="17"/>
          <w:color w:val="auto"/>
        </w:rPr>
      </w:pPr>
    </w:p>
    <w:p>
      <w:pPr>
        <w:ind w:left="620" w:right="180" w:hanging="329"/>
        <w:spacing w:after="0" w:line="259" w:lineRule="auto"/>
        <w:tabs>
          <w:tab w:leader="none" w:pos="61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Broad portfolio of differentiated analog and embedded processing products. </w:t>
      </w:r>
      <w:r>
        <w:rPr>
          <w:rFonts w:ascii="Arial" w:cs="Arial" w:eastAsia="Arial" w:hAnsi="Arial"/>
          <w:sz w:val="18"/>
          <w:szCs w:val="18"/>
          <w:color w:val="auto"/>
        </w:rPr>
        <w:t>Our customers need multiple chips for their systems. The breadth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portfolio means we can meet more of these needs than our competitors can, which gives us access to more customers and the opportunity to sell more products and generate more revenue per customer system. We invest more than $1 billion each year to develop new products for our portfolio, which includes tens of thousands of products.</w:t>
      </w:r>
    </w:p>
    <w:p>
      <w:pPr>
        <w:spacing w:after="0" w:line="78" w:lineRule="exact"/>
        <w:rPr>
          <w:rFonts w:ascii="Arial" w:cs="Arial" w:eastAsia="Arial" w:hAnsi="Arial"/>
          <w:sz w:val="18"/>
          <w:szCs w:val="18"/>
          <w:color w:val="auto"/>
        </w:rPr>
      </w:pPr>
    </w:p>
    <w:p>
      <w:pPr>
        <w:ind w:left="620" w:right="220" w:hanging="329"/>
        <w:spacing w:after="0" w:line="311" w:lineRule="auto"/>
        <w:tabs>
          <w:tab w:leader="none" w:pos="615"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Reach of market channels. </w:t>
      </w:r>
      <w:r>
        <w:rPr>
          <w:rFonts w:ascii="Arial" w:cs="Arial" w:eastAsia="Arial" w:hAnsi="Arial"/>
          <w:sz w:val="16"/>
          <w:szCs w:val="16"/>
          <w:color w:val="auto"/>
        </w:rPr>
        <w:t>Customers often begin their initial product selection process and design-in journey on our website, and the breadth of</w:t>
      </w:r>
      <w:r>
        <w:rPr>
          <w:rFonts w:ascii="Arial" w:cs="Arial" w:eastAsia="Arial" w:hAnsi="Arial"/>
          <w:sz w:val="16"/>
          <w:szCs w:val="16"/>
          <w:i w:val="1"/>
          <w:iCs w:val="1"/>
          <w:color w:val="auto"/>
        </w:rPr>
        <w:t xml:space="preserve"> </w:t>
      </w:r>
      <w:r>
        <w:rPr>
          <w:rFonts w:ascii="Arial" w:cs="Arial" w:eastAsia="Arial" w:hAnsi="Arial"/>
          <w:sz w:val="16"/>
          <w:szCs w:val="16"/>
          <w:color w:val="auto"/>
        </w:rPr>
        <w:t>our portfolio attracts more customers to our website than any of our competitors’ websites. Our web presence and global sales and applications team are advantages that give us unique access and insight to about 100,000 customers designing TI semiconductors into their end products.</w:t>
      </w:r>
    </w:p>
    <w:p>
      <w:pPr>
        <w:spacing w:after="0" w:line="40" w:lineRule="exact"/>
        <w:rPr>
          <w:rFonts w:ascii="Arial" w:cs="Arial" w:eastAsia="Arial" w:hAnsi="Arial"/>
          <w:sz w:val="16"/>
          <w:szCs w:val="16"/>
          <w:color w:val="auto"/>
        </w:rPr>
      </w:pPr>
    </w:p>
    <w:p>
      <w:pPr>
        <w:ind w:left="620" w:right="20" w:hanging="329"/>
        <w:spacing w:after="0" w:line="311" w:lineRule="auto"/>
        <w:tabs>
          <w:tab w:leader="none" w:pos="615"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Diversity and longevity of our products, markets and customer positions. </w:t>
      </w:r>
      <w:r>
        <w:rPr>
          <w:rFonts w:ascii="Arial" w:cs="Arial" w:eastAsia="Arial" w:hAnsi="Arial"/>
          <w:sz w:val="16"/>
          <w:szCs w:val="16"/>
          <w:color w:val="auto"/>
        </w:rPr>
        <w:t>Together, the attributes above result in diverse and long-lived positions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deliver high terminal value to our shareholders. Because of the breadth of our portfolio, we are not dependent on any single product, customer, technology or market. Some of our products generate revenue for decades, which strengthens the return on our investments.</w:t>
      </w:r>
    </w:p>
    <w:p>
      <w:pPr>
        <w:spacing w:after="0" w:line="14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strategic focus, and where we invest the majority of our resources, is on Analog and Embedded Processing, with a particular emphasis on designing and selling those products into the industrial and automotive markets. We believe these markets represent the best growth opportunities over the next decade or longer, due to increasing semiconductor content. Additionally, analog and embedded processing products sold into industrial and automotive markets provide long product life cycles, intrinsic diversity and less capital-intensive manufacturing, which we believe offer stability, profitability and strong cash generation.</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business model is the foundation of our capital management strategy, which is based on our belief that free cash flow growth, especially on a per-share basis, is important for maximizing shareholder value over the long term. We also believe that free cash flow will be valued only if it is productively invested in the business or returned to shareholders.</w:t>
      </w:r>
    </w:p>
    <w:p>
      <w:pPr>
        <w:spacing w:after="0" w:line="18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combined effect of our ambitions, business model and sustainable competitive advantages is that we have continued to build a stronger company. Over time, we have gained market share in Analog and Embedded Processing and grown and returned all free cash flow to our owners.</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70" w:lineRule="exact"/>
        <w:rPr>
          <w:sz w:val="20"/>
          <w:szCs w:val="20"/>
          <w:color w:val="auto"/>
        </w:rPr>
      </w:pPr>
    </w:p>
    <w:p>
      <w:pPr>
        <w:ind w:left="620" w:right="180" w:hanging="329"/>
        <w:spacing w:after="0" w:line="263" w:lineRule="auto"/>
        <w:tabs>
          <w:tab w:leader="none" w:pos="6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16" w:name="page17"/>
    <w:bookmarkEnd w:id="16"/>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100" w:hanging="320"/>
        <w:spacing w:after="0" w:line="27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2" w:lineRule="exact"/>
        <w:rPr>
          <w:rFonts w:ascii="Arial" w:cs="Arial" w:eastAsia="Arial" w:hAnsi="Arial"/>
          <w:sz w:val="18"/>
          <w:szCs w:val="18"/>
          <w:color w:val="auto"/>
        </w:rPr>
      </w:pPr>
    </w:p>
    <w:p>
      <w:pPr>
        <w:ind w:left="1300" w:right="520" w:hanging="320"/>
        <w:spacing w:after="0" w:line="27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62" w:lineRule="exact"/>
        <w:rPr>
          <w:rFonts w:ascii="Arial" w:cs="Arial" w:eastAsia="Arial" w:hAnsi="Arial"/>
          <w:sz w:val="18"/>
          <w:szCs w:val="18"/>
          <w:color w:val="auto"/>
        </w:rPr>
      </w:pPr>
    </w:p>
    <w:p>
      <w:pPr>
        <w:ind w:left="1300" w:right="20" w:hanging="320"/>
        <w:spacing w:after="0" w:line="277" w:lineRule="auto"/>
        <w:tabs>
          <w:tab w:leader="none" w:pos="12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62" w:lineRule="exact"/>
        <w:rPr>
          <w:rFonts w:ascii="Arial" w:cs="Arial" w:eastAsia="Arial" w:hAnsi="Arial"/>
          <w:sz w:val="18"/>
          <w:szCs w:val="18"/>
          <w:color w:val="auto"/>
        </w:rPr>
      </w:pPr>
    </w:p>
    <w:p>
      <w:pPr>
        <w:ind w:left="1300" w:right="100" w:hanging="320"/>
        <w:spacing w:after="0" w:line="279" w:lineRule="auto"/>
        <w:tabs>
          <w:tab w:leader="none" w:pos="1296" w:val="left"/>
        </w:tabs>
        <w:numPr>
          <w:ilvl w:val="1"/>
          <w:numId w:val="18"/>
        </w:numPr>
        <w:rPr>
          <w:rFonts w:ascii="Arial" w:cs="Arial" w:eastAsia="Arial" w:hAnsi="Arial"/>
          <w:sz w:val="17"/>
          <w:szCs w:val="17"/>
          <w:color w:val="auto"/>
        </w:rPr>
      </w:pPr>
      <w:r>
        <w:rPr>
          <w:rFonts w:ascii="Arial" w:cs="Arial" w:eastAsia="Arial" w:hAnsi="Arial"/>
          <w:sz w:val="17"/>
          <w:szCs w:val="17"/>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63" w:lineRule="exact"/>
        <w:rPr>
          <w:rFonts w:ascii="Arial" w:cs="Arial" w:eastAsia="Arial" w:hAnsi="Arial"/>
          <w:sz w:val="17"/>
          <w:szCs w:val="17"/>
          <w:color w:val="auto"/>
        </w:rPr>
      </w:pPr>
    </w:p>
    <w:p>
      <w:pPr>
        <w:ind w:left="1300" w:hanging="320"/>
        <w:spacing w:after="0"/>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For an explanation of free cash flow and the term “annual operating tax rate,” see the Non-GAAP financial information section.</w:t>
      </w:r>
    </w:p>
    <w:p>
      <w:pPr>
        <w:spacing w:after="0" w:line="128" w:lineRule="exact"/>
        <w:rPr>
          <w:rFonts w:ascii="Arial" w:cs="Arial" w:eastAsia="Arial" w:hAnsi="Arial"/>
          <w:sz w:val="17"/>
          <w:szCs w:val="17"/>
          <w:color w:val="auto"/>
        </w:rPr>
      </w:pPr>
    </w:p>
    <w:p>
      <w:pPr>
        <w:ind w:left="620" w:hanging="329"/>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coronavirus (COVID-19) pandemic and its follow-on effects are impacting and will likely continue to impact business activity across industries worldwide, including TI. While second quarter did not experience the depth of decline we saw in the 2008 financial crisis, nonetheless we remain cautious of how the economy might behave for the next few years.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impact to our lead times and ability to fulfill orders was minimal in the first six months of 2020. However, depending on pandemic-related factors like the potential of local manufacturing restrictions on our factories, we could experience constraints in fulfilling customer orders in future periods. The coronavirus pandemic remains dynamic with uncertainty around its duration and broader impact. We are monitoring and assessing the situation and preparing for implications to our business, supply chain and customer demand.</w:t>
      </w:r>
    </w:p>
    <w:p>
      <w:pPr>
        <w:spacing w:after="0" w:line="18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have long had a business continuity plan in place for unforeseeable situations, like we are experiencing with COVID-19. Additionally, over the past several years, we have invested in building inventory and expanding our global internally-owned manufacturing footprint. Investing in these capabilities has given us flexibility, such as the ability to build products across multiple manufacturing sites. These investments have helped to minimize disruptions, but may not be sufficient to eliminate them.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second quarter revenue was $3.24 billion, net income was $1.38 billion and earnings per share (EPS) were $1.48.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12% from the same quarter a year ago, driven primarily by weakness in the automotive market.</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our core businesses, Analog revenue declined 4% and Embedded Processing declined 31% from the same quarter a year ago. Analog and Embedded Processing both had positive sequential growth in the second quarter excluding the automotive market.</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cash flow from operations of $6.3 billion for the trailing 12 months again underscored the strength of our business model. Free cash flow for the same period was $5.7 billion and 42% of revenue. This reflects the quality of our product portfolio, as well as the efficiency of our manufacturing strategy, including the benefit of 300-millimeter Analog production.</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have returned $6.7 billion to shareholders in the past 12 months through stock repurchases and dividends. Over the same period, our dividends represented 56% of free cash flow, underscoring their sustainability. Together, our stock repurchases and dividends reflect our continued commitment to return all free cash flow to our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second quarter 2020 compared with second quarter 2019</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Revenue of $3.24 billion decreased $429 million, or 12%, primarily due to lower revenue from Embedded Processing and, to a lesser extent, Analog.</w:t>
      </w: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Gross profit of $2.08 billion was down $278 million, or 12%, due to lower revenue. As a percentage of revenue, gross profit was 64.3% in both periods.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$780 million compared with $810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were $50 million compared with $80 million and were non-cash. See Note 5 to the financial statements.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Restructuring charges/other was a charge of $24 million, due to an Embedded Processing action, compared with a credit of $36 million due to the sale of our manufacturing facility in Greenock, Scotland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$1.23 billion, or 37.9% of revenue, compared with $1.51 billion, or 41.1% of revenue.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OI&amp;E was $99 million of income compared with $52 million of income, which increased primarily due to the reversal of interest accrued on an uncertain tax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$48 million increased $4 million due to the issuance of additional long-term debt.</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provision for income taxes was a benefit of $101 million compared with an expense of $209 million. This change was due to higher discrete tax benefits, which included a $249 million benefit from the settlement of a depreciation-related uncertain tax position, and, to a lesser extent, lower income before income taxes. Our annual operating tax rate, which does not include discrete tax items, is about 13% compared with 16% in 2019. We use “annual operating tax rate” to describe the estimated annual effective tax rate. The 2020 rate differs from the 21% U.S. statutory corporate tax rate due to the effect of U.S. tax benefits.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$1.38 billion compared with $1.31 billion. EPS was $1.48 compared with $1.36.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2020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Signal Chain and High Volume product lines)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Q2 2020</w:t>
            </w:r>
          </w:p>
        </w:tc>
        <w:tc>
          <w:tcPr>
            <w:tcW w:w="22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Q2 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33"/>
        </w:trPr>
        <w:tc>
          <w:tcPr>
            <w:tcW w:w="7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2,434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2,534</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9"/>
                <w:szCs w:val="19"/>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b w:val="1"/>
                <w:bCs w:val="1"/>
                <w:color w:val="auto"/>
              </w:rPr>
              <w:t>1,053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1,108</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(5) %</w:t>
            </w:r>
          </w:p>
        </w:tc>
      </w:tr>
      <w:tr>
        <w:trPr>
          <w:trHeight w:val="33"/>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33"/>
        </w:trPr>
        <w:tc>
          <w:tcPr>
            <w:tcW w:w="7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Analog revenue decreased in High Volume and Power, while Signal Chain was about even. The decrease in High Volume revenue was due to the mix of products shipped. Operating profit decreased due to lower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Connected Microcontrollers and Processors product lines)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Q2 2020</w:t>
            </w:r>
          </w:p>
        </w:tc>
        <w:tc>
          <w:tcPr>
            <w:tcW w:w="22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Q2 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33"/>
        </w:trPr>
        <w:tc>
          <w:tcPr>
            <w:tcW w:w="7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546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9"/>
                <w:szCs w:val="19"/>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b w:val="1"/>
                <w:bCs w:val="1"/>
                <w:color w:val="auto"/>
              </w:rPr>
              <w:t>125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265</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(53) %</w:t>
            </w:r>
          </w:p>
        </w:tc>
      </w:tr>
      <w:tr>
        <w:trPr>
          <w:trHeight w:val="33"/>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22.9 %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33"/>
        </w:trPr>
        <w:tc>
          <w:tcPr>
            <w:tcW w:w="7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Embedded Processing revenue decreased in both product lines, led by Processors. Operating profit decreased due to lower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products, calculators and custom ASIC products)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Q2 2020</w:t>
            </w:r>
          </w:p>
        </w:tc>
        <w:tc>
          <w:tcPr>
            <w:tcW w:w="220" w:type="dxa"/>
            <w:vAlign w:val="bottom"/>
          </w:tcPr>
          <w:p>
            <w:pPr>
              <w:spacing w:after="0"/>
              <w:rPr>
                <w:sz w:val="18"/>
                <w:szCs w:val="18"/>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auto"/>
              </w:rPr>
              <w:t>Q2 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4"/>
        </w:trPr>
        <w:tc>
          <w:tcPr>
            <w:tcW w:w="7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9"/>
                <w:szCs w:val="19"/>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b w:val="1"/>
                <w:bCs w:val="1"/>
                <w:color w:val="auto"/>
              </w:rPr>
              <w:t>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(62) %</w:t>
            </w:r>
          </w:p>
        </w:tc>
      </w:tr>
      <w:tr>
        <w:trPr>
          <w:trHeight w:val="33"/>
        </w:trPr>
        <w:tc>
          <w:tcPr>
            <w:tcW w:w="7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auto"/>
              </w:rPr>
              <w:t>* Includes acquisition charges and restructuring charges/other</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$85 million, and operating profit decreased $83 million.</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 – first six months of 2020 compared with first six months of 2019</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Revenue of $6.57 billion decreased $694 million, or 10%, primarily due to lower revenue from Embedded Processing and, to a lesser extent, Analog.</w:t>
      </w:r>
    </w:p>
    <w:p>
      <w:pPr>
        <w:spacing w:after="0" w:line="23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Gross profit of $4.17 billion was down $451 million, or 10%, due to lower revenue. As a percentage of revenue, gross profit decreased to 63.5% from 63.6%.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$1.57 billion compared with $1.61 billion.</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Restructuring charges/other was a charge of $24 million, due to an Embedded Processing action, compared with a credit of $36 million due to the sale of our manufacturing facility in Greenock, Scotland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were $100 million compared with $159 million and were non-cash. See Note 5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$2.47 billion, or 37.6% of revenue, compared with $2.89 billion, or 39.7% of revenue.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OI&amp;E was $124 million of income compared with $88 million of income, which increased primarily due to the reversal of interest accrued on an uncertain tax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$93 million increased $11 million due to the issuance of additional long-term debt.</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Our provision for income taxes was a benefit of $51 million compared with an expense of $369 million. This change was due to higher discrete tax benefits, which included a $249 million benefit from the settlement of a depreciation-related uncertain tax position, and, to a lesser extent, lower income before income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$2.55 billion compared with $2.52 billion. EPS was $2.72 compared with $2.63.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Year-to-date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period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6"/>
                <w:szCs w:val="16"/>
                <w:b w:val="1"/>
                <w:bCs w:val="1"/>
                <w:color w:val="auto"/>
              </w:rPr>
              <w:t>YTD 2020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YTD 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33"/>
        </w:trPr>
        <w:tc>
          <w:tcPr>
            <w:tcW w:w="7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4,894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5,052</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00" w:type="dxa"/>
            <w:vAlign w:val="bottom"/>
          </w:tcPr>
          <w:p>
            <w:pPr>
              <w:spacing w:after="0"/>
              <w:rPr>
                <w:sz w:val="19"/>
                <w:szCs w:val="19"/>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2,078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2,196</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(5) %</w:t>
            </w:r>
          </w:p>
        </w:tc>
      </w:tr>
      <w:tr>
        <w:trPr>
          <w:trHeight w:val="33"/>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33"/>
        </w:trPr>
        <w:tc>
          <w:tcPr>
            <w:tcW w:w="7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Analog revenue decreased in High Volume and Signal Chain due to changes in the mix of products shipped. Power revenue was about even. Operating profit decreased due to lower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6"/>
                <w:szCs w:val="16"/>
                <w:b w:val="1"/>
                <w:bCs w:val="1"/>
                <w:color w:val="auto"/>
              </w:rPr>
              <w:t>YTD 2020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YTD 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33"/>
        </w:trPr>
        <w:tc>
          <w:tcPr>
            <w:tcW w:w="7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1,199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00" w:type="dxa"/>
            <w:vAlign w:val="bottom"/>
          </w:tcPr>
          <w:p>
            <w:pPr>
              <w:spacing w:after="0"/>
              <w:rPr>
                <w:sz w:val="19"/>
                <w:szCs w:val="19"/>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307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514</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(40) %</w:t>
            </w:r>
          </w:p>
        </w:tc>
      </w:tr>
      <w:tr>
        <w:trPr>
          <w:trHeight w:val="33"/>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33"/>
        </w:trPr>
        <w:tc>
          <w:tcPr>
            <w:tcW w:w="7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Embedded Processing revenue decreased in both product lines, led by Processors. Operating profit decreased due to lower revenue and associated gross profit.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Other</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6"/>
                <w:szCs w:val="16"/>
                <w:b w:val="1"/>
                <w:bCs w:val="1"/>
                <w:color w:val="auto"/>
              </w:rPr>
              <w:t>YTD 2020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YTD 2019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33"/>
        </w:trPr>
        <w:tc>
          <w:tcPr>
            <w:tcW w:w="7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475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(24) %</w:t>
            </w: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00" w:type="dxa"/>
            <w:vAlign w:val="bottom"/>
          </w:tcPr>
          <w:p>
            <w:pPr>
              <w:spacing w:after="0"/>
              <w:rPr>
                <w:sz w:val="19"/>
                <w:szCs w:val="19"/>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175</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(50) %</w:t>
            </w:r>
          </w:p>
        </w:tc>
      </w:tr>
      <w:tr>
        <w:trPr>
          <w:trHeight w:val="33"/>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18.3 %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4"/>
        </w:trPr>
        <w:tc>
          <w:tcPr>
            <w:tcW w:w="7240" w:type="dxa"/>
            <w:vAlign w:val="bottom"/>
          </w:tcPr>
          <w:p>
            <w:pPr>
              <w:ind w:left="20"/>
              <w:spacing w:after="0"/>
              <w:rPr>
                <w:sz w:val="20"/>
                <w:szCs w:val="20"/>
                <w:color w:val="auto"/>
              </w:rPr>
            </w:pPr>
            <w:r>
              <w:rPr>
                <w:rFonts w:ascii="Arial" w:cs="Arial" w:eastAsia="Arial" w:hAnsi="Arial"/>
                <w:sz w:val="16"/>
                <w:szCs w:val="16"/>
                <w:color w:val="auto"/>
              </w:rPr>
              <w:t>* Includes acquisition charges and restructuring charges/other</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$149 million, and operating profit decreased $88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the end of the second quarter of 2020, total cash (cash and cash equivalents plus short-term investments) was $4.96 billion, a decrease of $427 million from the end of 2019.</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Accounts receivable were $1.18 billion, an increase of $102 million compared with the end of 2019. Days sales outstanding at the end of the second quarter of 2020 were 33 compared with 29 at the end of 2019.</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Inventory was $2.14 billion, an increase of $135 million from the end of 2019. Days of inventory at the end of the second quarter of 2020 were 166 compared with 144 at the end of 2019. The increase in inventory reflects our desire to maintain high optionality with our operating plan so we can keep our lead times stable and product availability high, particularly during this time when our customers' ability to forecast their demand is limited. It is also higher as we reduce the number of distributors this year and have a closer, more direct relationship with our customers.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variable-rate, revolving credit facility. Cash flows from operating activities for the first six months of 2020 were $2.57 billion, a decrease of $332 million from the year-ago period primarily due to an increase in cash used for working capital.</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2024. This credit facility also serves as support for the issuance of commercial paper. As of June 30, 2020, our credit facility was undrawn, and we had no commercial paper outstanding.</w:t>
      </w:r>
    </w:p>
    <w:p>
      <w:pPr>
        <w:spacing w:after="0" w:line="18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Investing activities for the first six months of 2020 provided $2.26 billion compared with $915 million in the year-ago period. Capital expenditures were $291 million compared with $535 million in the year-ago period and were primarily for semiconductor manufacturing equipment and facilities in both periods. Short-term investments provided cash of $2.55 billion compared with $1.40 billion in the year-ago period.</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Financing activities for the first six months of 2020 used $2.98 billion compared with $2.44 billion in the year-ago period. In 2020, we received net proceeds of $1.50 billion from the issuance of fixed-rate, long-term debt, and we retired maturing debt of $500 million. In the year-ago period, we received net proceeds of $743 million from the issuance of fixed-rate, long-term debt. Dividends paid were $1.66 billion compared with $1.45 billion in the year-ago period, reflecting an increase in the dividend rate, partially offset by fewer shares outstanding. We used $2.52 billion to repurchase 23.2 million shares of our common stock compared with $2.02 billion used in the year-ago period to repurchase 19.6 million shares. Employee exercises of stock options provided cash proceeds of $233 million compared with $297 million in the year-ago period.</w:t>
      </w:r>
    </w:p>
    <w:p>
      <w:pPr>
        <w:spacing w:after="0" w:line="17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had $4.29 billion of cash and cash equivalents and $666 million of short-term investments as of June 30, 2020. We believe we have the necessary financial resources and operating plans to fund our working capital needs, capital expenditures, dividend and debt-related payments, and other business requirements for at least the next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0" w:name="page21"/>
    <w:bookmarkEnd w:id="20"/>
    <w:p>
      <w:pPr>
        <w:ind w:right="80"/>
        <w:spacing w:after="0" w:line="263"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For 12 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7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33"/>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7"/>
        </w:trPr>
        <w:tc>
          <w:tcPr>
            <w:tcW w:w="7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33"/>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 from operations (GAAP)</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6,317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7,154</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24"/>
        </w:trPr>
        <w:tc>
          <w:tcPr>
            <w:tcW w:w="724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(603)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67"/>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 (non-GAAP)</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5,714</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5,926</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166"/>
        </w:trPr>
        <w:tc>
          <w:tcPr>
            <w:tcW w:w="7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r>
      <w:tr>
        <w:trPr>
          <w:trHeight w:val="272"/>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13,689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15,240</w:t>
            </w:r>
          </w:p>
        </w:tc>
        <w:tc>
          <w:tcPr>
            <w:tcW w:w="1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166"/>
        </w:trPr>
        <w:tc>
          <w:tcPr>
            <w:tcW w:w="7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 from operations as a percentage of revenue (GAAP)</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46.1 %</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color w:val="auto"/>
              </w:rPr>
              <w:t>Free cash flow as a percentage of revenue (non-GAAP)</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41.7 %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38.9</w:t>
            </w:r>
          </w:p>
        </w:tc>
        <w:tc>
          <w:tcPr>
            <w:tcW w:w="16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23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Information regarding long-term contractual obligations is in Item 7 of our Form 10-K for the year ended December 31, 2019. Additionally, in the first six months of 2020, we issued $750 million principal amount of 1.375% notes maturing in 2025 and $750 million principal amount of 1.75% notes maturing in 2030. We retired $500 million of maturing debt in April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information regarding the status of new accounting and reporting standards.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91" w:right="4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concerning our risk factors is contained in Item 1A of our Form 10-Q for the quarter ended March 31, 2020,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w w:val="94"/>
              </w:rPr>
              <w:t>Total Number of 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89"/>
              </w:rPr>
              <w:t>Average Price</w:t>
            </w:r>
          </w:p>
        </w:tc>
        <w:tc>
          <w:tcPr>
            <w:tcW w:w="0" w:type="dxa"/>
            <w:vAlign w:val="bottom"/>
          </w:tcPr>
          <w:p>
            <w:pPr>
              <w:spacing w:after="0"/>
              <w:rPr>
                <w:sz w:val="1"/>
                <w:szCs w:val="1"/>
                <w:color w:val="auto"/>
              </w:rPr>
            </w:pPr>
          </w:p>
        </w:tc>
      </w:tr>
      <w:tr>
        <w:trPr>
          <w:trHeight w:val="210"/>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420" w:type="dxa"/>
            <w:vAlign w:val="bottom"/>
          </w:tcPr>
          <w:p>
            <w:pPr>
              <w:jc w:val="right"/>
              <w:ind w:right="79"/>
              <w:spacing w:after="0"/>
              <w:rPr>
                <w:sz w:val="20"/>
                <w:szCs w:val="20"/>
                <w:color w:val="auto"/>
              </w:rPr>
            </w:pPr>
            <w:r>
              <w:rPr>
                <w:rFonts w:ascii="Arial" w:cs="Arial" w:eastAsia="Arial" w:hAnsi="Arial"/>
                <w:sz w:val="16"/>
                <w:szCs w:val="16"/>
                <w:b w:val="1"/>
                <w:bCs w:val="1"/>
                <w:color w:val="auto"/>
              </w:rPr>
              <w:t>Purchased</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2"/>
              </w:rPr>
              <w:t>Paid per Share</w:t>
            </w:r>
          </w:p>
        </w:tc>
        <w:tc>
          <w:tcPr>
            <w:tcW w:w="0" w:type="dxa"/>
            <w:vAlign w:val="bottom"/>
          </w:tcPr>
          <w:p>
            <w:pPr>
              <w:spacing w:after="0"/>
              <w:rPr>
                <w:sz w:val="1"/>
                <w:szCs w:val="1"/>
                <w:color w:val="auto"/>
              </w:rPr>
            </w:pPr>
          </w:p>
        </w:tc>
      </w:tr>
      <w:tr>
        <w:trPr>
          <w:trHeight w:val="33"/>
        </w:trPr>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April 1, 2020 through April 30, 2020</w:t>
            </w:r>
          </w:p>
        </w:tc>
        <w:tc>
          <w:tcPr>
            <w:tcW w:w="1420" w:type="dxa"/>
            <w:vAlign w:val="bottom"/>
          </w:tcPr>
          <w:p>
            <w:pPr>
              <w:jc w:val="right"/>
              <w:spacing w:after="0"/>
              <w:rPr>
                <w:sz w:val="20"/>
                <w:szCs w:val="20"/>
                <w:color w:val="auto"/>
              </w:rPr>
            </w:pPr>
            <w:r>
              <w:rPr>
                <w:rFonts w:ascii="Arial" w:cs="Arial" w:eastAsia="Arial" w:hAnsi="Arial"/>
                <w:sz w:val="16"/>
                <w:szCs w:val="16"/>
                <w:color w:val="auto"/>
              </w:rPr>
              <w:t>7,463,609</w:t>
            </w:r>
          </w:p>
        </w:tc>
        <w:tc>
          <w:tcPr>
            <w:tcW w:w="3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106.34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May 1, 2020 through May 31, 2020</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June 1, 2020 through June 30, 2020</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vMerge w:val="restart"/>
          </w:tcPr>
          <w:p>
            <w:pPr>
              <w:ind w:left="80"/>
              <w:spacing w:after="0"/>
              <w:rPr>
                <w:sz w:val="20"/>
                <w:szCs w:val="20"/>
                <w:color w:val="auto"/>
              </w:rPr>
            </w:pPr>
            <w:r>
              <w:rPr>
                <w:rFonts w:ascii="Arial" w:cs="Arial" w:eastAsia="Arial" w:hAnsi="Arial"/>
                <w:sz w:val="16"/>
                <w:szCs w:val="16"/>
                <w:color w:val="auto"/>
              </w:rPr>
              <w:t>(b)</w:t>
            </w:r>
          </w:p>
        </w:tc>
        <w:tc>
          <w:tcPr>
            <w:tcW w:w="0" w:type="dxa"/>
            <w:vAlign w:val="bottom"/>
          </w:tcPr>
          <w:p>
            <w:pPr>
              <w:spacing w:after="0"/>
              <w:rPr>
                <w:sz w:val="1"/>
                <w:szCs w:val="1"/>
                <w:color w:val="auto"/>
              </w:rPr>
            </w:pPr>
          </w:p>
        </w:tc>
      </w:tr>
      <w:tr>
        <w:trPr>
          <w:trHeight w:val="247"/>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7,463,609</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(b)</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106.34</w:t>
            </w:r>
          </w:p>
        </w:tc>
        <w:tc>
          <w:tcPr>
            <w:tcW w:w="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6"/>
                <w:szCs w:val="16"/>
                <w:color w:val="auto"/>
              </w:rPr>
            </w:pPr>
          </w:p>
        </w:tc>
        <w:tc>
          <w:tcPr>
            <w:tcW w:w="19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3"/>
              </w:rPr>
              <w:t>Approximate Dollar Value</w:t>
            </w:r>
          </w:p>
        </w:tc>
        <w:tc>
          <w:tcPr>
            <w:tcW w:w="0" w:type="dxa"/>
            <w:vAlign w:val="bottom"/>
          </w:tcPr>
          <w:p>
            <w:pPr>
              <w:spacing w:after="0"/>
              <w:rPr>
                <w:sz w:val="1"/>
                <w:szCs w:val="1"/>
                <w:color w:val="auto"/>
              </w:rPr>
            </w:pPr>
          </w:p>
        </w:tc>
      </w:tr>
      <w:tr>
        <w:trPr>
          <w:trHeight w:val="162"/>
        </w:trPr>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6"/>
              </w:rPr>
              <w:t>Shares Purchased as</w:t>
            </w:r>
          </w:p>
        </w:tc>
        <w:tc>
          <w:tcPr>
            <w:tcW w:w="100" w:type="dxa"/>
            <w:vAlign w:val="bottom"/>
          </w:tcPr>
          <w:p>
            <w:pPr>
              <w:spacing w:after="0"/>
              <w:rPr>
                <w:sz w:val="14"/>
                <w:szCs w:val="14"/>
                <w:color w:val="auto"/>
              </w:rPr>
            </w:pPr>
          </w:p>
        </w:tc>
        <w:tc>
          <w:tcPr>
            <w:tcW w:w="1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4"/>
                <w:szCs w:val="14"/>
                <w:color w:val="auto"/>
              </w:rPr>
            </w:pPr>
          </w:p>
        </w:tc>
        <w:tc>
          <w:tcPr>
            <w:tcW w:w="194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w w:val="91"/>
              </w:rPr>
              <w:t>of Shares that May Yet Be</w:t>
            </w:r>
          </w:p>
        </w:tc>
        <w:tc>
          <w:tcPr>
            <w:tcW w:w="0" w:type="dxa"/>
            <w:vAlign w:val="bottom"/>
          </w:tcPr>
          <w:p>
            <w:pPr>
              <w:spacing w:after="0"/>
              <w:rPr>
                <w:sz w:val="1"/>
                <w:szCs w:val="1"/>
                <w:color w:val="auto"/>
              </w:rPr>
            </w:pPr>
          </w:p>
        </w:tc>
      </w:tr>
      <w:tr>
        <w:trPr>
          <w:trHeight w:val="162"/>
        </w:trPr>
        <w:tc>
          <w:tcPr>
            <w:tcW w:w="14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4"/>
                <w:szCs w:val="14"/>
                <w:color w:val="auto"/>
              </w:rPr>
            </w:pPr>
          </w:p>
        </w:tc>
        <w:tc>
          <w:tcPr>
            <w:tcW w:w="194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 Plans</w:t>
            </w:r>
          </w:p>
        </w:tc>
        <w:tc>
          <w:tcPr>
            <w:tcW w:w="0" w:type="dxa"/>
            <w:vAlign w:val="bottom"/>
          </w:tcPr>
          <w:p>
            <w:pPr>
              <w:spacing w:after="0"/>
              <w:rPr>
                <w:sz w:val="1"/>
                <w:szCs w:val="1"/>
                <w:color w:val="auto"/>
              </w:rPr>
            </w:pPr>
          </w:p>
        </w:tc>
      </w:tr>
      <w:tr>
        <w:trPr>
          <w:trHeight w:val="213"/>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Programs (a)</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center"/>
              <w:ind w:right="179"/>
              <w:spacing w:after="0"/>
              <w:rPr>
                <w:sz w:val="20"/>
                <w:szCs w:val="20"/>
                <w:color w:val="auto"/>
              </w:rPr>
            </w:pPr>
            <w:r>
              <w:rPr>
                <w:rFonts w:ascii="Arial" w:cs="Arial" w:eastAsia="Arial" w:hAnsi="Arial"/>
                <w:sz w:val="16"/>
                <w:szCs w:val="16"/>
                <w:b w:val="1"/>
                <w:bCs w:val="1"/>
                <w:color w:val="auto"/>
                <w:w w:val="92"/>
              </w:rPr>
              <w:t>or Programs (a)</w:t>
            </w:r>
          </w:p>
        </w:tc>
        <w:tc>
          <w:tcPr>
            <w:tcW w:w="0" w:type="dxa"/>
            <w:vAlign w:val="bottom"/>
          </w:tcPr>
          <w:p>
            <w:pPr>
              <w:spacing w:after="0"/>
              <w:rPr>
                <w:sz w:val="1"/>
                <w:szCs w:val="1"/>
                <w:color w:val="auto"/>
              </w:rPr>
            </w:pPr>
          </w:p>
        </w:tc>
      </w:tr>
      <w:tr>
        <w:trPr>
          <w:trHeight w:val="220"/>
        </w:trPr>
        <w:tc>
          <w:tcPr>
            <w:tcW w:w="1480" w:type="dxa"/>
            <w:vAlign w:val="bottom"/>
          </w:tcPr>
          <w:p>
            <w:pPr>
              <w:jc w:val="right"/>
              <w:ind w:right="59"/>
              <w:spacing w:after="0"/>
              <w:rPr>
                <w:sz w:val="20"/>
                <w:szCs w:val="20"/>
                <w:color w:val="auto"/>
              </w:rPr>
            </w:pPr>
            <w:r>
              <w:rPr>
                <w:rFonts w:ascii="Arial" w:cs="Arial" w:eastAsia="Arial" w:hAnsi="Arial"/>
                <w:sz w:val="16"/>
                <w:szCs w:val="16"/>
                <w:color w:val="auto"/>
              </w:rPr>
              <w:t>7,459,148</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10.66</w:t>
            </w:r>
          </w:p>
        </w:tc>
        <w:tc>
          <w:tcPr>
            <w:tcW w:w="1020" w:type="dxa"/>
            <w:vAlign w:val="bottom"/>
          </w:tcPr>
          <w:p>
            <w:pPr>
              <w:ind w:left="8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57"/>
        </w:trPr>
        <w:tc>
          <w:tcPr>
            <w:tcW w:w="1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10.66</w:t>
            </w:r>
          </w:p>
        </w:tc>
        <w:tc>
          <w:tcPr>
            <w:tcW w:w="1020" w:type="dxa"/>
            <w:vAlign w:val="bottom"/>
          </w:tcPr>
          <w:p>
            <w:pPr>
              <w:ind w:left="8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57"/>
        </w:trPr>
        <w:tc>
          <w:tcPr>
            <w:tcW w:w="1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10.66</w:t>
            </w:r>
          </w:p>
        </w:tc>
        <w:tc>
          <w:tcPr>
            <w:tcW w:w="1020" w:type="dxa"/>
            <w:vAlign w:val="bottom"/>
          </w:tcPr>
          <w:p>
            <w:pPr>
              <w:ind w:left="8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33"/>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14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7,459,148</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10.66</w:t>
            </w:r>
          </w:p>
        </w:tc>
        <w:tc>
          <w:tcPr>
            <w:tcW w:w="1020" w:type="dxa"/>
            <w:vAlign w:val="bottom"/>
          </w:tcPr>
          <w:p>
            <w:pPr>
              <w:ind w:left="80"/>
              <w:spacing w:after="0"/>
              <w:rPr>
                <w:sz w:val="20"/>
                <w:szCs w:val="20"/>
                <w:color w:val="auto"/>
              </w:rPr>
            </w:pPr>
            <w:r>
              <w:rPr>
                <w:rFonts w:ascii="Arial" w:cs="Arial" w:eastAsia="Arial" w:hAnsi="Arial"/>
                <w:sz w:val="16"/>
                <w:szCs w:val="16"/>
                <w:color w:val="auto"/>
              </w:rPr>
              <w:t>billion (c)</w:t>
            </w:r>
          </w:p>
        </w:tc>
        <w:tc>
          <w:tcPr>
            <w:tcW w:w="0" w:type="dxa"/>
            <w:vAlign w:val="bottom"/>
          </w:tcPr>
          <w:p>
            <w:pPr>
              <w:spacing w:after="0"/>
              <w:rPr>
                <w:sz w:val="1"/>
                <w:szCs w:val="1"/>
                <w:color w:val="auto"/>
              </w:rPr>
            </w:pPr>
          </w:p>
        </w:tc>
      </w:tr>
      <w:tr>
        <w:trPr>
          <w:trHeight w:val="23"/>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600" w:space="120"/>
            <w:col w:w="3520"/>
          </w:cols>
          <w:pgMar w:left="320" w:top="891" w:right="339" w:bottom="1440" w:gutter="0" w:footer="0" w:header="0"/>
          <w:type w:val="continuous"/>
        </w:sectPr>
      </w:pPr>
    </w:p>
    <w:p>
      <w:pPr>
        <w:spacing w:after="0" w:line="137" w:lineRule="exact"/>
        <w:rPr>
          <w:sz w:val="20"/>
          <w:szCs w:val="20"/>
          <w:color w:val="auto"/>
        </w:rPr>
      </w:pPr>
    </w:p>
    <w:p>
      <w:pPr>
        <w:ind w:left="340" w:right="660" w:hanging="332"/>
        <w:spacing w:after="0" w:line="277" w:lineRule="auto"/>
        <w:tabs>
          <w:tab w:leader="none" w:pos="3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 from our board of directors to purchase up to $12.0 billion of additional shares of TI common stock announced September 20, 2018.</w:t>
      </w:r>
    </w:p>
    <w:p>
      <w:pPr>
        <w:spacing w:after="0" w:line="197" w:lineRule="exact"/>
        <w:rPr>
          <w:rFonts w:ascii="Arial" w:cs="Arial" w:eastAsia="Arial" w:hAnsi="Arial"/>
          <w:sz w:val="18"/>
          <w:szCs w:val="18"/>
          <w:color w:val="auto"/>
        </w:rPr>
      </w:pPr>
    </w:p>
    <w:p>
      <w:pPr>
        <w:ind w:left="340" w:right="720" w:hanging="332"/>
        <w:spacing w:after="0" w:line="277" w:lineRule="auto"/>
        <w:tabs>
          <w:tab w:leader="none" w:pos="33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addition to open-market purchases, 4,461 shares of common stock were surrendered by employees to satisfy tax withholding obligations in connection with the vesting of restricted stock units.</w:t>
      </w:r>
    </w:p>
    <w:p>
      <w:pPr>
        <w:spacing w:after="0" w:line="197" w:lineRule="exact"/>
        <w:rPr>
          <w:rFonts w:ascii="Arial" w:cs="Arial" w:eastAsia="Arial" w:hAnsi="Arial"/>
          <w:sz w:val="18"/>
          <w:szCs w:val="18"/>
          <w:color w:val="auto"/>
        </w:rPr>
      </w:pPr>
    </w:p>
    <w:p>
      <w:pPr>
        <w:ind w:left="340" w:right="280" w:hanging="332"/>
        <w:spacing w:after="0" w:line="277" w:lineRule="auto"/>
        <w:tabs>
          <w:tab w:leader="none" w:pos="3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June 30, 2020, this amount consisted of the remaining portion of the $12.0 billion authorized in September 2018. No expiration date has been specified for this authorization.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3" w:name="page24"/>
    <w:bookmarkEnd w:id="23"/>
    <w:p>
      <w:pPr>
        <w:spacing w:after="0" w:line="196" w:lineRule="auto"/>
        <w:framePr w:w="1440" w:h="160" w:wrap="auto" w:vAnchor="page" w:hAnchor="page" w:x="280" w:y="911"/>
        <w:rPr>
          <w:rFonts w:ascii="Arial" w:cs="Arial" w:eastAsia="Arial" w:hAnsi="Arial"/>
          <w:sz w:val="17"/>
          <w:szCs w:val="17"/>
          <w:b w:val="1"/>
          <w:bCs w:val="1"/>
          <w:color w:val="auto"/>
        </w:rPr>
      </w:pPr>
      <w:r>
        <w:rPr>
          <w:rFonts w:ascii="Arial" w:cs="Arial" w:eastAsia="Arial" w:hAnsi="Arial"/>
          <w:sz w:val="17"/>
          <w:szCs w:val="17"/>
          <w:b w:val="1"/>
          <w:bCs w:val="1"/>
          <w:color w:val="auto"/>
        </w:rPr>
        <w:t>ITEM 6. Exhibits</w:t>
      </w:r>
    </w:p>
    <w:tbl>
      <w:tblPr>
        <w:tblLayout w:type="fixed"/>
        <w:tblInd w:w="0" w:type="dxa"/>
        <w:tblCellMar>
          <w:top w:w="0" w:type="dxa"/>
          <w:left w:w="0" w:type="dxa"/>
          <w:bottom w:w="0" w:type="dxa"/>
          <w:right w:w="0" w:type="dxa"/>
        </w:tblCellMar>
      </w:tblPr>
      <w:tr>
        <w:trPr>
          <w:trHeight w:val="203"/>
        </w:trPr>
        <w:tc>
          <w:tcPr>
            <w:tcW w:w="19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Designation of Exhibits</w:t>
            </w: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2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in This Report</w:t>
            </w:r>
          </w:p>
        </w:tc>
        <w:tc>
          <w:tcPr>
            <w:tcW w:w="9320" w:type="dxa"/>
            <w:vAlign w:val="bottom"/>
            <w:gridSpan w:val="14"/>
          </w:tcPr>
          <w:p>
            <w:pPr>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920" w:type="dxa"/>
            <w:vAlign w:val="bottom"/>
            <w:tcBorders>
              <w:bottom w:val="single" w:sz="8" w:color="CCEEFF"/>
            </w:tcBorders>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1"/>
              </w:rPr>
              <w:t>3(a)</w:t>
            </w:r>
          </w:p>
        </w:tc>
        <w:tc>
          <w:tcPr>
            <w:tcW w:w="8920" w:type="dxa"/>
            <w:vAlign w:val="bottom"/>
            <w:tcBorders>
              <w:bottom w:val="single" w:sz="8" w:color="0000FF"/>
            </w:tcBorders>
            <w:gridSpan w:val="11"/>
            <w:shd w:val="clear" w:color="auto" w:fill="CCEEFF"/>
          </w:tcPr>
          <w:p>
            <w:pPr>
              <w:spacing w:after="0" w:line="175" w:lineRule="exact"/>
              <w:rPr>
                <w:rFonts w:ascii="Arial" w:cs="Arial" w:eastAsia="Arial" w:hAnsi="Arial"/>
                <w:sz w:val="16"/>
                <w:szCs w:val="16"/>
                <w:color w:val="0000FF"/>
                <w:w w:val="92"/>
              </w:rPr>
            </w:pPr>
            <w:hyperlink r:id="rId41">
              <w:r>
                <w:rPr>
                  <w:rFonts w:ascii="Arial" w:cs="Arial" w:eastAsia="Arial" w:hAnsi="Arial"/>
                  <w:sz w:val="16"/>
                  <w:szCs w:val="16"/>
                  <w:color w:val="0000FF"/>
                  <w:w w:val="92"/>
                </w:rPr>
                <w:t>Restated Certificate of Incorporation of the Registrant, dated April 18, 1985, as amended (incorporated by reference to Exhibit 3(a) of the</w:t>
              </w:r>
            </w:hyperlink>
          </w:p>
        </w:tc>
        <w:tc>
          <w:tcPr>
            <w:tcW w:w="400" w:type="dxa"/>
            <w:vAlign w:val="bottom"/>
            <w:tcBorders>
              <w:bottom w:val="single" w:sz="8" w:color="CCEEFF"/>
            </w:tcBorders>
            <w:gridSpan w:val="3"/>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920" w:type="dxa"/>
            <w:vAlign w:val="bottom"/>
            <w:vMerge w:val="continue"/>
            <w:shd w:val="clear" w:color="auto" w:fill="CCEEFF"/>
          </w:tcPr>
          <w:p>
            <w:pPr>
              <w:spacing w:after="0"/>
              <w:rPr>
                <w:sz w:val="7"/>
                <w:szCs w:val="7"/>
                <w:color w:val="auto"/>
              </w:rPr>
            </w:pPr>
          </w:p>
        </w:tc>
        <w:tc>
          <w:tcPr>
            <w:tcW w:w="9320" w:type="dxa"/>
            <w:vAlign w:val="bottom"/>
            <w:gridSpan w:val="14"/>
            <w:vMerge w:val="restart"/>
            <w:shd w:val="clear" w:color="auto" w:fill="CCEEFF"/>
          </w:tcPr>
          <w:p>
            <w:pPr>
              <w:spacing w:after="0" w:line="142" w:lineRule="exact"/>
              <w:rPr>
                <w:rFonts w:ascii="Arial" w:cs="Arial" w:eastAsia="Arial" w:hAnsi="Arial"/>
                <w:sz w:val="16"/>
                <w:szCs w:val="16"/>
                <w:color w:val="0000FF"/>
              </w:rPr>
            </w:pPr>
            <w:hyperlink r:id="rId41">
              <w:r>
                <w:rPr>
                  <w:rFonts w:ascii="Arial" w:cs="Arial" w:eastAsia="Arial" w:hAnsi="Arial"/>
                  <w:sz w:val="16"/>
                  <w:szCs w:val="16"/>
                  <w:color w:val="0000FF"/>
                </w:rPr>
                <w:t>Registrant's Annual Report on Form 10-K for the year ended December 31, 2014).</w:t>
              </w:r>
            </w:hyperlink>
          </w:p>
        </w:tc>
        <w:tc>
          <w:tcPr>
            <w:tcW w:w="0" w:type="dxa"/>
            <w:vAlign w:val="bottom"/>
          </w:tcPr>
          <w:p>
            <w:pPr>
              <w:spacing w:after="0"/>
              <w:rPr>
                <w:sz w:val="1"/>
                <w:szCs w:val="1"/>
                <w:color w:val="auto"/>
              </w:rPr>
            </w:pPr>
          </w:p>
        </w:tc>
      </w:tr>
      <w:tr>
        <w:trPr>
          <w:trHeight w:val="60"/>
        </w:trPr>
        <w:tc>
          <w:tcPr>
            <w:tcW w:w="1920" w:type="dxa"/>
            <w:vAlign w:val="bottom"/>
            <w:shd w:val="clear" w:color="auto" w:fill="CCEEFF"/>
          </w:tcPr>
          <w:p>
            <w:pPr>
              <w:spacing w:after="0"/>
              <w:rPr>
                <w:sz w:val="5"/>
                <w:szCs w:val="5"/>
                <w:color w:val="auto"/>
              </w:rPr>
            </w:pPr>
          </w:p>
        </w:tc>
        <w:tc>
          <w:tcPr>
            <w:tcW w:w="9320" w:type="dxa"/>
            <w:vAlign w:val="bottom"/>
            <w:gridSpan w:val="1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CCEEFF"/>
          </w:tcPr>
          <w:p>
            <w:pPr>
              <w:spacing w:after="0" w:line="20" w:lineRule="exact"/>
              <w:rPr>
                <w:sz w:val="1"/>
                <w:szCs w:val="1"/>
                <w:color w:val="auto"/>
              </w:rPr>
            </w:pPr>
          </w:p>
        </w:tc>
        <w:tc>
          <w:tcPr>
            <w:tcW w:w="13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920" w:type="dxa"/>
            <w:vAlign w:val="bottom"/>
          </w:tcPr>
          <w:p>
            <w:pPr>
              <w:jc w:val="center"/>
              <w:ind w:right="19"/>
              <w:spacing w:after="0"/>
              <w:rPr>
                <w:sz w:val="20"/>
                <w:szCs w:val="20"/>
                <w:color w:val="auto"/>
              </w:rPr>
            </w:pPr>
            <w:r>
              <w:rPr>
                <w:rFonts w:ascii="Arial" w:cs="Arial" w:eastAsia="Arial" w:hAnsi="Arial"/>
                <w:sz w:val="16"/>
                <w:szCs w:val="16"/>
                <w:color w:val="auto"/>
                <w:w w:val="91"/>
              </w:rPr>
              <w:t>3(b)</w:t>
            </w:r>
          </w:p>
        </w:tc>
        <w:tc>
          <w:tcPr>
            <w:tcW w:w="9320" w:type="dxa"/>
            <w:vAlign w:val="bottom"/>
            <w:gridSpan w:val="14"/>
          </w:tcPr>
          <w:p>
            <w:pPr>
              <w:spacing w:after="0"/>
              <w:rPr>
                <w:rFonts w:ascii="Arial" w:cs="Arial" w:eastAsia="Arial" w:hAnsi="Arial"/>
                <w:sz w:val="16"/>
                <w:szCs w:val="16"/>
                <w:color w:val="0000FF"/>
                <w:w w:val="99"/>
              </w:rPr>
            </w:pPr>
            <w:hyperlink r:id="rId42">
              <w:r>
                <w:rPr>
                  <w:rFonts w:ascii="Arial" w:cs="Arial" w:eastAsia="Arial" w:hAnsi="Arial"/>
                  <w:sz w:val="16"/>
                  <w:szCs w:val="16"/>
                  <w:u w:val="single" w:color="auto"/>
                  <w:color w:val="0000FF"/>
                  <w:w w:val="99"/>
                </w:rPr>
                <w:t>By-Laws of the Registrant (incorporated by reference to Exhibit 3 of the Registrant's Current Report on Form 8-K filed July</w:t>
              </w:r>
              <w:r>
                <w:rPr>
                  <w:rFonts w:ascii="Arial" w:cs="Arial" w:eastAsia="Arial" w:hAnsi="Arial"/>
                  <w:sz w:val="16"/>
                  <w:szCs w:val="16"/>
                  <w:color w:val="0000FF"/>
                  <w:w w:val="99"/>
                </w:rPr>
                <w:t xml:space="preserve"> </w:t>
              </w:r>
            </w:hyperlink>
            <w:r>
              <w:rPr>
                <w:rFonts w:ascii="Arial" w:cs="Arial" w:eastAsia="Arial" w:hAnsi="Arial"/>
                <w:sz w:val="16"/>
                <w:szCs w:val="16"/>
                <w:color w:val="0000FF"/>
                <w:w w:val="99"/>
              </w:rPr>
              <w:t xml:space="preserve">16, </w:t>
            </w:r>
            <w:r>
              <w:rPr>
                <w:rFonts w:ascii="Arial" w:cs="Arial" w:eastAsia="Arial" w:hAnsi="Arial"/>
                <w:sz w:val="16"/>
                <w:szCs w:val="16"/>
                <w:u w:val="single" w:color="auto"/>
                <w:color w:val="0000FF"/>
                <w:w w:val="99"/>
              </w:rPr>
              <w:t>2020)</w:t>
            </w:r>
            <w:hyperlink r:id="rId42">
              <w:r>
                <w:rPr>
                  <w:rFonts w:ascii="Arial" w:cs="Arial" w:eastAsia="Arial" w:hAnsi="Arial"/>
                  <w:sz w:val="16"/>
                  <w:szCs w:val="16"/>
                  <w:u w:val="single" w:color="auto"/>
                  <w:color w:val="0000FF"/>
                  <w:w w:val="99"/>
                </w:rPr>
                <w:t>.</w:t>
              </w:r>
            </w:hyperlink>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92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1"/>
              </w:rPr>
              <w:t>4(a)</w:t>
            </w:r>
          </w:p>
        </w:tc>
        <w:tc>
          <w:tcPr>
            <w:tcW w:w="9320" w:type="dxa"/>
            <w:vAlign w:val="bottom"/>
            <w:gridSpan w:val="14"/>
            <w:shd w:val="clear" w:color="auto" w:fill="CCEEFF"/>
          </w:tcPr>
          <w:p>
            <w:pPr>
              <w:spacing w:after="0" w:line="175" w:lineRule="exact"/>
              <w:rPr>
                <w:rFonts w:ascii="Arial" w:cs="Arial" w:eastAsia="Arial" w:hAnsi="Arial"/>
                <w:sz w:val="16"/>
                <w:szCs w:val="16"/>
                <w:color w:val="0000FF"/>
                <w:w w:val="94"/>
              </w:rPr>
            </w:pPr>
            <w:hyperlink r:id="rId43">
              <w:r>
                <w:rPr>
                  <w:rFonts w:ascii="Arial" w:cs="Arial" w:eastAsia="Arial" w:hAnsi="Arial"/>
                  <w:sz w:val="16"/>
                  <w:szCs w:val="16"/>
                  <w:color w:val="0000FF"/>
                  <w:w w:val="94"/>
                </w:rPr>
                <w:t>Officer's Certificate, dated May 4, 2020 (incorporated by reference to Exhibit 4.1 of the Registrant's Current Report on Form 8-K filed May 4,</w:t>
              </w:r>
            </w:hyperlink>
          </w:p>
        </w:tc>
        <w:tc>
          <w:tcPr>
            <w:tcW w:w="0" w:type="dxa"/>
            <w:vAlign w:val="bottom"/>
          </w:tcPr>
          <w:p>
            <w:pPr>
              <w:spacing w:after="0"/>
              <w:rPr>
                <w:sz w:val="1"/>
                <w:szCs w:val="1"/>
                <w:color w:val="auto"/>
              </w:rPr>
            </w:pPr>
          </w:p>
        </w:tc>
      </w:tr>
      <w:tr>
        <w:trPr>
          <w:trHeight w:val="82"/>
        </w:trPr>
        <w:tc>
          <w:tcPr>
            <w:tcW w:w="1920" w:type="dxa"/>
            <w:vAlign w:val="bottom"/>
            <w:tcBorders>
              <w:top w:val="single" w:sz="8" w:color="CCEEFF"/>
            </w:tcBorders>
            <w:vMerge w:val="continue"/>
            <w:shd w:val="clear" w:color="auto" w:fill="CCEEFF"/>
          </w:tcPr>
          <w:p>
            <w:pPr>
              <w:spacing w:after="0"/>
              <w:rPr>
                <w:sz w:val="7"/>
                <w:szCs w:val="7"/>
                <w:color w:val="auto"/>
              </w:rPr>
            </w:pPr>
          </w:p>
        </w:tc>
        <w:tc>
          <w:tcPr>
            <w:tcW w:w="420" w:type="dxa"/>
            <w:vAlign w:val="bottom"/>
            <w:tcBorders>
              <w:top w:val="single" w:sz="8" w:color="0000FF"/>
            </w:tcBorders>
            <w:vMerge w:val="restart"/>
            <w:shd w:val="clear" w:color="auto" w:fill="CCEEFF"/>
          </w:tcPr>
          <w:p>
            <w:pPr>
              <w:spacing w:after="0" w:line="142" w:lineRule="exact"/>
              <w:rPr>
                <w:rFonts w:ascii="Arial" w:cs="Arial" w:eastAsia="Arial" w:hAnsi="Arial"/>
                <w:sz w:val="16"/>
                <w:szCs w:val="16"/>
                <w:color w:val="0000FF"/>
                <w:w w:val="88"/>
              </w:rPr>
            </w:pPr>
            <w:hyperlink r:id="rId43">
              <w:r>
                <w:rPr>
                  <w:rFonts w:ascii="Arial" w:cs="Arial" w:eastAsia="Arial" w:hAnsi="Arial"/>
                  <w:sz w:val="16"/>
                  <w:szCs w:val="16"/>
                  <w:color w:val="0000FF"/>
                  <w:w w:val="88"/>
                </w:rPr>
                <w:t>2020).</w:t>
              </w:r>
            </w:hyperlink>
          </w:p>
        </w:tc>
        <w:tc>
          <w:tcPr>
            <w:tcW w:w="1460" w:type="dxa"/>
            <w:vAlign w:val="bottom"/>
            <w:tcBorders>
              <w:top w:val="single" w:sz="8" w:color="0000FF"/>
            </w:tcBorders>
            <w:vMerge w:val="restart"/>
            <w:shd w:val="clear" w:color="auto" w:fill="CCEEFF"/>
          </w:tcPr>
          <w:p>
            <w:pPr>
              <w:spacing w:after="0"/>
              <w:rPr>
                <w:sz w:val="7"/>
                <w:szCs w:val="7"/>
                <w:color w:val="auto"/>
              </w:rPr>
            </w:pPr>
          </w:p>
        </w:tc>
        <w:tc>
          <w:tcPr>
            <w:tcW w:w="1360" w:type="dxa"/>
            <w:vAlign w:val="bottom"/>
            <w:tcBorders>
              <w:top w:val="single" w:sz="8" w:color="0000FF"/>
            </w:tcBorders>
            <w:shd w:val="clear" w:color="auto" w:fill="CCEEFF"/>
          </w:tcPr>
          <w:p>
            <w:pPr>
              <w:spacing w:after="0"/>
              <w:rPr>
                <w:sz w:val="7"/>
                <w:szCs w:val="7"/>
                <w:color w:val="auto"/>
              </w:rPr>
            </w:pPr>
          </w:p>
        </w:tc>
        <w:tc>
          <w:tcPr>
            <w:tcW w:w="480" w:type="dxa"/>
            <w:vAlign w:val="bottom"/>
            <w:tcBorders>
              <w:top w:val="single" w:sz="8" w:color="0000FF"/>
            </w:tcBorders>
            <w:shd w:val="clear" w:color="auto" w:fill="CCEEFF"/>
          </w:tcPr>
          <w:p>
            <w:pPr>
              <w:spacing w:after="0"/>
              <w:rPr>
                <w:sz w:val="7"/>
                <w:szCs w:val="7"/>
                <w:color w:val="auto"/>
              </w:rPr>
            </w:pPr>
          </w:p>
        </w:tc>
        <w:tc>
          <w:tcPr>
            <w:tcW w:w="3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1180" w:type="dxa"/>
            <w:vAlign w:val="bottom"/>
            <w:tcBorders>
              <w:top w:val="single" w:sz="8" w:color="0000FF"/>
            </w:tcBorders>
            <w:shd w:val="clear" w:color="auto" w:fill="CCEEFF"/>
          </w:tcPr>
          <w:p>
            <w:pPr>
              <w:spacing w:after="0"/>
              <w:rPr>
                <w:sz w:val="7"/>
                <w:szCs w:val="7"/>
                <w:color w:val="auto"/>
              </w:rPr>
            </w:pPr>
          </w:p>
        </w:tc>
        <w:tc>
          <w:tcPr>
            <w:tcW w:w="2700" w:type="dxa"/>
            <w:vAlign w:val="bottom"/>
            <w:tcBorders>
              <w:top w:val="single" w:sz="8" w:color="0000FF"/>
            </w:tcBorders>
            <w:shd w:val="clear" w:color="auto" w:fill="CCEEFF"/>
          </w:tcPr>
          <w:p>
            <w:pPr>
              <w:spacing w:after="0"/>
              <w:rPr>
                <w:sz w:val="7"/>
                <w:szCs w:val="7"/>
                <w:color w:val="auto"/>
              </w:rPr>
            </w:pPr>
          </w:p>
        </w:tc>
        <w:tc>
          <w:tcPr>
            <w:tcW w:w="200" w:type="dxa"/>
            <w:vAlign w:val="bottom"/>
            <w:tcBorders>
              <w:top w:val="single" w:sz="8" w:color="0000FF"/>
            </w:tcBorders>
            <w:shd w:val="clear" w:color="auto" w:fill="CCEEFF"/>
          </w:tcPr>
          <w:p>
            <w:pPr>
              <w:spacing w:after="0"/>
              <w:rPr>
                <w:sz w:val="7"/>
                <w:szCs w:val="7"/>
                <w:color w:val="auto"/>
              </w:rPr>
            </w:pPr>
          </w:p>
        </w:tc>
        <w:tc>
          <w:tcPr>
            <w:tcW w:w="68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0000FF"/>
            </w:tcBorders>
            <w:shd w:val="clear" w:color="auto" w:fill="CCEEFF"/>
          </w:tcPr>
          <w:p>
            <w:pPr>
              <w:spacing w:after="0"/>
              <w:rPr>
                <w:sz w:val="7"/>
                <w:szCs w:val="7"/>
                <w:color w:val="auto"/>
              </w:rPr>
            </w:pPr>
          </w:p>
        </w:tc>
        <w:tc>
          <w:tcPr>
            <w:tcW w:w="140" w:type="dxa"/>
            <w:vAlign w:val="bottom"/>
            <w:tcBorders>
              <w:top w:val="single" w:sz="8" w:color="0000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920" w:type="dxa"/>
            <w:vAlign w:val="bottom"/>
            <w:tcBorders>
              <w:bottom w:val="single" w:sz="8" w:color="CCEEFF"/>
            </w:tcBorders>
            <w:shd w:val="clear" w:color="auto" w:fill="CCEEFF"/>
          </w:tcPr>
          <w:p>
            <w:pPr>
              <w:spacing w:after="0"/>
              <w:rPr>
                <w:sz w:val="7"/>
                <w:szCs w:val="7"/>
                <w:color w:val="auto"/>
              </w:rPr>
            </w:pPr>
          </w:p>
        </w:tc>
        <w:tc>
          <w:tcPr>
            <w:tcW w:w="420" w:type="dxa"/>
            <w:vAlign w:val="bottom"/>
            <w:tcBorders>
              <w:bottom w:val="single" w:sz="8" w:color="0000FF"/>
            </w:tcBorders>
            <w:vMerge w:val="continue"/>
            <w:shd w:val="clear" w:color="auto" w:fill="CCEEFF"/>
          </w:tcPr>
          <w:p>
            <w:pPr>
              <w:spacing w:after="0"/>
              <w:rPr>
                <w:sz w:val="7"/>
                <w:szCs w:val="7"/>
                <w:color w:val="auto"/>
              </w:rPr>
            </w:pPr>
          </w:p>
        </w:tc>
        <w:tc>
          <w:tcPr>
            <w:tcW w:w="1460" w:type="dxa"/>
            <w:vAlign w:val="bottom"/>
            <w:tcBorders>
              <w:bottom w:val="single" w:sz="8" w:color="CCEEFF"/>
            </w:tcBorders>
            <w:vMerge w:val="continue"/>
            <w:shd w:val="clear" w:color="auto" w:fill="CCEEFF"/>
          </w:tcPr>
          <w:p>
            <w:pPr>
              <w:spacing w:after="0"/>
              <w:rPr>
                <w:sz w:val="7"/>
                <w:szCs w:val="7"/>
                <w:color w:val="auto"/>
              </w:rPr>
            </w:pPr>
          </w:p>
        </w:tc>
        <w:tc>
          <w:tcPr>
            <w:tcW w:w="136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CCEEFF"/>
            </w:tcBorders>
            <w:shd w:val="clear" w:color="auto" w:fill="CCEEFF"/>
          </w:tcPr>
          <w:p>
            <w:pPr>
              <w:spacing w:after="0"/>
              <w:rPr>
                <w:sz w:val="7"/>
                <w:szCs w:val="7"/>
                <w:color w:val="auto"/>
              </w:rPr>
            </w:pPr>
          </w:p>
        </w:tc>
        <w:tc>
          <w:tcPr>
            <w:tcW w:w="3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1180" w:type="dxa"/>
            <w:vAlign w:val="bottom"/>
            <w:tcBorders>
              <w:bottom w:val="single" w:sz="8" w:color="CCEEFF"/>
            </w:tcBorders>
            <w:shd w:val="clear" w:color="auto" w:fill="CCEEFF"/>
          </w:tcPr>
          <w:p>
            <w:pPr>
              <w:spacing w:after="0"/>
              <w:rPr>
                <w:sz w:val="7"/>
                <w:szCs w:val="7"/>
                <w:color w:val="auto"/>
              </w:rPr>
            </w:pPr>
          </w:p>
        </w:tc>
        <w:tc>
          <w:tcPr>
            <w:tcW w:w="270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68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920" w:type="dxa"/>
            <w:vAlign w:val="bottom"/>
          </w:tcPr>
          <w:p>
            <w:pPr>
              <w:jc w:val="center"/>
              <w:ind w:right="19"/>
              <w:spacing w:after="0"/>
              <w:rPr>
                <w:sz w:val="20"/>
                <w:szCs w:val="20"/>
                <w:color w:val="auto"/>
              </w:rPr>
            </w:pPr>
            <w:r>
              <w:rPr>
                <w:rFonts w:ascii="Arial" w:cs="Arial" w:eastAsia="Arial" w:hAnsi="Arial"/>
                <w:sz w:val="16"/>
                <w:szCs w:val="16"/>
                <w:color w:val="auto"/>
                <w:w w:val="90"/>
              </w:rPr>
              <w:t>31(a)</w:t>
            </w:r>
          </w:p>
        </w:tc>
        <w:tc>
          <w:tcPr>
            <w:tcW w:w="9320" w:type="dxa"/>
            <w:vAlign w:val="bottom"/>
            <w:gridSpan w:val="14"/>
          </w:tcPr>
          <w:p>
            <w:pPr>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Certification of Chief Executive Officer of Periodic Report Pursuant to Rule 13a-14(a) or Rule 15d-14(a).†</w:t>
              </w:r>
            </w:hyperlink>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2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w w:val="90"/>
              </w:rPr>
              <w:t>31(b)</w:t>
            </w:r>
          </w:p>
        </w:tc>
        <w:tc>
          <w:tcPr>
            <w:tcW w:w="9320" w:type="dxa"/>
            <w:vAlign w:val="bottom"/>
            <w:tcBorders>
              <w:bottom w:val="single" w:sz="8" w:color="CCEEFF"/>
            </w:tcBorders>
            <w:gridSpan w:val="14"/>
            <w:shd w:val="clear" w:color="auto" w:fill="CCEEFF"/>
          </w:tcPr>
          <w:p>
            <w:pPr>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Certification of Chief Financial Officer of Periodic Report Pursuant to Rule 13a-14(a) or Rule 15d-14(a).†</w:t>
              </w:r>
            </w:hyperlink>
          </w:p>
        </w:tc>
        <w:tc>
          <w:tcPr>
            <w:tcW w:w="0" w:type="dxa"/>
            <w:vAlign w:val="bottom"/>
          </w:tcPr>
          <w:p>
            <w:pPr>
              <w:spacing w:after="0"/>
              <w:rPr>
                <w:sz w:val="1"/>
                <w:szCs w:val="1"/>
                <w:color w:val="auto"/>
              </w:rPr>
            </w:pPr>
          </w:p>
        </w:tc>
      </w:tr>
      <w:tr>
        <w:trPr>
          <w:trHeight w:val="224"/>
        </w:trPr>
        <w:tc>
          <w:tcPr>
            <w:tcW w:w="1920" w:type="dxa"/>
            <w:vAlign w:val="bottom"/>
          </w:tcPr>
          <w:p>
            <w:pPr>
              <w:jc w:val="center"/>
              <w:ind w:right="19"/>
              <w:spacing w:after="0"/>
              <w:rPr>
                <w:sz w:val="20"/>
                <w:szCs w:val="20"/>
                <w:color w:val="auto"/>
              </w:rPr>
            </w:pPr>
            <w:r>
              <w:rPr>
                <w:rFonts w:ascii="Arial" w:cs="Arial" w:eastAsia="Arial" w:hAnsi="Arial"/>
                <w:sz w:val="16"/>
                <w:szCs w:val="16"/>
                <w:color w:val="auto"/>
                <w:w w:val="90"/>
              </w:rPr>
              <w:t>32(a)</w:t>
            </w:r>
          </w:p>
        </w:tc>
        <w:tc>
          <w:tcPr>
            <w:tcW w:w="9320" w:type="dxa"/>
            <w:vAlign w:val="bottom"/>
            <w:gridSpan w:val="14"/>
          </w:tcPr>
          <w:p>
            <w:pPr>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Certification by Chief Executive Officer of Periodic Report Pursuant to 18 U.S.C. Section 1350.†</w:t>
              </w:r>
            </w:hyperlink>
          </w:p>
        </w:tc>
        <w:tc>
          <w:tcPr>
            <w:tcW w:w="0" w:type="dxa"/>
            <w:vAlign w:val="bottom"/>
          </w:tcPr>
          <w:p>
            <w:pPr>
              <w:spacing w:after="0"/>
              <w:rPr>
                <w:sz w:val="1"/>
                <w:szCs w:val="1"/>
                <w:color w:val="auto"/>
              </w:rPr>
            </w:pPr>
          </w:p>
        </w:tc>
      </w:tr>
      <w:tr>
        <w:trPr>
          <w:trHeight w:val="33"/>
        </w:trPr>
        <w:tc>
          <w:tcPr>
            <w:tcW w:w="1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920" w:type="dxa"/>
            <w:vAlign w:val="bottom"/>
            <w:tcBorders>
              <w:bottom w:val="single" w:sz="8" w:color="CCEEFF"/>
            </w:tcBorders>
            <w:shd w:val="clear" w:color="auto" w:fill="CCEEFF"/>
          </w:tcPr>
          <w:p>
            <w:pPr>
              <w:jc w:val="center"/>
              <w:ind w:right="19"/>
              <w:spacing w:after="0"/>
              <w:rPr>
                <w:sz w:val="20"/>
                <w:szCs w:val="20"/>
                <w:color w:val="auto"/>
              </w:rPr>
            </w:pPr>
            <w:r>
              <w:rPr>
                <w:rFonts w:ascii="Arial" w:cs="Arial" w:eastAsia="Arial" w:hAnsi="Arial"/>
                <w:sz w:val="16"/>
                <w:szCs w:val="16"/>
                <w:color w:val="auto"/>
                <w:w w:val="90"/>
              </w:rPr>
              <w:t>32(b)</w:t>
            </w:r>
          </w:p>
        </w:tc>
        <w:tc>
          <w:tcPr>
            <w:tcW w:w="9320" w:type="dxa"/>
            <w:vAlign w:val="bottom"/>
            <w:tcBorders>
              <w:bottom w:val="single" w:sz="8" w:color="CCEEFF"/>
            </w:tcBorders>
            <w:gridSpan w:val="14"/>
            <w:shd w:val="clear" w:color="auto" w:fill="CCEEFF"/>
          </w:tcPr>
          <w:p>
            <w:pPr>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Certification by Chief Financial Officer of Periodic Report Pursuant to 18 U.S.C. Section 1350.†</w:t>
              </w:r>
            </w:hyperlink>
          </w:p>
        </w:tc>
        <w:tc>
          <w:tcPr>
            <w:tcW w:w="0" w:type="dxa"/>
            <w:vAlign w:val="bottom"/>
          </w:tcPr>
          <w:p>
            <w:pPr>
              <w:spacing w:after="0"/>
              <w:rPr>
                <w:sz w:val="1"/>
                <w:szCs w:val="1"/>
                <w:color w:val="auto"/>
              </w:rPr>
            </w:pPr>
          </w:p>
        </w:tc>
      </w:tr>
      <w:tr>
        <w:trPr>
          <w:trHeight w:val="189"/>
        </w:trPr>
        <w:tc>
          <w:tcPr>
            <w:tcW w:w="1920" w:type="dxa"/>
            <w:vAlign w:val="bottom"/>
            <w:vMerge w:val="restart"/>
          </w:tcPr>
          <w:p>
            <w:pPr>
              <w:jc w:val="center"/>
              <w:ind w:right="39"/>
              <w:spacing w:after="0"/>
              <w:rPr>
                <w:sz w:val="20"/>
                <w:szCs w:val="20"/>
                <w:color w:val="auto"/>
              </w:rPr>
            </w:pPr>
            <w:r>
              <w:rPr>
                <w:rFonts w:ascii="Arial" w:cs="Arial" w:eastAsia="Arial" w:hAnsi="Arial"/>
                <w:sz w:val="16"/>
                <w:szCs w:val="16"/>
                <w:color w:val="auto"/>
                <w:w w:val="92"/>
              </w:rPr>
              <w:t>101.ins</w:t>
            </w:r>
          </w:p>
        </w:tc>
        <w:tc>
          <w:tcPr>
            <w:tcW w:w="9320" w:type="dxa"/>
            <w:vAlign w:val="bottom"/>
            <w:gridSpan w:val="14"/>
          </w:tcPr>
          <w:p>
            <w:pPr>
              <w:spacing w:after="0"/>
              <w:rPr>
                <w:sz w:val="20"/>
                <w:szCs w:val="20"/>
                <w:color w:val="auto"/>
              </w:rPr>
            </w:pPr>
            <w:r>
              <w:rPr>
                <w:rFonts w:ascii="Arial" w:cs="Arial" w:eastAsia="Arial" w:hAnsi="Arial"/>
                <w:sz w:val="16"/>
                <w:szCs w:val="16"/>
                <w:color w:val="auto"/>
                <w:w w:val="93"/>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109"/>
        </w:trPr>
        <w:tc>
          <w:tcPr>
            <w:tcW w:w="1920" w:type="dxa"/>
            <w:vAlign w:val="bottom"/>
            <w:vMerge w:val="continue"/>
          </w:tcPr>
          <w:p>
            <w:pPr>
              <w:spacing w:after="0"/>
              <w:rPr>
                <w:sz w:val="9"/>
                <w:szCs w:val="9"/>
                <w:color w:val="auto"/>
              </w:rPr>
            </w:pPr>
          </w:p>
        </w:tc>
        <w:tc>
          <w:tcPr>
            <w:tcW w:w="9080" w:type="dxa"/>
            <w:vAlign w:val="bottom"/>
            <w:tcBorders>
              <w:top w:val="single" w:sz="8" w:color="auto"/>
            </w:tcBorders>
            <w:gridSpan w:val="12"/>
            <w:vMerge w:val="restart"/>
          </w:tcPr>
          <w:p>
            <w:pPr>
              <w:spacing w:after="0" w:line="183" w:lineRule="exact"/>
              <w:rPr>
                <w:sz w:val="20"/>
                <w:szCs w:val="20"/>
                <w:color w:val="auto"/>
              </w:rPr>
            </w:pPr>
            <w:r>
              <w:rPr>
                <w:rFonts w:ascii="Arial" w:cs="Arial" w:eastAsia="Arial" w:hAnsi="Arial"/>
                <w:sz w:val="16"/>
                <w:szCs w:val="16"/>
                <w:color w:val="auto"/>
              </w:rPr>
              <w:t>the Inline XBRL document.†</w:t>
            </w:r>
          </w:p>
        </w:tc>
        <w:tc>
          <w:tcPr>
            <w:tcW w:w="24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20" w:type="dxa"/>
            <w:vAlign w:val="bottom"/>
          </w:tcPr>
          <w:p>
            <w:pPr>
              <w:spacing w:after="0"/>
              <w:rPr>
                <w:sz w:val="6"/>
                <w:szCs w:val="6"/>
                <w:color w:val="auto"/>
              </w:rPr>
            </w:pPr>
          </w:p>
        </w:tc>
        <w:tc>
          <w:tcPr>
            <w:tcW w:w="9080" w:type="dxa"/>
            <w:vAlign w:val="bottom"/>
            <w:gridSpan w:val="12"/>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92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3"/>
              </w:rPr>
              <w:t>101.def</w:t>
            </w:r>
          </w:p>
        </w:tc>
        <w:tc>
          <w:tcPr>
            <w:tcW w:w="932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189"/>
        </w:trPr>
        <w:tc>
          <w:tcPr>
            <w:tcW w:w="1920" w:type="dxa"/>
            <w:vAlign w:val="bottom"/>
            <w:tcBorders>
              <w:top w:val="single" w:sz="8" w:color="CCEEFF"/>
            </w:tcBorders>
          </w:tcPr>
          <w:p>
            <w:pPr>
              <w:jc w:val="center"/>
              <w:ind w:right="19"/>
              <w:spacing w:after="0"/>
              <w:rPr>
                <w:sz w:val="20"/>
                <w:szCs w:val="20"/>
                <w:color w:val="auto"/>
              </w:rPr>
            </w:pPr>
            <w:r>
              <w:rPr>
                <w:rFonts w:ascii="Arial" w:cs="Arial" w:eastAsia="Arial" w:hAnsi="Arial"/>
                <w:sz w:val="16"/>
                <w:szCs w:val="16"/>
                <w:color w:val="auto"/>
                <w:w w:val="89"/>
              </w:rPr>
              <w:t>101.sch</w:t>
            </w:r>
          </w:p>
        </w:tc>
        <w:tc>
          <w:tcPr>
            <w:tcW w:w="4020" w:type="dxa"/>
            <w:vAlign w:val="bottom"/>
            <w:tcBorders>
              <w:top w:val="single" w:sz="8" w:color="auto"/>
            </w:tcBorders>
            <w:gridSpan w:val="5"/>
          </w:tcPr>
          <w:p>
            <w:pPr>
              <w:spacing w:after="0"/>
              <w:rPr>
                <w:sz w:val="20"/>
                <w:szCs w:val="20"/>
                <w:color w:val="auto"/>
              </w:rPr>
            </w:pPr>
            <w:r>
              <w:rPr>
                <w:rFonts w:ascii="Arial" w:cs="Arial" w:eastAsia="Arial" w:hAnsi="Arial"/>
                <w:sz w:val="16"/>
                <w:szCs w:val="16"/>
                <w:color w:val="auto"/>
              </w:rPr>
              <w:t>XBRL Taxonomy Extension Schema Document.†</w:t>
            </w:r>
          </w:p>
        </w:tc>
        <w:tc>
          <w:tcPr>
            <w:tcW w:w="5300" w:type="dxa"/>
            <w:vAlign w:val="bottom"/>
            <w:tcBorders>
              <w:top w:val="single" w:sz="8" w:color="CCEEFF"/>
            </w:tcBorders>
            <w:gridSpan w:val="9"/>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92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92"/>
              </w:rPr>
              <w:t>101.cal</w:t>
            </w:r>
          </w:p>
        </w:tc>
        <w:tc>
          <w:tcPr>
            <w:tcW w:w="932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1920" w:type="dxa"/>
            <w:vAlign w:val="bottom"/>
            <w:tcBorders>
              <w:top w:val="single" w:sz="8" w:color="CCEEFF"/>
            </w:tcBorders>
          </w:tcPr>
          <w:p>
            <w:pPr>
              <w:jc w:val="center"/>
              <w:ind w:right="39"/>
              <w:spacing w:after="0"/>
              <w:rPr>
                <w:sz w:val="20"/>
                <w:szCs w:val="20"/>
                <w:color w:val="auto"/>
              </w:rPr>
            </w:pPr>
            <w:r>
              <w:rPr>
                <w:rFonts w:ascii="Arial" w:cs="Arial" w:eastAsia="Arial" w:hAnsi="Arial"/>
                <w:sz w:val="16"/>
                <w:szCs w:val="16"/>
                <w:color w:val="auto"/>
                <w:w w:val="91"/>
              </w:rPr>
              <w:t>101.lab</w:t>
            </w:r>
          </w:p>
        </w:tc>
        <w:tc>
          <w:tcPr>
            <w:tcW w:w="4100" w:type="dxa"/>
            <w:vAlign w:val="bottom"/>
            <w:tcBorders>
              <w:top w:val="single" w:sz="8" w:color="auto"/>
            </w:tcBorders>
            <w:gridSpan w:val="6"/>
          </w:tcPr>
          <w:p>
            <w:pPr>
              <w:spacing w:after="0"/>
              <w:rPr>
                <w:sz w:val="20"/>
                <w:szCs w:val="20"/>
                <w:color w:val="auto"/>
              </w:rPr>
            </w:pPr>
            <w:r>
              <w:rPr>
                <w:rFonts w:ascii="Arial" w:cs="Arial" w:eastAsia="Arial" w:hAnsi="Arial"/>
                <w:sz w:val="16"/>
                <w:szCs w:val="16"/>
                <w:color w:val="auto"/>
              </w:rPr>
              <w:t>XBRL Taxonomy Extension Label Linkbase Document.†</w:t>
            </w:r>
          </w:p>
        </w:tc>
        <w:tc>
          <w:tcPr>
            <w:tcW w:w="5220" w:type="dxa"/>
            <w:vAlign w:val="bottom"/>
            <w:tcBorders>
              <w:top w:val="single" w:sz="8" w:color="CCEEFF"/>
            </w:tcBorders>
            <w:gridSpan w:val="8"/>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92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2"/>
              </w:rPr>
              <w:t>101.pre</w:t>
            </w:r>
          </w:p>
        </w:tc>
        <w:tc>
          <w:tcPr>
            <w:tcW w:w="9320" w:type="dxa"/>
            <w:vAlign w:val="bottom"/>
            <w:gridSpan w:val="14"/>
            <w:shd w:val="clear" w:color="auto" w:fill="CCEEFF"/>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r>
        <w:trPr>
          <w:trHeight w:val="48"/>
        </w:trPr>
        <w:tc>
          <w:tcPr>
            <w:tcW w:w="19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1460" w:type="dxa"/>
            <w:vAlign w:val="bottom"/>
            <w:tcBorders>
              <w:top w:val="single" w:sz="8" w:color="auto"/>
            </w:tcBorders>
            <w:shd w:val="clear" w:color="auto" w:fill="CCEEFF"/>
          </w:tcPr>
          <w:p>
            <w:pPr>
              <w:spacing w:after="0"/>
              <w:rPr>
                <w:sz w:val="4"/>
                <w:szCs w:val="4"/>
                <w:color w:val="auto"/>
              </w:rPr>
            </w:pPr>
          </w:p>
        </w:tc>
        <w:tc>
          <w:tcPr>
            <w:tcW w:w="13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920" w:hanging="1136"/>
        <w:spacing w:after="0"/>
        <w:tabs>
          <w:tab w:leader="none" w:pos="1920"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Cover Page Interactive Data File (embedded within the Inline XBRL document).†</w:t>
      </w:r>
    </w:p>
    <w:p>
      <w:pPr>
        <w:spacing w:after="0" w:line="72" w:lineRule="exact"/>
        <w:rPr>
          <w:rFonts w:ascii="Arial" w:cs="Arial" w:eastAsia="Arial" w:hAnsi="Arial"/>
          <w:sz w:val="16"/>
          <w:szCs w:val="16"/>
          <w:color w:val="auto"/>
        </w:rPr>
      </w:pPr>
    </w:p>
    <w:p>
      <w:pPr>
        <w:ind w:left="140" w:hanging="114"/>
        <w:spacing w:after="0"/>
        <w:tabs>
          <w:tab w:leader="none" w:pos="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Filed or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70" w:lineRule="exact"/>
        <w:rPr>
          <w:sz w:val="20"/>
          <w:szCs w:val="20"/>
          <w:color w:val="auto"/>
        </w:rPr>
      </w:pPr>
    </w:p>
    <w:p>
      <w:pPr>
        <w:ind w:left="620" w:right="660" w:hanging="329"/>
        <w:spacing w:after="0" w:line="308" w:lineRule="auto"/>
        <w:tabs>
          <w:tab w:leader="none" w:pos="6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38" w:lineRule="exact"/>
        <w:rPr>
          <w:rFonts w:ascii="Arial" w:cs="Arial" w:eastAsia="Arial" w:hAnsi="Arial"/>
          <w:sz w:val="17"/>
          <w:szCs w:val="17"/>
          <w:color w:val="auto"/>
        </w:rPr>
      </w:pPr>
    </w:p>
    <w:p>
      <w:pPr>
        <w:ind w:left="62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Market demand for semiconductors, particularly in the industrial and automotive markets, and customer demand that differs from forecasts;</w:t>
      </w:r>
    </w:p>
    <w:p>
      <w:pPr>
        <w:spacing w:after="0" w:line="128" w:lineRule="exact"/>
        <w:rPr>
          <w:rFonts w:ascii="Arial" w:cs="Arial" w:eastAsia="Arial" w:hAnsi="Arial"/>
          <w:sz w:val="17"/>
          <w:szCs w:val="17"/>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or suppliers;</w:t>
      </w:r>
    </w:p>
    <w:p>
      <w:pPr>
        <w:spacing w:after="0" w:line="117" w:lineRule="exact"/>
        <w:rPr>
          <w:rFonts w:ascii="Arial" w:cs="Arial" w:eastAsia="Arial" w:hAnsi="Arial"/>
          <w:sz w:val="18"/>
          <w:szCs w:val="18"/>
          <w:color w:val="auto"/>
        </w:rPr>
      </w:pPr>
    </w:p>
    <w:p>
      <w:pPr>
        <w:ind w:left="620" w:right="26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restructuring charges and associated cost savings;</w:t>
      </w:r>
    </w:p>
    <w:p>
      <w:pPr>
        <w:spacing w:after="0" w:line="62" w:lineRule="exact"/>
        <w:rPr>
          <w:rFonts w:ascii="Arial" w:cs="Arial" w:eastAsia="Arial" w:hAnsi="Arial"/>
          <w:sz w:val="18"/>
          <w:szCs w:val="18"/>
          <w:color w:val="auto"/>
        </w:rPr>
      </w:pPr>
    </w:p>
    <w:p>
      <w:pPr>
        <w:ind w:left="620" w:right="100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28" w:lineRule="exact"/>
        <w:rPr>
          <w:rFonts w:ascii="Arial" w:cs="Arial" w:eastAsia="Arial" w:hAnsi="Arial"/>
          <w:sz w:val="17"/>
          <w:szCs w:val="17"/>
          <w:color w:val="auto"/>
        </w:rPr>
      </w:pPr>
    </w:p>
    <w:p>
      <w:pPr>
        <w:ind w:left="620" w:right="10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spacing w:after="0" w:line="62" w:lineRule="exact"/>
        <w:rPr>
          <w:rFonts w:ascii="Arial" w:cs="Arial" w:eastAsia="Arial" w:hAnsi="Arial"/>
          <w:sz w:val="18"/>
          <w:szCs w:val="18"/>
          <w:color w:val="auto"/>
        </w:rPr>
      </w:pPr>
    </w:p>
    <w:p>
      <w:pPr>
        <w:ind w:left="620" w:right="60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2" w:lineRule="exact"/>
        <w:rPr>
          <w:rFonts w:ascii="Arial" w:cs="Arial" w:eastAsia="Arial" w:hAnsi="Arial"/>
          <w:sz w:val="18"/>
          <w:szCs w:val="18"/>
          <w:color w:val="auto"/>
        </w:rPr>
      </w:pPr>
    </w:p>
    <w:p>
      <w:pPr>
        <w:ind w:left="620" w:hanging="329"/>
        <w:spacing w:after="0" w:line="308" w:lineRule="auto"/>
        <w:tabs>
          <w:tab w:leader="none" w:pos="6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38" w:lineRule="exact"/>
        <w:rPr>
          <w:rFonts w:ascii="Arial" w:cs="Arial" w:eastAsia="Arial" w:hAnsi="Arial"/>
          <w:sz w:val="17"/>
          <w:szCs w:val="17"/>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Financial difficulties of our distributors or their promotion of competing product lines to our detriment; or disputes with significant distributors;</w:t>
      </w:r>
    </w:p>
    <w:p>
      <w:pPr>
        <w:spacing w:after="0" w:line="128" w:lineRule="exact"/>
        <w:rPr>
          <w:rFonts w:ascii="Arial" w:cs="Arial" w:eastAsia="Arial" w:hAnsi="Arial"/>
          <w:sz w:val="17"/>
          <w:szCs w:val="17"/>
          <w:color w:val="auto"/>
        </w:rPr>
      </w:pPr>
    </w:p>
    <w:p>
      <w:pPr>
        <w:ind w:left="620" w:hanging="329"/>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128" w:lineRule="exact"/>
        <w:rPr>
          <w:rFonts w:ascii="Arial" w:cs="Arial" w:eastAsia="Arial" w:hAnsi="Arial"/>
          <w:sz w:val="17"/>
          <w:szCs w:val="17"/>
          <w:color w:val="auto"/>
        </w:rPr>
      </w:pPr>
    </w:p>
    <w:p>
      <w:pPr>
        <w:ind w:left="620" w:right="4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2" w:lineRule="exact"/>
        <w:rPr>
          <w:rFonts w:ascii="Arial" w:cs="Arial" w:eastAsia="Arial" w:hAnsi="Arial"/>
          <w:sz w:val="18"/>
          <w:szCs w:val="18"/>
          <w:color w:val="auto"/>
        </w:rPr>
      </w:pPr>
    </w:p>
    <w:p>
      <w:pPr>
        <w:ind w:left="620" w:hanging="329"/>
        <w:spacing w:after="0" w:line="277" w:lineRule="auto"/>
        <w:tabs>
          <w:tab w:leader="none" w:pos="6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2"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17" w:lineRule="exact"/>
        <w:rPr>
          <w:rFonts w:ascii="Arial" w:cs="Arial" w:eastAsia="Arial" w:hAnsi="Arial"/>
          <w:sz w:val="18"/>
          <w:szCs w:val="18"/>
          <w:color w:val="auto"/>
        </w:rPr>
      </w:pPr>
    </w:p>
    <w:p>
      <w:pPr>
        <w:ind w:left="620" w:hanging="329"/>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5" w:name="page26"/>
    <w:bookmarkEnd w:id="25"/>
    <w:p>
      <w:pPr>
        <w:ind w:left="620" w:hanging="329"/>
        <w:spacing w:after="0"/>
        <w:tabs>
          <w:tab w:leader="none" w:pos="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our Form 10-Q for the quarter ended March 31, 2020.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26" w:name="page27"/>
    <w:bookmarkEnd w:id="26"/>
    <w:p>
      <w:pPr>
        <w:ind w:left="51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TEXAS INSTRUMENTS INCORPORATED</w:t>
      </w:r>
    </w:p>
    <w:p>
      <w:pPr>
        <w:spacing w:after="0" w:line="320" w:lineRule="exact"/>
        <w:rPr>
          <w:sz w:val="20"/>
          <w:szCs w:val="20"/>
          <w:color w:val="auto"/>
        </w:rPr>
      </w:pPr>
    </w:p>
    <w:p>
      <w:pPr>
        <w:ind w:left="6680"/>
        <w:spacing w:after="0"/>
        <w:tabs>
          <w:tab w:leader="none" w:pos="7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31750</wp:posOffset>
            </wp:positionV>
            <wp:extent cx="24434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Rafael R. Lizardi</w:t>
      </w:r>
    </w:p>
    <w:p>
      <w:pPr>
        <w:spacing w:after="0" w:line="6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2020</w:t>
      </w:r>
    </w:p>
    <w:p>
      <w:pPr>
        <w:sectPr>
          <w:pgSz w:w="11900" w:h="16838" w:orient="portrait"/>
          <w:cols w:equalWidth="0" w:num="1">
            <w:col w:w="10340"/>
          </w:cols>
          <w:pgMar w:left="320" w:top="895" w:right="1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12"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jc w:val="both"/>
        <w:ind w:left="500" w:right="280" w:hanging="492"/>
        <w:spacing w:after="0" w:line="22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500" w:right="240" w:hanging="492"/>
        <w:spacing w:after="0" w:line="258"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2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ind w:left="980" w:right="60" w:hanging="486"/>
        <w:spacing w:after="0" w:line="263" w:lineRule="auto"/>
        <w:tabs>
          <w:tab w:leader="none" w:pos="97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60" w:hanging="486"/>
        <w:spacing w:after="0" w:line="263" w:lineRule="auto"/>
        <w:tabs>
          <w:tab w:leader="none" w:pos="9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right="260" w:hanging="492"/>
        <w:spacing w:after="0" w:line="289"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980" w:right="780" w:hanging="486"/>
        <w:spacing w:after="0" w:line="342" w:lineRule="auto"/>
        <w:tabs>
          <w:tab w:leader="none" w:pos="97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486"/>
        <w:spacing w:after="0" w:line="277" w:lineRule="auto"/>
        <w:tabs>
          <w:tab w:leader="none" w:pos="97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2020</w:t>
      </w:r>
    </w:p>
    <w:p>
      <w:pPr>
        <w:spacing w:after="0" w:line="27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31750</wp:posOffset>
            </wp:positionV>
            <wp:extent cx="19545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57"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jc w:val="center"/>
        <w:ind w:left="8140"/>
        <w:spacing w:after="0"/>
        <w:rPr>
          <w:sz w:val="20"/>
          <w:szCs w:val="20"/>
          <w:color w:val="auto"/>
        </w:rPr>
      </w:pPr>
      <w:r>
        <w:rPr>
          <w:rFonts w:ascii="Arial" w:cs="Arial" w:eastAsia="Arial" w:hAnsi="Arial"/>
          <w:sz w:val="18"/>
          <w:szCs w:val="18"/>
          <w:color w:val="auto"/>
        </w:rPr>
        <w:t>Chairman, President</w:t>
      </w:r>
    </w:p>
    <w:p>
      <w:pPr>
        <w:spacing w:after="0" w:line="9" w:lineRule="exact"/>
        <w:rPr>
          <w:sz w:val="20"/>
          <w:szCs w:val="20"/>
          <w:color w:val="auto"/>
        </w:rPr>
      </w:pPr>
    </w:p>
    <w:p>
      <w:pPr>
        <w:jc w:val="center"/>
        <w:ind w:left="814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240"/>
          </w:cols>
          <w:pgMar w:left="320" w:top="89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12"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jc w:val="both"/>
        <w:ind w:left="500" w:right="280" w:hanging="492"/>
        <w:spacing w:after="0" w:line="22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8"/>
          <w:szCs w:val="18"/>
          <w:color w:val="auto"/>
        </w:rPr>
      </w:pPr>
    </w:p>
    <w:p>
      <w:pPr>
        <w:ind w:left="500" w:right="240" w:hanging="492"/>
        <w:spacing w:after="0" w:line="258"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2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ind w:left="980" w:right="60" w:hanging="486"/>
        <w:spacing w:after="0" w:line="263" w:lineRule="auto"/>
        <w:tabs>
          <w:tab w:leader="none" w:pos="97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7"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80" w:hanging="486"/>
        <w:spacing w:after="0" w:line="263" w:lineRule="auto"/>
        <w:tabs>
          <w:tab w:leader="none" w:pos="97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500" w:right="240" w:hanging="492"/>
        <w:spacing w:after="0" w:line="289"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980" w:right="780" w:hanging="486"/>
        <w:spacing w:after="0" w:line="342" w:lineRule="auto"/>
        <w:tabs>
          <w:tab w:leader="none" w:pos="977"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500" w:hanging="486"/>
        <w:spacing w:after="0" w:line="277" w:lineRule="auto"/>
        <w:tabs>
          <w:tab w:leader="none" w:pos="97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22, 2020</w:t>
      </w:r>
    </w:p>
    <w:p>
      <w:pPr>
        <w:spacing w:after="0" w:line="279"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31750</wp:posOffset>
            </wp:positionV>
            <wp:extent cx="19545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57"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Rafael R. Lizardi</w:t>
      </w:r>
    </w:p>
    <w:p>
      <w:pPr>
        <w:spacing w:after="0" w:line="23" w:lineRule="exact"/>
        <w:rPr>
          <w:sz w:val="20"/>
          <w:szCs w:val="20"/>
          <w:color w:val="auto"/>
        </w:rPr>
      </w:pPr>
    </w:p>
    <w:p>
      <w:pPr>
        <w:jc w:val="center"/>
        <w:ind w:left="81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8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Certification of Periodic Report</w:t>
      </w:r>
    </w:p>
    <w:p>
      <w:pPr>
        <w:spacing w:after="0" w:line="5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Pursuant to 18 U.S.C. Section 1350</w:t>
      </w:r>
    </w:p>
    <w:p>
      <w:pPr>
        <w:spacing w:after="0" w:line="333" w:lineRule="exact"/>
        <w:rPr>
          <w:sz w:val="20"/>
          <w:szCs w:val="20"/>
          <w:color w:val="auto"/>
        </w:rPr>
      </w:pPr>
    </w:p>
    <w:p>
      <w:pPr>
        <w:ind w:right="600" w:firstLine="486"/>
        <w:spacing w:after="0" w:line="263" w:lineRule="auto"/>
        <w:rPr>
          <w:sz w:val="20"/>
          <w:szCs w:val="20"/>
          <w:color w:val="auto"/>
        </w:rPr>
      </w:pPr>
      <w:r>
        <w:rPr>
          <w:rFonts w:ascii="Arial" w:cs="Arial" w:eastAsia="Arial" w:hAnsi="Arial"/>
          <w:sz w:val="18"/>
          <w:szCs w:val="18"/>
          <w:color w:val="auto"/>
        </w:rPr>
        <w:t>For purposes of 18 U.S.C. Section 1350, as adopted pursuant to Section 906 of the Sarbanes-Oxley Act of 2002, the undersigned, Richard K. Templeton, the Chairman, President and Chief Executive Officer of Texas Instruments Incorporated (the “Company”), hereby certifies that, to his knowledge:</w:t>
      </w:r>
    </w:p>
    <w:p>
      <w:pPr>
        <w:spacing w:after="0" w:line="184" w:lineRule="exact"/>
        <w:rPr>
          <w:sz w:val="20"/>
          <w:szCs w:val="20"/>
          <w:color w:val="auto"/>
        </w:rPr>
      </w:pPr>
    </w:p>
    <w:p>
      <w:pPr>
        <w:ind w:right="160" w:firstLine="494"/>
        <w:spacing w:after="0" w:line="342" w:lineRule="auto"/>
        <w:tabs>
          <w:tab w:leader="none" w:pos="701"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2020,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100" w:firstLine="494"/>
        <w:spacing w:after="0" w:line="527" w:lineRule="auto"/>
        <w:tabs>
          <w:tab w:leader="none" w:pos="75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July 22, 2020</w:t>
      </w:r>
    </w:p>
    <w:p>
      <w:pPr>
        <w:spacing w:after="0" w:line="49" w:lineRule="exact"/>
        <w:rPr>
          <w:sz w:val="20"/>
          <w:szCs w:val="20"/>
          <w:color w:val="auto"/>
        </w:rPr>
      </w:pPr>
    </w:p>
    <w:p>
      <w:pPr>
        <w:ind w:left="88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31750</wp:posOffset>
            </wp:positionV>
            <wp:extent cx="19545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57"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jc w:val="center"/>
        <w:ind w:left="8140"/>
        <w:spacing w:after="0"/>
        <w:rPr>
          <w:sz w:val="20"/>
          <w:szCs w:val="20"/>
          <w:color w:val="auto"/>
        </w:rPr>
      </w:pPr>
      <w:r>
        <w:rPr>
          <w:rFonts w:ascii="Arial" w:cs="Arial" w:eastAsia="Arial" w:hAnsi="Arial"/>
          <w:sz w:val="18"/>
          <w:szCs w:val="18"/>
          <w:color w:val="auto"/>
        </w:rPr>
        <w:t>Chairman, President</w:t>
      </w:r>
    </w:p>
    <w:p>
      <w:pPr>
        <w:spacing w:after="0" w:line="9" w:lineRule="exact"/>
        <w:rPr>
          <w:sz w:val="20"/>
          <w:szCs w:val="20"/>
          <w:color w:val="auto"/>
        </w:rPr>
      </w:pPr>
    </w:p>
    <w:p>
      <w:pPr>
        <w:jc w:val="center"/>
        <w:ind w:left="814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240"/>
          </w:cols>
          <w:pgMar w:left="320" w:top="89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319" w:lineRule="exact"/>
        <w:rPr>
          <w:sz w:val="20"/>
          <w:szCs w:val="20"/>
          <w:color w:val="auto"/>
        </w:rPr>
      </w:pPr>
    </w:p>
    <w:p>
      <w:pPr>
        <w:ind w:right="10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24" w:lineRule="exact"/>
        <w:rPr>
          <w:sz w:val="20"/>
          <w:szCs w:val="20"/>
          <w:color w:val="auto"/>
        </w:rPr>
      </w:pPr>
    </w:p>
    <w:p>
      <w:pPr>
        <w:ind w:right="160" w:firstLine="494"/>
        <w:spacing w:after="0" w:line="342" w:lineRule="auto"/>
        <w:tabs>
          <w:tab w:leader="none" w:pos="70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June 30, 2020,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100" w:firstLine="494"/>
        <w:spacing w:after="0" w:line="527" w:lineRule="auto"/>
        <w:tabs>
          <w:tab w:leader="none" w:pos="75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July 22, 2020</w:t>
      </w:r>
    </w:p>
    <w:p>
      <w:pPr>
        <w:spacing w:after="0" w:line="49"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31750</wp:posOffset>
            </wp:positionV>
            <wp:extent cx="19545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57"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Rafael R. Lizardi</w:t>
      </w:r>
    </w:p>
    <w:p>
      <w:pPr>
        <w:spacing w:after="0" w:line="23" w:lineRule="exact"/>
        <w:rPr>
          <w:sz w:val="20"/>
          <w:szCs w:val="20"/>
          <w:color w:val="auto"/>
        </w:rPr>
      </w:pPr>
    </w:p>
    <w:p>
      <w:pPr>
        <w:jc w:val="center"/>
        <w:ind w:left="814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81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1)"/>
      <w:numFmt w:val="lowerLetter"/>
      <w:start w:val="1"/>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1."/>
      <w:numFmt w:val="decimal"/>
      <w:start w:val="3"/>
    </w:lvl>
  </w:abstractNum>
  <w:abstractNum w:abstractNumId="7">
    <w:nsid w:val="25E45D32"/>
    <w:multiLevelType w:val="hybridMultilevel"/>
    <w:lvl w:ilvl="0">
      <w:lvlJc w:val="left"/>
      <w:lvlText w:val="%1."/>
      <w:numFmt w:val="decimal"/>
      <w:start w:val="4"/>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5"/>
    </w:lvl>
  </w:abstractNum>
  <w:abstractNum w:abstractNumId="11">
    <w:nsid w:val="7C83E458"/>
    <w:multiLevelType w:val="hybridMultilevel"/>
    <w:lvl w:ilvl="0">
      <w:lvlJc w:val="left"/>
      <w:lvlText w:val="%1."/>
      <w:numFmt w:val="decimal"/>
      <w:start w:val="6"/>
    </w:lvl>
  </w:abstractNum>
  <w:abstractNum w:abstractNumId="12">
    <w:nsid w:val="257130A3"/>
    <w:multiLevelType w:val="hybridMultilevel"/>
    <w:lvl w:ilvl="0">
      <w:lvlJc w:val="left"/>
      <w:lvlText w:val="%1."/>
      <w:numFmt w:val="decimal"/>
      <w:start w:val="7"/>
    </w:lvl>
  </w:abstractNum>
  <w:abstractNum w:abstractNumId="13">
    <w:nsid w:val="62BBD95A"/>
    <w:multiLevelType w:val="hybridMultilevel"/>
    <w:lvl w:ilvl="0">
      <w:lvlJc w:val="left"/>
      <w:lvlText w:val="%1."/>
      <w:numFmt w:val="decimal"/>
      <w:start w:val="9"/>
    </w:lvl>
  </w:abstractNum>
  <w:abstractNum w:abstractNumId="14">
    <w:nsid w:val="436C6125"/>
    <w:multiLevelType w:val="hybridMultilevel"/>
    <w:lvl w:ilvl="0">
      <w:lvlJc w:val="left"/>
      <w:lvlText w:val="%1."/>
      <w:numFmt w:val="decimal"/>
      <w:start w:val="10"/>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lvl w:ilvl="1">
      <w:lvlJc w:val="left"/>
      <w:lvlText w:val="◦"/>
      <w:numFmt w:val="bullet"/>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
      <w:numFmt w:val="bullet"/>
      <w:start w:val="1"/>
    </w:lvl>
    <w:lvl w:ilvl="1">
      <w:lvlJc w:val="left"/>
      <w:lvlText w:val="%2"/>
      <w:numFmt w:val="decimal"/>
      <w:start w:val="104"/>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41" Type="http://schemas.openxmlformats.org/officeDocument/2006/relationships/hyperlink" Target="http://www.sec.gov/Archives/edgar/data/97476/000009747615000003/txn-12312014xexhibit3a.htm" TargetMode="External"/><Relationship Id="rId42" Type="http://schemas.openxmlformats.org/officeDocument/2006/relationships/hyperlink" Target="http://www.sec.gov/Archives/edgar/data/97476/000119312520194080/d949258dex3.htm" TargetMode="External"/><Relationship Id="rId43" Type="http://schemas.openxmlformats.org/officeDocument/2006/relationships/hyperlink" Target="http://www.sec.gov/Archives/edgar/data/97476/000156459020020837/txn-ex4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2020-07-22T08:24:01Z</dcterms:created>
  <dcterms:modified xsi:type="dcterms:W3CDTF">2020-07-22T08:24:01Z</dcterms:modified>
</cp:coreProperties>
</file>