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372110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6" w:lineRule="exact"/>
        <w:rPr>
          <w:sz w:val="24"/>
          <w:szCs w:val="24"/>
          <w:color w:val="auto"/>
        </w:rPr>
      </w:pPr>
    </w:p>
    <w:p>
      <w:pPr>
        <w:ind w:left="4400"/>
        <w:spacing w:after="0"/>
        <w:rPr>
          <w:sz w:val="20"/>
          <w:szCs w:val="20"/>
          <w:color w:val="auto"/>
        </w:rPr>
      </w:pPr>
      <w:r>
        <w:rPr>
          <w:rFonts w:ascii="Arial" w:cs="Arial" w:eastAsia="Arial" w:hAnsi="Arial"/>
          <w:sz w:val="18"/>
          <w:szCs w:val="18"/>
          <w:color w:val="auto"/>
        </w:rPr>
        <w:t>____________________________</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145" w:lineRule="exact"/>
        <w:rPr>
          <w:sz w:val="24"/>
          <w:szCs w:val="24"/>
          <w:color w:val="auto"/>
        </w:rPr>
      </w:pPr>
    </w:p>
    <w:p>
      <w:pPr>
        <w:ind w:left="4400"/>
        <w:spacing w:after="0"/>
        <w:rPr>
          <w:sz w:val="20"/>
          <w:szCs w:val="20"/>
          <w:color w:val="auto"/>
        </w:rPr>
      </w:pPr>
      <w:r>
        <w:rPr>
          <w:rFonts w:ascii="Arial" w:cs="Arial" w:eastAsia="Arial" w:hAnsi="Arial"/>
          <w:sz w:val="18"/>
          <w:szCs w:val="18"/>
          <w:color w:val="auto"/>
        </w:rPr>
        <w:t>____________________________</w:t>
      </w:r>
    </w:p>
    <w:p>
      <w:pPr>
        <w:spacing w:after="0" w:line="26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September 21, 2023</w:t>
      </w:r>
    </w:p>
    <w:p>
      <w:pPr>
        <w:spacing w:after="0" w:line="19" w:lineRule="exact"/>
        <w:rPr>
          <w:sz w:val="24"/>
          <w:szCs w:val="24"/>
          <w:color w:val="auto"/>
        </w:rPr>
      </w:pPr>
    </w:p>
    <w:p>
      <w:pPr>
        <w:ind w:left="4360"/>
        <w:spacing w:after="0"/>
        <w:rPr>
          <w:sz w:val="20"/>
          <w:szCs w:val="20"/>
          <w:color w:val="auto"/>
        </w:rPr>
      </w:pPr>
      <w:r>
        <w:rPr>
          <w:rFonts w:ascii="Arial" w:cs="Arial" w:eastAsia="Arial" w:hAnsi="Arial"/>
          <w:sz w:val="18"/>
          <w:szCs w:val="18"/>
          <w:color w:val="auto"/>
        </w:rPr>
        <w:t>____________________________</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TEXAS INSTRUMENTS INCORPORATED</w:t>
      </w:r>
    </w:p>
    <w:p>
      <w:pPr>
        <w:spacing w:after="0" w:line="50"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7" w:lineRule="exact"/>
        <w:rPr>
          <w:sz w:val="24"/>
          <w:szCs w:val="24"/>
          <w:color w:val="auto"/>
        </w:rPr>
      </w:pPr>
    </w:p>
    <w:p>
      <w:pPr>
        <w:ind w:left="4360"/>
        <w:spacing w:after="0"/>
        <w:rPr>
          <w:sz w:val="20"/>
          <w:szCs w:val="20"/>
          <w:color w:val="auto"/>
        </w:rPr>
      </w:pPr>
      <w:r>
        <w:rPr>
          <w:rFonts w:ascii="Arial" w:cs="Arial" w:eastAsia="Arial" w:hAnsi="Arial"/>
          <w:sz w:val="18"/>
          <w:szCs w:val="18"/>
          <w:color w:val="auto"/>
        </w:rPr>
        <w:t>____________________________</w:t>
      </w:r>
    </w:p>
    <w:p>
      <w:pPr>
        <w:spacing w:after="0" w:line="234"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8"/>
              </w:rPr>
              <w:t>DELAWARE</w:t>
            </w: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001-03761</w:t>
            </w:r>
          </w:p>
        </w:tc>
        <w:tc>
          <w:tcPr>
            <w:tcW w:w="1640" w:type="dxa"/>
            <w:vAlign w:val="bottom"/>
          </w:tcPr>
          <w:p>
            <w:pPr>
              <w:jc w:val="center"/>
              <w:ind w:left="190"/>
              <w:spacing w:after="0"/>
              <w:rPr>
                <w:sz w:val="20"/>
                <w:szCs w:val="20"/>
                <w:color w:val="auto"/>
              </w:rPr>
            </w:pPr>
            <w:r>
              <w:rPr>
                <w:rFonts w:ascii="Arial" w:cs="Arial" w:eastAsia="Arial" w:hAnsi="Arial"/>
                <w:sz w:val="18"/>
                <w:szCs w:val="18"/>
                <w:b w:val="1"/>
                <w:bCs w:val="1"/>
                <w:color w:val="auto"/>
                <w:w w:val="91"/>
              </w:rPr>
              <w:t>75-0289970</w:t>
            </w:r>
          </w:p>
        </w:tc>
      </w:tr>
      <w:tr>
        <w:trPr>
          <w:trHeight w:val="216"/>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(State or other jurisdiction</w:t>
            </w:r>
          </w:p>
        </w:tc>
        <w:tc>
          <w:tcPr>
            <w:tcW w:w="554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(Commission</w:t>
            </w:r>
          </w:p>
        </w:tc>
        <w:tc>
          <w:tcPr>
            <w:tcW w:w="1640" w:type="dxa"/>
            <w:vAlign w:val="bottom"/>
          </w:tcPr>
          <w:p>
            <w:pPr>
              <w:jc w:val="center"/>
              <w:ind w:left="210"/>
              <w:spacing w:after="0"/>
              <w:rPr>
                <w:sz w:val="20"/>
                <w:szCs w:val="20"/>
                <w:color w:val="auto"/>
              </w:rPr>
            </w:pPr>
            <w:r>
              <w:rPr>
                <w:rFonts w:ascii="Arial" w:cs="Arial" w:eastAsia="Arial" w:hAnsi="Arial"/>
                <w:sz w:val="18"/>
                <w:szCs w:val="18"/>
                <w:b w:val="1"/>
                <w:bCs w:val="1"/>
                <w:color w:val="auto"/>
                <w:w w:val="92"/>
              </w:rPr>
              <w:t>(I.R.S. employer</w:t>
            </w:r>
          </w:p>
        </w:tc>
      </w:tr>
      <w:tr>
        <w:trPr>
          <w:trHeight w:val="234"/>
        </w:trPr>
        <w:tc>
          <w:tcPr>
            <w:tcW w:w="216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of incorporation)</w:t>
            </w:r>
          </w:p>
        </w:tc>
        <w:tc>
          <w:tcPr>
            <w:tcW w:w="5540" w:type="dxa"/>
            <w:vAlign w:val="bottom"/>
          </w:tcPr>
          <w:p>
            <w:pPr>
              <w:jc w:val="center"/>
              <w:ind w:right="50"/>
              <w:spacing w:after="0"/>
              <w:rPr>
                <w:sz w:val="20"/>
                <w:szCs w:val="20"/>
                <w:color w:val="auto"/>
              </w:rPr>
            </w:pPr>
            <w:r>
              <w:rPr>
                <w:rFonts w:ascii="Arial" w:cs="Arial" w:eastAsia="Arial" w:hAnsi="Arial"/>
                <w:sz w:val="18"/>
                <w:szCs w:val="18"/>
                <w:b w:val="1"/>
                <w:bCs w:val="1"/>
                <w:color w:val="auto"/>
                <w:w w:val="93"/>
              </w:rPr>
              <w:t>file number)</w:t>
            </w:r>
          </w:p>
        </w:tc>
        <w:tc>
          <w:tcPr>
            <w:tcW w:w="1640" w:type="dxa"/>
            <w:vAlign w:val="bottom"/>
          </w:tcPr>
          <w:p>
            <w:pPr>
              <w:jc w:val="center"/>
              <w:ind w:left="190"/>
              <w:spacing w:after="0"/>
              <w:rPr>
                <w:sz w:val="20"/>
                <w:szCs w:val="20"/>
                <w:color w:val="auto"/>
              </w:rPr>
            </w:pPr>
            <w:r>
              <w:rPr>
                <w:rFonts w:ascii="Arial" w:cs="Arial" w:eastAsia="Arial" w:hAnsi="Arial"/>
                <w:sz w:val="18"/>
                <w:szCs w:val="18"/>
                <w:b w:val="1"/>
                <w:bCs w:val="1"/>
                <w:color w:val="auto"/>
                <w:w w:val="90"/>
              </w:rPr>
              <w:t>identification no.)</w:t>
            </w:r>
          </w:p>
        </w:tc>
      </w:tr>
      <w:tr>
        <w:trPr>
          <w:trHeight w:val="414"/>
        </w:trPr>
        <w:tc>
          <w:tcPr>
            <w:tcW w:w="2160" w:type="dxa"/>
            <w:vAlign w:val="bottom"/>
          </w:tcPr>
          <w:p>
            <w:pPr>
              <w:spacing w:after="0"/>
              <w:rPr>
                <w:sz w:val="24"/>
                <w:szCs w:val="24"/>
                <w:color w:val="auto"/>
              </w:rPr>
            </w:pP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97"/>
              </w:rPr>
              <w:t>12500 TI BOULEVARD</w:t>
            </w:r>
          </w:p>
        </w:tc>
        <w:tc>
          <w:tcPr>
            <w:tcW w:w="164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90"/>
              <w:spacing w:after="0"/>
              <w:rPr>
                <w:sz w:val="20"/>
                <w:szCs w:val="20"/>
                <w:color w:val="auto"/>
              </w:rPr>
            </w:pPr>
            <w:r>
              <w:rPr>
                <w:rFonts w:ascii="Arial" w:cs="Arial" w:eastAsia="Arial" w:hAnsi="Arial"/>
                <w:sz w:val="18"/>
                <w:szCs w:val="18"/>
                <w:b w:val="1"/>
                <w:bCs w:val="1"/>
                <w:color w:val="auto"/>
                <w:w w:val="96"/>
              </w:rPr>
              <w:t>DALLAS, TEXAS 75243</w:t>
            </w:r>
          </w:p>
        </w:tc>
        <w:tc>
          <w:tcPr>
            <w:tcW w:w="1640" w:type="dxa"/>
            <w:vAlign w:val="bottom"/>
          </w:tcPr>
          <w:p>
            <w:pPr>
              <w:spacing w:after="0"/>
              <w:rPr>
                <w:sz w:val="18"/>
                <w:szCs w:val="18"/>
                <w:color w:val="auto"/>
              </w:rPr>
            </w:pPr>
          </w:p>
        </w:tc>
      </w:tr>
      <w:tr>
        <w:trPr>
          <w:trHeight w:val="234"/>
        </w:trPr>
        <w:tc>
          <w:tcPr>
            <w:tcW w:w="2160" w:type="dxa"/>
            <w:vAlign w:val="bottom"/>
          </w:tcPr>
          <w:p>
            <w:pPr>
              <w:spacing w:after="0"/>
              <w:rPr>
                <w:sz w:val="20"/>
                <w:szCs w:val="20"/>
                <w:color w:val="auto"/>
              </w:rPr>
            </w:pP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1640" w:type="dxa"/>
            <w:vAlign w:val="bottom"/>
          </w:tcPr>
          <w:p>
            <w:pPr>
              <w:spacing w:after="0"/>
              <w:rPr>
                <w:sz w:val="20"/>
                <w:szCs w:val="20"/>
                <w:color w:val="auto"/>
              </w:rPr>
            </w:pPr>
          </w:p>
        </w:tc>
      </w:tr>
      <w:tr>
        <w:trPr>
          <w:trHeight w:val="418"/>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Registrant’s telephone number, including area code: (214) 479-3773</w:t>
            </w:r>
          </w:p>
        </w:tc>
        <w:tc>
          <w:tcPr>
            <w:tcW w:w="1640" w:type="dxa"/>
            <w:vAlign w:val="bottom"/>
          </w:tcPr>
          <w:p>
            <w:pPr>
              <w:spacing w:after="0"/>
              <w:rPr>
                <w:sz w:val="24"/>
                <w:szCs w:val="24"/>
                <w:color w:val="auto"/>
              </w:rPr>
            </w:pPr>
          </w:p>
        </w:tc>
      </w:tr>
      <w:tr>
        <w:trPr>
          <w:trHeight w:val="230"/>
        </w:trPr>
        <w:tc>
          <w:tcPr>
            <w:tcW w:w="2160" w:type="dxa"/>
            <w:vAlign w:val="bottom"/>
          </w:tcPr>
          <w:p>
            <w:pPr>
              <w:spacing w:after="0"/>
              <w:rPr>
                <w:sz w:val="20"/>
                <w:szCs w:val="20"/>
                <w:color w:val="auto"/>
              </w:rPr>
            </w:pPr>
          </w:p>
        </w:tc>
        <w:tc>
          <w:tcPr>
            <w:tcW w:w="5540" w:type="dxa"/>
            <w:vAlign w:val="bottom"/>
          </w:tcPr>
          <w:p>
            <w:pPr>
              <w:jc w:val="center"/>
              <w:ind w:right="90"/>
              <w:spacing w:after="0"/>
              <w:rPr>
                <w:sz w:val="20"/>
                <w:szCs w:val="20"/>
                <w:color w:val="auto"/>
              </w:rPr>
            </w:pPr>
            <w:r>
              <w:rPr>
                <w:rFonts w:ascii="Arial" w:cs="Arial" w:eastAsia="Arial" w:hAnsi="Arial"/>
                <w:sz w:val="18"/>
                <w:szCs w:val="18"/>
                <w:color w:val="auto"/>
                <w:w w:val="89"/>
              </w:rPr>
              <w:t>____________________________</w:t>
            </w:r>
          </w:p>
        </w:tc>
        <w:tc>
          <w:tcPr>
            <w:tcW w:w="1640" w:type="dxa"/>
            <w:vAlign w:val="bottom"/>
          </w:tcPr>
          <w:p>
            <w:pPr>
              <w:spacing w:after="0"/>
              <w:rPr>
                <w:sz w:val="20"/>
                <w:szCs w:val="20"/>
                <w:color w:val="auto"/>
              </w:rPr>
            </w:pPr>
          </w:p>
        </w:tc>
      </w:tr>
    </w:tbl>
    <w:p>
      <w:pPr>
        <w:spacing w:after="0" w:line="229" w:lineRule="exact"/>
        <w:rPr>
          <w:sz w:val="24"/>
          <w:szCs w:val="24"/>
          <w:color w:val="auto"/>
        </w:rPr>
      </w:pPr>
    </w:p>
    <w:p>
      <w:pPr>
        <w:ind w:right="38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right="2740" w:firstLine="8"/>
        <w:spacing w:after="0" w:line="498" w:lineRule="auto"/>
        <w:tabs>
          <w:tab w:leader="none" w:pos="445"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Trading</w:t>
            </w:r>
          </w:p>
        </w:tc>
        <w:tc>
          <w:tcPr>
            <w:tcW w:w="3600" w:type="dxa"/>
            <w:vAlign w:val="bottom"/>
          </w:tcPr>
          <w:p>
            <w:pPr>
              <w:spacing w:after="0"/>
              <w:rPr>
                <w:sz w:val="18"/>
                <w:szCs w:val="18"/>
                <w:color w:val="auto"/>
              </w:rPr>
            </w:pPr>
          </w:p>
        </w:tc>
      </w:tr>
      <w:tr>
        <w:trPr>
          <w:trHeight w:val="234"/>
        </w:trPr>
        <w:tc>
          <w:tcPr>
            <w:tcW w:w="3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Title of each class</w:t>
            </w: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Symbol(s)</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8"/>
        </w:trPr>
        <w:tc>
          <w:tcPr>
            <w:tcW w:w="36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$1.00</w:t>
            </w:r>
          </w:p>
        </w:tc>
        <w:tc>
          <w:tcPr>
            <w:tcW w:w="22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TXN</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r>
    </w:tbl>
    <w:p>
      <w:pPr>
        <w:spacing w:after="0" w:line="210"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6" w:lineRule="exact"/>
        <w:rPr>
          <w:sz w:val="24"/>
          <w:szCs w:val="24"/>
          <w:color w:val="auto"/>
        </w:rPr>
      </w:pPr>
    </w:p>
    <w:p>
      <w:pPr>
        <w:ind w:left="8720"/>
        <w:spacing w:after="0" w:line="207" w:lineRule="exact"/>
        <w:tabs>
          <w:tab w:leader="none" w:pos="1106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97" w:lineRule="exact"/>
        <w:rPr>
          <w:sz w:val="24"/>
          <w:szCs w:val="24"/>
          <w:color w:val="auto"/>
        </w:rPr>
      </w:pPr>
    </w:p>
    <w:p>
      <w:pPr>
        <w:ind w:right="16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556895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Registrant’s news release dated September 21, 2023, regarding a planned dividend increase, attached hereto as Exhibit 99 is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314325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540" w:right="4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140" w:type="dxa"/>
            <w:vAlign w:val="bottom"/>
            <w:gridSpan w:val="3"/>
          </w:tcPr>
          <w:p>
            <w:pPr>
              <w:spacing w:after="0"/>
              <w:rPr>
                <w:sz w:val="20"/>
                <w:szCs w:val="20"/>
                <w:color w:val="auto"/>
              </w:rPr>
            </w:pPr>
            <w:r>
              <w:rPr>
                <w:rFonts w:ascii="Arial" w:cs="Arial" w:eastAsia="Arial" w:hAnsi="Arial"/>
                <w:sz w:val="18"/>
                <w:szCs w:val="18"/>
                <w:b w:val="1"/>
                <w:bCs w:val="1"/>
                <w:color w:val="auto"/>
              </w:rPr>
              <w:t>Item 9.01</w:t>
            </w:r>
          </w:p>
        </w:tc>
        <w:tc>
          <w:tcPr>
            <w:tcW w:w="10100" w:type="dxa"/>
            <w:vAlign w:val="bottom"/>
            <w:gridSpan w:val="2"/>
          </w:tcPr>
          <w:p>
            <w:pPr>
              <w:spacing w:after="0"/>
              <w:rPr>
                <w:sz w:val="20"/>
                <w:szCs w:val="20"/>
                <w:color w:val="auto"/>
              </w:rPr>
            </w:pPr>
            <w:r>
              <w:rPr>
                <w:rFonts w:ascii="Arial" w:cs="Arial" w:eastAsia="Arial" w:hAnsi="Arial"/>
                <w:sz w:val="18"/>
                <w:szCs w:val="18"/>
                <w:b w:val="1"/>
                <w:bCs w:val="1"/>
                <w:color w:val="auto"/>
              </w:rPr>
              <w:t>Financial Statements and Exhibits</w:t>
            </w:r>
          </w:p>
        </w:tc>
      </w:tr>
      <w:tr>
        <w:trPr>
          <w:trHeight w:val="432"/>
        </w:trPr>
        <w:tc>
          <w:tcPr>
            <w:tcW w:w="1140" w:type="dxa"/>
            <w:vAlign w:val="bottom"/>
            <w:gridSpan w:val="3"/>
          </w:tcPr>
          <w:p>
            <w:pPr>
              <w:jc w:val="center"/>
              <w:ind w:right="240"/>
              <w:spacing w:after="0"/>
              <w:rPr>
                <w:sz w:val="20"/>
                <w:szCs w:val="20"/>
                <w:color w:val="auto"/>
              </w:rPr>
            </w:pPr>
            <w:r>
              <w:rPr>
                <w:rFonts w:ascii="Arial" w:cs="Arial" w:eastAsia="Arial" w:hAnsi="Arial"/>
                <w:sz w:val="18"/>
                <w:szCs w:val="18"/>
                <w:color w:val="auto"/>
                <w:w w:val="94"/>
              </w:rPr>
              <w:t>(d) Exhibits.</w:t>
            </w:r>
          </w:p>
        </w:tc>
        <w:tc>
          <w:tcPr>
            <w:tcW w:w="3880" w:type="dxa"/>
            <w:vAlign w:val="bottom"/>
          </w:tcPr>
          <w:p>
            <w:pPr>
              <w:spacing w:after="0"/>
              <w:rPr>
                <w:sz w:val="24"/>
                <w:szCs w:val="24"/>
                <w:color w:val="auto"/>
              </w:rPr>
            </w:pPr>
          </w:p>
        </w:tc>
        <w:tc>
          <w:tcPr>
            <w:tcW w:w="6220" w:type="dxa"/>
            <w:vAlign w:val="bottom"/>
          </w:tcPr>
          <w:p>
            <w:pPr>
              <w:spacing w:after="0"/>
              <w:rPr>
                <w:sz w:val="24"/>
                <w:szCs w:val="24"/>
                <w:color w:val="auto"/>
              </w:rPr>
            </w:pPr>
          </w:p>
        </w:tc>
      </w:tr>
      <w:tr>
        <w:trPr>
          <w:trHeight w:val="418"/>
        </w:trPr>
        <w:tc>
          <w:tcPr>
            <w:tcW w:w="180" w:type="dxa"/>
            <w:vAlign w:val="bottom"/>
          </w:tcPr>
          <w:p>
            <w:pPr>
              <w:spacing w:after="0"/>
              <w:rPr>
                <w:sz w:val="24"/>
                <w:szCs w:val="24"/>
                <w:color w:val="auto"/>
              </w:rPr>
            </w:pPr>
          </w:p>
        </w:tc>
        <w:tc>
          <w:tcPr>
            <w:tcW w:w="960" w:type="dxa"/>
            <w:vAlign w:val="bottom"/>
            <w:gridSpan w:val="2"/>
          </w:tcPr>
          <w:p>
            <w:pPr>
              <w:jc w:val="center"/>
              <w:ind w:right="400"/>
              <w:spacing w:after="0"/>
              <w:rPr>
                <w:sz w:val="20"/>
                <w:szCs w:val="20"/>
                <w:color w:val="auto"/>
              </w:rPr>
            </w:pPr>
            <w:r>
              <w:rPr>
                <w:rFonts w:ascii="Arial" w:cs="Arial" w:eastAsia="Arial" w:hAnsi="Arial"/>
                <w:sz w:val="18"/>
                <w:szCs w:val="18"/>
                <w:color w:val="auto"/>
                <w:w w:val="96"/>
              </w:rPr>
              <w:t>Exhibit</w:t>
            </w:r>
          </w:p>
        </w:tc>
        <w:tc>
          <w:tcPr>
            <w:tcW w:w="3880" w:type="dxa"/>
            <w:vAlign w:val="bottom"/>
          </w:tcPr>
          <w:p>
            <w:pPr>
              <w:spacing w:after="0"/>
              <w:rPr>
                <w:sz w:val="24"/>
                <w:szCs w:val="24"/>
                <w:color w:val="auto"/>
              </w:rPr>
            </w:pPr>
          </w:p>
        </w:tc>
        <w:tc>
          <w:tcPr>
            <w:tcW w:w="6220" w:type="dxa"/>
            <w:vAlign w:val="bottom"/>
          </w:tcPr>
          <w:p>
            <w:pPr>
              <w:spacing w:after="0"/>
              <w:rPr>
                <w:sz w:val="24"/>
                <w:szCs w:val="24"/>
                <w:color w:val="auto"/>
              </w:rPr>
            </w:pPr>
          </w:p>
        </w:tc>
      </w:tr>
      <w:tr>
        <w:trPr>
          <w:trHeight w:val="230"/>
        </w:trPr>
        <w:tc>
          <w:tcPr>
            <w:tcW w:w="180" w:type="dxa"/>
            <w:vAlign w:val="bottom"/>
          </w:tcPr>
          <w:p>
            <w:pPr>
              <w:spacing w:after="0"/>
              <w:rPr>
                <w:sz w:val="20"/>
                <w:szCs w:val="20"/>
                <w:color w:val="auto"/>
              </w:rPr>
            </w:pPr>
          </w:p>
        </w:tc>
        <w:tc>
          <w:tcPr>
            <w:tcW w:w="960" w:type="dxa"/>
            <w:vAlign w:val="bottom"/>
            <w:gridSpan w:val="2"/>
          </w:tcPr>
          <w:p>
            <w:pPr>
              <w:jc w:val="center"/>
              <w:ind w:right="400"/>
              <w:spacing w:after="0"/>
              <w:rPr>
                <w:sz w:val="20"/>
                <w:szCs w:val="20"/>
                <w:color w:val="auto"/>
              </w:rPr>
            </w:pPr>
            <w:r>
              <w:rPr>
                <w:rFonts w:ascii="Arial" w:cs="Arial" w:eastAsia="Arial" w:hAnsi="Arial"/>
                <w:sz w:val="18"/>
                <w:szCs w:val="18"/>
                <w:color w:val="auto"/>
                <w:w w:val="99"/>
              </w:rPr>
              <w:t>No.</w:t>
            </w:r>
          </w:p>
        </w:tc>
        <w:tc>
          <w:tcPr>
            <w:tcW w:w="3880" w:type="dxa"/>
            <w:vAlign w:val="bottom"/>
          </w:tcPr>
          <w:p>
            <w:pPr>
              <w:spacing w:after="0"/>
              <w:rPr>
                <w:sz w:val="20"/>
                <w:szCs w:val="20"/>
                <w:color w:val="auto"/>
              </w:rPr>
            </w:pPr>
          </w:p>
        </w:tc>
        <w:tc>
          <w:tcPr>
            <w:tcW w:w="6220" w:type="dxa"/>
            <w:vAlign w:val="bottom"/>
          </w:tcPr>
          <w:p>
            <w:pPr>
              <w:ind w:left="760"/>
              <w:spacing w:after="0"/>
              <w:rPr>
                <w:sz w:val="20"/>
                <w:szCs w:val="20"/>
                <w:color w:val="auto"/>
              </w:rPr>
            </w:pPr>
            <w:r>
              <w:rPr>
                <w:rFonts w:ascii="Arial" w:cs="Arial" w:eastAsia="Arial" w:hAnsi="Arial"/>
                <w:sz w:val="18"/>
                <w:szCs w:val="18"/>
                <w:color w:val="auto"/>
              </w:rPr>
              <w:t>Description</w:t>
            </w:r>
          </w:p>
        </w:tc>
      </w:tr>
      <w:tr>
        <w:trPr>
          <w:trHeight w:val="385"/>
        </w:trPr>
        <w:tc>
          <w:tcPr>
            <w:tcW w:w="180" w:type="dxa"/>
            <w:vAlign w:val="bottom"/>
            <w:tcBorders>
              <w:top w:val="single" w:sz="8" w:color="auto"/>
            </w:tcBorders>
          </w:tcPr>
          <w:p>
            <w:pPr>
              <w:spacing w:after="0"/>
              <w:rPr>
                <w:sz w:val="20"/>
                <w:szCs w:val="20"/>
                <w:color w:val="auto"/>
              </w:rPr>
            </w:pPr>
            <w:r>
              <w:rPr>
                <w:rFonts w:ascii="Arial" w:cs="Arial" w:eastAsia="Arial" w:hAnsi="Arial"/>
                <w:sz w:val="18"/>
                <w:szCs w:val="18"/>
                <w:color w:val="0000EE"/>
                <w:w w:val="79"/>
              </w:rPr>
              <w:t>99</w:t>
            </w:r>
          </w:p>
        </w:tc>
        <w:tc>
          <w:tcPr>
            <w:tcW w:w="7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1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0000EE"/>
              </w:rPr>
              <w:t>Registrant’s News Release Dated September 21, 2023</w:t>
            </w:r>
          </w:p>
        </w:tc>
      </w:tr>
      <w:tr>
        <w:trPr>
          <w:trHeight w:val="20"/>
        </w:trPr>
        <w:tc>
          <w:tcPr>
            <w:tcW w:w="18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80" w:type="dxa"/>
            <w:vAlign w:val="bottom"/>
            <w:shd w:val="clear" w:color="auto" w:fill="0000EE"/>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r>
      <w:tr>
        <w:trPr>
          <w:trHeight w:val="453"/>
        </w:trPr>
        <w:tc>
          <w:tcPr>
            <w:tcW w:w="920" w:type="dxa"/>
            <w:vAlign w:val="bottom"/>
            <w:gridSpan w:val="2"/>
          </w:tcPr>
          <w:p>
            <w:pPr>
              <w:spacing w:after="0"/>
              <w:rPr>
                <w:sz w:val="20"/>
                <w:szCs w:val="20"/>
                <w:color w:val="auto"/>
              </w:rPr>
            </w:pPr>
            <w:r>
              <w:rPr>
                <w:rFonts w:ascii="Arial" w:cs="Arial" w:eastAsia="Arial" w:hAnsi="Arial"/>
                <w:sz w:val="18"/>
                <w:szCs w:val="18"/>
                <w:color w:val="auto"/>
              </w:rPr>
              <w:t>104</w:t>
            </w:r>
          </w:p>
        </w:tc>
        <w:tc>
          <w:tcPr>
            <w:tcW w:w="220" w:type="dxa"/>
            <w:vAlign w:val="bottom"/>
          </w:tcPr>
          <w:p>
            <w:pPr>
              <w:spacing w:after="0"/>
              <w:rPr>
                <w:sz w:val="24"/>
                <w:szCs w:val="24"/>
                <w:color w:val="auto"/>
              </w:rPr>
            </w:pPr>
          </w:p>
        </w:tc>
        <w:tc>
          <w:tcPr>
            <w:tcW w:w="1010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310"/>
        </w:trPr>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6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40"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p>
        </w:tc>
        <w:tc>
          <w:tcPr>
            <w:tcW w:w="7480" w:type="dxa"/>
            <w:vAlign w:val="bottom"/>
            <w:gridSpan w:val="2"/>
          </w:tcPr>
          <w:p>
            <w:pPr>
              <w:ind w:left="1880"/>
              <w:spacing w:after="0"/>
              <w:rPr>
                <w:sz w:val="20"/>
                <w:szCs w:val="20"/>
                <w:color w:val="auto"/>
              </w:rPr>
            </w:pPr>
            <w:r>
              <w:rPr>
                <w:rFonts w:ascii="Arial" w:cs="Arial" w:eastAsia="Arial" w:hAnsi="Arial"/>
                <w:sz w:val="18"/>
                <w:szCs w:val="18"/>
                <w:b w:val="1"/>
                <w:bCs w:val="1"/>
                <w:color w:val="auto"/>
              </w:rPr>
              <w:t>TEXAS INSTRUMENTS INCORPORATED</w:t>
            </w:r>
          </w:p>
        </w:tc>
      </w:tr>
      <w:tr>
        <w:trPr>
          <w:trHeight w:val="648"/>
        </w:trPr>
        <w:tc>
          <w:tcPr>
            <w:tcW w:w="3760" w:type="dxa"/>
            <w:vAlign w:val="bottom"/>
          </w:tcPr>
          <w:p>
            <w:pPr>
              <w:spacing w:after="0"/>
              <w:rPr>
                <w:sz w:val="20"/>
                <w:szCs w:val="20"/>
                <w:color w:val="auto"/>
              </w:rPr>
            </w:pPr>
            <w:r>
              <w:rPr>
                <w:rFonts w:ascii="Arial" w:cs="Arial" w:eastAsia="Arial" w:hAnsi="Arial"/>
                <w:sz w:val="18"/>
                <w:szCs w:val="18"/>
                <w:color w:val="auto"/>
              </w:rPr>
              <w:t>Date: September 21, 2023</w:t>
            </w:r>
          </w:p>
        </w:tc>
        <w:tc>
          <w:tcPr>
            <w:tcW w:w="7480" w:type="dxa"/>
            <w:vAlign w:val="bottom"/>
            <w:gridSpan w:val="2"/>
          </w:tcPr>
          <w:p>
            <w:pPr>
              <w:ind w:left="1880"/>
              <w:spacing w:after="0"/>
              <w:rPr>
                <w:sz w:val="20"/>
                <w:szCs w:val="20"/>
                <w:color w:val="auto"/>
              </w:rPr>
            </w:pPr>
            <w:r>
              <w:rPr>
                <w:rFonts w:ascii="Arial" w:cs="Arial" w:eastAsia="Arial" w:hAnsi="Arial"/>
                <w:sz w:val="18"/>
                <w:szCs w:val="18"/>
                <w:color w:val="auto"/>
              </w:rPr>
              <w:t>By:   /s/ Rafael R. Lizardi</w:t>
            </w:r>
          </w:p>
        </w:tc>
      </w:tr>
      <w:tr>
        <w:trPr>
          <w:trHeight w:val="195"/>
        </w:trPr>
        <w:tc>
          <w:tcPr>
            <w:tcW w:w="376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5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Rafael R. Lizardi</w:t>
            </w:r>
          </w:p>
        </w:tc>
      </w:tr>
      <w:tr>
        <w:trPr>
          <w:trHeight w:val="230"/>
        </w:trPr>
        <w:tc>
          <w:tcPr>
            <w:tcW w:w="376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r>
      <w:tr>
        <w:trPr>
          <w:trHeight w:val="310"/>
        </w:trPr>
        <w:tc>
          <w:tcPr>
            <w:tcW w:w="376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44"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u w:val="single" w:color="auto"/>
          <w:color w:val="auto"/>
        </w:rPr>
        <w:t>Exhibit 99</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TI increases dividend 5%, marking 20 consecutive years of increases</w:t>
      </w:r>
    </w:p>
    <w:p>
      <w:pPr>
        <w:spacing w:after="0" w:line="315"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DALLAS (Sept. 21, 2023) – Texas Instruments Incorporated (TI) (Nasdaq: TXN) today said it will raise its quarterly cash dividend 5%, from $1.24 per share to $1.30, or $5.20 annualized. The higher dividend will be payable November 14, 2023, to stockholders of record on October 31, 2023, contingent upon formal declaration by the board of directors at its regular meeting in October.</w:t>
      </w:r>
    </w:p>
    <w:p>
      <w:pPr>
        <w:spacing w:after="0" w:line="184"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color w:val="auto"/>
        </w:rPr>
        <w:t>The increase is consistent with TI’s long-term objective for dividends by providing a sustainable and growing dividend and reflects the company’s continued commitment to return all free cash flow to its owners over time. Today’s announcement marks 20 consecutive years of dividend increases.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regarding forward-looking statements</w:t>
      </w:r>
    </w:p>
    <w:p>
      <w:pPr>
        <w:spacing w:after="0" w:line="229"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This release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7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our management:</w:t>
      </w:r>
    </w:p>
    <w:p>
      <w:pPr>
        <w:spacing w:after="0" w:line="170" w:lineRule="exact"/>
        <w:rPr>
          <w:sz w:val="20"/>
          <w:szCs w:val="20"/>
          <w:color w:val="auto"/>
        </w:rPr>
      </w:pPr>
    </w:p>
    <w:p>
      <w:pPr>
        <w:ind w:left="340" w:right="340" w:hanging="332"/>
        <w:spacing w:after="0" w:line="258"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Economic, social and political conditions, and natural events in the countries in which we, our customers or our suppliers operate, including global trade policies;</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7"/>
          <w:szCs w:val="17"/>
          <w:color w:val="auto"/>
        </w:rPr>
      </w:pPr>
      <w:r>
        <w:rPr>
          <w:rFonts w:ascii="Arial" w:cs="Arial" w:eastAsia="Arial" w:hAnsi="Arial"/>
          <w:sz w:val="17"/>
          <w:szCs w:val="17"/>
          <w:color w:val="auto"/>
        </w:rPr>
        <w:t>Market demand for semiconductors, particularly in the industrial and automotive markets, and customer demand that differs from forecasts;</w:t>
      </w:r>
    </w:p>
    <w:p>
      <w:pPr>
        <w:spacing w:after="0" w:line="20" w:lineRule="exact"/>
        <w:rPr>
          <w:rFonts w:ascii="Arial" w:cs="Arial" w:eastAsia="Arial" w:hAnsi="Arial"/>
          <w:sz w:val="17"/>
          <w:szCs w:val="17"/>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compete in products and prices in an intensely competitive industry;</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6"/>
          <w:szCs w:val="16"/>
          <w:color w:val="auto"/>
        </w:rPr>
      </w:pPr>
      <w:r>
        <w:rPr>
          <w:rFonts w:ascii="Arial" w:cs="Arial" w:eastAsia="Arial" w:hAnsi="Arial"/>
          <w:sz w:val="16"/>
          <w:szCs w:val="16"/>
          <w:color w:val="auto"/>
        </w:rPr>
        <w:t>Evolving cybersecurity and other threats relating to our information technology systems or those of our customers, suppliers and other third parties;</w:t>
      </w:r>
    </w:p>
    <w:p>
      <w:pPr>
        <w:spacing w:after="0" w:line="32" w:lineRule="exact"/>
        <w:rPr>
          <w:rFonts w:ascii="Arial" w:cs="Arial" w:eastAsia="Arial" w:hAnsi="Arial"/>
          <w:sz w:val="16"/>
          <w:szCs w:val="16"/>
          <w:color w:val="auto"/>
        </w:rPr>
      </w:pPr>
    </w:p>
    <w:p>
      <w:pPr>
        <w:ind w:left="340" w:right="600" w:hanging="332"/>
        <w:spacing w:after="0" w:line="250"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successfully implement and realize opportunities from strategic, business and organizational changes, or our ability to realize our expectations regarding the amount and timing of associated restructuring charges and cost savings;</w:t>
      </w:r>
    </w:p>
    <w:p>
      <w:pPr>
        <w:ind w:left="340" w:right="120" w:hanging="332"/>
        <w:spacing w:after="0" w:line="255"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develop, manufacture and market innovative products in a rapidly changing technological environment, our timely implementation of new manufacturing technologies and installation of manufacturing equipment, and our ability to realize expected returns on significant investments in manufacturing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498475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 w:name="page6"/>
    <w:bookmarkEnd w:id="5"/>
    <w:p>
      <w:pPr>
        <w:ind w:left="340" w:right="240" w:hanging="332"/>
        <w:spacing w:after="0" w:line="258"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duration and scope of the COVID-19 pandemic, government and other third-party responses to it and the consequences for the global economy, including to our business and the businesses of our suppliers, customers and distributors;</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7"/>
          <w:szCs w:val="17"/>
          <w:color w:val="auto"/>
        </w:rPr>
      </w:pPr>
      <w:r>
        <w:rPr>
          <w:rFonts w:ascii="Arial" w:cs="Arial" w:eastAsia="Arial" w:hAnsi="Arial"/>
          <w:sz w:val="17"/>
          <w:szCs w:val="17"/>
          <w:color w:val="auto"/>
        </w:rPr>
        <w:t>Availability and cost of key materials, utilities, manufacturing equipment, third-party manufacturing services and manufacturing technology;</w:t>
      </w:r>
    </w:p>
    <w:p>
      <w:pPr>
        <w:spacing w:after="0" w:line="20" w:lineRule="exact"/>
        <w:rPr>
          <w:rFonts w:ascii="Arial" w:cs="Arial" w:eastAsia="Arial" w:hAnsi="Arial"/>
          <w:sz w:val="17"/>
          <w:szCs w:val="17"/>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recruit and retain skilled personnel and effectively manage key employee succession;</w:t>
      </w:r>
    </w:p>
    <w:p>
      <w:pPr>
        <w:spacing w:after="0" w:line="9"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Product liability, warranty or other claims relating to our products, software, manufacturing, delivery, services, design or communications, or recalls by our customers for a product containing one of our parts;</w:t>
      </w:r>
    </w:p>
    <w:p>
      <w:pPr>
        <w:ind w:left="340" w:right="80" w:hanging="332"/>
        <w:spacing w:after="0" w:line="25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Compliance with or changes in the complex laws, rules and regulations to which we are or may become subject, or actions of enforcement authorities, that restrict our ability to operate our business or subject us to fines, penalties or other legal liability;</w:t>
      </w:r>
    </w:p>
    <w:p>
      <w:pPr>
        <w:ind w:left="340" w:hanging="332"/>
        <w:spacing w:after="0" w:line="25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tax law and accounting standards that impact the tax rate applicable to us, the jurisdictions in which profits are determined to be earned and taxed, adverse resolution of tax audits, increases in tariff rates, and the ability to realize deferred tax assets;</w:t>
      </w:r>
    </w:p>
    <w:p>
      <w:pPr>
        <w:ind w:left="340" w:right="80" w:hanging="332"/>
        <w:spacing w:after="0" w:line="25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Financial difficulties of our distributors or semiconductor distributors' promotion of competing product lines to our detriment; or disputes with current or former distributors;</w:t>
      </w: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Losses or curtailments of purchases from key customers or the timing and amount of customer inventory adjustments;</w:t>
      </w:r>
    </w:p>
    <w:p>
      <w:pPr>
        <w:spacing w:after="0" w:line="9" w:lineRule="exact"/>
        <w:rPr>
          <w:rFonts w:ascii="Arial" w:cs="Arial" w:eastAsia="Arial" w:hAnsi="Arial"/>
          <w:sz w:val="18"/>
          <w:szCs w:val="18"/>
          <w:color w:val="auto"/>
        </w:rPr>
      </w:pPr>
    </w:p>
    <w:p>
      <w:pPr>
        <w:ind w:left="340" w:right="360" w:hanging="332"/>
        <w:spacing w:after="0" w:line="25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or improve profit margins, including our ability to utilize our manufacturing facilities at sufficient levels to cover our fixed operating costs, in an intensely competitive and cyclical industry and changing regulatory environment;</w:t>
      </w:r>
    </w:p>
    <w:p>
      <w:pPr>
        <w:ind w:left="340" w:right="320" w:hanging="332"/>
        <w:spacing w:after="0" w:line="25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and enforce a strong intellectual property portfolio and maintain freedom of operation in all jurisdictions where we conduct business; or our exposure to infringement claims;</w:t>
      </w: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Instability in the global credit and financial markets; and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21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For a more detailed discussion of these factors, see the Risk factors discussion in Item 1A of TI's most recent Form 10-K. The forward-looking statements included in this release are made only as of the date of this release, and we undertake no obligation to update the forward-looking statements to reflect subsequent events or circumstances. If we do update any forward-looking statement, you should not infer that we will make additional updates with respect to that statement or any other forward-looking statement.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Texas Instruments</w:t>
      </w:r>
    </w:p>
    <w:p>
      <w:pPr>
        <w:spacing w:after="0" w:line="229"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Texas Instruments Incorporated (Nasdaq: TXN) is a global semiconductor company that designs, manufactures, tests and sells analog and embedded processing chips for markets such as industrial, automotive, personal electronics, communications equipment and enterprise systems. Our passion to create a better world by making electronics more affordable through semiconductors is alive today, as each generation of innovation builds upon the last to make our technology smaller, more efficient, more reliable and more affordable – making it possible for semiconductors to go into electronics everywhere. We think of this as Engineering Progress. It's what we do and have been doing for decades. Learn more at TI.com.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335280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20"/>
      </w:cols>
      <w:pgMar w:left="320" w:top="54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2023-09-21T15:30:17Z</dcterms:created>
  <dcterms:modified xsi:type="dcterms:W3CDTF">2023-09-21T15:30:17Z</dcterms:modified>
</cp:coreProperties>
</file>