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333-165045</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3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r>
      <w:tr>
        <w:trPr>
          <w:trHeight w:val="116"/>
        </w:trPr>
        <w:tc>
          <w:tcPr>
            <w:tcW w:w="734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gridSpan w:val="2"/>
          </w:tcPr>
          <w:p>
            <w:pPr>
              <w:jc w:val="right"/>
              <w:ind w:right="452"/>
              <w:spacing w:after="0" w:line="117" w:lineRule="exact"/>
              <w:rPr>
                <w:sz w:val="20"/>
                <w:szCs w:val="20"/>
                <w:color w:val="auto"/>
              </w:rPr>
            </w:pPr>
            <w:r>
              <w:rPr>
                <w:rFonts w:ascii="Arial" w:cs="Arial" w:eastAsia="Arial" w:hAnsi="Arial"/>
                <w:sz w:val="12"/>
                <w:szCs w:val="12"/>
                <w:b w:val="1"/>
                <w:bCs w:val="1"/>
                <w:color w:val="auto"/>
              </w:rPr>
              <w:t>Proposed Maximum</w:t>
            </w:r>
          </w:p>
        </w:tc>
        <w:tc>
          <w:tcPr>
            <w:tcW w:w="1780" w:type="dxa"/>
            <w:vAlign w:val="bottom"/>
            <w:gridSpan w:val="2"/>
          </w:tcPr>
          <w:p>
            <w:pPr>
              <w:jc w:val="right"/>
              <w:ind w:right="452"/>
              <w:spacing w:after="0" w:line="117" w:lineRule="exact"/>
              <w:rPr>
                <w:sz w:val="20"/>
                <w:szCs w:val="20"/>
                <w:color w:val="auto"/>
              </w:rPr>
            </w:pPr>
            <w:r>
              <w:rPr>
                <w:rFonts w:ascii="Arial" w:cs="Arial" w:eastAsia="Arial" w:hAnsi="Arial"/>
                <w:sz w:val="12"/>
                <w:szCs w:val="12"/>
                <w:b w:val="1"/>
                <w:bCs w:val="1"/>
                <w:color w:val="auto"/>
              </w:rPr>
              <w:t>Amount of</w:t>
            </w:r>
          </w:p>
        </w:tc>
      </w:tr>
      <w:tr>
        <w:trPr>
          <w:trHeight w:val="175"/>
        </w:trPr>
        <w:tc>
          <w:tcPr>
            <w:tcW w:w="7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300" w:type="dxa"/>
            <w:vAlign w:val="bottom"/>
            <w:tcBorders>
              <w:bottom w:val="single" w:sz="8" w:color="auto"/>
              <w:right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rPr>
              <w:t>Aggregate Offering Price</w:t>
            </w:r>
          </w:p>
        </w:tc>
        <w:tc>
          <w:tcPr>
            <w:tcW w:w="178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Registration Fee(1)</w:t>
            </w:r>
          </w:p>
        </w:tc>
      </w:tr>
      <w:tr>
        <w:trPr>
          <w:trHeight w:val="210"/>
        </w:trPr>
        <w:tc>
          <w:tcPr>
            <w:tcW w:w="7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0.450% Notes due 2015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8"/>
                <w:szCs w:val="18"/>
                <w:color w:val="auto"/>
                <w:w w:val="99"/>
              </w:rPr>
              <w:t>750,000,000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8"/>
              </w:rPr>
              <w:t>85,950</w:t>
            </w:r>
          </w:p>
        </w:tc>
      </w:tr>
      <w:tr>
        <w:trPr>
          <w:trHeight w:val="210"/>
        </w:trPr>
        <w:tc>
          <w:tcPr>
            <w:tcW w:w="7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1.650% Notes due 2019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8"/>
                <w:szCs w:val="18"/>
                <w:color w:val="auto"/>
                <w:w w:val="99"/>
              </w:rPr>
              <w:t>750,000,000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8"/>
              </w:rPr>
              <w:t>85,950</w:t>
            </w:r>
          </w:p>
        </w:tc>
      </w:tr>
      <w:tr>
        <w:trPr>
          <w:trHeight w:val="210"/>
        </w:trPr>
        <w:tc>
          <w:tcPr>
            <w:tcW w:w="73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8"/>
                <w:szCs w:val="18"/>
                <w:color w:val="auto"/>
                <w:w w:val="86"/>
              </w:rPr>
              <w:t>1,500,000,000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2"/>
              </w:rPr>
              <w:t>171,900</w:t>
            </w: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O S P E C T U S  S U P P L E M E N 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24, 2010)</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127000</wp:posOffset>
            </wp:positionV>
            <wp:extent cx="266700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670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auto"/>
        </w:rPr>
        <w:t>$750,000,000 0.450% Notes due 2015</w:t>
      </w:r>
    </w:p>
    <w:p>
      <w:pPr>
        <w:spacing w:after="0" w:line="33"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auto"/>
        </w:rPr>
        <w:t>$750,000,000 1.650% Notes due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95250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Texas Instruments Incorporated is offering the aggregate principal amount of each series of notes (collectively, the “Notes”), which will bear interest at the rate per year in each case as set forth above. Interest on the Notes will be payable semi-annually in arrears on February 3 and August 3 of each year, beginning February 3, 2013.</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2015 Notes will mature on August 3, 2015 and the 2019 Notes will mature on August 3, 2019.</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redeem some or all of the Notes at any time, each at the “make-whole premium” price indicated under the caption “Description of the Notes — Optional Redemption.”</w:t>
      </w:r>
    </w:p>
    <w:p>
      <w:pPr>
        <w:spacing w:after="0" w:line="118"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80645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7"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97155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50800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4"/>
              </w:rPr>
              <w:t>Per 2015 Note</w:t>
            </w:r>
          </w:p>
        </w:tc>
        <w:tc>
          <w:tcPr>
            <w:tcW w:w="15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Per 2019 Note</w:t>
            </w:r>
          </w:p>
        </w:tc>
        <w:tc>
          <w:tcPr>
            <w:tcW w:w="100" w:type="dxa"/>
            <w:vAlign w:val="bottom"/>
          </w:tcPr>
          <w:p>
            <w:pPr>
              <w:spacing w:after="0"/>
              <w:rPr>
                <w:sz w:val="14"/>
                <w:szCs w:val="14"/>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7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0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99.547%</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1,492,027,500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0.250%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0.400%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99.297%</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98.990%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1,487,152,500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the Notes will accrue from August 6, 2012 to date of delivery.</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underwriters expect to deliver the Notes to purchasers on or about August 6, 2012, only in book-entry form through the facilities of The Depository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80645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15" w:lineRule="exact"/>
        <w:rPr>
          <w:sz w:val="20"/>
          <w:szCs w:val="20"/>
          <w:color w:val="auto"/>
        </w:rPr>
      </w:pPr>
    </w:p>
    <w:p>
      <w:pPr>
        <w:ind w:left="920"/>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99695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Mizuho Securities</w:t>
      </w:r>
    </w:p>
    <w:p>
      <w:pPr>
        <w:spacing w:after="0" w:line="211" w:lineRule="exact"/>
        <w:rPr>
          <w:sz w:val="20"/>
          <w:szCs w:val="20"/>
          <w:color w:val="auto"/>
        </w:rPr>
      </w:pPr>
    </w:p>
    <w:p>
      <w:pPr>
        <w:sectPr>
          <w:pgSz w:w="11900" w:h="16838" w:orient="portrait"/>
          <w:cols w:equalWidth="0" w:num="4">
            <w:col w:w="2720" w:space="720"/>
            <w:col w:w="1680" w:space="540"/>
            <w:col w:w="2260" w:space="720"/>
            <w:col w:w="2780"/>
          </w:cols>
          <w:pgMar w:left="240" w:top="459"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Senior Co-Managers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Mitsubishi UFJ Securities</w:t>
      </w:r>
    </w:p>
    <w:p>
      <w:pPr>
        <w:ind w:left="2700"/>
        <w:spacing w:after="0" w:line="230" w:lineRule="auto"/>
        <w:rPr>
          <w:sz w:val="20"/>
          <w:szCs w:val="20"/>
          <w:color w:val="auto"/>
        </w:rPr>
      </w:pPr>
      <w:r>
        <w:rPr>
          <w:rFonts w:ascii="Arial" w:cs="Arial" w:eastAsia="Arial" w:hAnsi="Arial"/>
          <w:sz w:val="22"/>
          <w:szCs w:val="22"/>
          <w:b w:val="1"/>
          <w:bCs w:val="1"/>
          <w:color w:val="auto"/>
        </w:rPr>
        <w:t>BofA Merrill Lynch</w:t>
      </w:r>
    </w:p>
    <w:p>
      <w:pPr>
        <w:ind w:left="4420"/>
        <w:spacing w:after="0" w:line="231" w:lineRule="auto"/>
        <w:rPr>
          <w:sz w:val="20"/>
          <w:szCs w:val="20"/>
          <w:color w:val="auto"/>
        </w:rPr>
      </w:pPr>
      <w:r>
        <w:rPr>
          <w:rFonts w:ascii="Arial" w:cs="Arial" w:eastAsia="Arial" w:hAnsi="Arial"/>
          <w:sz w:val="22"/>
          <w:szCs w:val="22"/>
          <w:b w:val="1"/>
          <w:bCs w:val="1"/>
          <w:color w:val="auto"/>
        </w:rPr>
        <w:t>BNP PARIBAS</w:t>
      </w:r>
    </w:p>
    <w:p>
      <w:pPr>
        <w:ind w:left="6320"/>
        <w:spacing w:after="0" w:line="230" w:lineRule="auto"/>
        <w:rPr>
          <w:sz w:val="20"/>
          <w:szCs w:val="20"/>
          <w:color w:val="auto"/>
        </w:rPr>
      </w:pPr>
      <w:r>
        <w:rPr>
          <w:rFonts w:ascii="Arial" w:cs="Arial" w:eastAsia="Arial" w:hAnsi="Arial"/>
          <w:sz w:val="22"/>
          <w:szCs w:val="22"/>
          <w:b w:val="1"/>
          <w:bCs w:val="1"/>
          <w:color w:val="auto"/>
        </w:rPr>
        <w:t>SMBC Nikko</w:t>
      </w:r>
    </w:p>
    <w:p>
      <w:pPr>
        <w:ind w:left="7340"/>
        <w:spacing w:after="0" w:line="231" w:lineRule="auto"/>
        <w:rPr>
          <w:sz w:val="20"/>
          <w:szCs w:val="20"/>
          <w:color w:val="auto"/>
        </w:rPr>
      </w:pPr>
      <w:r>
        <w:rPr>
          <w:rFonts w:ascii="Arial" w:cs="Arial" w:eastAsia="Arial" w:hAnsi="Arial"/>
          <w:sz w:val="22"/>
          <w:szCs w:val="22"/>
          <w:b w:val="1"/>
          <w:bCs w:val="1"/>
          <w:color w:val="auto"/>
        </w:rPr>
        <w:t>The Williams Capital Group L.P.</w:t>
      </w:r>
    </w:p>
    <w:p>
      <w:pPr>
        <w:spacing w:after="0" w:line="1" w:lineRule="exact"/>
        <w:rPr>
          <w:sz w:val="20"/>
          <w:szCs w:val="20"/>
          <w:color w:val="auto"/>
        </w:rPr>
      </w:pPr>
    </w:p>
    <w:p>
      <w:pPr>
        <w:ind w:left="10300"/>
        <w:spacing w:after="0"/>
        <w:rPr>
          <w:sz w:val="20"/>
          <w:szCs w:val="20"/>
          <w:color w:val="auto"/>
        </w:rPr>
      </w:pPr>
      <w:r>
        <w:rPr>
          <w:rFonts w:ascii="Arial" w:cs="Arial" w:eastAsia="Arial" w:hAnsi="Arial"/>
          <w:sz w:val="19"/>
          <w:szCs w:val="19"/>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112395</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Barclays</w:t>
      </w:r>
    </w:p>
    <w:p>
      <w:pPr>
        <w:ind w:left="3300"/>
        <w:spacing w:after="0" w:line="230" w:lineRule="auto"/>
        <w:rPr>
          <w:sz w:val="20"/>
          <w:szCs w:val="20"/>
          <w:color w:val="auto"/>
        </w:rPr>
      </w:pPr>
      <w:r>
        <w:rPr>
          <w:rFonts w:ascii="Arial" w:cs="Arial" w:eastAsia="Arial" w:hAnsi="Arial"/>
          <w:sz w:val="22"/>
          <w:szCs w:val="22"/>
          <w:b w:val="1"/>
          <w:bCs w:val="1"/>
          <w:color w:val="auto"/>
        </w:rPr>
        <w:t>Goldman, Sachs &amp; Co.</w:t>
      </w:r>
    </w:p>
    <w:p>
      <w:pPr>
        <w:ind w:left="6920"/>
        <w:spacing w:after="0" w:line="231" w:lineRule="auto"/>
        <w:rPr>
          <w:sz w:val="20"/>
          <w:szCs w:val="20"/>
          <w:color w:val="auto"/>
        </w:rPr>
      </w:pPr>
      <w:r>
        <w:rPr>
          <w:rFonts w:ascii="Arial" w:cs="Arial" w:eastAsia="Arial" w:hAnsi="Arial"/>
          <w:sz w:val="22"/>
          <w:szCs w:val="22"/>
          <w:b w:val="1"/>
          <w:bCs w:val="1"/>
          <w:color w:val="auto"/>
        </w:rPr>
        <w:t>HSBC</w:t>
      </w:r>
    </w:p>
    <w:p>
      <w:pPr>
        <w:jc w:val="right"/>
        <w:spacing w:after="0"/>
        <w:rPr>
          <w:sz w:val="20"/>
          <w:szCs w:val="20"/>
          <w:color w:val="auto"/>
        </w:rPr>
      </w:pPr>
      <w:r>
        <w:rPr>
          <w:rFonts w:ascii="Arial" w:cs="Arial" w:eastAsia="Arial" w:hAnsi="Arial"/>
          <w:sz w:val="22"/>
          <w:szCs w:val="22"/>
          <w:b w:val="1"/>
          <w:bCs w:val="1"/>
          <w:color w:val="auto"/>
        </w:rPr>
        <w:t>PNC Capital Markets LLC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July 30, 2012</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320" w:lineRule="auto"/>
        <w:rPr>
          <w:sz w:val="20"/>
          <w:szCs w:val="20"/>
          <w:color w:val="auto"/>
        </w:rPr>
      </w:pPr>
      <w:r>
        <w:rPr>
          <w:rFonts w:ascii="Arial" w:cs="Arial" w:eastAsia="Arial" w:hAnsi="Arial"/>
          <w:sz w:val="15"/>
          <w:szCs w:val="15"/>
          <w:b w:val="1"/>
          <w:bCs w:val="1"/>
          <w:color w:val="auto"/>
        </w:rPr>
        <w:t>We are responsible for the information contained in or incorporated by reference in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110490</wp:posOffset>
            </wp:positionV>
            <wp:extent cx="1089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60" w:type="dxa"/>
            <w:vAlign w:val="bottom"/>
            <w:gridSpan w:val="4"/>
          </w:tcPr>
          <w:p>
            <w:pPr>
              <w:jc w:val="center"/>
              <w:ind w:right="4054"/>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232"/>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4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gridSpan w:val="3"/>
            <w:vMerge w:val="restart"/>
          </w:tcPr>
          <w:p>
            <w:pPr>
              <w:jc w:val="center"/>
              <w:ind w:right="3660"/>
              <w:spacing w:after="0"/>
              <w:rPr>
                <w:sz w:val="20"/>
                <w:szCs w:val="20"/>
                <w:color w:val="auto"/>
              </w:rPr>
            </w:pPr>
            <w:r>
              <w:rPr>
                <w:rFonts w:ascii="Arial" w:cs="Arial" w:eastAsia="Arial" w:hAnsi="Arial"/>
                <w:sz w:val="18"/>
                <w:szCs w:val="18"/>
                <w:b w:val="1"/>
                <w:bCs w:val="1"/>
                <w:color w:val="auto"/>
                <w:w w:val="85"/>
              </w:rPr>
              <w:t>Prospectus Supplement</w:t>
            </w:r>
          </w:p>
        </w:tc>
        <w:tc>
          <w:tcPr>
            <w:tcW w:w="4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500" w:type="dxa"/>
            <w:vAlign w:val="bottom"/>
            <w:gridSpan w:val="19"/>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Cautionary Note on Forward-Looking Statements</w:t>
              </w:r>
            </w:hyperlink>
          </w:p>
        </w:tc>
        <w:tc>
          <w:tcPr>
            <w:tcW w:w="660" w:type="dxa"/>
            <w:vAlign w:val="bottom"/>
            <w:gridSpan w:val="2"/>
            <w:vMerge w:val="restart"/>
          </w:tcPr>
          <w:p>
            <w:pPr>
              <w:spacing w:after="0"/>
              <w:rPr>
                <w:sz w:val="18"/>
                <w:szCs w:val="18"/>
                <w:color w:val="auto"/>
              </w:rPr>
            </w:pPr>
          </w:p>
        </w:tc>
        <w:tc>
          <w:tcPr>
            <w:tcW w:w="6780" w:type="dxa"/>
            <w:vAlign w:val="bottom"/>
            <w:gridSpan w:val="3"/>
            <w:vMerge w:val="continue"/>
          </w:tcPr>
          <w:p>
            <w:pPr>
              <w:spacing w:after="0"/>
              <w:rPr>
                <w:sz w:val="18"/>
                <w:szCs w:val="18"/>
                <w:color w:val="auto"/>
              </w:rPr>
            </w:pPr>
          </w:p>
        </w:tc>
        <w:tc>
          <w:tcPr>
            <w:tcW w:w="480" w:type="dxa"/>
            <w:vAlign w:val="bottom"/>
            <w:vMerge w:val="restart"/>
          </w:tcPr>
          <w:p>
            <w:pPr>
              <w:jc w:val="right"/>
              <w:ind w:right="14"/>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399"/>
        </w:trPr>
        <w:tc>
          <w:tcPr>
            <w:tcW w:w="3500" w:type="dxa"/>
            <w:vAlign w:val="bottom"/>
            <w:tcBorders>
              <w:bottom w:val="single" w:sz="8" w:color="0000EE"/>
            </w:tcBorders>
            <w:gridSpan w:val="19"/>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About This Prospectus Supplement</w:t>
              </w:r>
            </w:hyperlink>
          </w:p>
        </w:tc>
        <w:tc>
          <w:tcPr>
            <w:tcW w:w="166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Summary</w:t>
              </w:r>
            </w:hyperlink>
          </w:p>
        </w:tc>
        <w:tc>
          <w:tcPr>
            <w:tcW w:w="346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326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3020" w:type="dxa"/>
            <w:vAlign w:val="bottom"/>
            <w:gridSpan w:val="15"/>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Ratios of Earnings to Fixed Charges</w:t>
              </w:r>
            </w:hyperlink>
          </w:p>
        </w:tc>
        <w:tc>
          <w:tcPr>
            <w:tcW w:w="160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the Notes</w:t>
              </w:r>
            </w:hyperlink>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Material U.S. Federal Income Tax Consequences</w:t>
              </w:r>
            </w:hyperlink>
          </w:p>
        </w:tc>
        <w:tc>
          <w:tcPr>
            <w:tcW w:w="70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Underwriting</w:t>
              </w:r>
            </w:hyperlink>
          </w:p>
        </w:tc>
        <w:tc>
          <w:tcPr>
            <w:tcW w:w="320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Validity of Securities</w:t>
              </w:r>
            </w:hyperlink>
          </w:p>
        </w:tc>
        <w:tc>
          <w:tcPr>
            <w:tcW w:w="266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S-29</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Experts</w:t>
              </w:r>
            </w:hyperlink>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Where You Can Find More Information</w:t>
              </w:r>
            </w:hyperlink>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S-29</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60" w:type="dxa"/>
            <w:vAlign w:val="bottom"/>
            <w:gridSpan w:val="3"/>
          </w:tcPr>
          <w:p>
            <w:pPr>
              <w:jc w:val="center"/>
              <w:ind w:right="4774"/>
              <w:spacing w:after="0"/>
              <w:rPr>
                <w:sz w:val="20"/>
                <w:szCs w:val="20"/>
                <w:color w:val="auto"/>
              </w:rPr>
            </w:pPr>
            <w:r>
              <w:rPr>
                <w:rFonts w:ascii="Arial" w:cs="Arial" w:eastAsia="Arial" w:hAnsi="Arial"/>
                <w:sz w:val="18"/>
                <w:szCs w:val="18"/>
                <w:b w:val="1"/>
                <w:bCs w:val="1"/>
                <w:color w:val="auto"/>
                <w:w w:val="83"/>
              </w:rPr>
              <w:t>Prospectus</w:t>
            </w:r>
          </w:p>
        </w:tc>
        <w:tc>
          <w:tcPr>
            <w:tcW w:w="0" w:type="dxa"/>
            <w:vAlign w:val="bottom"/>
          </w:tcPr>
          <w:p>
            <w:pPr>
              <w:spacing w:after="0"/>
              <w:rPr>
                <w:sz w:val="1"/>
                <w:szCs w:val="1"/>
                <w:color w:val="auto"/>
              </w:rPr>
            </w:pPr>
          </w:p>
        </w:tc>
      </w:tr>
      <w:tr>
        <w:trPr>
          <w:trHeight w:val="326"/>
        </w:trPr>
        <w:tc>
          <w:tcPr>
            <w:tcW w:w="416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The Company</w:t>
              </w:r>
            </w:hyperlink>
          </w:p>
        </w:tc>
        <w:tc>
          <w:tcPr>
            <w:tcW w:w="7260" w:type="dxa"/>
            <w:vAlign w:val="bottom"/>
            <w:gridSpan w:val="4"/>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About this Prospectus</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Ratios of Earnings to Fixed Charges</w:t>
              </w:r>
            </w:hyperlink>
          </w:p>
        </w:tc>
        <w:tc>
          <w:tcPr>
            <w:tcW w:w="1600" w:type="dxa"/>
            <w:vAlign w:val="bottom"/>
            <w:gridSpan w:val="5"/>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Description of Capital Stock</w:t>
              </w:r>
            </w:hyperlink>
          </w:p>
        </w:tc>
        <w:tc>
          <w:tcPr>
            <w:tcW w:w="2140" w:type="dxa"/>
            <w:vAlign w:val="bottom"/>
            <w:gridSpan w:val="8"/>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Description of Debt Securities</w:t>
              </w:r>
            </w:hyperlink>
          </w:p>
        </w:tc>
        <w:tc>
          <w:tcPr>
            <w:tcW w:w="2020" w:type="dxa"/>
            <w:vAlign w:val="bottom"/>
            <w:gridSpan w:val="7"/>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Warrants</w:t>
              </w:r>
            </w:hyperlink>
          </w:p>
        </w:tc>
        <w:tc>
          <w:tcPr>
            <w:tcW w:w="2440" w:type="dxa"/>
            <w:vAlign w:val="bottom"/>
            <w:gridSpan w:val="9"/>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Units</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Forms of Securities</w:t>
              </w:r>
            </w:hyperlink>
          </w:p>
        </w:tc>
        <w:tc>
          <w:tcPr>
            <w:tcW w:w="2720" w:type="dxa"/>
            <w:vAlign w:val="bottom"/>
            <w:gridSpan w:val="12"/>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13"/>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760" w:type="dxa"/>
            <w:vAlign w:val="bottom"/>
            <w:gridSpan w:val="13"/>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Validity of Securities</w:t>
              </w:r>
            </w:hyperlink>
          </w:p>
        </w:tc>
        <w:tc>
          <w:tcPr>
            <w:tcW w:w="2660" w:type="dxa"/>
            <w:vAlign w:val="bottom"/>
            <w:gridSpan w:val="11"/>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 this prospectus supplement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37"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Market demand for semiconductors, particularly in key markets such as communications, computing, industrial, and consumer electronics;</w:t>
      </w:r>
    </w:p>
    <w:p>
      <w:pPr>
        <w:spacing w:after="0" w:line="126" w:lineRule="exact"/>
        <w:rPr>
          <w:rFonts w:ascii="Arial" w:cs="Arial" w:eastAsia="Arial" w:hAnsi="Arial"/>
          <w:sz w:val="16"/>
          <w:szCs w:val="16"/>
          <w:color w:val="auto"/>
        </w:rPr>
      </w:pPr>
    </w:p>
    <w:p>
      <w:pPr>
        <w:ind w:left="440" w:right="4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03" w:lineRule="exact"/>
        <w:rPr>
          <w:rFonts w:ascii="Arial" w:cs="Arial" w:eastAsia="Arial" w:hAnsi="Arial"/>
          <w:sz w:val="18"/>
          <w:szCs w:val="18"/>
          <w:color w:val="auto"/>
        </w:rPr>
      </w:pPr>
    </w:p>
    <w:p>
      <w:pPr>
        <w:ind w:left="440" w:right="220" w:hanging="324"/>
        <w:spacing w:after="0" w:line="325"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26" w:lineRule="exact"/>
        <w:rPr>
          <w:rFonts w:ascii="Arial" w:cs="Arial" w:eastAsia="Arial" w:hAnsi="Arial"/>
          <w:sz w:val="16"/>
          <w:szCs w:val="16"/>
          <w:color w:val="auto"/>
        </w:rPr>
      </w:pPr>
    </w:p>
    <w:p>
      <w:pPr>
        <w:ind w:left="440" w:right="26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440" w:right="320" w:hanging="324"/>
        <w:spacing w:after="0" w:line="325"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03"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37"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03"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the operations, product lines and technologies of National Semiconductor Corporation, and to realize opportunities for growth and cost savings from the acquisition; and</w:t>
      </w:r>
    </w:p>
    <w:p>
      <w:pPr>
        <w:spacing w:after="0" w:line="37"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85"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We undertake no obligation to publicly update or revise any forward-looking statements, whether as a result of new information, future events or risks, except to the extent required by applicable securities laws. If we do update one or more forward-looking statements, no inference should be drawn that we will make additional updates with respect to those or other forward-looking statements. New information, future events or risks could cause the forward-looking events we discuss in this prospectus supplement, the accompanying prospectus or the documents incorporated herein by reference not to occur. Additional information concerning these and other risks and uncertainties is contained in our other periodic filings with the Securities and Exchange Commission.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2010. The accompanying prospectus contains a description of our debt securities and gives more general information, some of which may not apply to this offering.</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1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The following summary highlights information contained in or incorporated by reference in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TI, 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four segments: Analog, Embedded Processing, Wireless and Other. We expect Analog and Embedded Processing to be our primary growth engines in the years ahead, and we therefore focus our resources on these segments.</w:t>
      </w:r>
    </w:p>
    <w:p>
      <w:pPr>
        <w:spacing w:after="0" w:line="13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were the world’s fourth largest semiconductor company in 2011 as measured by revenue. We own and operate semiconductor manufacturing facilities in North America, Asia and Europe. Over the last few years we have expanded our sales networks in the emerging markets of China, India and Eastern Europe. Additionally, we sell calculators and related products.</w:t>
      </w:r>
    </w:p>
    <w:p>
      <w:pPr>
        <w:spacing w:after="0" w:line="127"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On September 23, 2011, we completed the acquisition of National Semiconductor Corporation. The acquisition has brought to TI a portfolio of thousands of analog products, strong customer design tools and additional manufacturing capacity, and is consistent with our strategy to grow our Analog business.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On July 23, 2012, we announced our results of operations as of and for the three months ended June 30, 2012. A summary of our results is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2Q12 financial summary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are in millions of dollars, except per-share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2Q12</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2Q11</w:t>
            </w:r>
          </w:p>
        </w:tc>
        <w:tc>
          <w:tcPr>
            <w:tcW w:w="4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1Q12</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304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CEEFF"/>
          </w:tcPr>
          <w:p>
            <w:pPr>
              <w:spacing w:after="0"/>
              <w:rPr>
                <w:sz w:val="18"/>
                <w:szCs w:val="18"/>
                <w:color w:val="auto"/>
              </w:rPr>
            </w:pPr>
          </w:p>
        </w:tc>
        <w:tc>
          <w:tcPr>
            <w:tcW w:w="3040" w:type="dxa"/>
            <w:vAlign w:val="bottom"/>
            <w:vMerge w:val="continue"/>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3,335</w:t>
            </w: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3,458</w:t>
            </w:r>
          </w:p>
        </w:tc>
        <w:tc>
          <w:tcPr>
            <w:tcW w:w="48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3,121</w:t>
            </w:r>
          </w:p>
        </w:tc>
        <w:tc>
          <w:tcPr>
            <w:tcW w:w="5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Operating profit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598</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905</w:t>
            </w:r>
          </w:p>
        </w:tc>
        <w:tc>
          <w:tcPr>
            <w:tcW w:w="4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397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Earnings per share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3"/>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2Q12 segment results</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2Q12</w:t>
            </w:r>
          </w:p>
        </w:tc>
        <w:tc>
          <w:tcPr>
            <w:tcW w:w="80" w:type="dxa"/>
            <w:vAlign w:val="bottom"/>
          </w:tcPr>
          <w:p>
            <w:pPr>
              <w:spacing w:after="0"/>
              <w:rPr>
                <w:sz w:val="24"/>
                <w:szCs w:val="2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2Q11</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1Q12</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3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Revenue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1,800</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1,588</w:t>
            </w:r>
          </w:p>
        </w:tc>
        <w:tc>
          <w:tcPr>
            <w:tcW w:w="4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1,686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Embedded Processing:</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37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56"/>
        </w:trPr>
        <w:tc>
          <w:tcPr>
            <w:tcW w:w="3740" w:type="dxa"/>
            <w:vAlign w:val="bottom"/>
          </w:tcPr>
          <w:p>
            <w:pPr>
              <w:spacing w:after="0"/>
              <w:rPr>
                <w:sz w:val="24"/>
                <w:szCs w:val="24"/>
                <w:color w:val="auto"/>
              </w:rPr>
            </w:pPr>
          </w:p>
        </w:tc>
        <w:tc>
          <w:tcPr>
            <w:tcW w:w="3160" w:type="dxa"/>
            <w:vAlign w:val="bottom"/>
            <w:gridSpan w:val="2"/>
          </w:tcPr>
          <w:p>
            <w:pPr>
              <w:jc w:val="right"/>
              <w:ind w:right="982"/>
              <w:spacing w:after="0"/>
              <w:rPr>
                <w:sz w:val="20"/>
                <w:szCs w:val="20"/>
                <w:color w:val="auto"/>
              </w:rPr>
            </w:pPr>
            <w:r>
              <w:rPr>
                <w:rFonts w:ascii="Arial" w:cs="Arial" w:eastAsia="Arial" w:hAnsi="Arial"/>
                <w:sz w:val="18"/>
                <w:szCs w:val="18"/>
                <w:color w:val="auto"/>
              </w:rPr>
              <w:t>S-1</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2Q12</w:t>
            </w:r>
          </w:p>
        </w:tc>
        <w:tc>
          <w:tcPr>
            <w:tcW w:w="2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2Q11</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8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3"/>
              </w:rPr>
              <w:t>1Q12</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Wireless:</w:t>
            </w:r>
          </w:p>
        </w:tc>
        <w:tc>
          <w:tcPr>
            <w:tcW w:w="28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Revenue</w:t>
            </w:r>
          </w:p>
        </w:tc>
        <w:tc>
          <w:tcPr>
            <w:tcW w:w="3180" w:type="dxa"/>
            <w:vAlign w:val="bottom"/>
            <w:gridSpan w:val="2"/>
          </w:tcPr>
          <w:p>
            <w:pPr>
              <w:ind w:left="2820"/>
              <w:spacing w:after="0"/>
              <w:rPr>
                <w:sz w:val="20"/>
                <w:szCs w:val="20"/>
                <w:color w:val="auto"/>
              </w:rPr>
            </w:pPr>
            <w:r>
              <w:rPr>
                <w:rFonts w:ascii="Arial" w:cs="Arial" w:eastAsia="Arial" w:hAnsi="Arial"/>
                <w:sz w:val="18"/>
                <w:szCs w:val="18"/>
                <w:color w:val="auto"/>
                <w:w w:val="84"/>
              </w:rPr>
              <w:t>$342</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558</w:t>
            </w:r>
          </w:p>
        </w:tc>
        <w:tc>
          <w:tcPr>
            <w:tcW w:w="5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w w:val="79"/>
              </w:rPr>
              <w:t>373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3440" w:type="dxa"/>
            <w:vAlign w:val="bottom"/>
            <w:gridSpan w:val="3"/>
            <w:shd w:val="clear" w:color="auto" w:fill="CCEEFF"/>
          </w:tcPr>
          <w:p>
            <w:pPr>
              <w:ind w:left="2820"/>
              <w:spacing w:after="0"/>
              <w:rPr>
                <w:sz w:val="20"/>
                <w:szCs w:val="20"/>
                <w:color w:val="auto"/>
              </w:rPr>
            </w:pPr>
            <w:r>
              <w:rPr>
                <w:rFonts w:ascii="Arial" w:cs="Arial" w:eastAsia="Arial" w:hAnsi="Arial"/>
                <w:sz w:val="18"/>
                <w:szCs w:val="18"/>
                <w:color w:val="auto"/>
              </w:rPr>
              <w:t>$ (51)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(25)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318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84"/>
              </w:rPr>
              <w:t>$684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716</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79"/>
              </w:rPr>
              <w:t>589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22"/>
        </w:trPr>
        <w:tc>
          <w:tcPr>
            <w:tcW w:w="438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3180" w:type="dxa"/>
            <w:vAlign w:val="bottom"/>
            <w:gridSpan w:val="2"/>
          </w:tcPr>
          <w:p>
            <w:pPr>
              <w:ind w:left="2820"/>
              <w:spacing w:after="0"/>
              <w:rPr>
                <w:sz w:val="20"/>
                <w:szCs w:val="20"/>
                <w:color w:val="auto"/>
              </w:rPr>
            </w:pPr>
            <w:r>
              <w:rPr>
                <w:rFonts w:ascii="Arial" w:cs="Arial" w:eastAsia="Arial" w:hAnsi="Arial"/>
                <w:sz w:val="18"/>
                <w:szCs w:val="18"/>
                <w:color w:val="auto"/>
                <w:w w:val="84"/>
              </w:rPr>
              <w:t>$161</w:t>
            </w:r>
          </w:p>
        </w:tc>
        <w:tc>
          <w:tcPr>
            <w:tcW w:w="2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236</w:t>
            </w:r>
          </w:p>
        </w:tc>
        <w:tc>
          <w:tcPr>
            <w:tcW w:w="5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2Q12 additional financial information</w:t>
      </w:r>
    </w:p>
    <w:p>
      <w:pPr>
        <w:spacing w:after="0" w:line="77"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Orders were $3.41 billion, down 5 percent from the year-ago quarter and up 5 percent from the prior quarter.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was $1.88 billion at the end of the quarter, up $123 million from a year ago and $32 million from the prior quarter.</w:t>
      </w:r>
    </w:p>
    <w:p>
      <w:pPr>
        <w:spacing w:after="0" w:line="103"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were $146 million in the quarter compared with $276 million a year ago and $103 million in the prior quarter. Capital expenditures in the quarter were primarily for assembly/test manufacturing equipment.</w:t>
      </w:r>
    </w:p>
    <w:p>
      <w:pPr>
        <w:spacing w:after="0" w:line="37"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repaid $200 million of our commercial paper borrowings in the quarter and $375 million of maturing debt assumed in the acquisition of National Semiconductor.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used $300 million in the quarter to repurchase 9.6 million shares of our common stock and paid dividends of $195 million.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expect earnings per share will be negatively impacted by about 7 cents from acquisition and restructuring charges in the third quarter of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188595</wp:posOffset>
            </wp:positionV>
            <wp:extent cx="10890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75266-0199, and our telephone number is (972) 995-3773. We maintain a website at www.ti.com where general information about us is available. We are not incorporating the contents of the website into this prospectus supplement or the accompanying prospectus.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incorporated by reference in this prospectus supplement. For instructions on how to find copies of these and our other filings incorporated by reference in this prospectus supplement, see “Where You Can Find More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Texas Instruments Incorporated</w:t>
      </w:r>
    </w:p>
    <w:p>
      <w:pPr>
        <w:spacing w:after="0" w:line="20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$750,000,000 aggregate principal amount of 0.450% Notes due 2015</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$750,000,000 aggregate principal amount of 1.650% Notes due 2019</w:t>
      </w:r>
    </w:p>
    <w:p>
      <w:pPr>
        <w:spacing w:after="0" w:line="192"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Maturity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3, 2015 for the 2015 Notes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August 3, 2019 for the 2019 Notes</w:t>
      </w:r>
    </w:p>
    <w:p>
      <w:pPr>
        <w:spacing w:after="0" w:line="181"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Original 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6, 2012</w:t>
      </w:r>
    </w:p>
    <w:p>
      <w:pPr>
        <w:spacing w:after="0" w:line="194"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Fixed rate of 0.450% for the 2015 Notes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Fixed rate of 1.650% for the 2019 Notes</w:t>
      </w:r>
    </w:p>
    <w:p>
      <w:pPr>
        <w:spacing w:after="0" w:line="181"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Each February 3 and August 3 beginning on February 3, 2013, and on the maturity date for each series of Notes.</w:t>
      </w:r>
    </w:p>
    <w:p>
      <w:pPr>
        <w:spacing w:after="0" w:line="118"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8"/>
          <w:szCs w:val="18"/>
          <w:color w:val="auto"/>
        </w:rPr>
        <w:t>The Notes will be the senior unsecured obligations of Texas Instruments Incorporated and will rank equally with all of its existing and future senior indebtedness from time to time outstanding. All existing and future liabilities of subsidiaries of Texas Instruments Incorporated will be effectively senior to the Notes.</w:t>
      </w:r>
    </w:p>
    <w:p>
      <w:pPr>
        <w:spacing w:after="0" w:line="13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right="160"/>
        <w:spacing w:after="0" w:line="294" w:lineRule="auto"/>
        <w:rPr>
          <w:sz w:val="20"/>
          <w:szCs w:val="20"/>
          <w:color w:val="auto"/>
        </w:rPr>
      </w:pPr>
      <w:r>
        <w:rPr>
          <w:rFonts w:ascii="Arial" w:cs="Arial" w:eastAsia="Arial" w:hAnsi="Arial"/>
          <w:sz w:val="16"/>
          <w:szCs w:val="16"/>
          <w:color w:val="auto"/>
        </w:rPr>
        <w:t>As of March 31, 2012, Texas Instruments Incorporated had approximately $5.3 billion of outstanding indebtedness. As of March 31, 2012, we had approximately $8.9 billion of total liabilities on a consolidated basis. Of this amount, subsidiaries of Texas Instruments Incorporated had approximately $3.1 billion of liabilities (including trade payables and excluding intercompany debt) to which the Notes will be effectively subordinated.</w:t>
      </w:r>
    </w:p>
    <w:p>
      <w:pPr>
        <w:sectPr>
          <w:pgSz w:w="11900" w:h="16838" w:orient="portrait"/>
          <w:cols w:equalWidth="0" w:num="1">
            <w:col w:w="11420"/>
          </w:cols>
          <w:pgMar w:left="240" w:top="459" w:right="2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Notes will be issued in the form of one or more 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or DTC. Except in the limited circumstances described under “Description of the Notes — Book-Entry; Delivery and Form; Global Note,” Notes in certificated form will not be issued or exchanged for interests in global securities.</w:t>
      </w:r>
    </w:p>
    <w:p>
      <w:pPr>
        <w:spacing w:after="0" w:line="107"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internal laws of the State of New York</w:t>
      </w:r>
    </w:p>
    <w:p>
      <w:pPr>
        <w:spacing w:after="0" w:line="194"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The net proceeds of this offering will be used for general corporate purposes, which, among other things, could include repurchases of</w:t>
      </w:r>
    </w:p>
    <w:p>
      <w:pPr>
        <w:spacing w:after="0" w:line="118"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340" w:right="60"/>
        <w:spacing w:after="0" w:line="259" w:lineRule="auto"/>
        <w:rPr>
          <w:sz w:val="20"/>
          <w:szCs w:val="20"/>
          <w:color w:val="auto"/>
        </w:rPr>
      </w:pPr>
      <w:r>
        <w:rPr>
          <w:rFonts w:ascii="Arial" w:cs="Arial" w:eastAsia="Arial" w:hAnsi="Arial"/>
          <w:sz w:val="18"/>
          <w:szCs w:val="18"/>
          <w:color w:val="auto"/>
        </w:rPr>
        <w:t>common stock. See “Use of Proceeds.” In connection with the issuance of the Notes, we may enter into interest rate swap agreements with financial institutions, which may include one or more of the underwriters or their affiliates.</w:t>
      </w:r>
    </w:p>
    <w:p>
      <w:pPr>
        <w:sectPr>
          <w:pgSz w:w="11900" w:h="16838" w:orient="portrait"/>
          <w:cols w:equalWidth="0" w:num="1">
            <w:col w:w="11400"/>
          </w:cols>
          <w:pgMar w:left="240" w:top="459" w:right="25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Texas Instruments Incorporated may create and issue further notes of a series ranking equally and ratably with the applicable series of Notes offered by this prospectus supplement in all respects, so that such further notes of each series will be consolidated and form a single series with the applicable series of Notes offered by this prospectus supplement.</w:t>
      </w:r>
    </w:p>
    <w:p>
      <w:pPr>
        <w:spacing w:after="0" w:line="99"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05"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380"/>
        <w:spacing w:after="0" w:line="259" w:lineRule="auto"/>
        <w:rPr>
          <w:sz w:val="20"/>
          <w:szCs w:val="20"/>
          <w:color w:val="auto"/>
        </w:rPr>
      </w:pPr>
      <w:r>
        <w:rPr>
          <w:rFonts w:ascii="Arial" w:cs="Arial" w:eastAsia="Arial" w:hAnsi="Arial"/>
          <w:sz w:val="18"/>
          <w:szCs w:val="18"/>
          <w:color w:val="auto"/>
        </w:rPr>
        <w:t>Texas Instruments Incorporated may redeem some or all of the Notes at any time at the “make-whole premium” redemption prices indicated under the heading “Description of the Notes — Optional Redemption.”</w:t>
      </w:r>
    </w:p>
    <w:p>
      <w:pPr>
        <w:spacing w:after="0" w:line="127"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The Notes are new issues of securities with no established trading market. We do not intend to apply for listing of the Notes on any securities exchange. The underwriters have advised us that they intend to make a market in each series of the Notes, but they are not obligated to do so and may discontinue market-making at any time without notice. See “Underwriting” in this prospectus supplement for more information about possible market-making by the underwriters.</w:t>
      </w:r>
    </w:p>
    <w:p>
      <w:pPr>
        <w:spacing w:after="0" w:line="102"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194"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98" w:lineRule="auto"/>
        <w:rPr>
          <w:sz w:val="20"/>
          <w:szCs w:val="20"/>
          <w:color w:val="auto"/>
        </w:rPr>
      </w:pPr>
      <w:r>
        <w:rPr>
          <w:rFonts w:ascii="Arial" w:cs="Arial" w:eastAsia="Arial" w:hAnsi="Arial"/>
          <w:sz w:val="16"/>
          <w:szCs w:val="16"/>
          <w:color w:val="auto"/>
        </w:rPr>
        <w:t>You should carefully consider all of the information in this prospectus supplement and the accompanying prospectus and the documents incorporated herein by reference. In particular, you should evaluate the information set forth under “Cautionary Note on Forward-Looking Statements” and “Risk Factors” before deciding whether to invest in the Notes.</w:t>
      </w:r>
    </w:p>
    <w:p>
      <w:pPr>
        <w:spacing w:after="0" w:line="99"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16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following table sets forth our summary historical financial information. The summary historical financial information for the years ended December 31, 2011, 2010 and 2009 and as of December 31, 2011 and 2010 has been derived from our audited consolidated financial statements included or incorporated by reference in this prospectus supplement and the accompanying prospectus. The summary historical financial information as of and for the three months ended March 31, 2012 and for the three months ended March 31, 2011 has been derived from our unaudited consolidated financial statements incorporated by reference in this prospectus supplement and the accompanying prospectus.</w:t>
      </w:r>
    </w:p>
    <w:p>
      <w:pPr>
        <w:spacing w:after="0" w:line="10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“Management’s Discussion and Analysis of Financial Condition and Results of Operations,” our consolidated financial statements and the related notes, all included elsewhere or incorporated by reference in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2" w:lineRule="exact"/>
              <w:rPr>
                <w:sz w:val="20"/>
                <w:szCs w:val="20"/>
                <w:color w:val="auto"/>
              </w:rPr>
            </w:pPr>
            <w:r>
              <w:rPr>
                <w:rFonts w:ascii="Arial" w:cs="Arial" w:eastAsia="Arial" w:hAnsi="Arial"/>
                <w:sz w:val="14"/>
                <w:szCs w:val="14"/>
                <w:color w:val="auto"/>
                <w:w w:val="87"/>
              </w:rPr>
              <w:t>(unaudited)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4"/>
              <w:spacing w:after="0" w:line="142" w:lineRule="exact"/>
              <w:rPr>
                <w:sz w:val="20"/>
                <w:szCs w:val="20"/>
                <w:color w:val="auto"/>
              </w:rPr>
            </w:pPr>
            <w:r>
              <w:rPr>
                <w:rFonts w:ascii="Arial" w:cs="Arial" w:eastAsia="Arial" w:hAnsi="Arial"/>
                <w:sz w:val="14"/>
                <w:szCs w:val="14"/>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Restructuring charges</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Operating profit</w:t>
            </w:r>
          </w:p>
        </w:tc>
        <w:tc>
          <w:tcPr>
            <w:tcW w:w="4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4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Basic</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380" w:type="dxa"/>
            <w:vAlign w:val="bottom"/>
            <w:gridSpan w:val="2"/>
          </w:tcPr>
          <w:p>
            <w:pPr>
              <w:jc w:val="right"/>
              <w:ind w:right="2980"/>
              <w:spacing w:after="0"/>
              <w:rPr>
                <w:sz w:val="20"/>
                <w:szCs w:val="20"/>
                <w:color w:val="auto"/>
              </w:rPr>
            </w:pPr>
            <w:r>
              <w:rPr>
                <w:rFonts w:ascii="Arial" w:cs="Arial" w:eastAsia="Arial" w:hAnsi="Arial"/>
                <w:sz w:val="18"/>
                <w:szCs w:val="18"/>
                <w:color w:val="auto"/>
              </w:rPr>
              <w:t>S-5</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$13,735</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$13,966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10,427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revenue</w:t>
            </w:r>
          </w:p>
        </w:tc>
        <w:tc>
          <w:tcPr>
            <w:tcW w:w="4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Restructuring charges</w:t>
            </w: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charges/divestiture (gain)</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6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26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4260" w:type="dxa"/>
            <w:vAlign w:val="bottom"/>
            <w:gridSpan w:val="3"/>
          </w:tcPr>
          <w:p>
            <w:pPr>
              <w:ind w:left="41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Basic</w:t>
            </w: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120" w:type="dxa"/>
            <w:vAlign w:val="bottom"/>
          </w:tcPr>
          <w:p>
            <w:pPr>
              <w:spacing w:after="0"/>
              <w:rPr>
                <w:sz w:val="24"/>
                <w:szCs w:val="24"/>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7"/>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40" w:type="dxa"/>
            <w:vAlign w:val="bottom"/>
            <w:gridSpan w:val="4"/>
          </w:tcPr>
          <w:p>
            <w:pPr>
              <w:spacing w:after="0" w:line="142" w:lineRule="exact"/>
              <w:rPr>
                <w:sz w:val="20"/>
                <w:szCs w:val="20"/>
                <w:color w:val="auto"/>
              </w:rPr>
            </w:pPr>
            <w:r>
              <w:rPr>
                <w:rFonts w:ascii="Arial" w:cs="Arial" w:eastAsia="Arial" w:hAnsi="Arial"/>
                <w:sz w:val="14"/>
                <w:szCs w:val="14"/>
                <w:color w:val="auto"/>
                <w:w w:val="87"/>
              </w:rPr>
              <w:t>(unaudited)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4260" w:type="dxa"/>
            <w:vAlign w:val="bottom"/>
            <w:gridSpan w:val="3"/>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2,765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2,935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4260" w:type="dxa"/>
            <w:vAlign w:val="bottom"/>
            <w:gridSpan w:val="3"/>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Inventories</w:t>
            </w:r>
          </w:p>
        </w:tc>
        <w:tc>
          <w:tcPr>
            <w:tcW w:w="4260" w:type="dxa"/>
            <w:vAlign w:val="bottom"/>
            <w:gridSpan w:val="3"/>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1,853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1,788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260" w:type="dxa"/>
            <w:vAlign w:val="bottom"/>
            <w:gridSpan w:val="3"/>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260" w:type="dxa"/>
            <w:vAlign w:val="bottom"/>
            <w:gridSpan w:val="3"/>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4,278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4,428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60" w:type="dxa"/>
            <w:vAlign w:val="bottom"/>
            <w:gridSpan w:val="3"/>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4260" w:type="dxa"/>
            <w:vAlign w:val="bottom"/>
            <w:gridSpan w:val="3"/>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2,815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$ 20,009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20,497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260" w:type="dxa"/>
            <w:vAlign w:val="bottom"/>
            <w:gridSpan w:val="3"/>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Long-term debt</w:t>
            </w:r>
          </w:p>
        </w:tc>
        <w:tc>
          <w:tcPr>
            <w:tcW w:w="4260" w:type="dxa"/>
            <w:vAlign w:val="bottom"/>
            <w:gridSpan w:val="3"/>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4,207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4,211</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60" w:type="dxa"/>
            <w:vAlign w:val="bottom"/>
            <w:gridSpan w:val="3"/>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760" w:type="dxa"/>
            <w:vAlign w:val="bottom"/>
            <w:gridSpan w:val="5"/>
          </w:tcPr>
          <w:p>
            <w:pPr>
              <w:jc w:val="right"/>
              <w:ind w:right="20"/>
              <w:spacing w:after="0"/>
              <w:rPr>
                <w:sz w:val="20"/>
                <w:szCs w:val="20"/>
                <w:color w:val="auto"/>
              </w:rPr>
            </w:pPr>
            <w:r>
              <w:rPr>
                <w:rFonts w:ascii="Arial" w:cs="Arial" w:eastAsia="Arial" w:hAnsi="Arial"/>
                <w:sz w:val="18"/>
                <w:szCs w:val="18"/>
                <w:color w:val="auto"/>
              </w:rPr>
              <w:t>$ 11,071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10,952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$ 20,009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20,497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60" w:type="dxa"/>
            <w:vAlign w:val="bottom"/>
            <w:gridSpan w:val="3"/>
          </w:tcPr>
          <w:p>
            <w:pPr>
              <w:ind w:left="1020"/>
              <w:spacing w:after="0"/>
              <w:rPr>
                <w:sz w:val="20"/>
                <w:szCs w:val="20"/>
                <w:color w:val="auto"/>
              </w:rPr>
            </w:pPr>
            <w:r>
              <w:rPr>
                <w:rFonts w:ascii="Arial" w:cs="Arial" w:eastAsia="Arial" w:hAnsi="Arial"/>
                <w:sz w:val="18"/>
                <w:szCs w:val="18"/>
                <w:color w:val="auto"/>
              </w:rPr>
              <w:t>S-6</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 this prospectus supplement and the accompanying prospectus. In addition, you should carefully consider the risk factors described below, which are not exhaustive.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hereby incorporate by reference risk factors in Item 1A of our Quarterly Report on Form 10-Q for the three months ended March 31,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0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4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2012, we had approximately $8.9 billion of total liabilities on a consolidated basis. Of this amount, subsidiaries of Texas Instruments Incorporated had approximately $3.1 billion of liabilities (including trade payables and excluding intercompany debt) to which the Notes will be effectively subordinated.</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05"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March 31, 2012, Texas Instruments Incorporated would have had approximately $5.7 billion of total long-term indebtedness (including the Notes), all of which would have been unsecured and unsubordinated.</w:t>
      </w:r>
    </w:p>
    <w:p>
      <w:pPr>
        <w:spacing w:after="0" w:line="12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4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26"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37"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depending on the levels of its outstanding debt, its ability to obtain additional financing for working capital, capital expenditures, general corporate and other purposes may be limited.</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49"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anticipate that we will receive net proceeds of approximately $1.482 billion from this offering after underwriters discounts and other estimated expenses. The net proceeds of this offering will be used for general corporate purposes, which, among other things, could include repurchases of common stock. Initially we intend to invest the proceeds in certificates of deposit, United States government securities and certain other interest-bearing securities.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8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March 31, 2012. Our consolidated capitalization, as adjusted, gives effect to the issuance of the Notes offered by this prospectus supplement and the application of the estimated net proceeds as described in “Use of Proceeds” as if the offering had occurred on March 31, 2012. This table should be read in conjunction with our consolidated financial statements and the related notes incorporated by reference in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 share amounts)</w:t>
            </w:r>
          </w:p>
        </w:tc>
        <w:tc>
          <w:tcPr>
            <w:tcW w:w="100" w:type="dxa"/>
            <w:vAlign w:val="bottom"/>
          </w:tcPr>
          <w:p>
            <w:pPr>
              <w:spacing w:after="0"/>
              <w:rPr>
                <w:sz w:val="14"/>
                <w:szCs w:val="14"/>
                <w:color w:val="auto"/>
              </w:rPr>
            </w:pPr>
          </w:p>
        </w:tc>
        <w:tc>
          <w:tcPr>
            <w:tcW w:w="2000" w:type="dxa"/>
            <w:vAlign w:val="bottom"/>
            <w:gridSpan w:val="6"/>
          </w:tcPr>
          <w:p>
            <w:pPr>
              <w:ind w:left="280"/>
              <w:spacing w:after="0"/>
              <w:rPr>
                <w:sz w:val="20"/>
                <w:szCs w:val="20"/>
                <w:color w:val="auto"/>
              </w:rPr>
            </w:pPr>
            <w:r>
              <w:rPr>
                <w:rFonts w:ascii="Arial" w:cs="Arial" w:eastAsia="Arial" w:hAnsi="Arial"/>
                <w:sz w:val="14"/>
                <w:szCs w:val="14"/>
                <w:b w:val="1"/>
                <w:bCs w:val="1"/>
                <w:color w:val="auto"/>
              </w:rPr>
              <w:t>As of March 31, 2012</w:t>
            </w: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100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90"/>
              </w:rPr>
              <w:t>Historical</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2015 Notes offered hereby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2019 Notes offered hereby</w:t>
            </w:r>
          </w:p>
        </w:tc>
        <w:tc>
          <w:tcPr>
            <w:tcW w:w="10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long-term debt(1)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4,207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18"/>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Preferred stock, $25 par value</w:t>
            </w:r>
          </w:p>
        </w:tc>
        <w:tc>
          <w:tcPr>
            <w:tcW w:w="10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Authorized – 10,000,000 shares. Participating cumulative preferred. None issued</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$1 par value.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8"/>
        </w:trPr>
        <w:tc>
          <w:tcPr>
            <w:tcW w:w="93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Authorized – 2,400,000,000 shares. Shares issued: 1,740,814,489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Paid-in-capital</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26,345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26,345</w:t>
            </w: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Less treasury common stock at cost (596,461,198 shares)</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(17,385)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(17,385)</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11,071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11,071</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15,278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$4.5 billion of our existing outstanding notes plus net unamortized premium of $85 million, which was assumed with our acquisition of National Semiconductor Corporation, less $378 million representing the current portion of long-term debt.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left="460" w:right="3820"/>
        <w:spacing w:after="0" w:line="423" w:lineRule="auto"/>
        <w:rPr>
          <w:sz w:val="20"/>
          <w:szCs w:val="20"/>
          <w:color w:val="auto"/>
        </w:rPr>
      </w:pPr>
      <w:r>
        <w:rPr>
          <w:rFonts w:ascii="Arial" w:cs="Arial" w:eastAsia="Arial" w:hAnsi="Arial"/>
          <w:sz w:val="18"/>
          <w:szCs w:val="18"/>
          <w:b w:val="1"/>
          <w:bCs w:val="1"/>
          <w:color w:val="auto"/>
        </w:rPr>
        <w:t xml:space="preserve">RATIOS OF EARNINGS TO FIXED CHARGES </w:t>
      </w:r>
      <w:r>
        <w:rPr>
          <w:rFonts w:ascii="Arial" w:cs="Arial" w:eastAsia="Arial" w:hAnsi="Arial"/>
          <w:sz w:val="18"/>
          <w:szCs w:val="18"/>
          <w:color w:val="auto"/>
        </w:rPr>
        <w:t>The following table sets forth our ratios of earnings to fixed charges for each of the periods indicated.</w:t>
      </w:r>
    </w:p>
    <w:p>
      <w:pPr>
        <w:spacing w:after="0" w:line="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w:t>
      </w:r>
    </w:p>
    <w:p>
      <w:pPr>
        <w:ind w:left="8300"/>
        <w:spacing w:after="0" w:line="191" w:lineRule="auto"/>
        <w:tabs>
          <w:tab w:leader="none" w:pos="9460" w:val="left"/>
        </w:tabs>
        <w:rPr>
          <w:sz w:val="20"/>
          <w:szCs w:val="20"/>
          <w:color w:val="auto"/>
        </w:rPr>
      </w:pPr>
      <w:r>
        <w:rPr>
          <w:rFonts w:ascii="Arial" w:cs="Arial" w:eastAsia="Arial" w:hAnsi="Arial"/>
          <w:sz w:val="12"/>
          <w:szCs w:val="12"/>
          <w:b w:val="1"/>
          <w:bCs w:val="1"/>
          <w:color w:val="auto"/>
          <w:vertAlign w:val="superscript"/>
        </w:rPr>
        <w:t>Months</w:t>
      </w:r>
      <w:r>
        <w:rPr>
          <w:sz w:val="20"/>
          <w:szCs w:val="20"/>
          <w:color w:val="auto"/>
        </w:rPr>
        <w:tab/>
      </w:r>
      <w:r>
        <w:rPr>
          <w:rFonts w:ascii="Arial" w:cs="Arial" w:eastAsia="Arial" w:hAnsi="Arial"/>
          <w:sz w:val="8"/>
          <w:szCs w:val="8"/>
          <w:b w:val="1"/>
          <w:bCs w:val="1"/>
          <w:color w:val="auto"/>
        </w:rPr>
        <w:t>Year Ended December 31,</w:t>
      </w:r>
    </w:p>
    <w:p>
      <w:pPr>
        <w:spacing w:after="0" w:line="2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-60325</wp:posOffset>
            </wp:positionV>
            <wp:extent cx="1397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jc w:val="center"/>
        <w:ind w:left="5620"/>
        <w:spacing w:after="0" w:line="221" w:lineRule="auto"/>
        <w:rPr>
          <w:sz w:val="20"/>
          <w:szCs w:val="20"/>
          <w:color w:val="auto"/>
        </w:rPr>
      </w:pPr>
      <w:r>
        <w:rPr>
          <w:rFonts w:ascii="Arial" w:cs="Arial" w:eastAsia="Arial" w:hAnsi="Arial"/>
          <w:sz w:val="14"/>
          <w:szCs w:val="14"/>
          <w:b w:val="1"/>
          <w:bCs w:val="1"/>
          <w:color w:val="auto"/>
        </w:rPr>
        <w:t>March 31,</w:t>
      </w:r>
    </w:p>
    <w:p>
      <w:pPr>
        <w:ind w:left="8380"/>
        <w:spacing w:after="0"/>
        <w:tabs>
          <w:tab w:leader="none" w:pos="9200" w:val="left"/>
          <w:tab w:leader="none" w:pos="10020" w:val="left"/>
          <w:tab w:leader="none" w:pos="109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r>
        <w:rPr>
          <w:sz w:val="20"/>
          <w:szCs w:val="20"/>
          <w:color w:val="auto"/>
        </w:rPr>
        <w:tab/>
      </w:r>
      <w:r>
        <w:rPr>
          <w:rFonts w:ascii="Arial" w:cs="Arial" w:eastAsia="Arial" w:hAnsi="Arial"/>
          <w:sz w:val="11"/>
          <w:szCs w:val="11"/>
          <w:b w:val="1"/>
          <w:bCs w:val="1"/>
          <w:color w:val="auto"/>
        </w:rPr>
        <w:t>2009</w:t>
      </w:r>
    </w:p>
    <w:tbl>
      <w:tblPr>
        <w:tblLayout w:type="fixed"/>
        <w:tblInd w:w="0" w:type="dxa"/>
        <w:tblCellMar>
          <w:top w:w="0" w:type="dxa"/>
          <w:left w:w="0" w:type="dxa"/>
          <w:bottom w:w="0" w:type="dxa"/>
          <w:right w:w="0" w:type="dxa"/>
        </w:tblCellMar>
      </w:tblP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304.8×</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adjusted to give effect to the issuance of the Notes in this offering and the application of the net proceeds from this offering as described in “Use of Proceeds” in this prospectus supplement, and assuming the offering had been completed on December 31, 2011, our ratio of earnings to fixed charges would have been 13.5x for the three months ended March 31,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8 of the accompanying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2015 Notes will mature on August 3, 2015 and the 2019 Notes will mature on August 3, 2019. The Notes will be issued in book-entry form only, in denominations of $2,000 and multiples of $1,000 thereafter. Interest on the Notes will accrue from August 6, 2012 at the respective rates per annum shown on the cover of this prospectus supplement. The Notes will be payable semi-annually on February 3 and August 3, commencing on February 3, 2013 to the persons in whose names the Notes are registered at the close of business on the preceding January 19 or July 19, as the case may be. Interest on the Notes will be paid to but excluding the relevant interest payment date. Interest on the Notes will be calculated on the basis of a 360-day year comprised of twelve 30-day months.</w:t>
      </w:r>
    </w:p>
    <w:p>
      <w:pPr>
        <w:spacing w:after="0" w:line="10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2012, Texas Instruments Incorporated had approximately $5.3 billion of outstanding indebtedness. As of March 31, 2012, we had approximately $8.9 billion of total liabilities on a consolidated basis. Of this amount, subsidiaries of Texas Instruments Incorporated had approximately $3.1 billion of liabilities (including trade payables and excluding intercompany debt) to which the Notes will be effectively subordinated.</w:t>
      </w:r>
    </w:p>
    <w:p>
      <w:pPr>
        <w:spacing w:after="0" w:line="10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March 31, 2012:</w:t>
      </w:r>
    </w:p>
    <w:p>
      <w:pPr>
        <w:spacing w:after="0" w:line="37" w:lineRule="exact"/>
        <w:rPr>
          <w:sz w:val="20"/>
          <w:szCs w:val="20"/>
          <w:color w:val="auto"/>
        </w:rPr>
      </w:pPr>
    </w:p>
    <w:p>
      <w:pPr>
        <w:ind w:left="660" w:right="24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$5.7 billion of total long-term indebtedness (including the Notes), all of which would constitute senior and unsubordinated indebtedness;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would have had approximately $10.4 billion of total liabilities on a consolidated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26" w:lineRule="exact"/>
        <w:rPr>
          <w:rFonts w:ascii="Arial" w:cs="Arial" w:eastAsia="Arial" w:hAnsi="Arial"/>
          <w:sz w:val="16"/>
          <w:szCs w:val="16"/>
          <w:color w:val="auto"/>
        </w:rPr>
      </w:pPr>
    </w:p>
    <w:p>
      <w:pPr>
        <w:ind w:left="660" w:right="72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$3.1 billion of liabilities (including trade payables but excluding intercompany debt) to which the Notes would have been structurally subordinated.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any series of Notes by issuing additional Notes of such series in the future on the same terms and conditions,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except for any differences in the issue price and interest accrued prior to the issue date of the additional Notes. The additional Notes of a series will have the same CUSIP number as the applicable series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applicable series of Notes for U.S. federal income tax purposes will be issued under a separate CUSIP number.</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Notes will be redeemable, in whole or in part at any time, or from time to time, at Texas Instruments Incorporated’s option, each at a “make-whole premium” redemption price calculated by Texas Instruments Incorporated equal to the greater of:</w:t>
      </w:r>
    </w:p>
    <w:p>
      <w:pPr>
        <w:spacing w:after="0" w:line="37" w:lineRule="exact"/>
        <w:rPr>
          <w:sz w:val="20"/>
          <w:szCs w:val="20"/>
          <w:color w:val="auto"/>
        </w:rPr>
      </w:pPr>
    </w:p>
    <w:p>
      <w:pPr>
        <w:ind w:left="1120" w:hanging="2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76" w:lineRule="exact"/>
        <w:rPr>
          <w:rFonts w:ascii="Arial" w:cs="Arial" w:eastAsia="Arial" w:hAnsi="Arial"/>
          <w:sz w:val="18"/>
          <w:szCs w:val="18"/>
          <w:color w:val="auto"/>
        </w:rPr>
      </w:pPr>
    </w:p>
    <w:p>
      <w:pPr>
        <w:ind w:left="460" w:right="60" w:firstLine="443"/>
        <w:spacing w:after="0" w:line="256" w:lineRule="auto"/>
        <w:tabs>
          <w:tab w:leader="none" w:pos="11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5 basis points with respect to the 2015 Notes and 12.5 basis points with respect to the 2019 Notes.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plus, in each case, accrued interest thereon to the date of redemption. 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“Reference Treasury Dealer” means (i) Citigroup Global Markets Inc., J.P. Morgan Securities LLC, Morgan Stanley &amp; Co. LLC and Mizuho Securities USA Inc.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77" w:lineRule="exact"/>
        <w:rPr>
          <w:sz w:val="20"/>
          <w:szCs w:val="20"/>
          <w:color w:val="auto"/>
        </w:rPr>
      </w:pPr>
    </w:p>
    <w:p>
      <w:pPr>
        <w:ind w:left="660" w:right="240" w:hanging="206"/>
        <w:spacing w:after="0" w:line="347"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26" w:lineRule="exact"/>
        <w:rPr>
          <w:rFonts w:ascii="Arial" w:cs="Arial" w:eastAsia="Arial" w:hAnsi="Arial"/>
          <w:sz w:val="16"/>
          <w:szCs w:val="16"/>
          <w:color w:val="auto"/>
        </w:rPr>
      </w:pPr>
    </w:p>
    <w:p>
      <w:pPr>
        <w:ind w:left="660" w:hanging="206"/>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26" w:lineRule="exact"/>
        <w:rPr>
          <w:rFonts w:ascii="Arial" w:cs="Arial" w:eastAsia="Arial" w:hAnsi="Arial"/>
          <w:sz w:val="16"/>
          <w:szCs w:val="16"/>
          <w:color w:val="auto"/>
        </w:rPr>
      </w:pPr>
    </w:p>
    <w:p>
      <w:pPr>
        <w:ind w:left="900" w:right="200" w:hanging="217"/>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37" w:lineRule="exact"/>
        <w:rPr>
          <w:rFonts w:ascii="Arial" w:cs="Arial" w:eastAsia="Arial" w:hAnsi="Arial"/>
          <w:sz w:val="18"/>
          <w:szCs w:val="18"/>
          <w:color w:val="auto"/>
        </w:rPr>
      </w:pPr>
    </w:p>
    <w:p>
      <w:pPr>
        <w:ind w:left="900" w:hanging="217"/>
        <w:spacing w:after="0"/>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winding up or liquidation of our affairs and such decree or order shall remain unstayed and in effect for a period of 60 consecutive days.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w:t>
      </w:r>
    </w:p>
    <w:p>
      <w:pPr>
        <w:spacing w:after="0" w:line="103" w:lineRule="exact"/>
        <w:rPr>
          <w:rFonts w:ascii="Arial" w:cs="Arial" w:eastAsia="Arial" w:hAnsi="Arial"/>
          <w:sz w:val="18"/>
          <w:szCs w:val="18"/>
          <w:color w:val="auto"/>
        </w:rPr>
      </w:pPr>
    </w:p>
    <w:p>
      <w:pPr>
        <w:ind w:left="900" w:right="40" w:hanging="217"/>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217"/>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37" w:lineRule="exact"/>
        <w:rPr>
          <w:rFonts w:ascii="Arial" w:cs="Arial" w:eastAsia="Arial" w:hAnsi="Arial"/>
          <w:sz w:val="18"/>
          <w:szCs w:val="18"/>
          <w:color w:val="auto"/>
        </w:rPr>
      </w:pPr>
    </w:p>
    <w:p>
      <w:pPr>
        <w:ind w:left="900" w:hanging="21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outstanding debt securities, including the Notes, will automatically become due immediately and payable without any declaration or other act on the part of the trustee or any holder.</w:t>
      </w:r>
    </w:p>
    <w:p>
      <w:pPr>
        <w:spacing w:after="0" w:line="12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 — Modification and Waiver.”</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26"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03"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3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02"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0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Clearstream participant to a DTC participant will be received with value on the DTC settlement date, but will be available in the relevant Euroclear or Clearstream cash account only as of the business day following settlement in DTC.</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3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0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also serves as a lender under our revolving credit facility, upon which we have yet to draw, and an affiliate of the trustee is an underwriter of this offering. In the future, we may enter into additional banking relationships with the trustee and its affiliates.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64"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37"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foreign taxing jurisdiction.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section applies to you if you are a U.S. Holder. You are a U.S. Holder if for U.S. federal income tax purposes you are a beneficial owner of a Note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70"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United States federal income taxation regardless of its source.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purposes. If, however, the Notes’ principal amount exceeds the issue price by at least a de minimis amount, as determined under applicable Treasury Regulations, you will be required to include such excess in income as original issue discount, as it accrues, in accordance with a constant yield method based on a compounding of interest before the receipt of cash payments attributable to this income.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70"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of principal and interest on the Notes to you will not be subject to U.S. federal income or withholding tax, provided that, in the case of interest,</w:t>
      </w:r>
    </w:p>
    <w:p>
      <w:pPr>
        <w:spacing w:after="0" w:line="100"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certify on a properly executed IRS Form W-8BEN (or other applicable form), under penalties of perjury, that you are not a United States person or you otherwise satisfy certification requirements applicable to Notes held through certain intermediaries;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you cannot satisfy one of the first three requirements described above and interest on the Notes is not effectively connected with your conduct of a trade or business in the United States as described below, payments of interest on the Notes will be subject to withholding tax at a rate of 30%, subject to an applicable treaty providing otherwise.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taxed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legislation enacted in 2010 and recent administrative guidance, the relevant withholding agent may be required to withhold 30% on payments of interest income (as proposed, beginning in 2014) and the gross proceeds from a disposition of debt obligations (as proposed, beginning in 2015) to (1) a “foreign financial institution” (which is broadly defined for this purpose) unless such foreign financial institution agrees to verify, report and disclose its U.S. account holders and meets certain other specified requirements or (2) a non-financial foreign entity that is the beneficial owner of the payment unless such entity certifies that it does not have any substantial U.S. owners or provides the name, address and taxpayer identification number of each substantial U.S. owner and such entity meets certain other specified requirements. The legislation contains a grandfathering provision that exempts from withholding any payment under, or gross proceeds from a disposition of, an obligation that is outstanding on March 18, 2012, and proposed Treasury Regulations would extend this grandfathering provision to obligations that are outstanding on January 1, 2013. These proposed Treasury Regulations are not effective until finalized, however, and unless and until they are so finalized, taxpayers are not entitled to rely on them. Non-U.S. Holders should consult their tax advisers regarding this legislation and whether it may be relevant to their ownership and disposition of the Notes.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Citigroup Global Markets Inc., J.P. Morgan Securities LLC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2015 Notes and 2019 Notes set forth opposite the underwriter’s name.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4620" w:type="dxa"/>
            <w:vAlign w:val="bottom"/>
            <w:vMerge w:val="restart"/>
          </w:tcPr>
          <w:p>
            <w:pPr>
              <w:spacing w:after="0"/>
              <w:rPr>
                <w:sz w:val="14"/>
                <w:szCs w:val="14"/>
                <w:color w:val="auto"/>
              </w:rPr>
            </w:pPr>
          </w:p>
        </w:tc>
        <w:tc>
          <w:tcPr>
            <w:tcW w:w="2680" w:type="dxa"/>
            <w:vAlign w:val="bottom"/>
          </w:tcPr>
          <w:p>
            <w:pPr>
              <w:spacing w:after="0"/>
              <w:rPr>
                <w:sz w:val="14"/>
                <w:szCs w:val="14"/>
                <w:color w:val="auto"/>
              </w:rPr>
            </w:pPr>
          </w:p>
        </w:tc>
        <w:tc>
          <w:tcPr>
            <w:tcW w:w="206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8"/>
              </w:rPr>
              <w:t>Principal Amount of</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4620" w:type="dxa"/>
            <w:vAlign w:val="bottom"/>
            <w:vMerge w:val="continue"/>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1060"/>
              <w:spacing w:after="0" w:line="148" w:lineRule="exact"/>
              <w:rPr>
                <w:sz w:val="20"/>
                <w:szCs w:val="20"/>
                <w:color w:val="auto"/>
              </w:rPr>
            </w:pPr>
            <w:r>
              <w:rPr>
                <w:rFonts w:ascii="Arial" w:cs="Arial" w:eastAsia="Arial" w:hAnsi="Arial"/>
                <w:sz w:val="14"/>
                <w:szCs w:val="14"/>
                <w:b w:val="1"/>
                <w:bCs w:val="1"/>
                <w:color w:val="auto"/>
                <w:w w:val="83"/>
              </w:rPr>
              <w:t>2015 Notes</w:t>
            </w:r>
          </w:p>
        </w:tc>
        <w:tc>
          <w:tcPr>
            <w:tcW w:w="180" w:type="dxa"/>
            <w:vAlign w:val="bottom"/>
          </w:tcPr>
          <w:p>
            <w:pPr>
              <w:spacing w:after="0"/>
              <w:rPr>
                <w:sz w:val="14"/>
                <w:szCs w:val="14"/>
                <w:color w:val="auto"/>
              </w:rPr>
            </w:pPr>
          </w:p>
        </w:tc>
        <w:tc>
          <w:tcPr>
            <w:tcW w:w="11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2019 Notes</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2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240,000,000</w:t>
            </w:r>
          </w:p>
        </w:tc>
        <w:tc>
          <w:tcPr>
            <w:tcW w:w="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240,000,000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8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w w:val="97"/>
              </w:rPr>
              <w:t>240,000,000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240,000,000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82,500,000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28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rPr>
              <w:t>82,500,000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2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16,701,000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8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rPr>
              <w:t>11,931,000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11,931,000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 w:type="dxa"/>
            <w:vAlign w:val="bottom"/>
            <w:shd w:val="clear" w:color="auto" w:fill="CCEEFF"/>
          </w:tcPr>
          <w:p>
            <w:pPr>
              <w:spacing w:after="0"/>
              <w:rPr>
                <w:sz w:val="20"/>
                <w:szCs w:val="20"/>
                <w:color w:val="auto"/>
              </w:rPr>
            </w:pPr>
          </w:p>
        </w:tc>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Incorporated</w:t>
            </w:r>
          </w:p>
        </w:tc>
        <w:tc>
          <w:tcPr>
            <w:tcW w:w="2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11,931,000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SMBC Nikko Capital Markets Limited</w:t>
            </w:r>
          </w:p>
        </w:tc>
        <w:tc>
          <w:tcPr>
            <w:tcW w:w="28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rPr>
              <w:t>11,931,000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11,931,000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2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11,931,000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8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rPr>
              <w:t>11,931,000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11,931,000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7,161,000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28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rPr>
              <w:t>7,161,000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7,161,000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7,161,000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28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rPr>
              <w:t>7,161,000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7,161,000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7"/>
              </w:rPr>
              <w:t>750,000,000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7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prices set forth on the cover of this prospectus supplement. Any Notes sold by the underwriters to securities dealers may be sold at a discount from the initial public offering prices not to exceed 0.150% per 2015 Note and 0.250% per 2019 Note. Any such securities dealers may resell any Notes purchased from the underwriters to certain other brokers or dealers at a discount from the initial public offering prices not to exceed 0.025% per 2015 Note and 0.200% per 2019 Note. If all the Notes are not sold at the initial offering prices, the underwriters may change the offering price and the other selling terms.</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Paid by Texas</w:t>
            </w:r>
          </w:p>
        </w:tc>
      </w:tr>
      <w:tr>
        <w:trPr>
          <w:trHeight w:val="149"/>
        </w:trPr>
        <w:tc>
          <w:tcPr>
            <w:tcW w:w="104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Instruments</w:t>
            </w:r>
          </w:p>
        </w:tc>
      </w:tr>
      <w:tr>
        <w:trPr>
          <w:trHeight w:val="161"/>
        </w:trPr>
        <w:tc>
          <w:tcPr>
            <w:tcW w:w="10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200" w:type="dxa"/>
            <w:vAlign w:val="bottom"/>
            <w:tcBorders>
              <w:bottom w:val="single" w:sz="8" w:color="CCEEFF"/>
            </w:tcBorders>
          </w:tcPr>
          <w:p>
            <w:pPr>
              <w:spacing w:after="0"/>
              <w:rPr>
                <w:sz w:val="14"/>
                <w:szCs w:val="14"/>
                <w:color w:val="auto"/>
              </w:rPr>
            </w:pPr>
          </w:p>
        </w:tc>
      </w:tr>
      <w:tr>
        <w:trPr>
          <w:trHeight w:val="210"/>
        </w:trPr>
        <w:tc>
          <w:tcPr>
            <w:tcW w:w="10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2015 Note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0.250%</w:t>
            </w:r>
          </w:p>
        </w:tc>
      </w:tr>
      <w:tr>
        <w:trPr>
          <w:trHeight w:val="222"/>
        </w:trPr>
        <w:tc>
          <w:tcPr>
            <w:tcW w:w="10420" w:type="dxa"/>
            <w:vAlign w:val="bottom"/>
          </w:tcPr>
          <w:p>
            <w:pPr>
              <w:spacing w:after="0"/>
              <w:rPr>
                <w:sz w:val="20"/>
                <w:szCs w:val="20"/>
                <w:color w:val="auto"/>
              </w:rPr>
            </w:pPr>
            <w:r>
              <w:rPr>
                <w:rFonts w:ascii="Arial" w:cs="Arial" w:eastAsia="Arial" w:hAnsi="Arial"/>
                <w:sz w:val="18"/>
                <w:szCs w:val="18"/>
                <w:color w:val="auto"/>
              </w:rPr>
              <w:t>Per 2019 Note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0.400%</w:t>
            </w:r>
          </w:p>
        </w:tc>
      </w:tr>
      <w:tr>
        <w:trPr>
          <w:trHeight w:val="356"/>
        </w:trPr>
        <w:tc>
          <w:tcPr>
            <w:tcW w:w="10420" w:type="dxa"/>
            <w:vAlign w:val="bottom"/>
          </w:tcPr>
          <w:p>
            <w:pPr>
              <w:ind w:left="460"/>
              <w:spacing w:after="0"/>
              <w:rPr>
                <w:sz w:val="20"/>
                <w:szCs w:val="20"/>
                <w:color w:val="auto"/>
              </w:rPr>
            </w:pPr>
            <w:r>
              <w:rPr>
                <w:rFonts w:ascii="Arial" w:cs="Arial" w:eastAsia="Arial" w:hAnsi="Arial"/>
                <w:sz w:val="18"/>
                <w:szCs w:val="18"/>
                <w:color w:val="auto"/>
              </w:rPr>
              <w:t>We estimate that our total expenses for this offering will be approximately $10 million.</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37"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20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three business days, unless the parties to a trade expressly agree otherwise. Accordingly, purchasers who wish to trade Notes on the date of pricing or the next succeeding business day will be required, by virtue of the fact that the Notes initially will settle in T+5, to specify alternative settlement arrangements to prevent a failed settlement.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some of the underwriters are lenders, and in some cases agents or managers for the lenders, under TI’s credit facility. In addition, an affiliate of one of the underwriters is the trustee for the Notes. In connection with the issuance of the Notes, we may enter into interest rate swap agreements with financial institutions, which may include one or more of the underwriters or their affiliates.</w:t>
      </w:r>
    </w:p>
    <w:p>
      <w:pPr>
        <w:spacing w:after="0" w:line="11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SMBC Nikko Capital Markets Limited is not a U.S. registered broker-dealer and, therefore, intends to participate in the offering outside of the United States and, to the extent that the offering is within the United States, as facilitated by an affiliated U.S. registered broker-dealer, SMBC Nikko Securities America, Inc. (“SMBC Nikko-SI”), as permitted under applicable law. To that end, SMBC Nikko Capital Markets Limited and SMBC Nikko-SI have entered into an agreement pursuant to which SMBC Nikko-SI provides certain advisory and/or other services with respect to this offering. In return for the provision of such services by SMBC Nikko-SI, SMBC Nikko Capital Markets Limited will pay to SMBC Nikko-SI a mutually agreed-fee.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12"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3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18"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10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80" w:firstLine="8"/>
        <w:spacing w:after="0" w:line="261" w:lineRule="auto"/>
        <w:tabs>
          <w:tab w:leader="none" w:pos="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 w:lineRule="exact"/>
        <w:rPr>
          <w:sz w:val="20"/>
          <w:szCs w:val="20"/>
          <w:color w:val="auto"/>
        </w:rPr>
      </w:pPr>
    </w:p>
    <w:p>
      <w:pPr>
        <w:ind w:left="660" w:right="40" w:hanging="206"/>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consolidated financial statements, incorporated by reference in our Annual Report (Form 10-K) for the year ended December 31, 2011,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 supplement:</w:t>
      </w:r>
    </w:p>
    <w:p>
      <w:pPr>
        <w:spacing w:after="0" w:line="129" w:lineRule="exact"/>
        <w:rPr>
          <w:sz w:val="20"/>
          <w:szCs w:val="20"/>
          <w:color w:val="auto"/>
        </w:rPr>
      </w:pPr>
    </w:p>
    <w:p>
      <w:pPr>
        <w:ind w:right="200"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 Reports on Form 8-K filed on January 23, 2012, February 17, 2012, April 23, 2012, and June 5, 2012, excepting any portions of such reports which were furnished but not filed,</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Quarterly Report on Form 10-Q for the three months ended March 31, 2012, filed on May 4, 2012, and</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2011, filed on February 24, 2012.</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(972) 995-3773.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supplement or the accompanying prospectus.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246380</wp:posOffset>
            </wp:positionV>
            <wp:extent cx="2667000" cy="6261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670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2420" w:type="dxa"/>
            <w:vAlign w:val="bottom"/>
          </w:tcPr>
          <w:p>
            <w:pPr>
              <w:ind w:left="2280"/>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w w:val="82"/>
              </w:rPr>
              <w:t>Warrants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Preferred stock</w:t>
            </w:r>
          </w:p>
        </w:tc>
        <w:tc>
          <w:tcPr>
            <w:tcW w:w="2420" w:type="dxa"/>
            <w:vAlign w:val="bottom"/>
          </w:tcPr>
          <w:p>
            <w:pPr>
              <w:ind w:left="2280"/>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rPr>
              <w:t>Units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Debt securities</w:t>
            </w:r>
          </w:p>
        </w:tc>
        <w:tc>
          <w:tcPr>
            <w:tcW w:w="24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5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Maturity</w:t>
            </w:r>
          </w:p>
        </w:tc>
        <w:tc>
          <w:tcPr>
            <w:tcW w:w="980" w:type="dxa"/>
            <w:vAlign w:val="bottom"/>
          </w:tcPr>
          <w:p>
            <w:pPr>
              <w:ind w:left="840"/>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1060" w:type="dxa"/>
            <w:vAlign w:val="bottom"/>
          </w:tcPr>
          <w:p>
            <w:pPr>
              <w:ind w:left="9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w w:val="99"/>
              </w:rPr>
              <w:t>Liquidation amount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4120" w:type="dxa"/>
            <w:vAlign w:val="bottom"/>
            <w:gridSpan w:val="2"/>
          </w:tcPr>
          <w:p>
            <w:pPr>
              <w:ind w:left="840"/>
              <w:spacing w:after="0"/>
              <w:rPr>
                <w:sz w:val="20"/>
                <w:szCs w:val="20"/>
                <w:color w:val="auto"/>
              </w:rPr>
            </w:pPr>
            <w:r>
              <w:rPr>
                <w:rFonts w:ascii="Arial" w:cs="Arial" w:eastAsia="Arial" w:hAnsi="Arial"/>
                <w:sz w:val="18"/>
                <w:szCs w:val="18"/>
                <w:color w:val="auto"/>
              </w:rPr>
              <w:t>•  Listing on a security exchange</w:t>
            </w:r>
          </w:p>
        </w:tc>
        <w:tc>
          <w:tcPr>
            <w:tcW w:w="1060" w:type="dxa"/>
            <w:vAlign w:val="bottom"/>
          </w:tcPr>
          <w:p>
            <w:pPr>
              <w:ind w:left="9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w w:val="84"/>
              </w:rPr>
              <w:t>Subsidiary guarantees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4120" w:type="dxa"/>
            <w:vAlign w:val="bottom"/>
            <w:gridSpan w:val="2"/>
          </w:tcPr>
          <w:p>
            <w:pPr>
              <w:ind w:left="840"/>
              <w:spacing w:after="0"/>
              <w:rPr>
                <w:sz w:val="20"/>
                <w:szCs w:val="20"/>
                <w:color w:val="auto"/>
              </w:rPr>
            </w:pPr>
            <w:r>
              <w:rPr>
                <w:rFonts w:ascii="Arial" w:cs="Arial" w:eastAsia="Arial" w:hAnsi="Arial"/>
                <w:sz w:val="18"/>
                <w:szCs w:val="18"/>
                <w:color w:val="auto"/>
              </w:rPr>
              <w:t>•  Amount payable at maturity</w:t>
            </w:r>
          </w:p>
        </w:tc>
        <w:tc>
          <w:tcPr>
            <w:tcW w:w="1060" w:type="dxa"/>
            <w:vAlign w:val="bottom"/>
          </w:tcPr>
          <w:p>
            <w:pPr>
              <w:ind w:left="9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Sinking fund terms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980" w:type="dxa"/>
            <w:vAlign w:val="bottom"/>
          </w:tcPr>
          <w:p>
            <w:pPr>
              <w:ind w:left="840"/>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Conversion or exchange rights</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5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Common Stock is quoted on the New York Stock Exchange under the ticker symbol TXN. On February 23, 2010, the reported last sale price on the New York Stock Exchange for our Common Stock was $24.30.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0"/>
          <w:szCs w:val="20"/>
          <w:color w:val="auto"/>
        </w:rPr>
      </w:pPr>
    </w:p>
    <w:p>
      <w:pPr>
        <w:ind w:right="52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2009,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24, 2010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in any supplement hereto or in any related free-writing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164465</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5"/>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The Company</w:t>
              </w:r>
            </w:hyperlink>
          </w:p>
        </w:tc>
        <w:tc>
          <w:tcPr>
            <w:tcW w:w="68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160" w:type="dxa"/>
            <w:vAlign w:val="bottom"/>
            <w:gridSpan w:val="14"/>
            <w:vMerge w:val="continue"/>
          </w:tcPr>
          <w:p>
            <w:pPr>
              <w:spacing w:after="0"/>
              <w:rPr>
                <w:sz w:val="13"/>
                <w:szCs w:val="13"/>
                <w:color w:val="auto"/>
              </w:rPr>
            </w:pPr>
          </w:p>
        </w:tc>
        <w:tc>
          <w:tcPr>
            <w:tcW w:w="688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About this Prospectus</w:t>
              </w:r>
            </w:hyperlink>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Units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Validity of Securities</w:t>
              </w:r>
            </w:hyperlink>
          </w:p>
        </w:tc>
        <w:tc>
          <w:tcPr>
            <w:tcW w:w="262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22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3322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left="200" w:firstLine="443"/>
        <w:spacing w:after="0" w:line="318" w:lineRule="auto"/>
        <w:rPr>
          <w:sz w:val="20"/>
          <w:szCs w:val="20"/>
          <w:color w:val="auto"/>
        </w:rPr>
      </w:pPr>
      <w:r>
        <w:rPr>
          <w:rFonts w:ascii="Arial" w:cs="Arial" w:eastAsia="Arial" w:hAnsi="Arial"/>
          <w:sz w:val="15"/>
          <w:szCs w:val="15"/>
          <w:color w:val="auto"/>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 We were the world’s fourth largest semiconductor company in 2009 as measured by revenue, according to preliminary estimates from an external source. Additionally, we sell calculators and related products.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(972) 995-3773. We</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maintain a website at www.ti.com where general information about us is available. We are not incorporating the contents of the website into this prospectus.</w:t>
      </w:r>
    </w:p>
    <w:p>
      <w:pPr>
        <w:spacing w:after="0" w:line="1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Current Report on Form 8-K filed on February 19, 2010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 filed on February 23, 2010.</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(972) 995-3773.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Forward-looking statements describe our business strategy, outlook, objectives, plans, intentions or goals. All such forward-looking statements are subject to certain risks and uncertainties that could cause actual results to differ materially from those in forward-looking statements. Such statements address future events and conditions concerning:</w:t>
      </w:r>
    </w:p>
    <w:p>
      <w:pPr>
        <w:spacing w:after="0" w:line="35"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corporate restructurings, acquisitions and dispositions,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debt and other restrictive covenants,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rates and dividends,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overall economy of our industry segments.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What happens in each case could vary materially from what we expect because of things such as:</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76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ability of TI and its customers and suppliers to access their bank accounts and lines of credit or otherwise access the capital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These lists are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9" w:lineRule="exact"/>
        <w:rPr>
          <w:sz w:val="20"/>
          <w:szCs w:val="20"/>
          <w:color w:val="auto"/>
        </w:rPr>
      </w:pPr>
    </w:p>
    <w:p>
      <w:pPr>
        <w:ind w:left="460" w:right="3800" w:firstLine="3392"/>
        <w:spacing w:after="0" w:line="520"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Years Ended December 31,</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156"/>
        </w:trPr>
        <w:tc>
          <w:tcPr>
            <w:tcW w:w="2220" w:type="dxa"/>
            <w:vAlign w:val="bottom"/>
            <w:tcBorders>
              <w:top w:val="single" w:sz="8" w:color="auto"/>
              <w:bottom w:val="single" w:sz="8" w:color="auto"/>
            </w:tcBorders>
          </w:tcPr>
          <w:p>
            <w:pPr>
              <w:jc w:val="right"/>
              <w:ind w:right="902"/>
              <w:spacing w:after="0" w:line="156"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62"/>
              <w:spacing w:after="0" w:line="156"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82"/>
              <w:spacing w:after="0" w:line="156"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82"/>
              <w:spacing w:after="0" w:line="156"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22"/>
              <w:spacing w:after="0" w:line="156" w:lineRule="exact"/>
              <w:rPr>
                <w:sz w:val="20"/>
                <w:szCs w:val="20"/>
                <w:color w:val="auto"/>
              </w:rPr>
            </w:pPr>
            <w:r>
              <w:rPr>
                <w:rFonts w:ascii="Arial" w:cs="Arial" w:eastAsia="Arial" w:hAnsi="Arial"/>
                <w:sz w:val="14"/>
                <w:szCs w:val="14"/>
                <w:b w:val="1"/>
                <w:bCs w:val="1"/>
                <w:color w:val="auto"/>
              </w:rPr>
              <w:t>2005</w:t>
            </w:r>
          </w:p>
        </w:tc>
      </w:tr>
      <w:tr>
        <w:trPr>
          <w:trHeight w:val="88"/>
        </w:trPr>
        <w:tc>
          <w:tcPr>
            <w:tcW w:w="2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80" w:type="dxa"/>
            <w:vAlign w:val="bottom"/>
          </w:tcPr>
          <w:p>
            <w:pPr>
              <w:spacing w:after="0"/>
              <w:rPr>
                <w:sz w:val="7"/>
                <w:szCs w:val="7"/>
                <w:color w:val="auto"/>
              </w:rPr>
            </w:pPr>
          </w:p>
        </w:tc>
      </w:tr>
      <w:tr>
        <w:trPr>
          <w:trHeight w:val="216"/>
        </w:trPr>
        <w:tc>
          <w:tcPr>
            <w:tcW w:w="25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127.9x</w:t>
            </w:r>
          </w:p>
        </w:tc>
        <w:tc>
          <w:tcPr>
            <w:tcW w:w="21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109.5x</w:t>
            </w:r>
          </w:p>
        </w:tc>
        <w:tc>
          <w:tcPr>
            <w:tcW w:w="21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154.7x</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94.1x</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70.2x</w:t>
            </w:r>
          </w:p>
        </w:tc>
      </w:tr>
    </w:tbl>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of January 31, 2010, there were 1,241,888,536 shares of common stock outstanding which were held of record by 24,136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New York Stock Exchange. The transfer agent and registrar for our common stock is Computershare Investor Services, LLC, 2 North LaSalle Street, 3</w:t>
      </w:r>
      <w:r>
        <w:rPr>
          <w:rFonts w:ascii="Arial" w:cs="Arial" w:eastAsia="Arial" w:hAnsi="Arial"/>
          <w:sz w:val="10"/>
          <w:szCs w:val="10"/>
          <w:color w:val="auto"/>
        </w:rPr>
        <w:t>rd</w:t>
      </w:r>
      <w:r>
        <w:rPr>
          <w:rFonts w:ascii="Arial" w:cs="Arial" w:eastAsia="Arial" w:hAnsi="Arial"/>
          <w:sz w:val="15"/>
          <w:szCs w:val="15"/>
          <w:color w:val="auto"/>
        </w:rPr>
        <w:t xml:space="preserve"> Floor, Chicago, Illinois 60602.</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January 31, 2010,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the meeting is first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to be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lesser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6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net rental payments</w:t>
      </w:r>
      <w:r>
        <w:rPr>
          <w:rFonts w:ascii="Arial" w:cs="Arial" w:eastAsia="Arial" w:hAnsi="Arial"/>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 certificate,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indenture, we will not issue or assume any debt for money borrowed (which, including guarantees of debt for borrowed money, we refer to as “</w:t>
      </w:r>
      <w:r>
        <w:rPr>
          <w:rFonts w:ascii="Arial" w:cs="Arial" w:eastAsia="Arial" w:hAnsi="Arial"/>
          <w:sz w:val="16"/>
          <w:szCs w:val="16"/>
          <w:b w:val="1"/>
          <w:bCs w:val="1"/>
          <w:color w:val="auto"/>
        </w:rPr>
        <w:t>debt</w:t>
      </w:r>
      <w:r>
        <w:rPr>
          <w:rFonts w:ascii="Arial" w:cs="Arial" w:eastAsia="Arial" w:hAnsi="Arial"/>
          <w:sz w:val="16"/>
          <w:szCs w:val="16"/>
          <w:color w:val="auto"/>
        </w:rPr>
        <w:t>”), if the debt is secured by a mortgage, pledge, lien or other encumbrance (which we refer to as a “</w:t>
      </w:r>
      <w:r>
        <w:rPr>
          <w:rFonts w:ascii="Arial" w:cs="Arial" w:eastAsia="Arial" w:hAnsi="Arial"/>
          <w:sz w:val="16"/>
          <w:szCs w:val="16"/>
          <w:b w:val="1"/>
          <w:bCs w:val="1"/>
          <w:color w:val="auto"/>
        </w:rPr>
        <w:t>mortgage</w:t>
      </w:r>
      <w:r>
        <w:rPr>
          <w:rFonts w:ascii="Arial" w:cs="Arial" w:eastAsia="Arial" w:hAnsi="Arial"/>
          <w:sz w:val="16"/>
          <w:szCs w:val="16"/>
          <w:color w:val="auto"/>
        </w:rPr>
        <w:t>”) upon 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2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80" w:hanging="325"/>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auto"/>
        </w:rPr>
        <w:t>exempted debt</w:t>
      </w:r>
      <w:r>
        <w:rPr>
          <w:rFonts w:ascii="Arial" w:cs="Arial" w:eastAsia="Arial" w:hAnsi="Arial"/>
          <w:sz w:val="18"/>
          <w:szCs w:val="18"/>
          <w:color w:val="auto"/>
        </w:rPr>
        <w:t>”) does not exceed 15% of consolidated net tangible assets.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51" w:lineRule="exact"/>
        <w:rPr>
          <w:sz w:val="20"/>
          <w:szCs w:val="20"/>
          <w:color w:val="auto"/>
        </w:rPr>
      </w:pPr>
    </w:p>
    <w:p>
      <w:pPr>
        <w:ind w:left="900" w:right="20" w:hanging="325"/>
        <w:spacing w:after="0" w:line="25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jc w:val="both"/>
        <w:ind w:left="900" w:right="8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90" w:lineRule="exact"/>
        <w:rPr>
          <w:sz w:val="20"/>
          <w:szCs w:val="20"/>
          <w:color w:val="auto"/>
        </w:rPr>
      </w:pPr>
    </w:p>
    <w:p>
      <w:pPr>
        <w:ind w:left="900" w:right="3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default in the payment of principal or premium on the debt securities of such series when due and payable whether at maturity, upon acceleration, redemption, or otherwise, if that default continues for a period of five days;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60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1480" w:right="26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winding up or liquidation of our affairs and such decree or order shall remain unstayed and in effect for a period of 60 consecutive days.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either the trustee or the holders of not less than 25% in aggregate principal amount of the debt securities of all series then outstanding under the indenture (treated as one class) may, by written notice to us and to the trustee, if such notice is given by the holders, declare the entire principal amount of, and accrued interest, if any, on each series of debt securities then outstanding to be immediately due and payable.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43"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39"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auto"/>
        </w:rPr>
        <w:t>legal defeasance</w:t>
      </w:r>
      <w:r>
        <w:rPr>
          <w:rFonts w:ascii="Arial" w:cs="Arial" w:eastAsia="Arial" w:hAnsi="Arial"/>
          <w:sz w:val="16"/>
          <w:szCs w:val="16"/>
          <w:color w:val="auto"/>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 —Consolidation, Merger and Sale or Conveyance”;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waives a default in the payment of principal of or interest on the debt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same degree of care and skill in its exercise as a prudent person would exercise under the circumstances in the conduct of such person’s own affairs.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1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8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securities in respect of which this prospectus is being delivered will be passed on for us by Davis Polk &amp; Wardwell LLP.</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incorporated by reference in our Annual Report on Form 10-K for the year ended December 31, 2009, and management’s assessment of the effectiveness of our internal control over financial reporting as of December 31, 2009, as set forth in their reports, which are incorporated by reference in this prospectus and elsewhere in the registration statement. Our financial statements and management’s assessment are incorporated by reference in reliance on Ernst &amp; Young LLP’s reports, given on their authority as experts in accounting and auditing.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700"/>
        <w:spacing w:after="0"/>
        <w:rPr>
          <w:sz w:val="20"/>
          <w:szCs w:val="20"/>
          <w:color w:val="auto"/>
        </w:rPr>
      </w:pPr>
      <w:r>
        <w:rPr>
          <w:rFonts w:ascii="Arial" w:cs="Arial" w:eastAsia="Arial" w:hAnsi="Arial"/>
          <w:sz w:val="32"/>
          <w:szCs w:val="32"/>
          <w:b w:val="1"/>
          <w:bCs w:val="1"/>
          <w:color w:val="auto"/>
        </w:rPr>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178435</wp:posOffset>
            </wp:positionV>
            <wp:extent cx="2667000" cy="6261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670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180"/>
        <w:spacing w:after="0"/>
        <w:rPr>
          <w:sz w:val="20"/>
          <w:szCs w:val="20"/>
          <w:color w:val="auto"/>
        </w:rPr>
      </w:pPr>
      <w:r>
        <w:rPr>
          <w:rFonts w:ascii="Arial" w:cs="Arial" w:eastAsia="Arial" w:hAnsi="Arial"/>
          <w:sz w:val="29"/>
          <w:szCs w:val="29"/>
          <w:b w:val="1"/>
          <w:bCs w:val="1"/>
          <w:color w:val="auto"/>
        </w:rPr>
        <w:t>$750,000,000 0.450% Notes due 2015</w:t>
      </w:r>
    </w:p>
    <w:p>
      <w:pPr>
        <w:spacing w:after="0" w:line="67" w:lineRule="exact"/>
        <w:rPr>
          <w:sz w:val="20"/>
          <w:szCs w:val="20"/>
          <w:color w:val="auto"/>
        </w:rPr>
      </w:pPr>
    </w:p>
    <w:p>
      <w:pPr>
        <w:ind w:left="3180"/>
        <w:spacing w:after="0"/>
        <w:rPr>
          <w:sz w:val="20"/>
          <w:szCs w:val="20"/>
          <w:color w:val="auto"/>
        </w:rPr>
      </w:pPr>
      <w:r>
        <w:rPr>
          <w:rFonts w:ascii="Arial" w:cs="Arial" w:eastAsia="Arial" w:hAnsi="Arial"/>
          <w:sz w:val="29"/>
          <w:szCs w:val="29"/>
          <w:b w:val="1"/>
          <w:bCs w:val="1"/>
          <w:color w:val="auto"/>
        </w:rPr>
        <w:t>$750,000,000 1.650% Notes due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203200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July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160655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Book-Running Managers</w:t>
      </w:r>
    </w:p>
    <w:p>
      <w:pPr>
        <w:spacing w:after="0" w:line="123"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Citigroup</w:t>
      </w:r>
    </w:p>
    <w:p>
      <w:pPr>
        <w:spacing w:after="0" w:line="5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J.P. Morgan</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Morgan Stanley</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Mizuho Securities</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Senior Co-Managers</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Mitsubishi UFJ Securities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BofA Merrill Lynch</w:t>
      </w:r>
    </w:p>
    <w:p>
      <w:pPr>
        <w:jc w:val="center"/>
        <w:ind w:right="-1220"/>
        <w:spacing w:after="0" w:line="230" w:lineRule="auto"/>
        <w:rPr>
          <w:sz w:val="20"/>
          <w:szCs w:val="20"/>
          <w:color w:val="auto"/>
        </w:rPr>
      </w:pPr>
      <w:r>
        <w:rPr>
          <w:rFonts w:ascii="Arial" w:cs="Arial" w:eastAsia="Arial" w:hAnsi="Arial"/>
          <w:sz w:val="22"/>
          <w:szCs w:val="22"/>
          <w:b w:val="1"/>
          <w:bCs w:val="1"/>
          <w:color w:val="auto"/>
        </w:rPr>
        <w:t>BNP PARIBAS</w:t>
      </w:r>
    </w:p>
    <w:p>
      <w:pPr>
        <w:jc w:val="center"/>
        <w:ind w:right="-1220"/>
        <w:spacing w:after="0" w:line="231" w:lineRule="auto"/>
        <w:rPr>
          <w:sz w:val="20"/>
          <w:szCs w:val="20"/>
          <w:color w:val="auto"/>
        </w:rPr>
      </w:pPr>
      <w:r>
        <w:rPr>
          <w:rFonts w:ascii="Arial" w:cs="Arial" w:eastAsia="Arial" w:hAnsi="Arial"/>
          <w:sz w:val="22"/>
          <w:szCs w:val="22"/>
          <w:b w:val="1"/>
          <w:bCs w:val="1"/>
          <w:color w:val="auto"/>
        </w:rPr>
        <w:t>SMBC Nikko</w:t>
      </w:r>
    </w:p>
    <w:p>
      <w:pPr>
        <w:jc w:val="center"/>
        <w:ind w:right="-1220"/>
        <w:spacing w:after="0" w:line="230" w:lineRule="auto"/>
        <w:rPr>
          <w:sz w:val="20"/>
          <w:szCs w:val="20"/>
          <w:color w:val="auto"/>
        </w:rPr>
      </w:pPr>
      <w:r>
        <w:rPr>
          <w:rFonts w:ascii="Arial" w:cs="Arial" w:eastAsia="Arial" w:hAnsi="Arial"/>
          <w:sz w:val="22"/>
          <w:szCs w:val="22"/>
          <w:b w:val="1"/>
          <w:bCs w:val="1"/>
          <w:color w:val="auto"/>
        </w:rPr>
        <w:t>The Williams Capital Group L.P.</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US Bancorp</w:t>
      </w:r>
    </w:p>
    <w:p>
      <w:pPr>
        <w:spacing w:after="0" w:line="134"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Co-Managers</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Barclays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Goldman, Sachs &amp; Co.</w:t>
      </w:r>
    </w:p>
    <w:p>
      <w:pPr>
        <w:jc w:val="center"/>
        <w:ind w:right="-1220"/>
        <w:spacing w:after="0" w:line="230" w:lineRule="auto"/>
        <w:rPr>
          <w:sz w:val="20"/>
          <w:szCs w:val="20"/>
          <w:color w:val="auto"/>
        </w:rPr>
      </w:pPr>
      <w:r>
        <w:rPr>
          <w:rFonts w:ascii="Arial" w:cs="Arial" w:eastAsia="Arial" w:hAnsi="Arial"/>
          <w:sz w:val="22"/>
          <w:szCs w:val="22"/>
          <w:b w:val="1"/>
          <w:bCs w:val="1"/>
          <w:color w:val="auto"/>
        </w:rPr>
        <w:t>HSBC</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lowerRoman"/>
      <w:start w:val="1"/>
    </w:lvl>
  </w:abstractNum>
  <w:abstractNum w:abstractNumId="10">
    <w:nsid w:val="3A95F874"/>
    <w:multiLevelType w:val="hybridMultilevel"/>
    <w:lvl w:ilvl="0">
      <w:lvlJc w:val="left"/>
      <w:lvlText w:val="•"/>
      <w:numFmt w:val="bullet"/>
      <w:start w:val="1"/>
    </w:lvl>
    <w:lvl w:ilvl="1">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Roman"/>
      <w:start w:val="3"/>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lvl w:ilvl="1">
      <w:lvlJc w:val="left"/>
      <w:lvlText w:val="•"/>
      <w:numFmt w:val="bullet"/>
      <w:start w:val="1"/>
    </w:lvl>
  </w:abstractNum>
  <w:abstractNum w:abstractNumId="37">
    <w:nsid w:val="2A487CB0"/>
    <w:multiLevelType w:val="hybridMultilevel"/>
    <w:lvl w:ilvl="0">
      <w:lvlJc w:val="left"/>
      <w:lvlText w:val="•"/>
      <w:numFmt w:val="bullet"/>
      <w:start w:val="1"/>
    </w:lvl>
    <w:lvl w:ilvl="1">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lvl w:ilvl="1">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2019-12-09T07:53:48Z</dcterms:created>
  <dcterms:modified xsi:type="dcterms:W3CDTF">2019-12-09T07:53:48Z</dcterms:modified>
</cp:coreProperties>
</file>