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8900"/>
        <w:spacing w:after="0"/>
        <w:rPr>
          <w:sz w:val="20"/>
          <w:szCs w:val="20"/>
          <w:color w:val="auto"/>
        </w:rPr>
      </w:pPr>
      <w:r>
        <w:rPr>
          <w:rFonts w:ascii="Arial" w:cs="Arial" w:eastAsia="Arial" w:hAnsi="Arial"/>
          <w:sz w:val="16"/>
          <w:szCs w:val="16"/>
          <w:b w:val="1"/>
          <w:bCs w:val="1"/>
          <w:color w:val="auto"/>
        </w:rPr>
        <w:t>Filed pursuant to Rule 424(b)(2)</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0" w:type="dxa"/>
            <w:vAlign w:val="bottom"/>
            <w:gridSpan w:val="2"/>
          </w:tcPr>
          <w:p>
            <w:pPr>
              <w:ind w:left="1420"/>
              <w:spacing w:after="0"/>
              <w:rPr>
                <w:sz w:val="20"/>
                <w:szCs w:val="20"/>
                <w:color w:val="auto"/>
              </w:rPr>
            </w:pPr>
            <w:r>
              <w:rPr>
                <w:rFonts w:ascii="Arial" w:cs="Arial" w:eastAsia="Arial" w:hAnsi="Arial"/>
                <w:sz w:val="18"/>
                <w:szCs w:val="18"/>
                <w:b w:val="1"/>
                <w:bCs w:val="1"/>
                <w:color w:val="auto"/>
                <w:w w:val="89"/>
              </w:rPr>
              <w:t>Registration No. 333-209678</w:t>
            </w: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380" w:type="dxa"/>
            <w:vAlign w:val="bottom"/>
            <w:gridSpan w:val="3"/>
          </w:tcPr>
          <w:p>
            <w:pPr>
              <w:ind w:left="540"/>
              <w:spacing w:after="0"/>
              <w:rPr>
                <w:sz w:val="20"/>
                <w:szCs w:val="20"/>
                <w:color w:val="auto"/>
              </w:rPr>
            </w:pPr>
            <w:r>
              <w:rPr>
                <w:rFonts w:ascii="Arial" w:cs="Arial" w:eastAsia="Arial" w:hAnsi="Arial"/>
                <w:sz w:val="18"/>
                <w:szCs w:val="18"/>
                <w:b w:val="1"/>
                <w:bCs w:val="1"/>
                <w:color w:val="auto"/>
              </w:rPr>
              <w:t>CALCULATION OF REGISTRATION FEE</w:t>
            </w:r>
          </w:p>
        </w:tc>
        <w:tc>
          <w:tcPr>
            <w:tcW w:w="1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restart"/>
          </w:tcPr>
          <w:p>
            <w:pPr>
              <w:jc w:val="center"/>
              <w:ind w:left="19"/>
              <w:spacing w:after="0"/>
              <w:rPr>
                <w:sz w:val="20"/>
                <w:szCs w:val="20"/>
                <w:color w:val="auto"/>
              </w:rPr>
            </w:pPr>
            <w:r>
              <w:rPr>
                <w:rFonts w:ascii="Arial" w:cs="Arial" w:eastAsia="Arial" w:hAnsi="Arial"/>
                <w:sz w:val="14"/>
                <w:szCs w:val="14"/>
                <w:b w:val="1"/>
                <w:bCs w:val="1"/>
                <w:color w:val="auto"/>
                <w:w w:val="94"/>
              </w:rPr>
              <w:t>Amount</w:t>
            </w:r>
          </w:p>
        </w:tc>
        <w:tc>
          <w:tcPr>
            <w:tcW w:w="1840" w:type="dxa"/>
            <w:vAlign w:val="bottom"/>
            <w:tcBorders>
              <w:right w:val="single" w:sz="8" w:color="auto"/>
            </w:tcBorders>
          </w:tcPr>
          <w:p>
            <w:pPr>
              <w:jc w:val="center"/>
              <w:ind w:left="4"/>
              <w:spacing w:after="0" w:line="106" w:lineRule="exact"/>
              <w:rPr>
                <w:sz w:val="20"/>
                <w:szCs w:val="20"/>
                <w:color w:val="auto"/>
              </w:rPr>
            </w:pPr>
            <w:r>
              <w:rPr>
                <w:rFonts w:ascii="Arial" w:cs="Arial" w:eastAsia="Arial" w:hAnsi="Arial"/>
                <w:sz w:val="12"/>
                <w:szCs w:val="12"/>
                <w:b w:val="1"/>
                <w:bCs w:val="1"/>
                <w:color w:val="auto"/>
              </w:rPr>
              <w:t>Proposed</w:t>
            </w:r>
          </w:p>
        </w:tc>
        <w:tc>
          <w:tcPr>
            <w:tcW w:w="182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vMerge w:val="restart"/>
          </w:tcPr>
          <w:p>
            <w:pPr>
              <w:jc w:val="center"/>
              <w:ind w:left="602"/>
              <w:spacing w:after="0"/>
              <w:rPr>
                <w:sz w:val="20"/>
                <w:szCs w:val="20"/>
                <w:color w:val="auto"/>
              </w:rPr>
            </w:pPr>
            <w:r>
              <w:rPr>
                <w:rFonts w:ascii="Arial" w:cs="Arial" w:eastAsia="Arial" w:hAnsi="Arial"/>
                <w:sz w:val="14"/>
                <w:szCs w:val="14"/>
                <w:b w:val="1"/>
                <w:bCs w:val="1"/>
                <w:color w:val="auto"/>
                <w:w w:val="91"/>
              </w:rPr>
              <w:t>Title of Each Class of</w:t>
            </w:r>
          </w:p>
        </w:tc>
        <w:tc>
          <w:tcPr>
            <w:tcW w:w="7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vMerge w:val="continue"/>
          </w:tcPr>
          <w:p>
            <w:pPr>
              <w:spacing w:after="0"/>
              <w:rPr>
                <w:sz w:val="12"/>
                <w:szCs w:val="12"/>
                <w:color w:val="auto"/>
              </w:rPr>
            </w:pPr>
          </w:p>
        </w:tc>
        <w:tc>
          <w:tcPr>
            <w:tcW w:w="184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rPr>
              <w:t>Max</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vMerge w:val="continue"/>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19"/>
              <w:spacing w:after="0" w:line="149" w:lineRule="exact"/>
              <w:rPr>
                <w:sz w:val="20"/>
                <w:szCs w:val="20"/>
                <w:color w:val="auto"/>
              </w:rPr>
            </w:pPr>
            <w:r>
              <w:rPr>
                <w:rFonts w:ascii="Arial" w:cs="Arial" w:eastAsia="Arial" w:hAnsi="Arial"/>
                <w:sz w:val="14"/>
                <w:szCs w:val="14"/>
                <w:b w:val="1"/>
                <w:bCs w:val="1"/>
                <w:color w:val="auto"/>
                <w:w w:val="89"/>
              </w:rPr>
              <w:t>to be</w:t>
            </w:r>
          </w:p>
        </w:tc>
        <w:tc>
          <w:tcPr>
            <w:tcW w:w="184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20" w:type="dxa"/>
            <w:vAlign w:val="bottom"/>
            <w:tcBorders>
              <w:bottom w:val="single" w:sz="8" w:color="auto"/>
            </w:tcBorders>
          </w:tcPr>
          <w:p>
            <w:pPr>
              <w:jc w:val="center"/>
              <w:ind w:left="602"/>
              <w:spacing w:after="0"/>
              <w:rPr>
                <w:sz w:val="20"/>
                <w:szCs w:val="20"/>
                <w:color w:val="auto"/>
              </w:rPr>
            </w:pPr>
            <w:r>
              <w:rPr>
                <w:rFonts w:ascii="Arial" w:cs="Arial" w:eastAsia="Arial" w:hAnsi="Arial"/>
                <w:sz w:val="14"/>
                <w:szCs w:val="14"/>
                <w:b w:val="1"/>
                <w:bCs w:val="1"/>
                <w:color w:val="auto"/>
                <w:w w:val="89"/>
              </w:rPr>
              <w:t>Securities to be Registered</w:t>
            </w:r>
          </w:p>
        </w:tc>
        <w:tc>
          <w:tcPr>
            <w:tcW w:w="7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1"/>
              </w:rPr>
              <w:t>Registered</w:t>
            </w:r>
          </w:p>
        </w:tc>
        <w:tc>
          <w:tcPr>
            <w:tcW w:w="184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6"/>
              </w:rPr>
              <w:t>Per Unit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2.750% Notes due 2021</w:t>
            </w:r>
          </w:p>
        </w:tc>
        <w:tc>
          <w:tcPr>
            <w:tcW w:w="70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8"/>
                <w:szCs w:val="18"/>
                <w:color w:val="auto"/>
                <w:w w:val="88"/>
              </w:rPr>
              <w:t>$300,000,000</w:t>
            </w:r>
          </w:p>
        </w:tc>
        <w:tc>
          <w:tcPr>
            <w:tcW w:w="1840" w:type="dxa"/>
            <w:vAlign w:val="bottom"/>
            <w:tcBorders>
              <w:bottom w:val="single" w:sz="8" w:color="auto"/>
              <w:right w:val="single" w:sz="8" w:color="auto"/>
            </w:tcBorders>
          </w:tcPr>
          <w:p>
            <w:pPr>
              <w:jc w:val="right"/>
              <w:ind w:right="424"/>
              <w:spacing w:after="0"/>
              <w:rPr>
                <w:sz w:val="20"/>
                <w:szCs w:val="20"/>
                <w:color w:val="auto"/>
              </w:rPr>
            </w:pPr>
            <w:r>
              <w:rPr>
                <w:rFonts w:ascii="Arial" w:cs="Arial" w:eastAsia="Arial" w:hAnsi="Arial"/>
                <w:sz w:val="18"/>
                <w:szCs w:val="18"/>
                <w:color w:val="auto"/>
              </w:rPr>
              <w:t>102.279%</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$306,837,000</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$35,562.41</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2.625% Notes due 2024</w:t>
            </w:r>
          </w:p>
        </w:tc>
        <w:tc>
          <w:tcPr>
            <w:tcW w:w="70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8"/>
                <w:szCs w:val="18"/>
                <w:color w:val="auto"/>
                <w:w w:val="88"/>
              </w:rPr>
              <w:t>$300,000,000</w:t>
            </w:r>
          </w:p>
        </w:tc>
        <w:tc>
          <w:tcPr>
            <w:tcW w:w="1840" w:type="dxa"/>
            <w:vAlign w:val="bottom"/>
            <w:tcBorders>
              <w:bottom w:val="single" w:sz="8" w:color="auto"/>
              <w:right w:val="single" w:sz="8" w:color="auto"/>
            </w:tcBorders>
          </w:tcPr>
          <w:p>
            <w:pPr>
              <w:jc w:val="right"/>
              <w:ind w:right="484"/>
              <w:spacing w:after="0"/>
              <w:rPr>
                <w:sz w:val="20"/>
                <w:szCs w:val="20"/>
                <w:color w:val="auto"/>
              </w:rPr>
            </w:pPr>
            <w:r>
              <w:rPr>
                <w:rFonts w:ascii="Arial" w:cs="Arial" w:eastAsia="Arial" w:hAnsi="Arial"/>
                <w:sz w:val="18"/>
                <w:szCs w:val="18"/>
                <w:color w:val="auto"/>
              </w:rPr>
              <w:t>99.231%</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$297,693,000</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$34,502.62</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8"/>
                <w:szCs w:val="18"/>
                <w:color w:val="auto"/>
                <w:w w:val="88"/>
              </w:rPr>
              <w:t>$600,000,000</w:t>
            </w: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$604,530,000</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$70,065.03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333-209678</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February 24,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101600</wp:posOffset>
            </wp:positionV>
            <wp:extent cx="286448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80"/>
        <w:spacing w:after="0"/>
        <w:rPr>
          <w:sz w:val="20"/>
          <w:szCs w:val="20"/>
          <w:color w:val="auto"/>
        </w:rPr>
      </w:pPr>
      <w:r>
        <w:rPr>
          <w:rFonts w:ascii="Arial" w:cs="Arial" w:eastAsia="Arial" w:hAnsi="Arial"/>
          <w:sz w:val="32"/>
          <w:szCs w:val="32"/>
          <w:b w:val="1"/>
          <w:bCs w:val="1"/>
          <w:color w:val="auto"/>
        </w:rPr>
        <w:t>$300,000,000 2.750% Notes due 2021</w:t>
      </w:r>
    </w:p>
    <w:p>
      <w:pPr>
        <w:spacing w:after="0" w:line="33" w:lineRule="exact"/>
        <w:rPr>
          <w:sz w:val="20"/>
          <w:szCs w:val="20"/>
          <w:color w:val="auto"/>
        </w:rPr>
      </w:pPr>
    </w:p>
    <w:p>
      <w:pPr>
        <w:ind w:left="3180"/>
        <w:spacing w:after="0"/>
        <w:rPr>
          <w:sz w:val="20"/>
          <w:szCs w:val="20"/>
          <w:color w:val="auto"/>
        </w:rPr>
      </w:pPr>
      <w:r>
        <w:rPr>
          <w:rFonts w:ascii="Arial" w:cs="Arial" w:eastAsia="Arial" w:hAnsi="Arial"/>
          <w:sz w:val="32"/>
          <w:szCs w:val="32"/>
          <w:b w:val="1"/>
          <w:bCs w:val="1"/>
          <w:color w:val="auto"/>
        </w:rPr>
        <w:t>$300,000,000 2.625%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95250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Texas Instruments Incorporated is offering $300,000,000 aggregate principal amount of its 2.750% Notes due 2021 (the “2021 Notes”) and $300,000,000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 of its 2.625% Notes due 2024 (the “2024 Notes” and, together with the 2021 Notes, the “Notes”), which will bear interest 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rate per year for each series, as set forth above. The 2021 Notes will be a further issuance of, and will form a single series with, the $250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 of 2.750% Notes due 2021 issued on March 12, 2014 (the “Existing 2021 Notes”). Upon completion of this offering, we will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$550 million aggregate principal amount of outstanding 2.750% Notes due 2021. The 2021 Notes offered hereby will have the same terms (other than issue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to public and initial interest payment date) and will vote together as a single class, with the same CUSIP number as, and be fungible with, the Existing 2021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Interest on the 2021 Notes will be payable semi-annually in arrears on March 12 and September 12 of each year, beginning on September 12, 2017.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on the 2024 Notes will be payable semi-annually in arrears on May 15 and November 15 of each year, beginning on November 15, 2017.</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2021 Notes will mature on March 12, 2021 and the 2024 Notes will mature on May 15, 2024.</w:t>
      </w:r>
    </w:p>
    <w:p>
      <w:pPr>
        <w:spacing w:after="0" w:line="77" w:lineRule="exact"/>
        <w:rPr>
          <w:sz w:val="20"/>
          <w:szCs w:val="20"/>
          <w:color w:val="auto"/>
        </w:rPr>
      </w:pPr>
    </w:p>
    <w:p>
      <w:pPr>
        <w:ind w:right="720" w:firstLine="342"/>
        <w:spacing w:after="0" w:line="268" w:lineRule="auto"/>
        <w:rPr>
          <w:sz w:val="20"/>
          <w:szCs w:val="20"/>
          <w:color w:val="auto"/>
        </w:rPr>
      </w:pPr>
      <w:r>
        <w:rPr>
          <w:rFonts w:ascii="Arial" w:cs="Arial" w:eastAsia="Arial" w:hAnsi="Arial"/>
          <w:sz w:val="18"/>
          <w:szCs w:val="18"/>
          <w:color w:val="auto"/>
        </w:rPr>
        <w:t>We may redeem some or all of the Notes at any time, each at the redemption price indicated under the caption “Description of the Notes—Optional Redemption.”</w:t>
      </w:r>
    </w:p>
    <w:p>
      <w:pPr>
        <w:spacing w:after="0" w:line="37" w:lineRule="exact"/>
        <w:rPr>
          <w:sz w:val="20"/>
          <w:szCs w:val="20"/>
          <w:color w:val="auto"/>
        </w:rPr>
      </w:pPr>
    </w:p>
    <w:p>
      <w:pPr>
        <w:ind w:right="20" w:firstLine="342"/>
        <w:spacing w:after="0" w:line="268"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80645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1" w:lineRule="exact"/>
        <w:rPr>
          <w:sz w:val="20"/>
          <w:szCs w:val="20"/>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the Notes involves risks. See “</w:t>
      </w:r>
      <w:hyperlink w:anchor="page14">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S-8.</w:t>
      </w:r>
    </w:p>
    <w:p>
      <w:pPr>
        <w:spacing w:after="0" w:line="83" w:lineRule="exact"/>
        <w:rPr>
          <w:sz w:val="20"/>
          <w:szCs w:val="20"/>
          <w:color w:val="auto"/>
        </w:rPr>
      </w:pPr>
    </w:p>
    <w:p>
      <w:pPr>
        <w:ind w:right="140" w:firstLine="342"/>
        <w:spacing w:after="0" w:line="332" w:lineRule="auto"/>
        <w:rPr>
          <w:sz w:val="20"/>
          <w:szCs w:val="20"/>
          <w:color w:val="auto"/>
        </w:rPr>
      </w:pPr>
      <w:r>
        <w:rPr>
          <w:rFonts w:ascii="Arial" w:cs="Arial" w:eastAsia="Arial" w:hAnsi="Arial"/>
          <w:sz w:val="16"/>
          <w:szCs w:val="16"/>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42545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Per 2021 Note</w:t>
            </w:r>
          </w:p>
        </w:tc>
        <w:tc>
          <w:tcPr>
            <w:tcW w:w="8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Total</w:t>
            </w:r>
          </w:p>
        </w:tc>
        <w:tc>
          <w:tcPr>
            <w:tcW w:w="7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Per 2024 Note</w:t>
            </w:r>
          </w:p>
        </w:tc>
        <w:tc>
          <w:tcPr>
            <w:tcW w:w="8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CCEEFF"/>
            </w:tcBorders>
          </w:tcPr>
          <w:p>
            <w:pPr>
              <w:spacing w:after="0"/>
              <w:rPr>
                <w:sz w:val="14"/>
                <w:szCs w:val="14"/>
                <w:color w:val="auto"/>
              </w:rPr>
            </w:pPr>
          </w:p>
        </w:tc>
      </w:tr>
      <w:tr>
        <w:trPr>
          <w:trHeight w:val="210"/>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price(1)</w:t>
            </w: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102.279%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306,837,000</w:t>
            </w:r>
          </w:p>
        </w:tc>
        <w:tc>
          <w:tcPr>
            <w:tcW w:w="7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99.231%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297,693,000</w:t>
            </w: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Underwriting discount</w:t>
            </w: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0.300%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900,000</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0.400%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1,200,000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101.979%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7"/>
              </w:rPr>
              <w:t>305,937,000</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98.831%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296,493,000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(1)  In the case of the 2021 Notes, plus accrued interest from March 12, 2017.</w:t>
      </w:r>
    </w:p>
    <w:p>
      <w:pPr>
        <w:spacing w:after="0" w:line="77" w:lineRule="exact"/>
        <w:rPr>
          <w:sz w:val="20"/>
          <w:szCs w:val="20"/>
          <w:color w:val="auto"/>
        </w:rPr>
      </w:pPr>
    </w:p>
    <w:p>
      <w:pPr>
        <w:ind w:right="200" w:firstLine="342"/>
        <w:spacing w:after="0" w:line="268" w:lineRule="auto"/>
        <w:rPr>
          <w:sz w:val="20"/>
          <w:szCs w:val="20"/>
          <w:color w:val="auto"/>
        </w:rPr>
      </w:pPr>
      <w:r>
        <w:rPr>
          <w:rFonts w:ascii="Arial" w:cs="Arial" w:eastAsia="Arial" w:hAnsi="Arial"/>
          <w:sz w:val="18"/>
          <w:szCs w:val="18"/>
          <w:color w:val="auto"/>
        </w:rPr>
        <w:t>Interest on the 2021 Notes offered hereby will accrue from March 12, 2017. Interest on the 2024 Notes offered hereby will accrue from May 4, 2017 to the date of delivery.</w:t>
      </w:r>
    </w:p>
    <w:p>
      <w:pPr>
        <w:spacing w:after="0" w:line="37" w:lineRule="exact"/>
        <w:rPr>
          <w:sz w:val="20"/>
          <w:szCs w:val="20"/>
          <w:color w:val="auto"/>
        </w:rPr>
      </w:pPr>
    </w:p>
    <w:p>
      <w:pPr>
        <w:ind w:right="420" w:firstLine="342"/>
        <w:spacing w:after="0" w:line="268" w:lineRule="auto"/>
        <w:rPr>
          <w:sz w:val="20"/>
          <w:szCs w:val="20"/>
          <w:color w:val="auto"/>
        </w:rPr>
      </w:pPr>
      <w:r>
        <w:rPr>
          <w:rFonts w:ascii="Arial" w:cs="Arial" w:eastAsia="Arial" w:hAnsi="Arial"/>
          <w:sz w:val="18"/>
          <w:szCs w:val="18"/>
          <w:color w:val="auto"/>
        </w:rPr>
        <w:t>The underwriters expect to deliver the Notes to purchasers only in book-entry form through the facilities of The Depository Trust Company on or about May 4, 2017, which is the fifth business day following the date of this prospectus supplement.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80645</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44" w:lineRule="exact"/>
        <w:rPr>
          <w:sz w:val="20"/>
          <w:szCs w:val="20"/>
          <w:color w:val="auto"/>
        </w:rPr>
      </w:pPr>
    </w:p>
    <w:p>
      <w:pPr>
        <w:spacing w:after="0"/>
        <w:tabs>
          <w:tab w:leader="none" w:pos="4720" w:val="left"/>
          <w:tab w:leader="none" w:pos="10400" w:val="left"/>
        </w:tabs>
        <w:rPr>
          <w:sz w:val="20"/>
          <w:szCs w:val="20"/>
          <w:color w:val="auto"/>
        </w:rPr>
      </w:pPr>
      <w:r>
        <w:rPr>
          <w:rFonts w:ascii="Arial" w:cs="Arial" w:eastAsia="Arial" w:hAnsi="Arial"/>
          <w:sz w:val="32"/>
          <w:szCs w:val="32"/>
          <w:b w:val="1"/>
          <w:bCs w:val="1"/>
          <w:color w:val="auto"/>
        </w:rPr>
        <w:t>Citigroup</w:t>
      </w:r>
      <w:r>
        <w:rPr>
          <w:sz w:val="20"/>
          <w:szCs w:val="20"/>
          <w:color w:val="auto"/>
        </w:rPr>
        <w:tab/>
      </w:r>
      <w:r>
        <w:rPr>
          <w:rFonts w:ascii="Arial" w:cs="Arial" w:eastAsia="Arial" w:hAnsi="Arial"/>
          <w:sz w:val="32"/>
          <w:szCs w:val="32"/>
          <w:b w:val="1"/>
          <w:bCs w:val="1"/>
          <w:color w:val="auto"/>
        </w:rPr>
        <w:t>Morgan Stanley</w:t>
      </w:r>
      <w:r>
        <w:rPr>
          <w:sz w:val="20"/>
          <w:szCs w:val="20"/>
          <w:color w:val="auto"/>
        </w:rPr>
        <w:tab/>
      </w:r>
      <w:r>
        <w:rPr>
          <w:rFonts w:ascii="Arial" w:cs="Arial" w:eastAsia="Arial" w:hAnsi="Arial"/>
          <w:sz w:val="32"/>
          <w:szCs w:val="32"/>
          <w:b w:val="1"/>
          <w:bCs w:val="1"/>
          <w:color w:val="auto"/>
        </w:rPr>
        <w:t>MUFG</w:t>
      </w:r>
    </w:p>
    <w:p>
      <w:pPr>
        <w:spacing w:after="0" w:line="105" w:lineRule="exact"/>
        <w:rPr>
          <w:sz w:val="20"/>
          <w:szCs w:val="20"/>
          <w:color w:val="auto"/>
        </w:rPr>
      </w:pPr>
    </w:p>
    <w:p>
      <w:pPr>
        <w:spacing w:after="0"/>
        <w:tabs>
          <w:tab w:leader="none" w:pos="2380" w:val="left"/>
          <w:tab w:leader="none" w:pos="6060" w:val="left"/>
          <w:tab w:leader="none" w:pos="8900" w:val="left"/>
        </w:tabs>
        <w:rPr>
          <w:sz w:val="20"/>
          <w:szCs w:val="20"/>
          <w:color w:val="auto"/>
        </w:rPr>
      </w:pPr>
      <w:r>
        <w:rPr>
          <w:rFonts w:ascii="Arial" w:cs="Arial" w:eastAsia="Arial" w:hAnsi="Arial"/>
          <w:sz w:val="32"/>
          <w:szCs w:val="32"/>
          <w:b w:val="1"/>
          <w:bCs w:val="1"/>
          <w:color w:val="auto"/>
        </w:rPr>
        <w:t>Barclays</w:t>
      </w:r>
      <w:r>
        <w:rPr>
          <w:sz w:val="20"/>
          <w:szCs w:val="20"/>
          <w:color w:val="auto"/>
        </w:rPr>
        <w:tab/>
      </w:r>
      <w:r>
        <w:rPr>
          <w:rFonts w:ascii="Arial" w:cs="Arial" w:eastAsia="Arial" w:hAnsi="Arial"/>
          <w:sz w:val="32"/>
          <w:szCs w:val="32"/>
          <w:b w:val="1"/>
          <w:bCs w:val="1"/>
          <w:color w:val="auto"/>
        </w:rPr>
        <w:t>BofA Merrill Lynch</w:t>
      </w:r>
      <w:r>
        <w:rPr>
          <w:sz w:val="20"/>
          <w:szCs w:val="20"/>
          <w:color w:val="auto"/>
        </w:rPr>
        <w:tab/>
      </w:r>
      <w:r>
        <w:rPr>
          <w:rFonts w:ascii="Arial" w:cs="Arial" w:eastAsia="Arial" w:hAnsi="Arial"/>
          <w:sz w:val="32"/>
          <w:szCs w:val="32"/>
          <w:b w:val="1"/>
          <w:bCs w:val="1"/>
          <w:color w:val="auto"/>
        </w:rPr>
        <w:t>J.P. Morgan</w:t>
      </w:r>
      <w:r>
        <w:rPr>
          <w:sz w:val="20"/>
          <w:szCs w:val="20"/>
          <w:color w:val="auto"/>
        </w:rPr>
        <w:tab/>
      </w:r>
      <w:r>
        <w:rPr>
          <w:rFonts w:ascii="Arial" w:cs="Arial" w:eastAsia="Arial" w:hAnsi="Arial"/>
          <w:sz w:val="29"/>
          <w:szCs w:val="29"/>
          <w:b w:val="1"/>
          <w:bCs w:val="1"/>
          <w:color w:val="auto"/>
        </w:rPr>
        <w:t>Mizuho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109855</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Co-Managers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Bancorp</w:t>
      </w:r>
    </w:p>
    <w:p>
      <w:pPr>
        <w:spacing w:after="0" w:line="4" w:lineRule="exact"/>
        <w:rPr>
          <w:sz w:val="20"/>
          <w:szCs w:val="20"/>
          <w:color w:val="auto"/>
        </w:rPr>
      </w:pPr>
    </w:p>
    <w:p>
      <w:pPr>
        <w:ind w:left="2200"/>
        <w:spacing w:after="0"/>
        <w:rPr>
          <w:sz w:val="20"/>
          <w:szCs w:val="20"/>
          <w:color w:val="auto"/>
        </w:rPr>
      </w:pPr>
      <w:r>
        <w:rPr>
          <w:rFonts w:ascii="Arial" w:cs="Arial" w:eastAsia="Arial" w:hAnsi="Arial"/>
          <w:sz w:val="22"/>
          <w:szCs w:val="22"/>
          <w:b w:val="1"/>
          <w:bCs w:val="1"/>
          <w:color w:val="auto"/>
        </w:rPr>
        <w:t>The Williams Capital Group, L.P.</w:t>
      </w:r>
    </w:p>
    <w:p>
      <w:pPr>
        <w:ind w:left="7440"/>
        <w:spacing w:after="0" w:line="230" w:lineRule="auto"/>
        <w:rPr>
          <w:sz w:val="20"/>
          <w:szCs w:val="20"/>
          <w:color w:val="auto"/>
        </w:rPr>
      </w:pPr>
      <w:r>
        <w:rPr>
          <w:rFonts w:ascii="Arial" w:cs="Arial" w:eastAsia="Arial" w:hAnsi="Arial"/>
          <w:sz w:val="22"/>
          <w:szCs w:val="22"/>
          <w:b w:val="1"/>
          <w:bCs w:val="1"/>
          <w:color w:val="auto"/>
        </w:rPr>
        <w:t>BNP PARIBAS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HSBC</w:t>
      </w:r>
    </w:p>
    <w:p>
      <w:pPr>
        <w:sectPr>
          <w:pgSz w:w="11900" w:h="16838" w:orient="portrait"/>
          <w:cols w:equalWidth="0" w:num="1">
            <w:col w:w="11420"/>
          </w:cols>
          <w:pgMar w:left="240" w:top="459" w:right="239"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April 27, 2017</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20" w:lineRule="auto"/>
        <w:rPr>
          <w:sz w:val="20"/>
          <w:szCs w:val="20"/>
          <w:color w:val="auto"/>
        </w:rPr>
      </w:pPr>
      <w:r>
        <w:rPr>
          <w:rFonts w:ascii="Arial" w:cs="Arial" w:eastAsia="Arial" w:hAnsi="Arial"/>
          <w:sz w:val="15"/>
          <w:szCs w:val="15"/>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110490</wp:posOffset>
            </wp:positionV>
            <wp:extent cx="10890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380" w:type="dxa"/>
            <w:vAlign w:val="bottom"/>
            <w:gridSpan w:val="2"/>
          </w:tcPr>
          <w:p>
            <w:pPr>
              <w:jc w:val="right"/>
              <w:ind w:right="4614"/>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99"/>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960" w:type="dxa"/>
            <w:vAlign w:val="bottom"/>
            <w:vMerge w:val="restart"/>
          </w:tcPr>
          <w:p>
            <w:pPr>
              <w:jc w:val="right"/>
              <w:ind w:right="4612"/>
              <w:spacing w:after="0"/>
              <w:rPr>
                <w:sz w:val="20"/>
                <w:szCs w:val="20"/>
                <w:color w:val="auto"/>
              </w:rPr>
            </w:pPr>
            <w:r>
              <w:rPr>
                <w:rFonts w:ascii="Arial" w:cs="Arial" w:eastAsia="Arial" w:hAnsi="Arial"/>
                <w:sz w:val="18"/>
                <w:szCs w:val="18"/>
                <w:b w:val="1"/>
                <w:bCs w:val="1"/>
                <w:color w:val="auto"/>
              </w:rPr>
              <w:t>Prospectus Supplement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4"/>
        </w:trPr>
        <w:tc>
          <w:tcPr>
            <w:tcW w:w="3360" w:type="dxa"/>
            <w:vAlign w:val="bottom"/>
            <w:gridSpan w:val="18"/>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Notice Regarding Forward-Looking Statements</w:t>
              </w:r>
            </w:hyperlink>
          </w:p>
        </w:tc>
        <w:tc>
          <w:tcPr>
            <w:tcW w:w="620" w:type="dxa"/>
            <w:vAlign w:val="bottom"/>
            <w:gridSpan w:val="2"/>
            <w:vMerge w:val="restart"/>
          </w:tcPr>
          <w:p>
            <w:pPr>
              <w:spacing w:after="0"/>
              <w:rPr>
                <w:sz w:val="16"/>
                <w:szCs w:val="16"/>
                <w:color w:val="auto"/>
              </w:rPr>
            </w:pPr>
          </w:p>
        </w:tc>
        <w:tc>
          <w:tcPr>
            <w:tcW w:w="6960" w:type="dxa"/>
            <w:vAlign w:val="bottom"/>
            <w:vMerge w:val="continue"/>
          </w:tcPr>
          <w:p>
            <w:pPr>
              <w:spacing w:after="0"/>
              <w:rPr>
                <w:sz w:val="16"/>
                <w:szCs w:val="16"/>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91"/>
        </w:trPr>
        <w:tc>
          <w:tcPr>
            <w:tcW w:w="3360" w:type="dxa"/>
            <w:vAlign w:val="bottom"/>
            <w:tcBorders>
              <w:bottom w:val="single" w:sz="8" w:color="0000EE"/>
            </w:tcBorders>
            <w:gridSpan w:val="18"/>
            <w:vMerge w:val="continue"/>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69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About this Prospectus Supplement</w:t>
              </w:r>
            </w:hyperlink>
          </w:p>
        </w:tc>
        <w:tc>
          <w:tcPr>
            <w:tcW w:w="1540" w:type="dxa"/>
            <w:vAlign w:val="bottom"/>
            <w:gridSpan w:val="5"/>
          </w:tcPr>
          <w:p>
            <w:pPr>
              <w:spacing w:after="0"/>
              <w:rPr>
                <w:sz w:val="17"/>
                <w:szCs w:val="17"/>
                <w:color w:val="auto"/>
              </w:rPr>
            </w:pPr>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Summary</w:t>
              </w:r>
            </w:hyperlink>
          </w:p>
        </w:tc>
        <w:tc>
          <w:tcPr>
            <w:tcW w:w="3280" w:type="dxa"/>
            <w:vAlign w:val="bottom"/>
            <w:gridSpan w:val="18"/>
          </w:tcPr>
          <w:p>
            <w:pPr>
              <w:spacing w:after="0"/>
              <w:rPr>
                <w:sz w:val="17"/>
                <w:szCs w:val="17"/>
                <w:color w:val="auto"/>
              </w:rPr>
            </w:pPr>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3080" w:type="dxa"/>
            <w:vAlign w:val="bottom"/>
            <w:gridSpan w:val="17"/>
          </w:tcPr>
          <w:p>
            <w:pPr>
              <w:spacing w:after="0"/>
              <w:rPr>
                <w:sz w:val="17"/>
                <w:szCs w:val="17"/>
                <w:color w:val="auto"/>
              </w:rPr>
            </w:pPr>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Use of Proceeds</w:t>
              </w:r>
            </w:hyperlink>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2840" w:type="dxa"/>
            <w:vAlign w:val="bottom"/>
            <w:gridSpan w:val="14"/>
          </w:tcPr>
          <w:p>
            <w:pPr>
              <w:spacing w:after="0"/>
              <w:rPr>
                <w:sz w:val="17"/>
                <w:szCs w:val="17"/>
                <w:color w:val="auto"/>
              </w:rPr>
            </w:pPr>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Description of the Notes</w:t>
              </w:r>
            </w:hyperlink>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Material U.S. Federal Income Tax Consequences</w:t>
              </w:r>
            </w:hyperlink>
          </w:p>
        </w:tc>
        <w:tc>
          <w:tcPr>
            <w:tcW w:w="5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Underwriting</w:t>
              </w:r>
            </w:hyperlink>
          </w:p>
        </w:tc>
        <w:tc>
          <w:tcPr>
            <w:tcW w:w="3020" w:type="dxa"/>
            <w:vAlign w:val="bottom"/>
            <w:gridSpan w:val="16"/>
          </w:tcPr>
          <w:p>
            <w:pPr>
              <w:spacing w:after="0"/>
              <w:rPr>
                <w:sz w:val="17"/>
                <w:szCs w:val="17"/>
                <w:color w:val="auto"/>
              </w:rPr>
            </w:pPr>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S-25</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Validity of Securities</w:t>
              </w:r>
            </w:hyperlink>
          </w:p>
        </w:tc>
        <w:tc>
          <w:tcPr>
            <w:tcW w:w="2480" w:type="dxa"/>
            <w:vAlign w:val="bottom"/>
            <w:gridSpan w:val="10"/>
          </w:tcPr>
          <w:p>
            <w:pPr>
              <w:spacing w:after="0"/>
              <w:rPr>
                <w:sz w:val="17"/>
                <w:szCs w:val="17"/>
                <w:color w:val="auto"/>
              </w:rPr>
            </w:pPr>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S-31</w:t>
            </w:r>
          </w:p>
        </w:tc>
        <w:tc>
          <w:tcPr>
            <w:tcW w:w="0" w:type="dxa"/>
            <w:vAlign w:val="bottom"/>
          </w:tcPr>
          <w:p>
            <w:pPr>
              <w:spacing w:after="0"/>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Experts</w:t>
              </w:r>
            </w:hyperlink>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w:t>
              </w:r>
            </w:hyperlink>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S-31</w:t>
            </w:r>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380" w:type="dxa"/>
            <w:vAlign w:val="bottom"/>
            <w:gridSpan w:val="2"/>
          </w:tcPr>
          <w:p>
            <w:pPr>
              <w:jc w:val="right"/>
              <w:ind w:right="5494"/>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286"/>
        </w:trPr>
        <w:tc>
          <w:tcPr>
            <w:tcW w:w="3980" w:type="dxa"/>
            <w:vAlign w:val="bottom"/>
            <w:gridSpan w:val="2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The Company</w:t>
              </w:r>
            </w:hyperlink>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About this Prospectus</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Where You Can Find More Information</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Notice Regarding Forward-Looking Statements</w:t>
              </w:r>
            </w:hyperlink>
          </w:p>
        </w:tc>
        <w:tc>
          <w:tcPr>
            <w:tcW w:w="620" w:type="dxa"/>
            <w:vAlign w:val="bottom"/>
            <w:gridSpan w:val="2"/>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Use of Proceeds</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Ratios of Earnings to Fixed Charges</w:t>
              </w:r>
            </w:hyperlink>
          </w:p>
        </w:tc>
        <w:tc>
          <w:tcPr>
            <w:tcW w:w="1420" w:type="dxa"/>
            <w:vAlign w:val="bottom"/>
            <w:gridSpan w:val="4"/>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Description of Capital Stock</w:t>
              </w:r>
            </w:hyperlink>
          </w:p>
        </w:tc>
        <w:tc>
          <w:tcPr>
            <w:tcW w:w="1960" w:type="dxa"/>
            <w:vAlign w:val="bottom"/>
            <w:gridSpan w:val="7"/>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Description of Debt Securities</w:t>
              </w:r>
            </w:hyperlink>
          </w:p>
        </w:tc>
        <w:tc>
          <w:tcPr>
            <w:tcW w:w="1840" w:type="dxa"/>
            <w:vAlign w:val="bottom"/>
            <w:gridSpan w:val="6"/>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Description of Warrants</w:t>
              </w:r>
            </w:hyperlink>
          </w:p>
        </w:tc>
        <w:tc>
          <w:tcPr>
            <w:tcW w:w="2260" w:type="dxa"/>
            <w:vAlign w:val="bottom"/>
            <w:gridSpan w:val="8"/>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Description of Units</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9"/>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Forms of Securities</w:t>
              </w:r>
            </w:hyperlink>
          </w:p>
        </w:tc>
        <w:tc>
          <w:tcPr>
            <w:tcW w:w="2540" w:type="dxa"/>
            <w:vAlign w:val="bottom"/>
            <w:gridSpan w:val="11"/>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12"/>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Plan of Distribution</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2580" w:type="dxa"/>
            <w:vAlign w:val="bottom"/>
            <w:gridSpan w:val="12"/>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Validity of Securities</w:t>
              </w:r>
            </w:hyperlink>
          </w:p>
        </w:tc>
        <w:tc>
          <w:tcPr>
            <w:tcW w:w="2480" w:type="dxa"/>
            <w:vAlign w:val="bottom"/>
            <w:gridSpan w:val="10"/>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Experts</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6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37"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03"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we, our customers or our suppliers operate;</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Breaches or disruptions of our information technology systems or those of our customers or suppliers;</w:t>
      </w:r>
    </w:p>
    <w:p>
      <w:pPr>
        <w:spacing w:after="0" w:line="103"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or the ability to obtain needed third-party foundry and assembly/test subcontract services;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26" w:lineRule="exact"/>
        <w:rPr>
          <w:rFonts w:ascii="Arial" w:cs="Arial" w:eastAsia="Arial" w:hAnsi="Arial"/>
          <w:sz w:val="16"/>
          <w:szCs w:val="16"/>
          <w:color w:val="auto"/>
        </w:rPr>
      </w:pPr>
    </w:p>
    <w:p>
      <w:pPr>
        <w:ind w:left="660" w:right="80" w:hanging="206"/>
        <w:spacing w:after="0" w:line="325"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1" w:lineRule="exact"/>
        <w:rPr>
          <w:rFonts w:ascii="Arial" w:cs="Arial" w:eastAsia="Arial" w:hAnsi="Arial"/>
          <w:sz w:val="16"/>
          <w:szCs w:val="16"/>
          <w:color w:val="auto"/>
        </w:rPr>
      </w:pPr>
    </w:p>
    <w:p>
      <w:pPr>
        <w:ind w:left="660" w:right="28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37"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us as the result of changes in tax law, the jurisdictions in which profits are determined to be earned and taxed, adverse resolution of tax audits, increases in tariff rates and the ability to realize deferred tax assets;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our consigned inventory;</w:t>
      </w:r>
    </w:p>
    <w:p>
      <w:pPr>
        <w:spacing w:after="0" w:line="103" w:lineRule="exact"/>
        <w:rPr>
          <w:rFonts w:ascii="Arial" w:cs="Arial" w:eastAsia="Arial" w:hAnsi="Arial"/>
          <w:sz w:val="18"/>
          <w:szCs w:val="18"/>
          <w:color w:val="auto"/>
        </w:rPr>
      </w:pPr>
    </w:p>
    <w:p>
      <w:pPr>
        <w:ind w:left="660" w:right="74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a significant number of distributors;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00"/>
          </w:cols>
          <w:pgMar w:left="24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enforce a strong intellectual property portfolio and maintain freedom of operation; or our exposure to infringement claims;</w:t>
      </w:r>
    </w:p>
    <w:p>
      <w:pPr>
        <w:spacing w:after="0" w:line="126" w:lineRule="exact"/>
        <w:rPr>
          <w:rFonts w:ascii="Arial" w:cs="Arial" w:eastAsia="Arial" w:hAnsi="Arial"/>
          <w:sz w:val="16"/>
          <w:szCs w:val="16"/>
          <w:color w:val="auto"/>
        </w:rPr>
      </w:pPr>
    </w:p>
    <w:p>
      <w:pPr>
        <w:ind w:left="660" w:right="62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our business, make strategic acquisitions or make principal and interest payments on our debt;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w:t>
      </w:r>
    </w:p>
    <w:p>
      <w:pPr>
        <w:spacing w:after="0" w:line="103"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24, 2016. The accompanying prospectus contains a description of our debt securities and gives more general information, some of which may not apply to this offering.</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12"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474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9474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left="200" w:right="160" w:firstLine="443"/>
        <w:spacing w:after="0" w:line="256"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Texas Instruments Incorporated</w:t>
      </w:r>
    </w:p>
    <w:p>
      <w:pPr>
        <w:spacing w:after="0" w:line="83" w:lineRule="exact"/>
        <w:rPr>
          <w:sz w:val="20"/>
          <w:szCs w:val="20"/>
          <w:color w:val="auto"/>
        </w:rPr>
      </w:pPr>
    </w:p>
    <w:p>
      <w:pPr>
        <w:ind w:left="200" w:right="140" w:firstLine="443"/>
        <w:spacing w:after="0" w:line="33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83" w:lineRule="exact"/>
        <w:rPr>
          <w:sz w:val="20"/>
          <w:szCs w:val="20"/>
          <w:color w:val="auto"/>
        </w:rPr>
      </w:pPr>
    </w:p>
    <w:p>
      <w:pPr>
        <w:ind w:left="200" w:right="360" w:firstLine="443"/>
        <w:spacing w:after="0" w:line="268" w:lineRule="auto"/>
        <w:rPr>
          <w:sz w:val="20"/>
          <w:szCs w:val="20"/>
          <w:color w:val="auto"/>
        </w:rPr>
      </w:pPr>
      <w:r>
        <w:rPr>
          <w:rFonts w:ascii="Arial" w:cs="Arial" w:eastAsia="Arial" w:hAnsi="Arial"/>
          <w:sz w:val="18"/>
          <w:szCs w:val="18"/>
          <w:color w:val="auto"/>
        </w:rPr>
        <w:t>On April 25, 2017, we announced our results of operations as of and for the three months ended March 31, 2017. A summary of these results is as follows: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of 1Q17 Results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5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(millions of dollars, except per-share amounts)</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7"/>
              </w:rPr>
              <w:t>1Q17</w:t>
            </w:r>
          </w:p>
        </w:tc>
        <w:tc>
          <w:tcPr>
            <w:tcW w:w="2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1Q16(1)</w:t>
            </w:r>
          </w:p>
        </w:tc>
        <w:tc>
          <w:tcPr>
            <w:tcW w:w="6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tcBorders>
              <w:bottom w:val="single" w:sz="8" w:color="CCEEFF"/>
            </w:tcBorders>
          </w:tcPr>
          <w:p>
            <w:pPr>
              <w:spacing w:after="0"/>
              <w:rPr>
                <w:sz w:val="14"/>
                <w:szCs w:val="14"/>
                <w:color w:val="auto"/>
              </w:rPr>
            </w:pPr>
          </w:p>
        </w:tc>
      </w:tr>
      <w:tr>
        <w:trPr>
          <w:trHeight w:val="210"/>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3,008</w:t>
            </w: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Operating profit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1,252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984</w:t>
            </w:r>
            <w:r>
              <w:rPr>
                <w:rFonts w:ascii="Arial" w:cs="Arial" w:eastAsia="Arial" w:hAnsi="Arial"/>
                <w:sz w:val="11"/>
                <w:szCs w:val="11"/>
                <w:color w:val="auto"/>
              </w:rPr>
              <w:t>(2)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.69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bl>
    <w:p>
      <w:pPr>
        <w:spacing w:after="0" w:line="140" w:lineRule="exact"/>
        <w:rPr>
          <w:sz w:val="20"/>
          <w:szCs w:val="20"/>
          <w:color w:val="auto"/>
        </w:rPr>
      </w:pPr>
    </w:p>
    <w:p>
      <w:pPr>
        <w:ind w:left="620" w:right="600" w:hanging="423"/>
        <w:spacing w:after="0" w:line="254"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amounts in the prior period have been adjusted to reflect the fourth quarter 2016 early adoption of ASU 2016-09 related to stock-based compensation.</w:t>
      </w:r>
    </w:p>
    <w:p>
      <w:pPr>
        <w:ind w:left="620" w:right="320" w:hanging="423"/>
        <w:spacing w:after="0" w:line="261"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amount has been adjusted to reflect our first quarter 2017 early adoption of ASU 2017-07 related to the reclassification of certain pension and other retiree benefit costs to Other income (expense), net.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1Q17 Additional Financial Information</w:t>
      </w:r>
    </w:p>
    <w:p>
      <w:pPr>
        <w:spacing w:after="0" w:line="77" w:lineRule="exact"/>
        <w:rPr>
          <w:sz w:val="20"/>
          <w:szCs w:val="20"/>
          <w:color w:val="auto"/>
        </w:rPr>
      </w:pPr>
    </w:p>
    <w:p>
      <w:pPr>
        <w:ind w:left="840" w:hanging="211"/>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first quarter, Analog revenue grew 20% and Embedded Processing revenue grew 10% from the same quarter a year ago.</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Cash and short-term investments were $3.0 billion at the end of the quarter, about 80 percent of which was owned by our U.S. entities.</w:t>
      </w:r>
    </w:p>
    <w:p>
      <w:pPr>
        <w:spacing w:after="0" w:line="126" w:lineRule="exact"/>
        <w:rPr>
          <w:rFonts w:ascii="Arial" w:cs="Arial" w:eastAsia="Arial" w:hAnsi="Arial"/>
          <w:sz w:val="16"/>
          <w:szCs w:val="16"/>
          <w:color w:val="auto"/>
        </w:rPr>
      </w:pPr>
    </w:p>
    <w:p>
      <w:pPr>
        <w:ind w:left="840" w:right="20" w:hanging="211"/>
        <w:spacing w:after="0" w:line="268"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flows from operating activities in the first quarter were $795 million. For the trailing twelve months, cash flows from operating activities were $4.8 billion, as compared with $4.3 billion in the year-ago trailing twelve-month period.</w:t>
      </w:r>
    </w:p>
    <w:p>
      <w:pPr>
        <w:spacing w:after="0" w:line="37" w:lineRule="exact"/>
        <w:rPr>
          <w:rFonts w:ascii="Arial" w:cs="Arial" w:eastAsia="Arial" w:hAnsi="Arial"/>
          <w:sz w:val="18"/>
          <w:szCs w:val="18"/>
          <w:color w:val="auto"/>
        </w:rPr>
      </w:pPr>
    </w:p>
    <w:p>
      <w:pPr>
        <w:ind w:left="840" w:right="300" w:hanging="211"/>
        <w:spacing w:after="0" w:line="268"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in the first quarter was $668 million. For the trailing twelve months, free cash flow was $4.2 billion, or 31 percent of revenue, as compared with $3.8 billion, or 30 percent of revenue, in the year-ago trailing twelve-month period.</w:t>
      </w:r>
    </w:p>
    <w:p>
      <w:pPr>
        <w:spacing w:after="0" w:line="37" w:lineRule="exact"/>
        <w:rPr>
          <w:rFonts w:ascii="Arial" w:cs="Arial" w:eastAsia="Arial" w:hAnsi="Arial"/>
          <w:sz w:val="18"/>
          <w:szCs w:val="18"/>
          <w:color w:val="auto"/>
        </w:rPr>
      </w:pPr>
    </w:p>
    <w:p>
      <w:pPr>
        <w:ind w:left="840" w:right="220" w:hanging="211"/>
        <w:spacing w:after="0" w:line="268"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returned $1.1 billion in the first quarter to shareholders through stock repurchases and dividends. For the trailing twelve months, the return to shareholders totaled $3.8 billion.</w:t>
      </w:r>
    </w:p>
    <w:p>
      <w:pPr>
        <w:spacing w:after="0" w:line="118"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Free cash flow is Cash flows from operating activities minus Capital expenditures. Free cash flow and the ratios based on it are non-GAAP financial measures. For a reconciliation of these measures to the most directly comparable measures under generally accepted accounting principles in the United States (“GAAP”), see “Non-GAAP Financial Information” below.</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340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33401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1Q17 Segment Results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460" w:type="dxa"/>
            <w:vAlign w:val="bottom"/>
          </w:tcPr>
          <w:p>
            <w:pPr>
              <w:spacing w:after="0"/>
              <w:rPr>
                <w:sz w:val="20"/>
                <w:szCs w:val="20"/>
                <w:color w:val="auto"/>
              </w:rPr>
            </w:pPr>
            <w:r>
              <w:rPr>
                <w:rFonts w:ascii="Arial" w:cs="Arial" w:eastAsia="Arial" w:hAnsi="Arial"/>
                <w:sz w:val="14"/>
                <w:szCs w:val="14"/>
                <w:b w:val="1"/>
                <w:bCs w:val="1"/>
                <w:color w:val="auto"/>
              </w:rPr>
              <w:t>(millions of dollars)</w:t>
            </w:r>
          </w:p>
        </w:tc>
        <w:tc>
          <w:tcPr>
            <w:tcW w:w="10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1Q17</w:t>
            </w:r>
          </w:p>
        </w:tc>
        <w:tc>
          <w:tcPr>
            <w:tcW w:w="100" w:type="dxa"/>
            <w:vAlign w:val="bottom"/>
          </w:tcPr>
          <w:p>
            <w:pPr>
              <w:spacing w:after="0"/>
              <w:rPr>
                <w:sz w:val="14"/>
                <w:szCs w:val="14"/>
                <w:color w:val="auto"/>
              </w:rPr>
            </w:pPr>
          </w:p>
        </w:tc>
        <w:tc>
          <w:tcPr>
            <w:tcW w:w="10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1"/>
              </w:rPr>
              <w:t>1Q16</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r>
      <w:tr>
        <w:trPr>
          <w:trHeight w:val="196"/>
        </w:trPr>
        <w:tc>
          <w:tcPr>
            <w:tcW w:w="8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Analog:</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8460" w:type="dxa"/>
            <w:vAlign w:val="bottom"/>
          </w:tcPr>
          <w:p>
            <w:pPr>
              <w:ind w:left="44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2,256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w w:val="84"/>
              </w:rPr>
              <w:t>1,879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8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00"/>
              <w:spacing w:after="0" w:line="216" w:lineRule="exact"/>
              <w:rPr>
                <w:sz w:val="20"/>
                <w:szCs w:val="20"/>
                <w:color w:val="auto"/>
              </w:rPr>
            </w:pPr>
            <w:r>
              <w:rPr>
                <w:rFonts w:ascii="Arial" w:cs="Arial" w:eastAsia="Arial" w:hAnsi="Arial"/>
                <w:sz w:val="25"/>
                <w:szCs w:val="25"/>
                <w:color w:val="auto"/>
                <w:vertAlign w:val="subscript"/>
              </w:rPr>
              <w:t>688</w:t>
            </w:r>
            <w:r>
              <w:rPr>
                <w:rFonts w:ascii="Arial" w:cs="Arial" w:eastAsia="Arial" w:hAnsi="Arial"/>
                <w:sz w:val="10"/>
                <w:szCs w:val="10"/>
                <w:color w:val="auto"/>
              </w:rPr>
              <w:t>(1)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Embedded Processing:</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8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46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187</w:t>
            </w:r>
            <w:r>
              <w:rPr>
                <w:rFonts w:ascii="Arial" w:cs="Arial" w:eastAsia="Arial" w:hAnsi="Arial"/>
                <w:sz w:val="11"/>
                <w:szCs w:val="11"/>
                <w:color w:val="auto"/>
              </w:rPr>
              <w:t>(1)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8460" w:type="dxa"/>
            <w:vAlign w:val="bottom"/>
          </w:tcPr>
          <w:p>
            <w:pPr>
              <w:ind w:left="44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343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400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8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00"/>
              <w:spacing w:after="0" w:line="217" w:lineRule="exact"/>
              <w:rPr>
                <w:sz w:val="20"/>
                <w:szCs w:val="20"/>
                <w:color w:val="auto"/>
              </w:rPr>
            </w:pPr>
            <w:r>
              <w:rPr>
                <w:rFonts w:ascii="Arial" w:cs="Arial" w:eastAsia="Arial" w:hAnsi="Arial"/>
                <w:sz w:val="18"/>
                <w:szCs w:val="18"/>
                <w:color w:val="auto"/>
              </w:rPr>
              <w:t>109</w:t>
            </w:r>
            <w:r>
              <w:rPr>
                <w:rFonts w:ascii="Arial" w:cs="Arial" w:eastAsia="Arial" w:hAnsi="Arial"/>
                <w:sz w:val="22"/>
                <w:szCs w:val="22"/>
                <w:color w:val="auto"/>
                <w:vertAlign w:val="superscript"/>
              </w:rPr>
              <w:t>(1)</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bl>
    <w:p>
      <w:pPr>
        <w:spacing w:after="0" w:line="140" w:lineRule="exact"/>
        <w:rPr>
          <w:sz w:val="20"/>
          <w:szCs w:val="20"/>
          <w:color w:val="auto"/>
        </w:rPr>
      </w:pPr>
    </w:p>
    <w:p>
      <w:pPr>
        <w:ind w:left="620" w:right="40" w:hanging="423"/>
        <w:spacing w:after="0" w:line="268"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amounts have been adjusted to reflect our first quarter 2017 early adoption of ASU 2017-07 related to the reclassification of certain pension and other retiree benefit costs to Other income (expense), net.</w:t>
      </w:r>
    </w:p>
    <w:p>
      <w:pPr>
        <w:spacing w:after="0" w:line="389"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2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04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9042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83" w:lineRule="exact"/>
        <w:rPr>
          <w:sz w:val="20"/>
          <w:szCs w:val="20"/>
          <w:color w:val="auto"/>
        </w:rPr>
      </w:pPr>
    </w:p>
    <w:p>
      <w:pPr>
        <w:ind w:left="200" w:right="540" w:firstLine="443"/>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ind w:left="200"/>
              <w:spacing w:after="0"/>
              <w:rPr>
                <w:sz w:val="20"/>
                <w:szCs w:val="20"/>
                <w:color w:val="auto"/>
              </w:rPr>
            </w:pPr>
            <w:r>
              <w:rPr>
                <w:rFonts w:ascii="Arial" w:cs="Arial" w:eastAsia="Arial" w:hAnsi="Arial"/>
                <w:sz w:val="18"/>
                <w:szCs w:val="18"/>
                <w:color w:val="auto"/>
              </w:rPr>
              <w:t>Issuer</w:t>
            </w:r>
          </w:p>
        </w:tc>
        <w:tc>
          <w:tcPr>
            <w:tcW w:w="8340" w:type="dxa"/>
            <w:vAlign w:val="bottom"/>
          </w:tcPr>
          <w:p>
            <w:pPr>
              <w:ind w:left="1280"/>
              <w:spacing w:after="0"/>
              <w:rPr>
                <w:sz w:val="20"/>
                <w:szCs w:val="20"/>
                <w:color w:val="auto"/>
              </w:rPr>
            </w:pPr>
            <w:r>
              <w:rPr>
                <w:rFonts w:ascii="Arial" w:cs="Arial" w:eastAsia="Arial" w:hAnsi="Arial"/>
                <w:sz w:val="18"/>
                <w:szCs w:val="18"/>
                <w:color w:val="auto"/>
              </w:rPr>
              <w:t>Texas Instruments Incorporated.</w:t>
            </w:r>
          </w:p>
        </w:tc>
      </w:tr>
      <w:tr>
        <w:trPr>
          <w:trHeight w:val="378"/>
        </w:trPr>
        <w:tc>
          <w:tcPr>
            <w:tcW w:w="31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40" w:type="dxa"/>
            <w:vAlign w:val="bottom"/>
          </w:tcPr>
          <w:p>
            <w:pPr>
              <w:ind w:left="1280"/>
              <w:spacing w:after="0"/>
              <w:rPr>
                <w:sz w:val="20"/>
                <w:szCs w:val="20"/>
                <w:color w:val="auto"/>
              </w:rPr>
            </w:pPr>
            <w:r>
              <w:rPr>
                <w:rFonts w:ascii="Arial" w:cs="Arial" w:eastAsia="Arial" w:hAnsi="Arial"/>
                <w:sz w:val="18"/>
                <w:szCs w:val="18"/>
                <w:color w:val="auto"/>
                <w:w w:val="99"/>
              </w:rPr>
              <w:t>$300,000,000 aggregate principal amount of 2.750% Notes due 2021 (the “2021 Notes”).</w:t>
            </w:r>
          </w:p>
        </w:tc>
      </w:tr>
      <w:tr>
        <w:trPr>
          <w:trHeight w:val="473"/>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9"/>
              </w:rPr>
              <w:t>$300,000,000 aggregate principal amount of 2.625% Notes due 2024 (the “2024 Notes”).</w:t>
            </w:r>
          </w:p>
        </w:tc>
      </w:tr>
      <w:tr>
        <w:trPr>
          <w:trHeight w:val="453"/>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3"/>
              </w:rPr>
              <w:t>The 2021 Notes will be a further issuance of and will form a single series with, the $250 million</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2"/>
              </w:rPr>
              <w:t>aggregate principal amount of 2.750% Notes due 2021 issued on March 12, 2014 (the “Existing</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3"/>
              </w:rPr>
              <w:t>2021 Notes”). The 2021 Notes offered hereby will have the same terms (other than issue date,</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2"/>
              </w:rPr>
              <w:t>price to public and initial interest payment date) and will vote together as a single class, with the</w:t>
            </w:r>
          </w:p>
        </w:tc>
      </w:tr>
      <w:tr>
        <w:trPr>
          <w:trHeight w:val="222"/>
        </w:trPr>
        <w:tc>
          <w:tcPr>
            <w:tcW w:w="3120" w:type="dxa"/>
            <w:vAlign w:val="bottom"/>
          </w:tcPr>
          <w:p>
            <w:pPr>
              <w:spacing w:after="0"/>
              <w:rPr>
                <w:sz w:val="19"/>
                <w:szCs w:val="19"/>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same CUSIP number as, and be fungible with, the Existing 2021 Notes.</w:t>
            </w:r>
          </w:p>
        </w:tc>
      </w:tr>
      <w:tr>
        <w:trPr>
          <w:trHeight w:val="365"/>
        </w:trPr>
        <w:tc>
          <w:tcPr>
            <w:tcW w:w="3120" w:type="dxa"/>
            <w:vAlign w:val="bottom"/>
          </w:tcPr>
          <w:p>
            <w:pPr>
              <w:ind w:left="200"/>
              <w:spacing w:after="0"/>
              <w:rPr>
                <w:sz w:val="20"/>
                <w:szCs w:val="20"/>
                <w:color w:val="auto"/>
              </w:rPr>
            </w:pPr>
            <w:r>
              <w:rPr>
                <w:rFonts w:ascii="Arial" w:cs="Arial" w:eastAsia="Arial" w:hAnsi="Arial"/>
                <w:sz w:val="18"/>
                <w:szCs w:val="18"/>
                <w:color w:val="auto"/>
              </w:rPr>
              <w:t>Maturity Date</w:t>
            </w:r>
          </w:p>
        </w:tc>
        <w:tc>
          <w:tcPr>
            <w:tcW w:w="8340" w:type="dxa"/>
            <w:vAlign w:val="bottom"/>
          </w:tcPr>
          <w:p>
            <w:pPr>
              <w:ind w:left="1280"/>
              <w:spacing w:after="0"/>
              <w:rPr>
                <w:sz w:val="20"/>
                <w:szCs w:val="20"/>
                <w:color w:val="auto"/>
              </w:rPr>
            </w:pPr>
            <w:r>
              <w:rPr>
                <w:rFonts w:ascii="Arial" w:cs="Arial" w:eastAsia="Arial" w:hAnsi="Arial"/>
                <w:sz w:val="18"/>
                <w:szCs w:val="18"/>
                <w:color w:val="auto"/>
              </w:rPr>
              <w:t>March 12, 2021 for the 2021 Notes.</w:t>
            </w:r>
          </w:p>
        </w:tc>
      </w:tr>
      <w:tr>
        <w:trPr>
          <w:trHeight w:val="473"/>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May 15, 2024 for the 2024 Notes.</w:t>
            </w:r>
          </w:p>
        </w:tc>
      </w:tr>
      <w:tr>
        <w:trPr>
          <w:trHeight w:val="365"/>
        </w:trPr>
        <w:tc>
          <w:tcPr>
            <w:tcW w:w="3120" w:type="dxa"/>
            <w:vAlign w:val="bottom"/>
          </w:tcPr>
          <w:p>
            <w:pPr>
              <w:ind w:left="200"/>
              <w:spacing w:after="0"/>
              <w:rPr>
                <w:sz w:val="20"/>
                <w:szCs w:val="20"/>
                <w:color w:val="auto"/>
              </w:rPr>
            </w:pPr>
            <w:r>
              <w:rPr>
                <w:rFonts w:ascii="Arial" w:cs="Arial" w:eastAsia="Arial" w:hAnsi="Arial"/>
                <w:sz w:val="18"/>
                <w:szCs w:val="18"/>
                <w:color w:val="auto"/>
              </w:rPr>
              <w:t>Issue Date</w:t>
            </w:r>
          </w:p>
        </w:tc>
        <w:tc>
          <w:tcPr>
            <w:tcW w:w="8340" w:type="dxa"/>
            <w:vAlign w:val="bottom"/>
          </w:tcPr>
          <w:p>
            <w:pPr>
              <w:ind w:left="1280"/>
              <w:spacing w:after="0"/>
              <w:rPr>
                <w:sz w:val="20"/>
                <w:szCs w:val="20"/>
                <w:color w:val="auto"/>
              </w:rPr>
            </w:pPr>
            <w:r>
              <w:rPr>
                <w:rFonts w:ascii="Arial" w:cs="Arial" w:eastAsia="Arial" w:hAnsi="Arial"/>
                <w:sz w:val="18"/>
                <w:szCs w:val="18"/>
                <w:color w:val="auto"/>
              </w:rPr>
              <w:t>May 4, 2017.</w:t>
            </w:r>
          </w:p>
        </w:tc>
      </w:tr>
      <w:tr>
        <w:trPr>
          <w:trHeight w:val="378"/>
        </w:trPr>
        <w:tc>
          <w:tcPr>
            <w:tcW w:w="312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40" w:type="dxa"/>
            <w:vAlign w:val="bottom"/>
          </w:tcPr>
          <w:p>
            <w:pPr>
              <w:ind w:left="1280"/>
              <w:spacing w:after="0"/>
              <w:rPr>
                <w:sz w:val="20"/>
                <w:szCs w:val="20"/>
                <w:color w:val="auto"/>
              </w:rPr>
            </w:pPr>
            <w:r>
              <w:rPr>
                <w:rFonts w:ascii="Arial" w:cs="Arial" w:eastAsia="Arial" w:hAnsi="Arial"/>
                <w:sz w:val="18"/>
                <w:szCs w:val="18"/>
                <w:color w:val="auto"/>
              </w:rPr>
              <w:t>Fixed rate of 2.750% for the 2021 Notes.</w:t>
            </w:r>
          </w:p>
        </w:tc>
      </w:tr>
      <w:tr>
        <w:trPr>
          <w:trHeight w:val="473"/>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Fixed rate of 2.625% for the 2024 Notes.</w:t>
            </w:r>
          </w:p>
        </w:tc>
      </w:tr>
      <w:tr>
        <w:trPr>
          <w:trHeight w:val="358"/>
        </w:trPr>
        <w:tc>
          <w:tcPr>
            <w:tcW w:w="31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40" w:type="dxa"/>
            <w:vAlign w:val="bottom"/>
          </w:tcPr>
          <w:p>
            <w:pPr>
              <w:ind w:left="1280"/>
              <w:spacing w:after="0"/>
              <w:rPr>
                <w:sz w:val="20"/>
                <w:szCs w:val="20"/>
                <w:color w:val="auto"/>
              </w:rPr>
            </w:pPr>
            <w:r>
              <w:rPr>
                <w:rFonts w:ascii="Arial" w:cs="Arial" w:eastAsia="Arial" w:hAnsi="Arial"/>
                <w:sz w:val="18"/>
                <w:szCs w:val="18"/>
                <w:color w:val="auto"/>
                <w:w w:val="90"/>
              </w:rPr>
              <w:t>Each March 12 and September 12 beginning on September 12, 2017, and on the maturity date for</w:t>
            </w:r>
          </w:p>
        </w:tc>
      </w:tr>
      <w:tr>
        <w:trPr>
          <w:trHeight w:val="222"/>
        </w:trPr>
        <w:tc>
          <w:tcPr>
            <w:tcW w:w="3120" w:type="dxa"/>
            <w:vAlign w:val="bottom"/>
          </w:tcPr>
          <w:p>
            <w:pPr>
              <w:spacing w:after="0"/>
              <w:rPr>
                <w:sz w:val="19"/>
                <w:szCs w:val="19"/>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6"/>
              </w:rPr>
              <w:t>the 2021 Notes. Interest on the 2021 Notes offered hereby will accrue from March 12, 2017.</w:t>
            </w:r>
          </w:p>
        </w:tc>
      </w:tr>
      <w:tr>
        <w:trPr>
          <w:trHeight w:val="358"/>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3"/>
              </w:rPr>
              <w:t>Each May 15 and November 15 beginning on November 15, 2017, and on the maturity date for</w:t>
            </w:r>
          </w:p>
        </w:tc>
      </w:tr>
      <w:tr>
        <w:trPr>
          <w:trHeight w:val="222"/>
        </w:trPr>
        <w:tc>
          <w:tcPr>
            <w:tcW w:w="3120" w:type="dxa"/>
            <w:vAlign w:val="bottom"/>
          </w:tcPr>
          <w:p>
            <w:pPr>
              <w:spacing w:after="0"/>
              <w:rPr>
                <w:sz w:val="19"/>
                <w:szCs w:val="19"/>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the 2024 Notes.</w:t>
            </w:r>
          </w:p>
        </w:tc>
      </w:tr>
      <w:tr>
        <w:trPr>
          <w:trHeight w:val="358"/>
        </w:trPr>
        <w:tc>
          <w:tcPr>
            <w:tcW w:w="31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40" w:type="dxa"/>
            <w:vAlign w:val="bottom"/>
          </w:tcPr>
          <w:p>
            <w:pPr>
              <w:ind w:left="1280"/>
              <w:spacing w:after="0"/>
              <w:rPr>
                <w:sz w:val="20"/>
                <w:szCs w:val="20"/>
                <w:color w:val="auto"/>
              </w:rPr>
            </w:pPr>
            <w:r>
              <w:rPr>
                <w:rFonts w:ascii="Arial" w:cs="Arial" w:eastAsia="Arial" w:hAnsi="Arial"/>
                <w:sz w:val="18"/>
                <w:szCs w:val="18"/>
                <w:color w:val="auto"/>
                <w:w w:val="94"/>
              </w:rPr>
              <w:t>The Notes will be the senior unsecured obligations of Texas Instruments Incorporated and will</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3"/>
              </w:rPr>
              <w:t>rank equally with all of its existing and future senior indebtedness from time to time outstanding</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6"/>
              </w:rPr>
              <w:t>(including the Existing 2021 Notes). All existing and future liabilities of subsidiaries of Texas</w:t>
            </w:r>
          </w:p>
        </w:tc>
      </w:tr>
      <w:tr>
        <w:trPr>
          <w:trHeight w:val="222"/>
        </w:trPr>
        <w:tc>
          <w:tcPr>
            <w:tcW w:w="3120" w:type="dxa"/>
            <w:vAlign w:val="bottom"/>
          </w:tcPr>
          <w:p>
            <w:pPr>
              <w:spacing w:after="0"/>
              <w:rPr>
                <w:sz w:val="19"/>
                <w:szCs w:val="19"/>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Instruments Incorporated will be effectively senior to the Notes.</w:t>
            </w:r>
          </w:p>
        </w:tc>
      </w:tr>
      <w:tr>
        <w:trPr>
          <w:trHeight w:val="358"/>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6"/>
              </w:rPr>
              <w:t>As of December 31, 2016, Texas Instruments Incorporated had approximately $3.6 billion of</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3"/>
              </w:rPr>
              <w:t>outstanding indebtedness. As of December 31, 2016, we had approximately $6.0 billion of total</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1"/>
              </w:rPr>
              <w:t>liabilities on a consolidated basis. Of this amount, subsidiaries of Texas Instruments Incorporated</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had approximately $0.8 billion of liabilities (including trade payables and excluding</w:t>
            </w:r>
          </w:p>
        </w:tc>
      </w:tr>
      <w:tr>
        <w:trPr>
          <w:trHeight w:val="222"/>
        </w:trPr>
        <w:tc>
          <w:tcPr>
            <w:tcW w:w="3120" w:type="dxa"/>
            <w:vAlign w:val="bottom"/>
          </w:tcPr>
          <w:p>
            <w:pPr>
              <w:spacing w:after="0"/>
              <w:rPr>
                <w:sz w:val="19"/>
                <w:szCs w:val="19"/>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intercompany debt) to which the Notes will be effectively subordinated.</w:t>
            </w:r>
          </w:p>
        </w:tc>
      </w:tr>
      <w:tr>
        <w:trPr>
          <w:trHeight w:val="161"/>
        </w:trPr>
        <w:tc>
          <w:tcPr>
            <w:tcW w:w="3120" w:type="dxa"/>
            <w:vAlign w:val="bottom"/>
            <w:tcBorders>
              <w:bottom w:val="single" w:sz="8" w:color="auto"/>
            </w:tcBorders>
          </w:tcPr>
          <w:p>
            <w:pPr>
              <w:spacing w:after="0"/>
              <w:rPr>
                <w:sz w:val="13"/>
                <w:szCs w:val="13"/>
                <w:color w:val="auto"/>
              </w:rPr>
            </w:pPr>
          </w:p>
        </w:tc>
        <w:tc>
          <w:tcPr>
            <w:tcW w:w="8340" w:type="dxa"/>
            <w:vAlign w:val="bottom"/>
            <w:tcBorders>
              <w:bottom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8340" w:type="dxa"/>
            <w:vAlign w:val="bottom"/>
          </w:tcPr>
          <w:p>
            <w:pPr>
              <w:ind w:left="248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1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Form and Denomination</w:t>
            </w:r>
          </w:p>
        </w:tc>
        <w:tc>
          <w:tcPr>
            <w:tcW w:w="830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6"/>
              </w:rPr>
              <w:t>The Notes will be issued in the form of one or more fully registered global securities, without</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coupons, in denominations of $2,000 in principal amount and integral multiples of $1,000 in</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excess thereof. These global notes will be deposited with the trustee as custodian for, and</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registered in the name of, a nominee of The Depository Trust Company, or DTC. Except in the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limited circumstances described under “Description of the Notes—Book-Entry; Delivery and</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Form; Global Note,” Notes in certificated form will not be issued or exchanged for interests in</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global securities.</w:t>
            </w:r>
          </w:p>
        </w:tc>
      </w:tr>
      <w:tr>
        <w:trPr>
          <w:trHeight w:val="365"/>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internal laws of the State of New York.</w:t>
            </w:r>
          </w:p>
        </w:tc>
      </w:tr>
      <w:tr>
        <w:trPr>
          <w:trHeight w:val="372"/>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We expect to use a portion of the net proceeds of this offering to repay $375 million aggregate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0"/>
              </w:rPr>
              <w:t>principal amount of notes due June 15, 2017, bearing interest at a fixed rate of 6.600% (assumed</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with the acquisition of National Semiconductor Corporation in 2011). We expect to use the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0"/>
              </w:rPr>
              <w:t>remainder of the net proceeds of this offering, if any, for general corporate purposes. See “Use of</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Proceeds.” In connection with the issuance of the Notes, we may enter into interest rate swap</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agreements with financial institutions, which may include one or more of the underwriters or</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their affiliates.</w:t>
            </w:r>
          </w:p>
        </w:tc>
      </w:tr>
      <w:tr>
        <w:trPr>
          <w:trHeight w:val="358"/>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Further Issuances</w:t>
            </w: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89"/>
              </w:rPr>
              <w:t>Texas Instruments Incorporated may create and issue further notes of a series ranking equally and</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2"/>
              </w:rPr>
              <w:t>ratably with the applicable series of Notes offered by this prospectus supplement in all respects,</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so that such further notes of each series will be consolidated and form a single series with the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1"/>
              </w:rPr>
              <w:t>applicable Notes offered by this prospectus supplement (and, in the case of the 2021 Notes, with</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Existing 2021 Notes).</w:t>
            </w:r>
          </w:p>
        </w:tc>
      </w:tr>
      <w:tr>
        <w:trPr>
          <w:trHeight w:val="365"/>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Sinking Fund</w:t>
            </w: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None.</w:t>
            </w:r>
          </w:p>
        </w:tc>
      </w:tr>
      <w:tr>
        <w:trPr>
          <w:trHeight w:val="372"/>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Texas Instruments Incorporated may redeem some or all of the Notes at any time at the</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2"/>
              </w:rPr>
              <w:t>redemption price indicated under the heading “Description of the Notes—Optional Redemption.”</w:t>
            </w:r>
          </w:p>
        </w:tc>
      </w:tr>
      <w:tr>
        <w:trPr>
          <w:trHeight w:val="358"/>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The 2024 Notes are a new issue of securities with no established trading market. We do not</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intend to apply for listing of the Notes on any securities exchange. The underwriters have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advised us that they intend to make a market in the Notes offered hereby, but they are not</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obligated to do so and may discontinue market-making at any time without notice. See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“Underwriting” in this prospectus supplement for more information about possible market-</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making by the underwriters.</w:t>
            </w:r>
          </w:p>
        </w:tc>
      </w:tr>
      <w:tr>
        <w:trPr>
          <w:trHeight w:val="365"/>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U.S. Bank National Association.</w:t>
            </w:r>
          </w:p>
        </w:tc>
      </w:tr>
      <w:tr>
        <w:trPr>
          <w:trHeight w:val="372"/>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You should carefully consider all of the information in this prospectus supplement and the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0"/>
              </w:rPr>
              <w:t>accompanying prospectus and the documents incorporated herein by reference. In particular, you</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1"/>
              </w:rPr>
              <w:t>should evaluate the information set forth under “Notice Regarding Forward-Looking Statements”</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and “Risk Factors” before deciding whether to invest in the Notes.</w:t>
            </w:r>
          </w:p>
        </w:tc>
      </w:tr>
      <w:tr>
        <w:trPr>
          <w:trHeight w:val="161"/>
        </w:trPr>
        <w:tc>
          <w:tcPr>
            <w:tcW w:w="3160" w:type="dxa"/>
            <w:vAlign w:val="bottom"/>
            <w:tcBorders>
              <w:left w:val="single" w:sz="8" w:color="auto"/>
              <w:bottom w:val="single" w:sz="8" w:color="auto"/>
            </w:tcBorders>
          </w:tcPr>
          <w:p>
            <w:pPr>
              <w:spacing w:after="0"/>
              <w:rPr>
                <w:sz w:val="13"/>
                <w:szCs w:val="13"/>
                <w:color w:val="auto"/>
              </w:rPr>
            </w:pPr>
          </w:p>
        </w:tc>
        <w:tc>
          <w:tcPr>
            <w:tcW w:w="8300" w:type="dxa"/>
            <w:vAlign w:val="bottom"/>
            <w:tcBorders>
              <w:bottom w:val="single" w:sz="8" w:color="auto"/>
              <w:right w:val="single" w:sz="8" w:color="auto"/>
            </w:tcBorders>
          </w:tcPr>
          <w:p>
            <w:pPr>
              <w:spacing w:after="0"/>
              <w:rPr>
                <w:sz w:val="13"/>
                <w:szCs w:val="13"/>
                <w:color w:val="auto"/>
              </w:rPr>
            </w:pPr>
          </w:p>
        </w:tc>
      </w:tr>
      <w:tr>
        <w:trPr>
          <w:trHeight w:val="359"/>
        </w:trPr>
        <w:tc>
          <w:tcPr>
            <w:tcW w:w="3160" w:type="dxa"/>
            <w:vAlign w:val="bottom"/>
          </w:tcPr>
          <w:p>
            <w:pPr>
              <w:spacing w:after="0"/>
              <w:rPr>
                <w:sz w:val="24"/>
                <w:szCs w:val="24"/>
                <w:color w:val="auto"/>
              </w:rPr>
            </w:pPr>
          </w:p>
        </w:tc>
        <w:tc>
          <w:tcPr>
            <w:tcW w:w="8300" w:type="dxa"/>
            <w:vAlign w:val="bottom"/>
          </w:tcPr>
          <w:p>
            <w:pPr>
              <w:ind w:left="244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157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6315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Financial Information</w:t>
      </w:r>
    </w:p>
    <w:p>
      <w:pPr>
        <w:spacing w:after="0" w:line="83"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The following table sets forth our summary historical financial information. The summary historical financial information for the years ended December 31, 2016, 2015 and 2014 and as of December 31, 2016 and 2015 has been derived from our audited consolidated financial statements included or incorporated by reference into this prospectus supplement and the accompanying prospectus.</w:t>
      </w:r>
    </w:p>
    <w:p>
      <w:pPr>
        <w:spacing w:after="0" w:line="127"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Various factors will have an effect on our financial condition and results of operations. You should read the summary historical financial information in conjunction with the information under “Risk Factors,” “Capitalization” and “Management’s Discussion and Analysis of Financial Condition and Results of Operations” and our consolidated financial statements and the related notes, all included elsewhere or incorporated by reference into this prospectus supplement and the accompanying prospectus.</w:t>
      </w:r>
    </w:p>
    <w:p>
      <w:pPr>
        <w:spacing w:after="0" w:line="12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100" w:type="dxa"/>
            <w:vAlign w:val="bottom"/>
          </w:tcPr>
          <w:p>
            <w:pPr>
              <w:spacing w:after="0"/>
              <w:rPr>
                <w:sz w:val="14"/>
                <w:szCs w:val="14"/>
                <w:color w:val="auto"/>
              </w:rPr>
            </w:pPr>
          </w:p>
        </w:tc>
        <w:tc>
          <w:tcPr>
            <w:tcW w:w="24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142"/>
        </w:trPr>
        <w:tc>
          <w:tcPr>
            <w:tcW w:w="8560" w:type="dxa"/>
            <w:vAlign w:val="bottom"/>
            <w:tcBorders>
              <w:bottom w:val="single" w:sz="8" w:color="CCEEFF"/>
            </w:tcBorders>
            <w:gridSpan w:val="2"/>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2016</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13,370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5,130</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8,240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7,560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7,427</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Acquisition charges</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charges/other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4,799</w:t>
            </w: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4,274</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17"/>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Interest and debt expense</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4,216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100" w:type="dxa"/>
            <w:vAlign w:val="bottom"/>
            <w:tcBorders>
              <w:bottom w:val="single" w:sz="8" w:color="auto"/>
            </w:tcBorders>
          </w:tcPr>
          <w:p>
            <w:pPr>
              <w:spacing w:after="0"/>
              <w:rPr>
                <w:sz w:val="4"/>
                <w:szCs w:val="4"/>
                <w:color w:val="auto"/>
              </w:rPr>
            </w:pPr>
          </w:p>
        </w:tc>
        <w:tc>
          <w:tcPr>
            <w:tcW w:w="7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0" w:right="120"/>
        <w:spacing w:after="0" w:line="294" w:lineRule="auto"/>
        <w:rPr>
          <w:sz w:val="20"/>
          <w:szCs w:val="20"/>
          <w:color w:val="auto"/>
        </w:rPr>
      </w:pPr>
      <w:r>
        <w:rPr>
          <w:rFonts w:ascii="Arial" w:cs="Arial" w:eastAsia="Arial" w:hAnsi="Arial"/>
          <w:sz w:val="16"/>
          <w:szCs w:val="16"/>
          <w:color w:val="auto"/>
        </w:rPr>
        <w:t>Upon issuance of our quarterly report on Form 10-Q for the quarter ended March 31, 2017, we will reflect the early adoption of ASU 2017-07 related to the classification of certain pension and other retiree benefit costs. ASU 2017-07 is required to be retrospectively applied to historical financial periods, and we expect to reflect the adoption in our annual report on Form 10-K for the period ended December 31, 2017. In connection with this adoption, we will reclassify certain expenses currently impacting Operating profit to Other income (expense), net in the amounts of $56 million, $48 million and $56 million for the 2016, 2015 and 2014 periods reflected above, respectively. The table below represents these line items on an as adjusted basis:</w:t>
      </w:r>
    </w:p>
    <w:p>
      <w:pPr>
        <w:spacing w:after="0" w:line="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0"/>
              </w:rPr>
              <w:t>Year Ended December 31,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(As Adjusted)</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2015</w:t>
            </w:r>
          </w:p>
        </w:tc>
        <w:tc>
          <w:tcPr>
            <w:tcW w:w="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7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(unaudited)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(unaudited)</w:t>
            </w:r>
          </w:p>
        </w:tc>
        <w:tc>
          <w:tcPr>
            <w:tcW w:w="60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3"/>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4,855</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4,322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reclassification will not impact Revenue, Net income, Earnings per common share or Cash flows from operating activities.</w:t>
      </w: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72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37273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46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00" w:type="dxa"/>
            <w:vAlign w:val="bottom"/>
          </w:tcPr>
          <w:p>
            <w:pPr>
              <w:spacing w:after="0"/>
              <w:rPr>
                <w:sz w:val="14"/>
                <w:szCs w:val="14"/>
                <w:color w:val="auto"/>
              </w:rPr>
            </w:pPr>
          </w:p>
        </w:tc>
        <w:tc>
          <w:tcPr>
            <w:tcW w:w="15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46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3,490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1,790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2,512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1,264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3"/>
              </w:rPr>
              <w:t>16,431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16,230</w:t>
            </w:r>
          </w:p>
        </w:tc>
        <w:tc>
          <w:tcPr>
            <w:tcW w:w="0" w:type="dxa"/>
            <w:vAlign w:val="bottom"/>
          </w:tcPr>
          <w:p>
            <w:pPr>
              <w:spacing w:after="0"/>
              <w:rPr>
                <w:sz w:val="1"/>
                <w:szCs w:val="1"/>
                <w:color w:val="auto"/>
              </w:rPr>
            </w:pPr>
          </w:p>
        </w:tc>
      </w:tr>
      <w:tr>
        <w:trPr>
          <w:trHeight w:val="323"/>
        </w:trPr>
        <w:tc>
          <w:tcPr>
            <w:tcW w:w="94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2,978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6,284</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10,473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9,946</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3"/>
              </w:rPr>
              <w:t>16,431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16,230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Information</w:t>
      </w:r>
    </w:p>
    <w:p>
      <w:pPr>
        <w:spacing w:after="0" w:line="83" w:lineRule="exact"/>
        <w:rPr>
          <w:sz w:val="20"/>
          <w:szCs w:val="20"/>
          <w:color w:val="auto"/>
        </w:rPr>
      </w:pPr>
    </w:p>
    <w:p>
      <w:pPr>
        <w:ind w:left="200" w:right="380" w:firstLine="443"/>
        <w:spacing w:after="0" w:line="259" w:lineRule="auto"/>
        <w:rPr>
          <w:sz w:val="20"/>
          <w:szCs w:val="20"/>
          <w:color w:val="auto"/>
        </w:rPr>
      </w:pPr>
      <w:r>
        <w:rPr>
          <w:rFonts w:ascii="Arial" w:cs="Arial" w:eastAsia="Arial" w:hAnsi="Arial"/>
          <w:sz w:val="18"/>
          <w:szCs w:val="18"/>
          <w:color w:val="auto"/>
        </w:rPr>
        <w:t>This prospectus supplement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27" w:lineRule="exact"/>
        <w:rPr>
          <w:sz w:val="20"/>
          <w:szCs w:val="20"/>
          <w:color w:val="auto"/>
        </w:rPr>
      </w:pPr>
    </w:p>
    <w:p>
      <w:pPr>
        <w:ind w:left="200" w:right="260" w:firstLine="443"/>
        <w:spacing w:after="0" w:line="259"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investors, as well as insight into our financial performance. These non-GAAP measures are supplemental to the comparable GAAP measures.</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Borders>
              <w:right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9"/>
              </w:rPr>
              <w:t>Three Months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vMerge w:val="restart"/>
          </w:tcPr>
          <w:p>
            <w:pPr>
              <w:jc w:val="right"/>
              <w:ind w:right="1100"/>
              <w:spacing w:after="0"/>
              <w:rPr>
                <w:sz w:val="20"/>
                <w:szCs w:val="20"/>
                <w:color w:val="auto"/>
              </w:rPr>
            </w:pPr>
            <w:r>
              <w:rPr>
                <w:rFonts w:ascii="Arial" w:cs="Arial" w:eastAsia="Arial" w:hAnsi="Arial"/>
                <w:sz w:val="14"/>
                <w:szCs w:val="14"/>
                <w:b w:val="1"/>
                <w:bCs w:val="1"/>
                <w:color w:val="auto"/>
                <w:w w:val="95"/>
              </w:rPr>
              <w:t>Twelve Months Ended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5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Borders>
              <w:right w:val="single" w:sz="8" w:color="auto"/>
            </w:tcBorders>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5"/>
            <w:vMerge w:val="continue"/>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5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Borders>
              <w:right w:val="single" w:sz="8" w:color="auto"/>
            </w:tcBorders>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Borders>
              <w:right w:val="single" w:sz="8" w:color="auto"/>
            </w:tcBorders>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5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right w:val="single" w:sz="8" w:color="auto"/>
            </w:tcBorders>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0" w:type="dxa"/>
            <w:vAlign w:val="bottom"/>
          </w:tcPr>
          <w:p>
            <w:pPr>
              <w:spacing w:after="0"/>
              <w:rPr>
                <w:sz w:val="14"/>
                <w:szCs w:val="14"/>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(millions of dollars, except percentages)</w:t>
            </w:r>
          </w:p>
        </w:tc>
        <w:tc>
          <w:tcPr>
            <w:tcW w:w="1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3"/>
              </w:rPr>
              <w:t>2017</w:t>
            </w:r>
          </w:p>
        </w:tc>
        <w:tc>
          <w:tcPr>
            <w:tcW w:w="320" w:type="dxa"/>
            <w:vAlign w:val="bottom"/>
            <w:tcBorders>
              <w:bottom w:val="single" w:sz="8" w:color="CCEEFF"/>
              <w:right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2017</w:t>
            </w: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 (GAAP)</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3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Capital expenditures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(552)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4,222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3,795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12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12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tcPr>
          <w:p>
            <w:pPr>
              <w:jc w:val="right"/>
              <w:ind w:right="532"/>
              <w:spacing w:after="0"/>
              <w:rPr>
                <w:sz w:val="20"/>
                <w:szCs w:val="20"/>
                <w:color w:val="auto"/>
              </w:rPr>
            </w:pPr>
            <w:r>
              <w:rPr>
                <w:rFonts w:ascii="Arial" w:cs="Arial" w:eastAsia="Arial" w:hAnsi="Arial"/>
                <w:sz w:val="18"/>
                <w:szCs w:val="18"/>
                <w:color w:val="auto"/>
                <w:w w:val="83"/>
              </w:rPr>
              <w:t>13,764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w w:val="87"/>
              </w:rPr>
              <w:t>12,858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3"/>
              </w:rPr>
              <w:t>Cash flows from operating activities as a percent of revenue (GAAP)</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92"/>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5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360" w:type="dxa"/>
            <w:vAlign w:val="bottom"/>
            <w:gridSpan w:val="2"/>
          </w:tcPr>
          <w:p>
            <w:pPr>
              <w:jc w:val="right"/>
              <w:ind w:right="768"/>
              <w:spacing w:after="0"/>
              <w:rPr>
                <w:sz w:val="20"/>
                <w:szCs w:val="20"/>
                <w:color w:val="auto"/>
              </w:rPr>
            </w:pPr>
            <w:r>
              <w:rPr>
                <w:rFonts w:ascii="Arial" w:cs="Arial" w:eastAsia="Arial" w:hAnsi="Arial"/>
                <w:sz w:val="18"/>
                <w:szCs w:val="18"/>
                <w:color w:val="auto"/>
              </w:rPr>
              <w:t>S-6</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530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15303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Ratio of Earnings to Fixed Charges</w:t>
      </w:r>
    </w:p>
    <w:p>
      <w:pPr>
        <w:spacing w:after="0" w:line="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1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w w:val="89"/>
              </w:rPr>
              <w:t>Year Ended December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4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r>
      <w:tr>
        <w:trPr>
          <w:trHeight w:val="210"/>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3"/>
              </w:rPr>
              <w:t>56.4×</w:t>
            </w:r>
          </w:p>
        </w:tc>
        <w:tc>
          <w:tcPr>
            <w:tcW w:w="4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7"/>
              </w:rPr>
              <w:t>43.2×</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37.2×</w:t>
            </w:r>
          </w:p>
        </w:tc>
        <w:tc>
          <w:tcPr>
            <w:tcW w:w="60" w:type="dxa"/>
            <w:vAlign w:val="bottom"/>
            <w:shd w:val="clear" w:color="auto" w:fill="CCEEFF"/>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hereby incorporate by reference risk factors in Item 1A of our Annual Report on Form 10-K for the year ended December 31, 2016.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An active trading market for the 2024 Notes may not develop, and any trading market for the Notes to the extent developed may not be maintained.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There is currently no public market for the 2024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102" w:lineRule="exact"/>
        <w:rPr>
          <w:sz w:val="20"/>
          <w:szCs w:val="20"/>
          <w:color w:val="auto"/>
        </w:rPr>
      </w:pPr>
    </w:p>
    <w:p>
      <w:pPr>
        <w:ind w:left="240" w:right="160"/>
        <w:spacing w:after="0" w:line="259"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4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93"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2016, we had approximately $6.0 billion of total liabilities on a consolidated basis. Of this amount, subsidiaries of Texas Instruments Incorporated had approximately $0.8 billion of liabilities (including trade payables and excluding intercompany debt) to which the Notes will be effectively subordinated.</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105" w:lineRule="exact"/>
        <w:rPr>
          <w:sz w:val="20"/>
          <w:szCs w:val="20"/>
          <w:color w:val="auto"/>
        </w:rPr>
      </w:pPr>
    </w:p>
    <w:p>
      <w:pPr>
        <w:ind w:left="240"/>
        <w:spacing w:after="0" w:line="256" w:lineRule="auto"/>
        <w:rPr>
          <w:sz w:val="20"/>
          <w:szCs w:val="20"/>
          <w:color w:val="auto"/>
        </w:rPr>
      </w:pPr>
      <w:r>
        <w:rPr>
          <w:rFonts w:ascii="Arial" w:cs="Arial" w:eastAsia="Arial" w:hAnsi="Arial"/>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49"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On an as adjusted basis after giving effect to this offering, as of December 31, 2016, Texas Instruments Incorporated would have had approximately $3.58 billion of total long-term indebtedness (including the Notes), all of which would have been unsecured and unsubordinated.</w:t>
      </w:r>
    </w:p>
    <w:p>
      <w:pPr>
        <w:spacing w:after="0" w:line="72"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46"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Texas Instruments Incorporated will have additional cash requirements in order to support the payment of interest on its outstanding indebtedness;</w:t>
      </w:r>
    </w:p>
    <w:p>
      <w:pPr>
        <w:spacing w:after="0" w:line="126" w:lineRule="exact"/>
        <w:rPr>
          <w:rFonts w:ascii="Arial" w:cs="Arial" w:eastAsia="Arial" w:hAnsi="Arial"/>
          <w:sz w:val="16"/>
          <w:szCs w:val="16"/>
          <w:color w:val="auto"/>
        </w:rPr>
      </w:pPr>
    </w:p>
    <w:p>
      <w:pPr>
        <w:ind w:left="660" w:right="12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its ability to obtain additional financing for working capital, capital expenditures, general corporate and other purposes may be limited.</w:t>
      </w:r>
    </w:p>
    <w:p>
      <w:pPr>
        <w:spacing w:after="0" w:line="18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 If Texas Instruments Incorporated is unable to generate sufficient cash flow from operations in the future to service its debt, it may be required, among other things:</w:t>
      </w:r>
    </w:p>
    <w:p>
      <w:pPr>
        <w:spacing w:after="0" w:line="49"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seek additional financing in the debt or equity markets;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prices and marketability of the Notes.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prices or marketability of the Notes. In addition, any decline in the ratings of the Notes may make it more difficult for us to raise capital on acceptable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anticipate that we will receive net proceeds of approximately $601 million from this offering after underwriting discounts and other estimated expenses. We expect to use a portion of the net proceeds of this offering to repay $375 million aggregate principal amount of notes due June 15, 2017, bearing interest at a fixed rate of 6.600% (assumed with the acquisition of National Semiconductor Corporation in 2011). We expect to use the remainder of the net proceeds of this offering, if any, for general corporate purposes. Initially we intend to invest the net proceeds of this offering in certificates of deposit, United States government securities and certain other interest-bearing securities. Certain of the underwriters and/or their affiliates may be holders of our notes due June 15, 2017 and, accordingly, may receive a portion of the net proceeds of this offering in connection with the repayment of those notes. See “Underwriting.”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December 31, 2016. Our consolidated capitalization, as adjusted, gives effect to the issuance of the Notes offered by this prospectus supplement but prior to the application of the estimated net proceeds as described in “Use of Proceeds” as if the offering had occurred on December 31, 2016. This table should be read in conjunction with our consolidated financial statements and the related notes incorporated by reference into this prospectus supplement and the accompanying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8"/>
              </w:rPr>
              <w:t>As of December 31, 2016</w:t>
            </w:r>
          </w:p>
        </w:tc>
        <w:tc>
          <w:tcPr>
            <w:tcW w:w="0" w:type="dxa"/>
            <w:vAlign w:val="bottom"/>
          </w:tcPr>
          <w:p>
            <w:pPr>
              <w:spacing w:after="0"/>
              <w:rPr>
                <w:sz w:val="1"/>
                <w:szCs w:val="1"/>
                <w:color w:val="auto"/>
              </w:rPr>
            </w:pPr>
          </w:p>
        </w:tc>
      </w:tr>
      <w:tr>
        <w:trPr>
          <w:trHeight w:val="142"/>
        </w:trPr>
        <w:tc>
          <w:tcPr>
            <w:tcW w:w="92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90"/>
              </w:rPr>
              <w:t>Historical</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1"/>
                <w:szCs w:val="11"/>
                <w:b w:val="1"/>
                <w:bCs w:val="1"/>
                <w:color w:val="auto"/>
              </w:rPr>
              <w:t>As Adjusted</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2021 Notes</w:t>
            </w:r>
            <w:r>
              <w:rPr>
                <w:rFonts w:ascii="Arial" w:cs="Arial" w:eastAsia="Arial" w:hAnsi="Arial"/>
                <w:sz w:val="11"/>
                <w:szCs w:val="11"/>
                <w:color w:val="auto"/>
              </w:rPr>
              <w:t>(1)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2024 Notes offered hereby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Other long-term debt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long-term debt</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Preferred stock, $25 par value. Authorized—10,000,000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ind w:left="880"/>
              <w:spacing w:after="0"/>
              <w:rPr>
                <w:sz w:val="20"/>
                <w:szCs w:val="20"/>
                <w:color w:val="auto"/>
              </w:rPr>
            </w:pPr>
            <w:r>
              <w:rPr>
                <w:rFonts w:ascii="Arial" w:cs="Arial" w:eastAsia="Arial" w:hAnsi="Arial"/>
                <w:sz w:val="18"/>
                <w:szCs w:val="18"/>
                <w:color w:val="auto"/>
              </w:rPr>
              <w:t>Participating cumulative preferred. None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$1 par value. Authorized—2,400,000,000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ind w:left="880"/>
              <w:spacing w:after="0"/>
              <w:rPr>
                <w:sz w:val="20"/>
                <w:szCs w:val="20"/>
                <w:color w:val="auto"/>
              </w:rPr>
            </w:pPr>
            <w:r>
              <w:rPr>
                <w:rFonts w:ascii="Arial" w:cs="Arial" w:eastAsia="Arial" w:hAnsi="Arial"/>
                <w:sz w:val="18"/>
                <w:szCs w:val="18"/>
                <w:color w:val="auto"/>
              </w:rPr>
              <w:t>Shares issued—1,740,815,939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33,107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33,107</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common stock at cost (744,831,978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(25,523)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(25,523)</w:t>
            </w:r>
          </w:p>
        </w:tc>
        <w:tc>
          <w:tcPr>
            <w:tcW w:w="0" w:type="dxa"/>
            <w:vAlign w:val="bottom"/>
          </w:tcPr>
          <w:p>
            <w:pPr>
              <w:spacing w:after="0"/>
              <w:rPr>
                <w:sz w:val="1"/>
                <w:szCs w:val="1"/>
                <w:color w:val="auto"/>
              </w:rPr>
            </w:pPr>
          </w:p>
        </w:tc>
      </w:tr>
      <w:tr>
        <w:trPr>
          <w:trHeight w:val="223"/>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10,473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Total capitalization</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13,451</w:t>
            </w:r>
          </w:p>
        </w:tc>
        <w:tc>
          <w:tcPr>
            <w:tcW w:w="300" w:type="dxa"/>
            <w:vAlign w:val="bottom"/>
          </w:tcPr>
          <w:p>
            <w:pPr>
              <w:spacing w:after="0"/>
              <w:rPr>
                <w:sz w:val="19"/>
                <w:szCs w:val="19"/>
                <w:color w:val="auto"/>
              </w:rPr>
            </w:pP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14,052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302"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Existing 2021 Notes and the 2021 Notes and 2024 Notes offered hereby are shown at their principal amount without giving effect to net unamortized discount (premium) or unamortized offering expenses, which are reflected in other long-term debt. As adjusted cash, cash equivalents and short-term investments (i) excludes the $1.2 million of accrued interest from March 12, 2017, that is payable as part of the public offering price of the 2021 Notes offered hereby and (ii) includes the portion of the net proceeds of this offering that we anticipate using to repay the notes described in footnote 2 below.</w:t>
      </w:r>
    </w:p>
    <w:p>
      <w:pPr>
        <w:spacing w:after="0" w:line="2" w:lineRule="exact"/>
        <w:rPr>
          <w:rFonts w:ascii="Arial" w:cs="Arial" w:eastAsia="Arial" w:hAnsi="Arial"/>
          <w:sz w:val="15"/>
          <w:szCs w:val="15"/>
          <w:color w:val="auto"/>
        </w:rPr>
      </w:pPr>
    </w:p>
    <w:p>
      <w:pPr>
        <w:ind w:left="46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$3.6 billion of our existing outstanding notes less net unamortized discount and debt issuance costs, less $631 million representing the current portion of long-term debt. A portion of the net proceeds of this offering will be used to repay $375 million aggregate principal amount of notes due June 15, 2017, bearing interest at a fixed rate of 6.600% (assumed with the acquisition of National Semiconductor Corporation in 2011), which are recorded as a current liability.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NOTES</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2021 Notes will mature on March 12, 2021 and the 2024 Notes will mature on May 15, 2024. The Notes will be issued in book-entry form only, in denominations of $2,000 and multiples of $1,000 thereafter. Interest on the 2021 Notes will accrue from March 12, 2017, and interest on the 2024 Notes will accrue from May 4, 2017 at the applicable rate per annum for each series shown on the cover of this prospectus supplement. Interest on the 2021 Notes will be payable semi-annually on March 12 and September 12, commencing on September 12, 2017, to the persons in whose names the 2021 Notes are registered at the close of business on the preceding March 1 or September 1, as the case may be. Interest on the 2024 Notes will be payable semi-annually on May 15 and November 15, commencing on November 15, 2017 to the persons in whose names the 2024 Notes are registered at the close of business on the preceding May 1 or November 1, as the case may be. Interest on the Notes will be paid to but excluding the relevant interest payment date. Interest on the Notes will be calculated on the basis of a 360-day year comprised of twelve 30-day months.</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previously issued, on March 12, 2014, $250,000,000 aggregate principal amount of the Existing 2021 Notes, all of which will remain outstanding following this offering. The 2021 Notes offered hereby will form a part of the series and will have the same terms (other than issue date, price to public and initial interest payment date) and will vote together as a single class, with the same CUSIP number as, and be fungible with, the Existing 2021 Notes. Upon completion of this offering, we will have $550 million aggregate principal amount of outstanding 2.750% Notes due 2021. Unless the context requires otherwise, for all purposes of the indenture and this “Description of the Notes,” references to the 2021 Notes include the 2021 Notes offered hereby and the Existing 2021 Notes.</w:t>
      </w:r>
    </w:p>
    <w:p>
      <w:pPr>
        <w:spacing w:after="0" w:line="10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9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(including the Existing 2021 Notes).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December 31, 2016, Texas Instruments Incorporated had approximately $3.6 billion of outstanding indebtedness. As of December 31, 2016, we had approximately $6.0 billion of total liabilities on a consolidated basis. Of this amount, subsidiaries of Texas Instruments Incorporated had approximately $0.8 billion of liabilities (including trade payables and excluding intercompany debt) to which the Notes will be effectively subordinated.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an as adjusted basis after giving effect to this offering but prior to the application of the net proceeds thereof, as more fully described in “Use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Proceeds” in this prospectus supplement, as of December 31, 2016:</w:t>
      </w:r>
    </w:p>
    <w:p>
      <w:pPr>
        <w:spacing w:after="0" w:line="70" w:lineRule="exact"/>
        <w:rPr>
          <w:sz w:val="20"/>
          <w:szCs w:val="20"/>
          <w:color w:val="auto"/>
        </w:rPr>
      </w:pPr>
    </w:p>
    <w:p>
      <w:pPr>
        <w:ind w:left="660" w:right="16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$3.58 billion of total long-term indebtedness (including the Notes), all of which would constitute senior and unsubordinated indebtedness;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would have had approximately $6.56 billion of total liabilities on a consolidated basis;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Texas Instruments Incorporated would not have had any secured indebtedness to which the Notes would have been effectively subordinated; and</w:t>
      </w:r>
    </w:p>
    <w:p>
      <w:pPr>
        <w:spacing w:after="0" w:line="126" w:lineRule="exact"/>
        <w:rPr>
          <w:rFonts w:ascii="Arial" w:cs="Arial" w:eastAsia="Arial" w:hAnsi="Arial"/>
          <w:sz w:val="16"/>
          <w:szCs w:val="16"/>
          <w:color w:val="auto"/>
        </w:rPr>
      </w:pPr>
    </w:p>
    <w:p>
      <w:pPr>
        <w:ind w:left="660" w:right="74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$0.8 billion of liabilities (including trade payables but excluding intercompany debt) to which the Notes would have been structurally subordinated.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Texas Instruments Incorporated may, without the consent of the holders, increase the principal amount of Notes of a series by issuing additional Notes of such series in the future on the same terms and conditions, except for any differences in the issue price and interest accrued prior to the issue date of such additional Notes. Such additional Notes will have the same CUSIP number as the applicable series of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additional Notes that are not fungible with the applicable series of Notes for U.S. federal income tax purposes will be issued under a separate CUSIP number.</w:t>
      </w:r>
    </w:p>
    <w:p>
      <w:pPr>
        <w:spacing w:after="0" w:line="9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Texas Instruments Incorporated also may, without the consent of the holders, issue other series of debt securities under the indenture in the future on terms and conditions different from the series of Notes offered hereby.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Prior to February 12, 2021 in the case of the 2021 Notes (the date that is one month prior to the maturity date of the 2021 Notes) and prior to March 15, 2024 in the case of the 2024 Notes (the date that is two months prior to the maturity date of the 2024 Notes), the Notes will be redeemable, in whole or in part at any time, or from time to time, at Texas Instruments Incorporated’s option, each at a “make-whole premium” redemption price calculated by Texas Instruments Incorporated equal to the greater of:</w:t>
      </w:r>
    </w:p>
    <w:p>
      <w:pPr>
        <w:spacing w:after="0" w:line="49" w:lineRule="exact"/>
        <w:rPr>
          <w:sz w:val="20"/>
          <w:szCs w:val="20"/>
          <w:color w:val="auto"/>
        </w:rPr>
      </w:pPr>
    </w:p>
    <w:p>
      <w:pPr>
        <w:ind w:left="680" w:hanging="216"/>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57" w:lineRule="exact"/>
        <w:rPr>
          <w:rFonts w:ascii="Arial" w:cs="Arial" w:eastAsia="Arial" w:hAnsi="Arial"/>
          <w:sz w:val="18"/>
          <w:szCs w:val="18"/>
          <w:color w:val="auto"/>
        </w:rPr>
      </w:pPr>
    </w:p>
    <w:p>
      <w:pPr>
        <w:ind w:right="60" w:firstLine="464"/>
        <w:spacing w:after="0" w:line="306" w:lineRule="auto"/>
        <w:tabs>
          <w:tab w:leader="none" w:pos="7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case of the 2021 Notes, 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12.5 basis points; and</w:t>
      </w:r>
    </w:p>
    <w:p>
      <w:pPr>
        <w:spacing w:after="0" w:line="93" w:lineRule="exact"/>
        <w:rPr>
          <w:rFonts w:ascii="Arial" w:cs="Arial" w:eastAsia="Arial" w:hAnsi="Arial"/>
          <w:sz w:val="16"/>
          <w:szCs w:val="16"/>
          <w:color w:val="auto"/>
        </w:rPr>
      </w:pPr>
    </w:p>
    <w:p>
      <w:pPr>
        <w:jc w:val="both"/>
        <w:ind w:right="20" w:firstLine="464"/>
        <w:spacing w:after="0" w:line="256" w:lineRule="auto"/>
        <w:tabs>
          <w:tab w:leader="none" w:pos="7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the 2024 Notes, the sum of the present values of the principal amount of such 2024 Notes and the scheduled payments of interest thereon (not including any portion of such payments of interest accrued as of the date of redemption), from the date of redemption to March 15, 2024 (the date that is two months prior to the maturity date of the 2024 Notes), discounted to the date of redemption on a semi-annual basis (assuming a 360-day year consisting of twelve 30-day months) at the Treasury Rate, plus 10 basis points;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any time on or after February 12, 2021 in the case of the 2021 Notes (the date that is one month prior to the maturity date of the 2021 Notes) and at any time on or after March 15, 2024 in the case of the 2024 Notes (the date that is two months prior to the maturity date of the 2024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3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27"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“Comparable Treasury Price”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15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“Reference Treasury Dealer” means: (i) for the 2021 Notes, Citigroup Global Markets Inc., Merrill Lynch, Pierce, Fenner &amp; Smith Incorporated and Mizuho Securities USA LLC (or their respective affiliates that are Primary Treasury Dealers) and their respective successors; and, for the 2024 Notes, Citigroup Global Markets Inc. and Morgan Stanley &amp; Co. LLC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31"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7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of a series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any sinking fund.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the Notes is defined under the indenture as being:</w:t>
      </w:r>
    </w:p>
    <w:p>
      <w:pPr>
        <w:spacing w:after="0" w:line="77" w:lineRule="exact"/>
        <w:rPr>
          <w:sz w:val="20"/>
          <w:szCs w:val="20"/>
          <w:color w:val="auto"/>
        </w:rPr>
      </w:pPr>
    </w:p>
    <w:p>
      <w:pPr>
        <w:ind w:left="660" w:right="420" w:hanging="206"/>
        <w:spacing w:after="0" w:line="33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Texas Instruments Incorporated’s default in the payment of interest on the Notes when due and payable, if that default continues for a period of 30 days;</w:t>
      </w:r>
    </w:p>
    <w:p>
      <w:pPr>
        <w:spacing w:after="0" w:line="138" w:lineRule="exact"/>
        <w:rPr>
          <w:rFonts w:ascii="Arial" w:cs="Arial" w:eastAsia="Arial" w:hAnsi="Arial"/>
          <w:sz w:val="15"/>
          <w:szCs w:val="15"/>
          <w:color w:val="auto"/>
        </w:rPr>
      </w:pPr>
    </w:p>
    <w:p>
      <w:pPr>
        <w:ind w:left="660" w:right="160" w:hanging="206"/>
        <w:spacing w:after="0" w:line="298"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Texas Instruments Incorporated’s default in the performance of or breach of any of its other covenants or agreements in the indenture applicable to the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of a series and any other series of debt securities affected thereby then outstanding;</w:t>
      </w:r>
    </w:p>
    <w:p>
      <w:pPr>
        <w:spacing w:after="0" w:line="18" w:lineRule="exact"/>
        <w:rPr>
          <w:rFonts w:ascii="Arial" w:cs="Arial" w:eastAsia="Arial" w:hAnsi="Arial"/>
          <w:sz w:val="16"/>
          <w:szCs w:val="16"/>
          <w:color w:val="auto"/>
        </w:rPr>
      </w:pPr>
    </w:p>
    <w:p>
      <w:pPr>
        <w:ind w:left="900" w:hanging="325"/>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03" w:lineRule="exact"/>
        <w:rPr>
          <w:rFonts w:ascii="Arial" w:cs="Arial" w:eastAsia="Arial" w:hAnsi="Arial"/>
          <w:sz w:val="18"/>
          <w:szCs w:val="18"/>
          <w:color w:val="auto"/>
        </w:rPr>
      </w:pPr>
    </w:p>
    <w:p>
      <w:pPr>
        <w:ind w:left="1460" w:right="140" w:hanging="547"/>
        <w:spacing w:after="0" w:line="268" w:lineRule="auto"/>
        <w:tabs>
          <w:tab w:leader="none" w:pos="14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37" w:lineRule="exact"/>
        <w:rPr>
          <w:rFonts w:ascii="Arial" w:cs="Arial" w:eastAsia="Arial" w:hAnsi="Arial"/>
          <w:sz w:val="18"/>
          <w:szCs w:val="18"/>
          <w:color w:val="auto"/>
        </w:rPr>
      </w:pPr>
    </w:p>
    <w:p>
      <w:pPr>
        <w:ind w:left="1460" w:hanging="547"/>
        <w:spacing w:after="0" w:line="268" w:lineRule="auto"/>
        <w:tabs>
          <w:tab w:leader="none" w:pos="14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37" w:lineRule="exact"/>
        <w:rPr>
          <w:rFonts w:ascii="Arial" w:cs="Arial" w:eastAsia="Arial" w:hAnsi="Arial"/>
          <w:sz w:val="18"/>
          <w:szCs w:val="18"/>
          <w:color w:val="auto"/>
        </w:rPr>
      </w:pPr>
    </w:p>
    <w:p>
      <w:pPr>
        <w:ind w:left="1460" w:hanging="547"/>
        <w:spacing w:after="0"/>
        <w:tabs>
          <w:tab w:leader="none" w:pos="14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77"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03" w:lineRule="exact"/>
        <w:rPr>
          <w:rFonts w:ascii="Arial" w:cs="Arial" w:eastAsia="Arial" w:hAnsi="Arial"/>
          <w:sz w:val="18"/>
          <w:szCs w:val="18"/>
          <w:color w:val="auto"/>
        </w:rPr>
      </w:pPr>
    </w:p>
    <w:p>
      <w:pPr>
        <w:ind w:left="1460" w:hanging="547"/>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w:t>
      </w:r>
    </w:p>
    <w:p>
      <w:pPr>
        <w:spacing w:after="0" w:line="76" w:lineRule="exact"/>
        <w:rPr>
          <w:rFonts w:ascii="Arial" w:cs="Arial" w:eastAsia="Arial" w:hAnsi="Arial"/>
          <w:sz w:val="18"/>
          <w:szCs w:val="18"/>
          <w:color w:val="auto"/>
        </w:rPr>
      </w:pPr>
    </w:p>
    <w:p>
      <w:pPr>
        <w:ind w:left="1460" w:hanging="547"/>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76" w:lineRule="exact"/>
        <w:rPr>
          <w:rFonts w:ascii="Arial" w:cs="Arial" w:eastAsia="Arial" w:hAnsi="Arial"/>
          <w:sz w:val="18"/>
          <w:szCs w:val="18"/>
          <w:color w:val="auto"/>
        </w:rPr>
      </w:pPr>
    </w:p>
    <w:p>
      <w:pPr>
        <w:ind w:left="1460" w:right="100" w:hanging="547"/>
        <w:spacing w:after="0" w:line="268"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for all or substantially all of its property, or</w:t>
      </w:r>
    </w:p>
    <w:p>
      <w:pPr>
        <w:spacing w:after="0" w:line="37" w:lineRule="exact"/>
        <w:rPr>
          <w:rFonts w:ascii="Arial" w:cs="Arial" w:eastAsia="Arial" w:hAnsi="Arial"/>
          <w:sz w:val="18"/>
          <w:szCs w:val="18"/>
          <w:color w:val="auto"/>
        </w:rPr>
      </w:pPr>
    </w:p>
    <w:p>
      <w:pPr>
        <w:ind w:left="1460" w:hanging="547"/>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If an event of default other than an event of default specified in the last two bullet points above occurs with respect to the Notes and is continuing under the indenture, then, and in each and every such case, either the trustee or the holders of not less than 25% in aggregate principal amount of the Notes of a series then outstanding under the indenture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8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a declaration of acceleration, the principal amount of and accrued interest, if any, on such debt securities shall be immediately due and payable.</w:t>
      </w:r>
    </w:p>
    <w:p>
      <w:pPr>
        <w:spacing w:after="0" w:line="18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0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the Notes of a series may direct the time, method, and place of conducting any proceeding for any remedy available to the trustee or exercising any trust or power conferred on the trustee with respect to such series of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A holder may not pursue any remedy with respect to the indenture or the Notes unless:</w:t>
      </w:r>
    </w:p>
    <w:p>
      <w:pPr>
        <w:spacing w:after="0" w:line="26"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03"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Notes of a series make a written request to the trustee to pursue the remedy in respect of such event of default;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03"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Notes do not give the trustee a direction that is inconsistent with the request.</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2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 xml:space="preserve">of the Euroclear System (“Euroclear”), and Clearstream Banking, </w:t>
      </w:r>
      <w:r>
        <w:rPr>
          <w:rFonts w:ascii="Arial" w:cs="Arial" w:eastAsia="Arial" w:hAnsi="Arial"/>
          <w:sz w:val="15"/>
          <w:szCs w:val="15"/>
          <w:i w:val="1"/>
          <w:iCs w:val="1"/>
          <w:color w:val="auto"/>
        </w:rPr>
        <w:t>société anonyme</w:t>
      </w:r>
      <w:r>
        <w:rPr>
          <w:rFonts w:ascii="Arial" w:cs="Arial" w:eastAsia="Arial" w:hAnsi="Arial"/>
          <w:sz w:val="15"/>
          <w:szCs w:val="15"/>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7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0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9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3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0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0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3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Notices to holders of each series of the Notes will be made by first class mail, postage prepaid, to the addresses that appear on the security register for such series of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The trustee is a lender under our credit facility and an affiliate of the trustee is an underwriter of this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are the material U.S. federal income tax consequences of owning and disposing of Notes purchased in this offering at the “public offering price” listed on the cover of this prospectus supplement and held as capital assets for U.S. federal income tax purposes.</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37"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dealer or trader in securities;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18"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This summary does not discuss any aspect of state, local, or non-U.S. taxation, any federal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section applies to you if you are a U.S. Holder. You are a U.S. Holder if for U.S. federal income tax purposes you are a beneficial owner of a Note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70"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Stated interest on a Note (other than any portion of the first interest payment on a 2021 Note treated as a return of pre-acquisition accrued interest, as described under “—Pre-acquisition Accrued Interest” below) will be taxable to you as ordinary interest income at the time it accrues or is received, in accordance with your method of accounting for U.S. federal income tax purposes.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Pre-acquisition Accrued Interest</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 portion of the price paid for a 2021 Note offered hereby will be allocable to interest that accrued prior to the date the 2021 Note is purchased (the “pre-acquisition accrued interest”). On the first interest payment date, you may generally treat a portion of the interest received in an amount equal to the pre-acquisition accrued interest as a return of the pre-acquisition accrued interest and not as a payment of interest on the 2021 Note. Amounts treated as a return of pre-acquisition accrued interest should not be taxable when received. It is not clear in such instance whether to exclude the amount attributable to pre-acquisition accrued interest from your initial basis, or to reduce your basis by the amount of pre-acquisition accrued interest when it is received.</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Amortizable Bond Premium</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you purchase a Note for an amount that is greater than its principal amount (disregarding any amount paid in respect of pre-acquisition accrued interest), you will be considered to have purchased the Note with amortizable bond premium. In general, the amortizable bond premium with respect to any Note is the excess of the purchase price over the principal amount, and you may elect to amortize this bond premium, using a constant-yield method, over the remaining term of the Note. Because of the optional redemption feature of the Notes, however, special rules apply that may reduce, eliminate or defer the amount of bond premium that may be amortized. You generally may use the amortizable bond premium allocable to an accrual period to offset stated interest otherwise required to be included in income with respect to the Note in that accrual period. An election to amortize bond premium applies to all taxable debt obligations then owned or thereafter acquired and may be revoked only with the consent of the Internal Revenue Service (the “IRS”).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Subject to the discussion above under “—Pre-acquisition Accrued Interest,” your adjusted tax basis in a Note will equal the cost of your Note, reduced by any bond premium previously amortized.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the Note has been held for more than one year. Long-term capital gains recognized by non-corporate U.S. Holders are subject to reduced tax rates. The deductibility of capital losses is subject to limitations.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Information returns are required to be filed with the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applies to you if are a Non-U.S. Holder. You are a Non-U.S. Holder if for U.S. federal income tax purposes you are a beneficial owner of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 and are:</w:t>
      </w:r>
    </w:p>
    <w:p>
      <w:pPr>
        <w:spacing w:after="0" w:line="70"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Subject to the discussions below under “—Backup Withholding and Information Reporting” and “FATCA Legislation,” payments of principal and interest on the Notes to you will not be subject to U.S. federal income or withholding tax, provided that, in the case of interest,</w:t>
      </w:r>
    </w:p>
    <w:p>
      <w:pPr>
        <w:spacing w:after="0" w:line="37"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you do not own, actually or constructively, ten percent or more of the total combined voting power of all classes of our stock entitled to vote;</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03" w:lineRule="exact"/>
        <w:rPr>
          <w:rFonts w:ascii="Arial" w:cs="Arial" w:eastAsia="Arial" w:hAnsi="Arial"/>
          <w:sz w:val="18"/>
          <w:szCs w:val="18"/>
          <w:color w:val="auto"/>
        </w:rPr>
      </w:pPr>
    </w:p>
    <w:p>
      <w:pPr>
        <w:ind w:left="660" w:right="240" w:hanging="206"/>
        <w:spacing w:after="0" w:line="32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18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discussions below under “—Backup Withholding and Information Reporting” and “FATCA Legislation,”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commonly referred to as “FATCA” impose withholding of 30% on payments of interest on the 2024 Notes and (for dispositions after December 31, 2018) of proceeds of sales or redemptions of the 2024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2024 Notes.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Citigroup Global Markets Inc., Morgan Stanley &amp; Co. LLC and MUFG Securities Americas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2021 Notes and the 2024 Notes set forth opposite the underwriter’s name.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73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87"/>
              </w:rPr>
              <w:t>Principal Amount of</w:t>
            </w:r>
          </w:p>
        </w:tc>
        <w:tc>
          <w:tcPr>
            <w:tcW w:w="8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1"/>
              </w:rPr>
              <w:t>Principal Amount of</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73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94"/>
              </w:rPr>
              <w:t>2021 Notes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94"/>
              </w:rPr>
              <w:t>2024 Notes</w:t>
            </w:r>
          </w:p>
        </w:tc>
        <w:tc>
          <w:tcPr>
            <w:tcW w:w="0" w:type="dxa"/>
            <w:vAlign w:val="bottom"/>
          </w:tcPr>
          <w:p>
            <w:pPr>
              <w:spacing w:after="0"/>
              <w:rPr>
                <w:sz w:val="1"/>
                <w:szCs w:val="1"/>
                <w:color w:val="auto"/>
              </w:rPr>
            </w:pPr>
          </w:p>
        </w:tc>
      </w:tr>
      <w:tr>
        <w:trPr>
          <w:trHeight w:val="203"/>
        </w:trPr>
        <w:tc>
          <w:tcPr>
            <w:tcW w:w="8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57,000,000</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57,000,000</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57,000,000</w:t>
            </w: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57,000,000</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57,000,000</w:t>
            </w:r>
          </w:p>
        </w:tc>
        <w:tc>
          <w:tcPr>
            <w:tcW w:w="0" w:type="dxa"/>
            <w:vAlign w:val="bottom"/>
          </w:tcPr>
          <w:p>
            <w:pPr>
              <w:spacing w:after="0"/>
              <w:rPr>
                <w:sz w:val="1"/>
                <w:szCs w:val="1"/>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21,000,000</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21,000,000</w:t>
            </w: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21,000,000</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21,000,000</w:t>
            </w:r>
          </w:p>
        </w:tc>
        <w:tc>
          <w:tcPr>
            <w:tcW w:w="0" w:type="dxa"/>
            <w:vAlign w:val="bottom"/>
          </w:tcPr>
          <w:p>
            <w:pPr>
              <w:spacing w:after="0"/>
              <w:rPr>
                <w:sz w:val="1"/>
                <w:szCs w:val="1"/>
                <w:color w:val="auto"/>
              </w:rPr>
            </w:pPr>
          </w:p>
        </w:tc>
      </w:tr>
      <w:tr>
        <w:trPr>
          <w:trHeight w:val="208"/>
        </w:trPr>
        <w:tc>
          <w:tcPr>
            <w:tcW w:w="816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Incorporated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21,000,000</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21,000,000</w:t>
            </w:r>
          </w:p>
        </w:tc>
        <w:tc>
          <w:tcPr>
            <w:tcW w:w="0" w:type="dxa"/>
            <w:vAlign w:val="bottom"/>
          </w:tcPr>
          <w:p>
            <w:pPr>
              <w:spacing w:after="0"/>
              <w:rPr>
                <w:sz w:val="1"/>
                <w:szCs w:val="1"/>
                <w:color w:val="auto"/>
              </w:rPr>
            </w:pPr>
          </w:p>
        </w:tc>
      </w:tr>
      <w:tr>
        <w:trPr>
          <w:trHeight w:val="218"/>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21,000,000</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21,000,000</w:t>
            </w:r>
          </w:p>
        </w:tc>
        <w:tc>
          <w:tcPr>
            <w:tcW w:w="0" w:type="dxa"/>
            <w:vAlign w:val="bottom"/>
          </w:tcPr>
          <w:p>
            <w:pPr>
              <w:spacing w:after="0"/>
              <w:rPr>
                <w:sz w:val="1"/>
                <w:szCs w:val="1"/>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15,000,000</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7,500,000</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60" w:type="dxa"/>
            <w:vAlign w:val="bottom"/>
            <w:gridSpan w:val="2"/>
            <w:vMerge w:val="continue"/>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300,000,000</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300,000,000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7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0.200% per 2021 Note and 0.250% per 2024 Note. Any such securities dealers may resell any Notes purchased from the underwriters to certain other brokers or dealers at a discount from the initial public offering price not to exceed 0.100% per 2021 Note and 0.125% per 2024 Note. If all the Notes are not sold at the initial offering price, the underwriters may change the offering price and the other selling terms.</w:t>
      </w:r>
    </w:p>
    <w:p>
      <w:pPr>
        <w:spacing w:after="0" w:line="10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Paid by Texas</w:t>
            </w:r>
          </w:p>
        </w:tc>
      </w:tr>
      <w:tr>
        <w:trPr>
          <w:trHeight w:val="149"/>
        </w:trPr>
        <w:tc>
          <w:tcPr>
            <w:tcW w:w="104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Instruments</w:t>
            </w:r>
          </w:p>
        </w:tc>
      </w:tr>
      <w:tr>
        <w:trPr>
          <w:trHeight w:val="161"/>
        </w:trPr>
        <w:tc>
          <w:tcPr>
            <w:tcW w:w="104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Incorporated</w:t>
            </w:r>
          </w:p>
        </w:tc>
        <w:tc>
          <w:tcPr>
            <w:tcW w:w="200" w:type="dxa"/>
            <w:vAlign w:val="bottom"/>
            <w:tcBorders>
              <w:bottom w:val="single" w:sz="8" w:color="CCEEFF"/>
            </w:tcBorders>
          </w:tcPr>
          <w:p>
            <w:pPr>
              <w:spacing w:after="0"/>
              <w:rPr>
                <w:sz w:val="14"/>
                <w:szCs w:val="14"/>
                <w:color w:val="auto"/>
              </w:rPr>
            </w:pPr>
          </w:p>
        </w:tc>
      </w:tr>
      <w:tr>
        <w:trPr>
          <w:trHeight w:val="210"/>
        </w:trPr>
        <w:tc>
          <w:tcPr>
            <w:tcW w:w="10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2021 Note</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0.300%</w:t>
            </w:r>
          </w:p>
        </w:tc>
      </w:tr>
      <w:tr>
        <w:trPr>
          <w:trHeight w:val="222"/>
        </w:trPr>
        <w:tc>
          <w:tcPr>
            <w:tcW w:w="10420" w:type="dxa"/>
            <w:vAlign w:val="bottom"/>
          </w:tcPr>
          <w:p>
            <w:pPr>
              <w:spacing w:after="0"/>
              <w:rPr>
                <w:sz w:val="20"/>
                <w:szCs w:val="20"/>
                <w:color w:val="auto"/>
              </w:rPr>
            </w:pPr>
            <w:r>
              <w:rPr>
                <w:rFonts w:ascii="Arial" w:cs="Arial" w:eastAsia="Arial" w:hAnsi="Arial"/>
                <w:sz w:val="18"/>
                <w:szCs w:val="18"/>
                <w:color w:val="auto"/>
              </w:rPr>
              <w:t>Per 2024 Note</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0.400%</w:t>
            </w:r>
          </w:p>
        </w:tc>
      </w:tr>
      <w:tr>
        <w:trPr>
          <w:trHeight w:val="356"/>
        </w:trPr>
        <w:tc>
          <w:tcPr>
            <w:tcW w:w="10420" w:type="dxa"/>
            <w:vAlign w:val="bottom"/>
          </w:tcPr>
          <w:p>
            <w:pPr>
              <w:ind w:left="460"/>
              <w:spacing w:after="0"/>
              <w:rPr>
                <w:sz w:val="20"/>
                <w:szCs w:val="20"/>
                <w:color w:val="auto"/>
              </w:rPr>
            </w:pPr>
            <w:r>
              <w:rPr>
                <w:rFonts w:ascii="Arial" w:cs="Arial" w:eastAsia="Arial" w:hAnsi="Arial"/>
                <w:sz w:val="18"/>
                <w:szCs w:val="18"/>
                <w:color w:val="auto"/>
              </w:rPr>
              <w:t>We estimate that our total expenses for this offering will be approximately $3 million, including underwriting discounts.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4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37"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the Notes than they are required to purchase in this offering.</w:t>
      </w:r>
    </w:p>
    <w:p>
      <w:pPr>
        <w:spacing w:after="0" w:line="20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Covering transactions involve purchases of the Notes in the open market after the distribution has been completed in order to cover short positions.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w:t>
      </w:r>
    </w:p>
    <w:p>
      <w:pPr>
        <w:spacing w:after="0" w:line="1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expect to deliver the Notes against payment for the Notes on or about the date specified in the last paragraph of the cover page of this prospectus supplement, which will be the fifth business day following the date of the pricing of the Notes. Under Rule 15c6-1 of the Exchange Act, trades in the secondary market generally are required to settle in three business days, unless the parties to a trade expressly agree otherwise. Accordingly, purchasers who wish to trade Notes on the date of pricing or the next succeeding business day will be required, by virtue of the fact that the Notes initially will settle in T+5, to specify alternative settlement arrangements to prevent a failed settlement.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Certain of the underwriters 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 Certain of the underwriters and/or their affiliates may be holders of our notes due June 15, 2017 and, accordingly, may receive a portion of the net proceeds of this offering in connection with the repayment of those notes. In addition, an affiliate of one of the underwriters is the trustee for the Notes and our other debt securities outstanding under the indenture.</w:t>
      </w:r>
    </w:p>
    <w:p>
      <w:pPr>
        <w:spacing w:after="0" w:line="10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8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(each, a relevant member state), with effect from and including the date on which the Prospectus Directive is implemented in that relevant member state (the relevant implementation date), an offer of the Notes described in this prospectus supplement may not be made to the public in that relevant member state other than:</w:t>
      </w:r>
    </w:p>
    <w:p>
      <w:pPr>
        <w:spacing w:after="0" w:line="46"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03"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provided that no such offer of securities shall require us or any underwriter to publish a prospectus pursuant to Article 3 of the Prospectus Directive or supplement a prospectus pursuant to Article 16 of the Prospectus Directive.</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(as amended, including by Directive 2010/73/EU) and includes any relevant implementing measure in each relevant member state.</w:t>
      </w:r>
    </w:p>
    <w:p>
      <w:pPr>
        <w:spacing w:after="0" w:line="12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sellers of the Notes have not authorized and do not authorize the making of any offer of Notes through any financial intermediary on their behalf, other than offers made by the underwriters with a view to the final placement of the Notes as contemplated in this prospectus supplement. Accordingly, no purchaser of the Notes, other than the underwriters, is authorized to make any further offer of the Notes on behalf of the sellers or the underwriters.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24"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this document is exempt from the requirement to provide investors with certain conflicts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of interest disclosure pertaining to “connected issuer” and/or “related issuer” relationships as would otherwise be required pursuant to subsection 2.1(1) of NI 33-105.</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7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5"/>
          <w:szCs w:val="15"/>
          <w:color w:val="auto"/>
        </w:rPr>
        <w:t xml:space="preserve">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5"/>
          <w:szCs w:val="15"/>
          <w:i w:val="1"/>
          <w:iCs w:val="1"/>
          <w:color w:val="auto"/>
        </w:rPr>
        <w:t>Prospectus Exemptions</w:t>
      </w:r>
      <w:r>
        <w:rPr>
          <w:rFonts w:ascii="Arial" w:cs="Arial" w:eastAsia="Arial" w:hAnsi="Arial"/>
          <w:sz w:val="15"/>
          <w:szCs w:val="15"/>
          <w:color w:val="auto"/>
        </w:rPr>
        <w:t xml:space="preserve"> (“NI 45-106”) or, in Ontario, as such term is defined in section 73.3(1) of the </w:t>
      </w:r>
      <w:r>
        <w:rPr>
          <w:rFonts w:ascii="Arial" w:cs="Arial" w:eastAsia="Arial" w:hAnsi="Arial"/>
          <w:sz w:val="15"/>
          <w:szCs w:val="15"/>
          <w:i w:val="1"/>
          <w:iCs w:val="1"/>
          <w:color w:val="auto"/>
        </w:rPr>
        <w:t>Securities Act</w:t>
      </w:r>
      <w:r>
        <w:rPr>
          <w:rFonts w:ascii="Arial" w:cs="Arial" w:eastAsia="Arial" w:hAnsi="Arial"/>
          <w:sz w:val="15"/>
          <w:szCs w:val="15"/>
          <w:color w:val="auto"/>
        </w:rPr>
        <w:t xml:space="preserve"> (Ontario); and</w:t>
      </w:r>
    </w:p>
    <w:p>
      <w:pPr>
        <w:spacing w:after="0" w:line="3" w:lineRule="exact"/>
        <w:rPr>
          <w:sz w:val="20"/>
          <w:szCs w:val="20"/>
          <w:color w:val="auto"/>
        </w:rPr>
      </w:pPr>
    </w:p>
    <w:p>
      <w:pPr>
        <w:ind w:right="180" w:firstLine="8"/>
        <w:spacing w:after="0" w:line="261" w:lineRule="auto"/>
        <w:tabs>
          <w:tab w:leader="none" w:pos="3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is a “permitted client” as such term is defined in section 1.1 of National Instrument 31-103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77"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 Prospectus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Registration Exemptions </w:t>
      </w:r>
      <w:r>
        <w:rPr>
          <w:rFonts w:ascii="Arial" w:cs="Arial" w:eastAsia="Arial" w:hAnsi="Arial"/>
          <w:sz w:val="16"/>
          <w:szCs w:val="16"/>
          <w:color w:val="auto"/>
        </w:rPr>
        <w:t>and in Multilateral Instrument 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 as applicable, with a</w:t>
      </w:r>
      <w:r>
        <w:rPr>
          <w:rFonts w:ascii="Arial" w:cs="Arial" w:eastAsia="Arial" w:hAnsi="Arial"/>
          <w:sz w:val="16"/>
          <w:szCs w:val="16"/>
          <w:i w:val="1"/>
          <w:iCs w:val="1"/>
          <w:color w:val="auto"/>
        </w:rPr>
        <w:t xml:space="preserve"> </w:t>
      </w:r>
      <w:r>
        <w:rPr>
          <w:rFonts w:ascii="Arial" w:cs="Arial" w:eastAsia="Arial" w:hAnsi="Arial"/>
          <w:sz w:val="16"/>
          <w:szCs w:val="16"/>
          <w:color w:val="auto"/>
        </w:rPr>
        <w:t>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w:t>
      </w:r>
      <w:r>
        <w:rPr>
          <w:rFonts w:ascii="Arial" w:cs="Arial" w:eastAsia="Arial" w:hAnsi="Arial"/>
          <w:sz w:val="18"/>
          <w:szCs w:val="18"/>
          <w:i w:val="1"/>
          <w:iCs w:val="1"/>
          <w:color w:val="auto"/>
        </w:rPr>
        <w:t>Par</w:t>
      </w:r>
      <w:r>
        <w:rPr>
          <w:rFonts w:ascii="Arial" w:cs="Arial" w:eastAsia="Arial" w:hAnsi="Arial"/>
          <w:sz w:val="18"/>
          <w:szCs w:val="18"/>
          <w:color w:val="auto"/>
        </w:rPr>
        <w:t xml:space="preserve"> </w:t>
      </w:r>
      <w:r>
        <w:rPr>
          <w:rFonts w:ascii="Arial" w:cs="Arial" w:eastAsia="Arial" w:hAnsi="Arial"/>
          <w:sz w:val="18"/>
          <w:szCs w:val="18"/>
          <w:i w:val="1"/>
          <w:iCs w:val="1"/>
          <w:color w:val="auto"/>
        </w:rPr>
        <w:t>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8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18"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77" w:lineRule="exact"/>
        <w:rPr>
          <w:sz w:val="20"/>
          <w:szCs w:val="20"/>
          <w:color w:val="auto"/>
        </w:rPr>
      </w:pPr>
    </w:p>
    <w:p>
      <w:pPr>
        <w:ind w:left="660" w:right="100" w:hanging="206"/>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03" w:lineRule="exact"/>
        <w:rPr>
          <w:rFonts w:ascii="Arial" w:cs="Arial" w:eastAsia="Arial" w:hAnsi="Arial"/>
          <w:sz w:val="18"/>
          <w:szCs w:val="18"/>
          <w:color w:val="auto"/>
        </w:rPr>
      </w:pPr>
    </w:p>
    <w:p>
      <w:pPr>
        <w:ind w:left="660" w:right="300" w:hanging="206"/>
        <w:spacing w:after="0" w:line="33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 -or-2° -or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7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77" w:lineRule="exact"/>
        <w:rPr>
          <w:sz w:val="20"/>
          <w:szCs w:val="20"/>
          <w:color w:val="auto"/>
        </w:rPr>
      </w:pPr>
    </w:p>
    <w:p>
      <w:pPr>
        <w:ind w:left="660" w:right="6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7"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 w:lineRule="exact"/>
        <w:rPr>
          <w:sz w:val="20"/>
          <w:szCs w:val="20"/>
          <w:color w:val="auto"/>
        </w:rPr>
      </w:pPr>
    </w:p>
    <w:p>
      <w:pPr>
        <w:ind w:left="660" w:right="40" w:hanging="206"/>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83"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7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VALIDITY OF SECURITIES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2016, and the effectiveness of our internal control over financial reporting as of December 31, 2016, as set forth in their reports, which are incorporated by reference herein. Our financial statements and our management’s assessment of the effectiveness of internal control over financial reporting as of December 31, 2016, are incorporated by reference in reliance on Ernst &amp; Young LLP’s reports, given on their authority as experts in accounting and auditing.</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Annual Report on Form 10-K for the year ended December 31, 2016, filed on February 23, 2017, the Current Reports on Form 8-K filed on January 19, 2017, January 24, 2017 (filed under Item 5.02) and April 26, 2017 and all documents subsequently filed with the SEC pursuant to Section 13(a), 13(c), 14, or 15(d) of the Exchange Act (other than information furnished under Item 2.02 or Item 7.01 of Form 8-K) prior to the termination of the offering under this prospectus supplement.</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2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172085</wp:posOffset>
            </wp:positionV>
            <wp:extent cx="2864485" cy="660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420"/>
          </w:cols>
          <w:pgMar w:left="240" w:top="459" w:right="2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Warrants</w:t>
      </w:r>
    </w:p>
    <w:p>
      <w:pPr>
        <w:spacing w:after="0" w:line="151" w:lineRule="exact"/>
        <w:rPr>
          <w:sz w:val="20"/>
          <w:szCs w:val="20"/>
          <w:color w:val="auto"/>
        </w:rPr>
      </w:pPr>
    </w:p>
    <w:p>
      <w:pPr>
        <w:sectPr>
          <w:pgSz w:w="11900" w:h="16838" w:orient="portrait"/>
          <w:cols w:equalWidth="0" w:num="4">
            <w:col w:w="80" w:space="300"/>
            <w:col w:w="4720" w:space="720"/>
            <w:col w:w="80" w:space="300"/>
            <w:col w:w="52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Units</w:t>
      </w:r>
    </w:p>
    <w:p>
      <w:pPr>
        <w:spacing w:after="0" w:line="128" w:lineRule="exact"/>
        <w:rPr>
          <w:sz w:val="20"/>
          <w:szCs w:val="20"/>
          <w:color w:val="auto"/>
        </w:rPr>
      </w:pPr>
    </w:p>
    <w:p>
      <w:pPr>
        <w:sectPr>
          <w:pgSz w:w="11900" w:h="16838" w:orient="portrait"/>
          <w:cols w:equalWidth="0" w:num="4">
            <w:col w:w="80" w:space="300"/>
            <w:col w:w="4720" w:space="720"/>
            <w:col w:w="80" w:space="300"/>
            <w:col w:w="5220"/>
          </w:cols>
          <w:pgMar w:left="240" w:top="459" w:right="239" w:bottom="1440" w:gutter="0" w:footer="0" w:header="0"/>
          <w:type w:val="continuous"/>
        </w:sect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Maturity</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Redemption terms</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Liquidation amount</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Interest rate</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Listing on a security exchange</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w w:val="88"/>
              </w:rPr>
              <w:t>Subsidiary guarantees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Currency of payments</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Amount payable at maturity</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Sinking fund terms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Conversion or exchange rights</w:t>
            </w: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0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23, 2016, the reported last sale price on The NASDAQ Global Select Market for our common stock was $52.24.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36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9 of our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68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February 24, 2016</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8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040" w:type="dxa"/>
            <w:vAlign w:val="bottom"/>
            <w:gridSpan w:val="2"/>
            <w:vMerge w:val="restart"/>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The Company</w:t>
              </w:r>
            </w:hyperlink>
          </w:p>
        </w:tc>
        <w:tc>
          <w:tcPr>
            <w:tcW w:w="3060" w:type="dxa"/>
            <w:vAlign w:val="bottom"/>
            <w:gridSpan w:val="12"/>
            <w:vMerge w:val="restart"/>
          </w:tcPr>
          <w:p>
            <w:pPr>
              <w:spacing w:after="0"/>
              <w:rPr>
                <w:sz w:val="24"/>
                <w:szCs w:val="24"/>
                <w:color w:val="auto"/>
              </w:rPr>
            </w:pPr>
          </w:p>
        </w:tc>
        <w:tc>
          <w:tcPr>
            <w:tcW w:w="69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1"/>
        </w:trPr>
        <w:tc>
          <w:tcPr>
            <w:tcW w:w="1040" w:type="dxa"/>
            <w:vAlign w:val="bottom"/>
            <w:tcBorders>
              <w:bottom w:val="single" w:sz="8" w:color="0000EE"/>
            </w:tcBorders>
            <w:gridSpan w:val="2"/>
            <w:vMerge w:val="continue"/>
          </w:tcPr>
          <w:p>
            <w:pPr>
              <w:spacing w:after="0"/>
              <w:rPr>
                <w:sz w:val="13"/>
                <w:szCs w:val="13"/>
                <w:color w:val="auto"/>
              </w:rPr>
            </w:pPr>
          </w:p>
        </w:tc>
        <w:tc>
          <w:tcPr>
            <w:tcW w:w="3060" w:type="dxa"/>
            <w:vAlign w:val="bottom"/>
            <w:gridSpan w:val="12"/>
            <w:vMerge w:val="continue"/>
          </w:tcPr>
          <w:p>
            <w:pPr>
              <w:spacing w:after="0"/>
              <w:rPr>
                <w:sz w:val="13"/>
                <w:szCs w:val="13"/>
                <w:color w:val="auto"/>
              </w:rPr>
            </w:pPr>
          </w:p>
        </w:tc>
        <w:tc>
          <w:tcPr>
            <w:tcW w:w="698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0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About this Prospectus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Where You Can Find More Information</w:t>
              </w:r>
            </w:hyperlink>
          </w:p>
        </w:tc>
        <w:tc>
          <w:tcPr>
            <w:tcW w:w="122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Notice Regarding Forward-Looking Statements</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Use of Proceeds</w:t>
              </w:r>
            </w:hyperlink>
          </w:p>
        </w:tc>
        <w:tc>
          <w:tcPr>
            <w:tcW w:w="2260" w:type="dxa"/>
            <w:vAlign w:val="bottom"/>
            <w:tcBorders>
              <w:top w:val="single" w:sz="8" w:color="0000EE"/>
            </w:tcBorders>
            <w:gridSpan w:val="10"/>
          </w:tcPr>
          <w:p>
            <w:pPr>
              <w:spacing w:after="0"/>
              <w:rPr>
                <w:sz w:val="17"/>
                <w:szCs w:val="17"/>
                <w:color w:val="auto"/>
              </w:rPr>
            </w:pPr>
          </w:p>
        </w:tc>
        <w:tc>
          <w:tcPr>
            <w:tcW w:w="66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Ratios of Earnings to Fixed Charges</w:t>
              </w:r>
            </w:hyperlink>
          </w:p>
        </w:tc>
        <w:tc>
          <w:tcPr>
            <w:tcW w:w="148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Capital Stock</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Description of Debt Securities</w:t>
              </w:r>
            </w:hyperlink>
          </w:p>
        </w:tc>
        <w:tc>
          <w:tcPr>
            <w:tcW w:w="1900" w:type="dxa"/>
            <w:vAlign w:val="bottom"/>
            <w:gridSpan w:val="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Description of Warrants</w:t>
              </w:r>
            </w:hyperlink>
          </w:p>
        </w:tc>
        <w:tc>
          <w:tcPr>
            <w:tcW w:w="236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Description of Units</w:t>
              </w:r>
            </w:hyperlink>
          </w:p>
        </w:tc>
        <w:tc>
          <w:tcPr>
            <w:tcW w:w="2620" w:type="dxa"/>
            <w:vAlign w:val="bottom"/>
            <w:gridSpan w:val="8"/>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Forms of Securities</w:t>
              </w:r>
            </w:hyperlink>
          </w:p>
        </w:tc>
        <w:tc>
          <w:tcPr>
            <w:tcW w:w="2680" w:type="dxa"/>
            <w:vAlign w:val="bottom"/>
            <w:gridSpan w:val="10"/>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Plan of Distribution</w:t>
              </w:r>
            </w:hyperlink>
          </w:p>
        </w:tc>
        <w:tc>
          <w:tcPr>
            <w:tcW w:w="2660" w:type="dxa"/>
            <w:vAlign w:val="bottom"/>
            <w:gridSpan w:val="9"/>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Validity of Securities</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Experts</w:t>
              </w:r>
            </w:hyperlink>
          </w:p>
        </w:tc>
        <w:tc>
          <w:tcPr>
            <w:tcW w:w="1020" w:type="dxa"/>
            <w:vAlign w:val="bottom"/>
            <w:tcBorders>
              <w:top w:val="single" w:sz="8" w:color="0000EE"/>
            </w:tcBorders>
            <w:gridSpan w:val="6"/>
          </w:tcPr>
          <w:p>
            <w:pPr>
              <w:spacing w:after="0"/>
              <w:rPr>
                <w:sz w:val="17"/>
                <w:szCs w:val="17"/>
                <w:color w:val="auto"/>
              </w:rPr>
            </w:pPr>
          </w:p>
        </w:tc>
        <w:tc>
          <w:tcPr>
            <w:tcW w:w="2520" w:type="dxa"/>
            <w:vAlign w:val="bottom"/>
            <w:gridSpan w:val="7"/>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2715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32715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140" w:firstLine="443"/>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24" w:lineRule="exact"/>
        <w:rPr>
          <w:sz w:val="20"/>
          <w:szCs w:val="20"/>
          <w:color w:val="auto"/>
        </w:rPr>
      </w:pPr>
    </w:p>
    <w:p>
      <w:pPr>
        <w:ind w:left="200" w:firstLine="443"/>
        <w:spacing w:after="0" w:line="342" w:lineRule="auto"/>
        <w:rPr>
          <w:sz w:val="20"/>
          <w:szCs w:val="20"/>
          <w:color w:val="auto"/>
        </w:rPr>
      </w:pPr>
      <w:r>
        <w:rPr>
          <w:rFonts w:ascii="Arial" w:cs="Arial" w:eastAsia="Arial" w:hAnsi="Arial"/>
          <w:sz w:val="16"/>
          <w:szCs w:val="16"/>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24"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Form 10-K for the year ended December 31, 2015, filed on February 24, 2016, and all documents subsequently filed with the SEC pursuant to Section 13(a), 13(c), 14, or 15(d) of the Securities Exchange Act of 1934, as amended (the “Exchange Act”) prior to the termination of the offering under this prospectus.</w:t>
      </w:r>
    </w:p>
    <w:p>
      <w:pPr>
        <w:spacing w:after="0" w:line="173"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53"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jc w:val="both"/>
        <w:ind w:left="900" w:right="120" w:hanging="446"/>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Natural events such as health epidemics, severe weather and earthquakes in the locations in which we, our customers or our suppliers operate;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Breaches of our information technology systems or those of our customers or suppliers;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obtain needed licenses from third parties, expiration of license agreements between us and our patent licensees, and market conditions reducing royalty payments to us;</w:t>
      </w:r>
    </w:p>
    <w:p>
      <w:pPr>
        <w:spacing w:after="0" w:line="75" w:lineRule="exact"/>
        <w:rPr>
          <w:rFonts w:ascii="Arial" w:cs="Arial" w:eastAsia="Arial" w:hAnsi="Arial"/>
          <w:sz w:val="18"/>
          <w:szCs w:val="18"/>
          <w:color w:val="auto"/>
        </w:rPr>
      </w:pPr>
    </w:p>
    <w:p>
      <w:pPr>
        <w:ind w:left="900" w:right="60" w:hanging="446"/>
        <w:spacing w:after="0" w:line="34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our products or operate our business, or subject us to fines, penalties, or other legal liability;</w:t>
      </w:r>
    </w:p>
    <w:p>
      <w:pPr>
        <w:spacing w:after="0" w:line="29" w:lineRule="exact"/>
        <w:rPr>
          <w:rFonts w:ascii="Arial" w:cs="Arial" w:eastAsia="Arial" w:hAnsi="Arial"/>
          <w:sz w:val="16"/>
          <w:szCs w:val="16"/>
          <w:color w:val="auto"/>
        </w:rPr>
      </w:pPr>
    </w:p>
    <w:p>
      <w:pPr>
        <w:ind w:left="900" w:right="3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tax rate applicable to us as the result of changes in tax law, the jurisdictions in which profits are determined to be earned and taxed, adverse resolution of tax audits and the ability to realize deferred tax assets;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our consigned inventory;</w:t>
      </w:r>
    </w:p>
    <w:p>
      <w:pPr>
        <w:spacing w:after="0" w:line="130"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Instability in the global credit and financial markets that affects our ability to fund our daily operations, invest in our business, make strategic acquisitions, repurchase outstanding shares of our common stock, or make principal and interest payments on our debt;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and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43.2x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37.2x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27.3x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20.6x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55.9x</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of January 31, 2016, there were 1,008,975,790 shares of common stock outstanding which were held of record by 15,458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2 North LaSalle Street, Chicago, Illinois 60602.</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January 31, 2016,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of the date of the meeting is first made.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71"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54"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66"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Certain Definitions</w:t>
      </w:r>
      <w:r>
        <w:rPr>
          <w:rFonts w:ascii="Arial" w:cs="Arial" w:eastAsia="Arial" w:hAnsi="Arial"/>
          <w:sz w:val="17"/>
          <w:szCs w:val="17"/>
          <w:color w:val="auto"/>
        </w:rPr>
        <w:t>. The term “attributable debt” in respect of a sale and leaseback transaction means, at the time of determination, the lesser of (1)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7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4"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Restrictions on Liens</w:t>
      </w:r>
      <w:r>
        <w:rPr>
          <w:rFonts w:ascii="Arial" w:cs="Arial" w:eastAsia="Arial" w:hAnsi="Arial"/>
          <w:sz w:val="18"/>
          <w:szCs w:val="18"/>
          <w:color w:val="auto"/>
        </w:rPr>
        <w:t>. The indenture provides that, unless as may otherwise be indicated by resolution of our board of directors, officers’ certificate,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we will not issue or assume any debt for money borrowed (which, including guarantees of debt for borrowed money, we refer to as “debt”), if the debt is secured by a mortgage, pledge, lien or other encumbrance (which we refer to as a “mortgage”) upon any principal manufacturing property (whether such principal manufacturing property is now owned or subsequently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7"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mortgages on property existing at the time of or within 120 days after acquisition of the property and certain purchase money mortgages;</w:t>
      </w:r>
    </w:p>
    <w:p>
      <w:pPr>
        <w:spacing w:after="0" w:line="142"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93"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Restrictions on Sale and Leaseback Transactions</w:t>
      </w:r>
      <w:r>
        <w:rPr>
          <w:rFonts w:ascii="Arial" w:cs="Arial" w:eastAsia="Arial" w:hAnsi="Arial"/>
          <w:sz w:val="17"/>
          <w:szCs w:val="17"/>
          <w:color w:val="auto"/>
        </w:rPr>
        <w:t>. The indenture provides that, unless as may otherwise be indicated by resolution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77" w:lineRule="exact"/>
        <w:rPr>
          <w:sz w:val="20"/>
          <w:szCs w:val="20"/>
          <w:color w:val="auto"/>
        </w:rPr>
      </w:pPr>
    </w:p>
    <w:p>
      <w:pPr>
        <w:ind w:left="900" w:right="14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900" w:right="400" w:hanging="446"/>
        <w:spacing w:after="0" w:line="34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proceeds of such sale and leaseback transaction and we elect to designate such amount as a credit against such transaction, or</w:t>
      </w:r>
    </w:p>
    <w:p>
      <w:pPr>
        <w:spacing w:after="0" w:line="142" w:lineRule="exact"/>
        <w:rPr>
          <w:rFonts w:ascii="Arial" w:cs="Arial" w:eastAsia="Arial" w:hAnsi="Arial"/>
          <w:sz w:val="17"/>
          <w:szCs w:val="17"/>
          <w:color w:val="auto"/>
        </w:rPr>
      </w:pPr>
    </w:p>
    <w:p>
      <w:pPr>
        <w:ind w:left="1460" w:right="260" w:hanging="547"/>
        <w:spacing w:after="0" w:line="277"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20" w:hanging="446"/>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w:t>
      </w:r>
      <w:r>
        <w:rPr>
          <w:rFonts w:ascii="Arial" w:cs="Arial" w:eastAsia="Arial" w:hAnsi="Arial"/>
          <w:sz w:val="18"/>
          <w:szCs w:val="18"/>
          <w:i w:val="1"/>
          <w:iCs w:val="1"/>
          <w:color w:val="auto"/>
        </w:rPr>
        <w:t xml:space="preserve"> </w:t>
      </w:r>
      <w:r>
        <w:rPr>
          <w:rFonts w:ascii="Arial" w:cs="Arial" w:eastAsia="Arial" w:hAnsi="Arial"/>
          <w:sz w:val="18"/>
          <w:szCs w:val="18"/>
          <w:color w:val="auto"/>
        </w:rPr>
        <w:t>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76" w:lineRule="exact"/>
        <w:rPr>
          <w:sz w:val="20"/>
          <w:szCs w:val="20"/>
          <w:color w:val="auto"/>
        </w:rPr>
      </w:pPr>
    </w:p>
    <w:p>
      <w:pPr>
        <w:ind w:left="900" w:hanging="446"/>
        <w:spacing w:after="0" w:line="255"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900" w:right="4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900" w:right="440" w:hanging="446"/>
        <w:spacing w:after="0" w:line="34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5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53" w:lineRule="exact"/>
        <w:rPr>
          <w:rFonts w:ascii="Arial" w:cs="Arial" w:eastAsia="Arial" w:hAnsi="Arial"/>
          <w:sz w:val="16"/>
          <w:szCs w:val="16"/>
          <w:color w:val="auto"/>
        </w:rPr>
      </w:pPr>
    </w:p>
    <w:p>
      <w:pPr>
        <w:ind w:left="1460" w:right="40" w:hanging="547"/>
        <w:spacing w:after="0" w:line="277" w:lineRule="auto"/>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7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84"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900" w:right="22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300"/>
        <w:spacing w:after="0" w:line="264" w:lineRule="auto"/>
        <w:rPr>
          <w:sz w:val="20"/>
          <w:szCs w:val="20"/>
          <w:color w:val="auto"/>
        </w:rPr>
      </w:pPr>
      <w:r>
        <w:rPr>
          <w:rFonts w:ascii="Arial" w:cs="Arial" w:eastAsia="Arial" w:hAnsi="Arial"/>
          <w:sz w:val="18"/>
          <w:szCs w:val="18"/>
          <w:color w:val="auto"/>
        </w:rPr>
        <w:t>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92" w:lineRule="exact"/>
        <w:rPr>
          <w:sz w:val="20"/>
          <w:szCs w:val="20"/>
          <w:color w:val="auto"/>
        </w:rPr>
      </w:pPr>
    </w:p>
    <w:p>
      <w:pPr>
        <w:ind w:left="900" w:hanging="446"/>
        <w:spacing w:after="0" w:line="290"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71"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93"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extends the stated maturity of the principal of, or the time of payment of any installment of interest on, any debt securities of such series;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900" w:right="380" w:hanging="446"/>
        <w:spacing w:after="0" w:line="34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waives a default in respect of a covenant or provision which cannot be modified or amended without the consent of each affected holder.</w:t>
      </w:r>
    </w:p>
    <w:p>
      <w:pPr>
        <w:spacing w:after="0" w:line="23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securities based on the value, rate or price of one or more specified commodities, currencies, securities or indices, or any combination of the</w:t>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i w:val="1"/>
          <w:iCs w:val="1"/>
          <w:color w:val="auto"/>
        </w:rPr>
        <w:t>Registered Global Securities</w:t>
      </w:r>
      <w:r>
        <w:rPr>
          <w:rFonts w:ascii="Arial" w:cs="Arial" w:eastAsia="Arial" w:hAnsi="Arial"/>
          <w:sz w:val="17"/>
          <w:szCs w:val="17"/>
          <w:color w:val="auto"/>
        </w:rPr>
        <w:t>. We may issue the registered debt securities, warrants and units in the form of one or more fully registered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54"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7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dealer may then resell such securities to the public at varying prices to be determined by such dealer at the time of resale.</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included in our Annual Report on Form 10-K for the year ended December 31, 2015, and the effectiveness of our internal control over financial reporting as of December 31, 2015, as set forth in their reports, which are incorporated by reference into this prospectus and elsewhere in the registration statement. Our financial statements and our management’s assessment of the effectiveness of internal control over financial reporting as of December 31, 2015, are incorporated by reference in reliance on Ernst &amp; Young LLP’s reports, given on their authority as experts in accounting and auditing.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454660</wp:posOffset>
            </wp:positionV>
            <wp:extent cx="2864485" cy="660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180"/>
        <w:spacing w:after="0"/>
        <w:rPr>
          <w:sz w:val="20"/>
          <w:szCs w:val="20"/>
          <w:color w:val="auto"/>
        </w:rPr>
      </w:pPr>
      <w:r>
        <w:rPr>
          <w:rFonts w:ascii="Arial" w:cs="Arial" w:eastAsia="Arial" w:hAnsi="Arial"/>
          <w:sz w:val="29"/>
          <w:szCs w:val="29"/>
          <w:b w:val="1"/>
          <w:bCs w:val="1"/>
          <w:color w:val="auto"/>
        </w:rPr>
        <w:t>$300,000,000 2.750% Notes due 2021</w:t>
      </w:r>
    </w:p>
    <w:p>
      <w:pPr>
        <w:spacing w:after="0" w:line="67" w:lineRule="exact"/>
        <w:rPr>
          <w:sz w:val="20"/>
          <w:szCs w:val="20"/>
          <w:color w:val="auto"/>
        </w:rPr>
      </w:pPr>
    </w:p>
    <w:p>
      <w:pPr>
        <w:ind w:left="3180"/>
        <w:spacing w:after="0"/>
        <w:rPr>
          <w:sz w:val="20"/>
          <w:szCs w:val="20"/>
          <w:color w:val="auto"/>
        </w:rPr>
      </w:pPr>
      <w:r>
        <w:rPr>
          <w:rFonts w:ascii="Arial" w:cs="Arial" w:eastAsia="Arial" w:hAnsi="Arial"/>
          <w:sz w:val="29"/>
          <w:szCs w:val="29"/>
          <w:b w:val="1"/>
          <w:bCs w:val="1"/>
          <w:color w:val="auto"/>
        </w:rPr>
        <w:t>$300,000,000 2.625%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160020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April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160655</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Citigroup</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2860"/>
        <w:spacing w:after="0"/>
        <w:rPr>
          <w:sz w:val="20"/>
          <w:szCs w:val="20"/>
          <w:color w:val="auto"/>
        </w:rPr>
      </w:pPr>
      <w:r>
        <w:rPr>
          <w:rFonts w:ascii="Arial" w:cs="Arial" w:eastAsia="Arial" w:hAnsi="Arial"/>
          <w:sz w:val="29"/>
          <w:szCs w:val="29"/>
          <w:b w:val="1"/>
          <w:bCs w:val="1"/>
          <w:color w:val="auto"/>
        </w:rPr>
        <w:t>Morgan Stanley</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MUFG</w:t>
      </w:r>
    </w:p>
    <w:p>
      <w:pPr>
        <w:spacing w:after="0" w:line="105" w:lineRule="exact"/>
        <w:rPr>
          <w:sz w:val="20"/>
          <w:szCs w:val="20"/>
          <w:color w:val="auto"/>
        </w:rPr>
      </w:pPr>
    </w:p>
    <w:p>
      <w:pPr>
        <w:sectPr>
          <w:pgSz w:w="11900" w:h="16838" w:orient="portrait"/>
          <w:cols w:equalWidth="0" w:num="3">
            <w:col w:w="3900" w:space="720"/>
            <w:col w:w="5080" w:space="720"/>
            <w:col w:w="1000"/>
          </w:cols>
          <w:pgMar w:left="240" w:top="459" w:right="239" w:bottom="1440" w:gutter="0" w:footer="0" w:header="0"/>
          <w:type w:val="continuous"/>
        </w:sectPr>
      </w:pPr>
    </w:p>
    <w:p>
      <w:pPr>
        <w:spacing w:after="0"/>
        <w:rPr>
          <w:sz w:val="20"/>
          <w:szCs w:val="20"/>
          <w:color w:val="auto"/>
        </w:rPr>
      </w:pPr>
      <w:r>
        <w:rPr>
          <w:rFonts w:ascii="Arial" w:cs="Arial" w:eastAsia="Arial" w:hAnsi="Arial"/>
          <w:sz w:val="28"/>
          <w:szCs w:val="28"/>
          <w:b w:val="1"/>
          <w:bCs w:val="1"/>
          <w:color w:val="auto"/>
        </w:rPr>
        <w:t>Barclays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0"/>
          <w:szCs w:val="30"/>
          <w:b w:val="1"/>
          <w:bCs w:val="1"/>
          <w:color w:val="auto"/>
        </w:rPr>
        <w:t>BofA Merrill Lynch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b w:val="1"/>
          <w:bCs w:val="1"/>
          <w:color w:val="auto"/>
        </w:rPr>
        <w:t>Mizuho Securities</w:t>
      </w:r>
    </w:p>
    <w:p>
      <w:pPr>
        <w:spacing w:after="0" w:line="199" w:lineRule="exact"/>
        <w:rPr>
          <w:sz w:val="20"/>
          <w:szCs w:val="20"/>
          <w:color w:val="auto"/>
        </w:rPr>
      </w:pPr>
    </w:p>
    <w:p>
      <w:pPr>
        <w:sectPr>
          <w:pgSz w:w="11900" w:h="16838" w:orient="portrait"/>
          <w:cols w:equalWidth="0" w:num="4">
            <w:col w:w="1680" w:space="720"/>
            <w:col w:w="2960" w:space="720"/>
            <w:col w:w="2120" w:space="720"/>
            <w:col w:w="250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22"/>
          <w:szCs w:val="22"/>
          <w:i w:val="1"/>
          <w:iCs w:val="1"/>
          <w:color w:val="auto"/>
        </w:rPr>
        <w:t>Co-Managers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Bancorp</w:t>
      </w:r>
    </w:p>
    <w:p>
      <w:pPr>
        <w:spacing w:after="0" w:line="4"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The Williams Capital Group, L.P.</w:t>
      </w:r>
    </w:p>
    <w:p>
      <w:pPr>
        <w:ind w:left="8120"/>
        <w:spacing w:after="0" w:line="230" w:lineRule="auto"/>
        <w:rPr>
          <w:sz w:val="20"/>
          <w:szCs w:val="20"/>
          <w:color w:val="auto"/>
        </w:rPr>
      </w:pPr>
      <w:r>
        <w:rPr>
          <w:rFonts w:ascii="Arial" w:cs="Arial" w:eastAsia="Arial" w:hAnsi="Arial"/>
          <w:sz w:val="22"/>
          <w:szCs w:val="22"/>
          <w:b w:val="1"/>
          <w:bCs w:val="1"/>
          <w:color w:val="auto"/>
        </w:rPr>
        <w:t>BNP PARIBAS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HSBC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lowerRoman"/>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14">
    <w:nsid w:val="6CEAF087"/>
    <w:multiLevelType w:val="hybridMultilevel"/>
    <w:lvl w:ilvl="0">
      <w:lvlJc w:val="left"/>
      <w:lvlText w:val="•"/>
      <w:numFmt w:val="bullet"/>
      <w:start w:val="1"/>
    </w:lvl>
    <w:lvl w:ilvl="1">
      <w:lvlJc w:val="left"/>
      <w:lvlText w:val="(%2)"/>
      <w:numFmt w:val="decimal"/>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lowerRoman"/>
      <w:start w:val="3"/>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lvl w:ilvl="1">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lvl w:ilvl="1">
      <w:lvlJc w:val="left"/>
      <w:lvlText w:val="•"/>
      <w:numFmt w:val="bullet"/>
      <w:start w:val="1"/>
    </w:lvl>
  </w:abstractNum>
  <w:abstractNum w:abstractNumId="41">
    <w:nsid w:val="7A6D8D3C"/>
    <w:multiLevelType w:val="hybridMultilevel"/>
    <w:lvl w:ilvl="0">
      <w:lvlJc w:val="left"/>
      <w:lvlText w:val="•"/>
      <w:numFmt w:val="bullet"/>
      <w:start w:val="1"/>
    </w:lvl>
    <w:lvl w:ilvl="1">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2019-12-05T07:53:17Z</dcterms:created>
  <dcterms:modified xsi:type="dcterms:W3CDTF">2019-12-05T07:53:17Z</dcterms:modified>
</cp:coreProperties>
</file>