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1523"/>
          </w:cols>
          <w:pgMar w:left="237" w:top="235" w:right="139" w:bottom="1440" w:gutter="0" w:footer="0" w:header="0"/>
        </w:sectPr>
      </w:pP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Supplement</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To Prospectus Dated August 31, 2000</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2"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823" w:space="720"/>
            <w:col w:w="6980"/>
          </w:cols>
          <w:pgMar w:left="237" w:top="235" w:right="139" w:bottom="1440" w:gutter="0" w:footer="0" w:header="0"/>
          <w:type w:val="continuous"/>
        </w:sectPr>
      </w:pPr>
    </w:p>
    <w:p>
      <w:pPr>
        <w:spacing w:after="0" w:line="164" w:lineRule="exact"/>
        <w:rPr>
          <w:sz w:val="24"/>
          <w:szCs w:val="24"/>
          <w:color w:val="auto"/>
        </w:rPr>
      </w:pPr>
    </w:p>
    <w:p>
      <w:pPr>
        <w:jc w:val="center"/>
        <w:ind w:right="3857"/>
        <w:spacing w:after="0"/>
        <w:rPr>
          <w:sz w:val="20"/>
          <w:szCs w:val="20"/>
          <w:color w:val="auto"/>
        </w:rPr>
      </w:pPr>
      <w:r>
        <w:rPr>
          <w:rFonts w:ascii="Courier New" w:cs="Courier New" w:eastAsia="Courier New" w:hAnsi="Courier New"/>
          <w:sz w:val="16"/>
          <w:szCs w:val="16"/>
          <w:color w:val="auto"/>
        </w:rPr>
        <w:t>TEXAS INSTRUMENTS TUCSCON CORPORATION</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(FORMERLY KNOWN AS BURR-BROWN CORPORATION)</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$250,000,000</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TEXAS INSTRUMENTS INCORPORATED</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5,624,784 SHARES OF COMMON STOCK</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3960" w:firstLine="1702"/>
        <w:spacing w:after="0"/>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August 31, 2000 of Texas Instruments Tucson Corporation and Texas Instruments Incorporated relating to the offering from time to time by certain selling securityholders of (i) up to $250.0 million aggregate principal amount of 4 1/4% Convertible Subordinated Notes Due 2007 of TI Tucson, and (ii) up to 5,624,784 shares of Texas Instruments common stock, par value $1.00 per share, issuable upon conversion of the notes.</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6" w:lineRule="exact"/>
        <w:rPr>
          <w:sz w:val="24"/>
          <w:szCs w:val="24"/>
          <w:color w:val="auto"/>
        </w:rPr>
      </w:pPr>
    </w:p>
    <w:p>
      <w:pPr>
        <w:ind w:left="3" w:right="3960" w:firstLine="1702"/>
        <w:spacing w:after="0" w:line="239"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47"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60" w:type="dxa"/>
            <w:vAlign w:val="bottom"/>
          </w:tcPr>
          <w:p>
            <w:pPr>
              <w:ind w:left="380"/>
              <w:spacing w:after="0"/>
              <w:rPr>
                <w:sz w:val="20"/>
                <w:szCs w:val="20"/>
                <w:color w:val="auto"/>
              </w:rPr>
            </w:pPr>
            <w:r>
              <w:rPr>
                <w:rFonts w:ascii="Courier New" w:cs="Courier New" w:eastAsia="Courier New" w:hAnsi="Courier New"/>
                <w:sz w:val="16"/>
                <w:szCs w:val="16"/>
                <w:color w:val="auto"/>
              </w:rPr>
              <w:t>PRINCIPAL</w:t>
            </w:r>
          </w:p>
        </w:tc>
        <w:tc>
          <w:tcPr>
            <w:tcW w:w="1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2"/>
        </w:trPr>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60" w:type="dxa"/>
            <w:vAlign w:val="bottom"/>
          </w:tcPr>
          <w:p>
            <w:pPr>
              <w:ind w:left="380"/>
              <w:spacing w:after="0"/>
              <w:rPr>
                <w:sz w:val="20"/>
                <w:szCs w:val="20"/>
                <w:color w:val="auto"/>
              </w:rPr>
            </w:pPr>
            <w:r>
              <w:rPr>
                <w:rFonts w:ascii="Courier New" w:cs="Courier New" w:eastAsia="Courier New" w:hAnsi="Courier New"/>
                <w:sz w:val="16"/>
                <w:szCs w:val="16"/>
                <w:color w:val="auto"/>
              </w:rPr>
              <w:t>AMOUNT AT</w:t>
            </w:r>
          </w:p>
        </w:tc>
        <w:tc>
          <w:tcPr>
            <w:tcW w:w="1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2"/>
        </w:trPr>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MATURITY OF</w:t>
            </w:r>
          </w:p>
        </w:tc>
        <w:tc>
          <w:tcPr>
            <w:tcW w:w="1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2"/>
        </w:trPr>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NOTES</w:t>
            </w:r>
          </w:p>
        </w:tc>
        <w:tc>
          <w:tcPr>
            <w:tcW w:w="1600" w:type="dxa"/>
            <w:vAlign w:val="bottom"/>
          </w:tcPr>
          <w:p>
            <w:pPr>
              <w:spacing w:after="0"/>
              <w:rPr>
                <w:sz w:val="15"/>
                <w:szCs w:val="15"/>
                <w:color w:val="auto"/>
              </w:rPr>
            </w:pPr>
          </w:p>
        </w:tc>
        <w:tc>
          <w:tcPr>
            <w:tcW w:w="17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SHARES OF</w:t>
            </w:r>
          </w:p>
        </w:tc>
        <w:tc>
          <w:tcPr>
            <w:tcW w:w="1820" w:type="dxa"/>
            <w:vAlign w:val="bottom"/>
          </w:tcPr>
          <w:p>
            <w:pPr>
              <w:spacing w:after="0"/>
              <w:rPr>
                <w:sz w:val="15"/>
                <w:szCs w:val="15"/>
                <w:color w:val="auto"/>
              </w:rPr>
            </w:pPr>
          </w:p>
        </w:tc>
      </w:tr>
      <w:tr>
        <w:trPr>
          <w:trHeight w:val="182"/>
        </w:trPr>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PERCENTAGE OF</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COMMON STOCK</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PERCENTAGE OF</w:t>
            </w:r>
          </w:p>
        </w:tc>
      </w:tr>
      <w:tr>
        <w:trPr>
          <w:trHeight w:val="182"/>
        </w:trPr>
        <w:tc>
          <w:tcPr>
            <w:tcW w:w="1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60" w:type="dxa"/>
            <w:vAlign w:val="bottom"/>
          </w:tcPr>
          <w:p>
            <w:pPr>
              <w:ind w:left="380"/>
              <w:spacing w:after="0"/>
              <w:rPr>
                <w:sz w:val="20"/>
                <w:szCs w:val="20"/>
                <w:color w:val="auto"/>
              </w:rPr>
            </w:pPr>
            <w:r>
              <w:rPr>
                <w:rFonts w:ascii="Courier New" w:cs="Courier New" w:eastAsia="Courier New" w:hAnsi="Courier New"/>
                <w:sz w:val="16"/>
                <w:szCs w:val="16"/>
                <w:color w:val="auto"/>
              </w:rPr>
              <w:t>OWNED THAT</w:t>
            </w:r>
          </w:p>
        </w:tc>
        <w:tc>
          <w:tcPr>
            <w:tcW w:w="16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NOTES</w:t>
            </w:r>
          </w:p>
        </w:tc>
        <w:tc>
          <w:tcPr>
            <w:tcW w:w="17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THAT MAY</w:t>
            </w:r>
          </w:p>
        </w:tc>
        <w:tc>
          <w:tcPr>
            <w:tcW w:w="18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COMMON STOCK</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1660" w:type="dxa"/>
            <w:vAlign w:val="bottom"/>
          </w:tcPr>
          <w:p>
            <w:pPr>
              <w:ind w:left="380"/>
              <w:spacing w:after="0"/>
              <w:rPr>
                <w:sz w:val="20"/>
                <w:szCs w:val="20"/>
                <w:color w:val="auto"/>
              </w:rPr>
            </w:pPr>
            <w:r>
              <w:rPr>
                <w:rFonts w:ascii="Courier New" w:cs="Courier New" w:eastAsia="Courier New" w:hAnsi="Courier New"/>
                <w:sz w:val="16"/>
                <w:szCs w:val="16"/>
                <w:color w:val="auto"/>
              </w:rPr>
              <w:t>MAY BE SOLD</w:t>
            </w:r>
          </w:p>
        </w:tc>
        <w:tc>
          <w:tcPr>
            <w:tcW w:w="16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OUTSTANDING</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BE SOLD(1)</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8"/>
              </w:rPr>
              <w:t>OUTSTANDING (2)</w:t>
            </w:r>
          </w:p>
        </w:tc>
      </w:tr>
      <w:tr>
        <w:trPr>
          <w:trHeight w:val="182"/>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580" w:type="dxa"/>
            <w:vAlign w:val="bottom"/>
          </w:tcPr>
          <w:p>
            <w:pPr>
              <w:jc w:val="right"/>
              <w:ind w:right="1621"/>
              <w:spacing w:after="0"/>
              <w:rPr>
                <w:sz w:val="20"/>
                <w:szCs w:val="20"/>
                <w:color w:val="auto"/>
              </w:rPr>
            </w:pPr>
            <w:r>
              <w:rPr>
                <w:rFonts w:ascii="Courier New" w:cs="Courier New" w:eastAsia="Courier New" w:hAnsi="Courier New"/>
                <w:sz w:val="16"/>
                <w:szCs w:val="16"/>
                <w:color w:val="auto"/>
                <w:w w:val="99"/>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Amsouth Equity Income Fund</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1,920,000</w:t>
            </w:r>
          </w:p>
        </w:tc>
        <w:tc>
          <w:tcPr>
            <w:tcW w:w="1600" w:type="dxa"/>
            <w:vAlign w:val="bottom"/>
          </w:tcPr>
          <w:p>
            <w:pPr>
              <w:jc w:val="center"/>
              <w:ind w:right="1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43,195</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Amsouth Variable Equity Income Fund</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710,000</w:t>
            </w:r>
          </w:p>
        </w:tc>
        <w:tc>
          <w:tcPr>
            <w:tcW w:w="1600" w:type="dxa"/>
            <w:vAlign w:val="bottom"/>
          </w:tcPr>
          <w:p>
            <w:pPr>
              <w:jc w:val="center"/>
              <w:ind w:right="1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15,973</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New York Life Insurance and Annuity Corporation</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650,000</w:t>
            </w:r>
          </w:p>
        </w:tc>
        <w:tc>
          <w:tcPr>
            <w:tcW w:w="1600" w:type="dxa"/>
            <w:vAlign w:val="bottom"/>
          </w:tcPr>
          <w:p>
            <w:pPr>
              <w:jc w:val="center"/>
              <w:ind w:right="1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14,623</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New York Life Insurance Company</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6,650,000</w:t>
            </w:r>
          </w:p>
        </w:tc>
        <w:tc>
          <w:tcPr>
            <w:tcW w:w="1600" w:type="dxa"/>
            <w:vAlign w:val="bottom"/>
          </w:tcPr>
          <w:p>
            <w:pPr>
              <w:jc w:val="center"/>
              <w:ind w:right="1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149,606</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546"/>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580" w:type="dxa"/>
            <w:vAlign w:val="bottom"/>
          </w:tcPr>
          <w:p>
            <w:pPr>
              <w:jc w:val="right"/>
              <w:ind w:right="2661"/>
              <w:spacing w:after="0"/>
              <w:rPr>
                <w:sz w:val="20"/>
                <w:szCs w:val="20"/>
                <w:color w:val="auto"/>
              </w:rPr>
            </w:pPr>
            <w:r>
              <w:rPr>
                <w:rFonts w:ascii="Courier New" w:cs="Courier New" w:eastAsia="Courier New" w:hAnsi="Courier New"/>
                <w:sz w:val="16"/>
                <w:szCs w:val="16"/>
                <w:color w:val="auto"/>
              </w:rPr>
              <w:t>Less than 1%</w:t>
            </w: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86" w:lineRule="exact"/>
        <w:rPr>
          <w:sz w:val="24"/>
          <w:szCs w:val="24"/>
          <w:color w:val="auto"/>
        </w:rPr>
      </w:pPr>
    </w:p>
    <w:p>
      <w:pPr>
        <w:ind w:left="843" w:right="4140" w:hanging="843"/>
        <w:spacing w:after="0" w:line="258" w:lineRule="auto"/>
        <w:tabs>
          <w:tab w:leader="none" w:pos="84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77" w:lineRule="exact"/>
        <w:rPr>
          <w:rFonts w:ascii="Courier New" w:cs="Courier New" w:eastAsia="Courier New" w:hAnsi="Courier New"/>
          <w:sz w:val="15"/>
          <w:szCs w:val="15"/>
          <w:color w:val="auto"/>
        </w:rPr>
      </w:pPr>
    </w:p>
    <w:p>
      <w:pPr>
        <w:ind w:left="843" w:right="3960" w:hanging="843"/>
        <w:spacing w:after="0" w:line="239" w:lineRule="auto"/>
        <w:tabs>
          <w:tab w:leader="none" w:pos="84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1,731,713,920 shares of Texas Instruments common stock issued and outstanding as of November 24, 2000. Assumes the number of shares of Texas Instruments common stock issuable upon conversion of all of that particular holder's notes are outstanding. However, this does not include the conversion of any other holder's notes.</w:t>
      </w:r>
    </w:p>
    <w:p>
      <w:pPr>
        <w:spacing w:after="0" w:line="190" w:lineRule="exact"/>
        <w:rPr>
          <w:sz w:val="24"/>
          <w:szCs w:val="24"/>
          <w:color w:val="auto"/>
        </w:rPr>
      </w:pPr>
    </w:p>
    <w:p>
      <w:pPr>
        <w:ind w:left="3" w:right="4060" w:firstLine="851"/>
        <w:spacing w:after="0" w:line="237"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4 OF THE PROSPECTUS.</w:t>
      </w:r>
    </w:p>
    <w:p>
      <w:pPr>
        <w:spacing w:after="0" w:line="184" w:lineRule="exact"/>
        <w:rPr>
          <w:sz w:val="24"/>
          <w:szCs w:val="24"/>
          <w:color w:val="auto"/>
        </w:rPr>
      </w:pPr>
    </w:p>
    <w:p>
      <w:pPr>
        <w:jc w:val="right"/>
        <w:ind w:right="396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IS TRUTHFUL OR COMPLETE. ANY REPRESENTATION TO THE CONTRARY IS A</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CRIMINAL OFFENSE.</w:t>
      </w:r>
    </w:p>
    <w:p>
      <w:pPr>
        <w:spacing w:after="0" w:line="183" w:lineRule="exact"/>
        <w:rPr>
          <w:sz w:val="24"/>
          <w:szCs w:val="24"/>
          <w:color w:val="auto"/>
        </w:rPr>
      </w:pPr>
    </w:p>
    <w:p>
      <w:pPr>
        <w:ind w:left="943"/>
        <w:spacing w:after="0"/>
        <w:rPr>
          <w:sz w:val="20"/>
          <w:szCs w:val="20"/>
          <w:color w:val="auto"/>
        </w:rPr>
      </w:pPr>
      <w:r>
        <w:rPr>
          <w:rFonts w:ascii="Courier New" w:cs="Courier New" w:eastAsia="Courier New" w:hAnsi="Courier New"/>
          <w:sz w:val="16"/>
          <w:szCs w:val="16"/>
          <w:color w:val="auto"/>
        </w:rPr>
        <w:t>The date of this Prospectus Supplement is November 30, 2000.</w:t>
      </w:r>
    </w:p>
    <w:sectPr>
      <w:pgSz w:w="11900" w:h="16838" w:orient="portrait"/>
      <w:cols w:equalWidth="0" w:num="1">
        <w:col w:w="11523"/>
      </w:cols>
      <w:pgMar w:left="237" w:top="23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2019-12-16T13:35:08Z</dcterms:created>
  <dcterms:modified xsi:type="dcterms:W3CDTF">2019-12-16T13:35:08Z</dcterms:modified>
</cp:coreProperties>
</file>