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-651510</wp:posOffset>
            </wp:positionV>
            <wp:extent cx="59690" cy="6648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4152265</wp:posOffset>
            </wp:positionH>
            <wp:positionV relativeFrom="paragraph">
              <wp:posOffset>-651510</wp:posOffset>
            </wp:positionV>
            <wp:extent cx="59690" cy="6648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20955</wp:posOffset>
            </wp:positionV>
            <wp:extent cx="7323455" cy="48342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4834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MACMILLAN STEPHEN P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TEXAS INSTRUMENTS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TXN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12/17/2010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60" w:hanging="3"/>
        <w:spacing w:after="0" w:line="256" w:lineRule="auto"/>
        <w:tabs>
          <w:tab w:leader="none" w:pos="15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3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43"/>
        <w:spacing w:after="0"/>
        <w:tabs>
          <w:tab w:leader="none" w:pos="2163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340" w:space="637"/>
            <w:col w:w="3483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24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75243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6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3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8,000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80" w:type="dxa"/>
            <w:vAlign w:val="bottom"/>
            <w:gridSpan w:val="10"/>
          </w:tcPr>
          <w:p>
            <w:pPr>
              <w:jc w:val="right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280"/>
              <w:spacing w:after="0" w:line="2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000000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1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12/17/2010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102.19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102.19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32.62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4,296.28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Security converts to common stock on a one-for-one basis.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50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Stock units credited under the Texas Instruments 2009 Director Compensation Plan, to be settled in common stock of the Issuer following the reporting person's termination of service as a director of the Issuer. End-of-period holdings include stock units acquired pursuant to the dividend reinvestment provision of the Plan.</w:t>
      </w:r>
    </w:p>
    <w:p>
      <w:pPr>
        <w:spacing w:after="0" w:line="27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 Daniel M. Drory, Attorney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12/17/2010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50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In Fact</w:t>
            </w:r>
          </w:p>
        </w:tc>
        <w:tc>
          <w:tcPr>
            <w:tcW w:w="158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50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2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39351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2019-12-17T00:47:25Z</dcterms:created>
  <dcterms:modified xsi:type="dcterms:W3CDTF">2019-12-17T00:47:25Z</dcterms:modified>
</cp:coreProperties>
</file>