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227965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DATE OF REPORT (DATE OF EARLIEST EVENT REPORTED): October 21,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394970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Registrant’s news release dated October 21, 2013, regarding its third-quarter 2013 results of operations and financial condition is attached hereto as Exhibit 99.</w:t>
      </w:r>
    </w:p>
    <w:p>
      <w:pPr>
        <w:spacing w:after="0" w:line="19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attached news release includes references to the following financial measures that were not prepared in accordance with generally accepted accounting principles in the United States (non-GAAP measures): free cash flow, various ratios based on free cash flow, and revenue and revenue outlook without legacy wireless results. The company believes these non-GAAP measures provide insight into its liquidity, cash generating capability and the amount of cash available to return to investors,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420"/>
          </w:cols>
          <w:pgMar w:left="240" w:top="517" w:right="239" w:bottom="1440" w:gutter="0" w:footer="0" w:header="0"/>
        </w:sectPr>
      </w:pPr>
    </w:p>
    <w:p>
      <w:pPr>
        <w:spacing w:after="0" w:line="225"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Designation</w:t>
      </w:r>
    </w:p>
    <w:p>
      <w:pPr>
        <w:spacing w:after="0" w:line="4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of Exhibit</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in this</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2947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58661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6130" cy="1714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1460" w:space="720"/>
            <w:col w:w="9240"/>
          </w:cols>
          <w:pgMar w:left="240" w:top="517" w:right="239" w:bottom="1440" w:gutter="0" w:footer="0" w:header="0"/>
          <w:type w:val="continuous"/>
        </w:sectPr>
      </w:pPr>
    </w:p>
    <w:p>
      <w:pPr>
        <w:ind w:left="2180" w:hanging="1242"/>
        <w:spacing w:after="0"/>
        <w:tabs>
          <w:tab w:leader="none" w:pos="2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6"/>
          <w:szCs w:val="16"/>
          <w:color w:val="auto"/>
        </w:rPr>
        <w:t>Dated October 21, 2013 (furnished pursuant to Item 2.02)</w:t>
      </w:r>
    </w:p>
    <w:p>
      <w:pPr>
        <w:sectPr>
          <w:pgSz w:w="11900" w:h="16838" w:orient="portrait"/>
          <w:cols w:equalWidth="0" w:num="1">
            <w:col w:w="11420"/>
          </w:cols>
          <w:pgMar w:left="240" w:top="517" w:right="23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41"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October 21,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76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3Q13 financial results and shareholder returns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DALLAS (Oct. 21, 2013) – Texas Instruments Incorporated (TI) (NASDAQ: TXN) today reported third-quarter revenue of $3.24 billion, net income of $629 million and earnings per share of 56 cents.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264" w:lineRule="exact"/>
        <w:rPr>
          <w:sz w:val="20"/>
          <w:szCs w:val="20"/>
          <w:color w:val="auto"/>
        </w:rPr>
      </w:pPr>
    </w:p>
    <w:p>
      <w:pPr>
        <w:ind w:left="340" w:hanging="143"/>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third-quarter performance reflects the positive structural changes we’ve made at TI over the past few years as we’ve focused on Analog and Embedded Processing.</w:t>
      </w:r>
    </w:p>
    <w:p>
      <w:pPr>
        <w:spacing w:after="0" w:line="197"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in the quarter was up 6 percent sequentially. Excluding the legacy wireless products, revenue grew 10 percent sequentially. Our book-to-bill ratio was 0.97, consistent with an expected seasonal revenue decline in the fourth quarter.</w:t>
      </w:r>
    </w:p>
    <w:p>
      <w:pPr>
        <w:spacing w:after="0" w:line="197" w:lineRule="exact"/>
        <w:rPr>
          <w:rFonts w:ascii="Arial" w:cs="Arial" w:eastAsia="Arial" w:hAnsi="Arial"/>
          <w:sz w:val="18"/>
          <w:szCs w:val="18"/>
          <w:color w:val="auto"/>
        </w:rPr>
      </w:pPr>
    </w:p>
    <w:p>
      <w:pPr>
        <w:ind w:left="340" w:right="20" w:hanging="143"/>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“Analog and Embedded Processing are now 80 percent of TI’s revenue, eight points higher than a year ago. The combined revenue from these two businesses grew 10 percent sequentially and 7 percent from a year ago. Our legacy wireless products declined to less than 2 percent of revenue.</w:t>
      </w:r>
    </w:p>
    <w:p>
      <w:pPr>
        <w:spacing w:after="0" w:line="173" w:lineRule="exact"/>
        <w:rPr>
          <w:rFonts w:ascii="Arial" w:cs="Arial" w:eastAsia="Arial" w:hAnsi="Arial"/>
          <w:sz w:val="17"/>
          <w:szCs w:val="17"/>
          <w:color w:val="auto"/>
        </w:rPr>
      </w:pPr>
    </w:p>
    <w:p>
      <w:pPr>
        <w:jc w:val="both"/>
        <w:ind w:left="340" w:hanging="143"/>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per share were higher than expected due to better revenue and gross profit, tight expense control and discrete tax items. Gross margin of 54.8 percent was an all-time high for TI, exceeding the prior record set in the third quarter of 2010, even though both revenue and factory utilization were lower. We believe this reflects the increased quality of revenue that comes from our focus on Analog and Embedded Processing and the efficiency of our manufacturing strategy.</w:t>
      </w:r>
    </w:p>
    <w:p>
      <w:pPr>
        <w:spacing w:after="0" w:line="213"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model continues to generate strong cash flow from operations. Free cash flow for the trailing 12 months was almost $3 billion, up 4 percent compared with a year ago. Free cash flow was 24 percent of revenue, consistent with our target of 20-25 percent.</w:t>
      </w:r>
    </w:p>
    <w:p>
      <w:pPr>
        <w:spacing w:after="0" w:line="197" w:lineRule="exact"/>
        <w:rPr>
          <w:rFonts w:ascii="Arial" w:cs="Arial" w:eastAsia="Arial" w:hAnsi="Arial"/>
          <w:sz w:val="18"/>
          <w:szCs w:val="18"/>
          <w:color w:val="auto"/>
        </w:rPr>
      </w:pPr>
    </w:p>
    <w:p>
      <w:pPr>
        <w:jc w:val="both"/>
        <w:ind w:left="340" w:hanging="143"/>
        <w:spacing w:after="0" w:line="25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returned $1.0 billion to shareholders through dividends and stock repurchases in the third quarter. For the trailing 12 months, the return to shareholders totaled $3.8 billion or 133 percent of free cash flow. In the quarter, we announced a dividend increase, our second in 2013. In total, we have increased our dividend by 43 percent this year, resulting in an annualized rate of $1.20 per share. Our strategy to return to shareholders all of our free cash flow not needed for debt repayment reflects our confidence in the long-term sustainability of our Analog and Embedded Processing business model.</w:t>
      </w:r>
    </w:p>
    <w:p>
      <w:pPr>
        <w:spacing w:after="0" w:line="215" w:lineRule="exact"/>
        <w:rPr>
          <w:rFonts w:ascii="Arial" w:cs="Arial" w:eastAsia="Arial" w:hAnsi="Arial"/>
          <w:sz w:val="18"/>
          <w:szCs w:val="18"/>
          <w:color w:val="auto"/>
        </w:rPr>
      </w:pPr>
    </w:p>
    <w:p>
      <w:pPr>
        <w:ind w:left="340" w:right="20" w:hanging="143"/>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balance sheet remains strong, with $3.6 billion of cash and short-term investments at the end of the quarter, 82 percent owned by the company’s U.S. entities. Inventory days were 106, up from 101 a year ago, and consistent with our model of 105-115 days.</w:t>
      </w:r>
    </w:p>
    <w:p>
      <w:pPr>
        <w:spacing w:after="0" w:line="197" w:lineRule="exact"/>
        <w:rPr>
          <w:rFonts w:ascii="Arial" w:cs="Arial" w:eastAsia="Arial" w:hAnsi="Arial"/>
          <w:sz w:val="18"/>
          <w:szCs w:val="18"/>
          <w:color w:val="auto"/>
        </w:rPr>
      </w:pPr>
    </w:p>
    <w:p>
      <w:pPr>
        <w:jc w:val="both"/>
        <w:ind w:left="340" w:hanging="143"/>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the mid-point of our fourth-quarter guidance range, revenue would decline 8 percent sequentially and be about even with the fourth quarter of 2012. Excluding legacy wireless revenue, which should decline to about $50 million in the fourth quarter, the mid-point of our outlook would deliver 8 percent growth from a year ago.”</w:t>
      </w:r>
    </w:p>
    <w:p>
      <w:pPr>
        <w:spacing w:after="0" w:line="20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Free cash flow and revenue excluding legacy wireless are non-GAAP financial measures. Free cash flow is Cash flow from operations less Capital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3Q13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3Q12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$3,244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3,390</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720" w:type="dxa"/>
            <w:vAlign w:val="bottom"/>
            <w:gridSpan w:val="3"/>
          </w:tcPr>
          <w:p>
            <w:pPr>
              <w:spacing w:after="0"/>
              <w:rPr>
                <w:sz w:val="20"/>
                <w:szCs w:val="20"/>
                <w:color w:val="auto"/>
              </w:rPr>
            </w:pPr>
            <w:r>
              <w:rPr>
                <w:rFonts w:ascii="Arial" w:cs="Arial" w:eastAsia="Arial" w:hAnsi="Arial"/>
                <w:sz w:val="18"/>
                <w:szCs w:val="18"/>
                <w:b w:val="1"/>
                <w:bCs w:val="1"/>
                <w:color w:val="auto"/>
              </w:rPr>
              <w:t>Cash generation</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72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color w:val="auto"/>
                <w:w w:val="95"/>
              </w:rPr>
              <w:t>Trailing 12 Months</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3Q13</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3Q13</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3Q12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000000"/>
          </w:tcPr>
          <w:p>
            <w:pPr>
              <w:spacing w:after="0"/>
              <w:rPr>
                <w:sz w:val="2"/>
                <w:szCs w:val="2"/>
                <w:color w:val="auto"/>
              </w:rPr>
            </w:pPr>
          </w:p>
        </w:tc>
        <w:tc>
          <w:tcPr>
            <w:tcW w:w="3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Cash flow from operations</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1,151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3,270</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3,298</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1,027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2,868</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2,747</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 % of revenue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last 12 months were 3 percent of 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return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5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Trailing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71010"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71010" cy="3619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3Q13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3Q13</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Percentage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Free Cash Flow</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Dividends paid</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1,084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2,734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Total cash returned</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1,042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3,818</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2013, TI expects:</w:t>
      </w:r>
    </w:p>
    <w:p>
      <w:pPr>
        <w:spacing w:after="0" w:line="252" w:lineRule="exact"/>
        <w:rPr>
          <w:sz w:val="20"/>
          <w:szCs w:val="20"/>
          <w:color w:val="auto"/>
        </w:rPr>
      </w:pPr>
    </w:p>
    <w:p>
      <w:pPr>
        <w:ind w:left="500" w:hanging="22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$2.86 – 3.10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per share: $0.42 – 0.50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fourth-quarter outlook on December 9,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2013, TI continues to expect approximately the following:</w:t>
      </w:r>
    </w:p>
    <w:p>
      <w:pPr>
        <w:spacing w:after="0" w:line="23" w:lineRule="exact"/>
        <w:rPr>
          <w:sz w:val="20"/>
          <w:szCs w:val="20"/>
          <w:color w:val="auto"/>
        </w:rPr>
      </w:pPr>
    </w:p>
    <w:p>
      <w:pPr>
        <w:ind w:left="500" w:hanging="22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R&amp;D expense: $1.5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$0.5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Depreciation: $0.9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effective tax rate: 24 percent</w:t>
      </w:r>
    </w:p>
    <w:p>
      <w:pPr>
        <w:sectPr>
          <w:pgSz w:w="11900" w:h="16838" w:orient="portrait"/>
          <w:cols w:equalWidth="0" w:num="1">
            <w:col w:w="10219"/>
          </w:cols>
          <w:pgMar w:left="240" w:top="134"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For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44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0"/>
              </w:rPr>
              <w:t>Sept. 30, 2013</w:t>
            </w:r>
          </w:p>
        </w:tc>
        <w:tc>
          <w:tcPr>
            <w:tcW w:w="140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90"/>
              </w:rPr>
              <w:t>Sept. 30, 2012</w:t>
            </w:r>
          </w:p>
        </w:tc>
        <w:tc>
          <w:tcPr>
            <w:tcW w:w="130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w w:val="94"/>
              </w:rPr>
              <w:t>Jun. 30,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3,244</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3,390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1,465</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1,650</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1,779</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1,740</w:t>
            </w:r>
          </w:p>
        </w:tc>
        <w:tc>
          <w:tcPr>
            <w:tcW w:w="4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368</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463</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465</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453</w:t>
            </w:r>
          </w:p>
        </w:tc>
        <w:tc>
          <w:tcPr>
            <w:tcW w:w="4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Acquisition charges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86</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Restructuring charges/other</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w:t>
            </w: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844</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840</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expense</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24</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816</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843</w:t>
            </w:r>
          </w:p>
        </w:tc>
        <w:tc>
          <w:tcPr>
            <w:tcW w:w="4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187</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629</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784</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.56</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.56</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1,096</w:t>
            </w:r>
          </w:p>
        </w:tc>
        <w:tc>
          <w:tcPr>
            <w:tcW w:w="4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1,130</w:t>
            </w:r>
          </w:p>
        </w:tc>
        <w:tc>
          <w:tcPr>
            <w:tcW w:w="4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1,111</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1,141</w:t>
            </w:r>
          </w:p>
        </w:tc>
        <w:tc>
          <w:tcPr>
            <w:tcW w:w="4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.28</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Percentage of revenue:</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54.8%</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R&amp;D</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11.3%</w:t>
            </w:r>
          </w:p>
        </w:tc>
        <w:tc>
          <w:tcPr>
            <w:tcW w:w="4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14.4%</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26.0%</w:t>
            </w:r>
          </w:p>
        </w:tc>
        <w:tc>
          <w:tcPr>
            <w:tcW w:w="4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4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is $11 million, $14 million and $11 million for the quarters ending September 30, 2013, September 30, 2012, and June 30, 2013, respectively.</w:t>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0"/>
              </w:rPr>
              <w:t>Sept. 30, 2013</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0"/>
              </w:rPr>
              <w:t>Sept. 30, 2012</w:t>
            </w: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2"/>
              </w:rPr>
              <w:t>Jun. 30,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1,435</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1,210</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receivable, net of allowances of ($29), ($23) and ($31)</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1,524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954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1,726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8,101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6,539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6,806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(3,030)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3,509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 net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4,362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4,452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 net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19,244</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20,514</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19,398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1,500</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567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2,723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3,428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253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492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8,193</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preferred. None issued.</w:t>
            </w: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3"/>
              </w:rPr>
              <w:t>Common stock, $1 par value. Authorized – 2,400,000,000 shares. Shares issued – 1,740,815,939</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27,993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27,179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27,677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Sept. 30, 2013 – 646,252,825; Sept. 30, 2012 –</w:t>
            </w:r>
          </w:p>
        </w:tc>
        <w:tc>
          <w:tcPr>
            <w:tcW w:w="34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(19,236)</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620,012,959; Jun. 30, 2013 – 639,643,135</w:t>
            </w:r>
          </w:p>
        </w:tc>
        <w:tc>
          <w:tcPr>
            <w:tcW w:w="3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(18,093)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3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(572)</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11,051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19,244</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20,514</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19,398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Three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Months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Sept. 30, 2013</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Sept. 30, 2012</w:t>
            </w:r>
          </w:p>
        </w:tc>
        <w:tc>
          <w:tcPr>
            <w:tcW w:w="8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Jun. 30,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60"/>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629</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784</w:t>
            </w:r>
          </w:p>
        </w:tc>
        <w:tc>
          <w:tcPr>
            <w:tcW w:w="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net income:</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Gains on sales of assets</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transfer of Japan substitutional pension</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compensation</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(173)</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funded status of retirement plans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1,151</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(124)</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asset sales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(775)</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(1,484)</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short-term investments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Purchases of long-term investments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investments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(212)</w:t>
            </w:r>
          </w:p>
        </w:tc>
        <w:tc>
          <w:tcPr>
            <w:tcW w:w="3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(1,440)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Repayment of debt and commercial paper borrowings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(308)</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(734)</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common stock transactions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(684)</w:t>
            </w:r>
          </w:p>
        </w:tc>
        <w:tc>
          <w:tcPr>
            <w:tcW w:w="3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1,180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1,192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1,435</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1,210</w:t>
            </w:r>
          </w:p>
        </w:tc>
        <w:tc>
          <w:tcPr>
            <w:tcW w:w="72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ectPr>
          <w:pgSz w:w="11900" w:h="16838" w:orient="portrait"/>
          <w:cols w:equalWidth="0" w:num="1">
            <w:col w:w="11420"/>
          </w:cols>
          <w:pgMar w:left="240" w:top="51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3Q13 segment results</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0"/>
        </w:trPr>
        <w:tc>
          <w:tcPr>
            <w:tcW w:w="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3Q13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3Q12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Change</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2Q13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Change</w:t>
            </w:r>
          </w:p>
        </w:tc>
      </w:tr>
      <w:tr>
        <w:trPr>
          <w:trHeight w:val="216"/>
        </w:trPr>
        <w:tc>
          <w:tcPr>
            <w:tcW w:w="20" w:type="dxa"/>
            <w:vAlign w:val="bottom"/>
          </w:tcPr>
          <w:p>
            <w:pPr>
              <w:spacing w:after="0"/>
              <w:rPr>
                <w:sz w:val="18"/>
                <w:szCs w:val="18"/>
                <w:color w:val="auto"/>
              </w:rPr>
            </w:pPr>
          </w:p>
        </w:tc>
        <w:tc>
          <w:tcPr>
            <w:tcW w:w="46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Analog:</w:t>
            </w: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460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Processing:</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591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618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956</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18"/>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bl>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27" w:lineRule="exact"/>
        <w:rPr>
          <w:sz w:val="20"/>
          <w:szCs w:val="20"/>
          <w:color w:val="auto"/>
        </w:rPr>
      </w:pPr>
    </w:p>
    <w:p>
      <w:pPr>
        <w:ind w:left="340" w:hanging="228"/>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a year ago, revenue increased primarily due to higher Silicon Valley Analog revenue. High Performance Analog and Power Management revenue also increased, while High Volume Analog &amp; Logic revenue was about even.</w:t>
      </w:r>
    </w:p>
    <w:p>
      <w:pPr>
        <w:ind w:left="340" w:hanging="228"/>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the prior quarter, revenue grew due to higher revenue from all four product lines, with Power Management up the most.</w:t>
      </w:r>
    </w:p>
    <w:p>
      <w:pPr>
        <w:spacing w:after="0" w:line="9" w:lineRule="exact"/>
        <w:rPr>
          <w:rFonts w:ascii="Arial" w:cs="Arial" w:eastAsia="Arial" w:hAnsi="Arial"/>
          <w:sz w:val="18"/>
          <w:szCs w:val="18"/>
          <w:color w:val="auto"/>
        </w:rPr>
      </w:pPr>
    </w:p>
    <w:p>
      <w:pPr>
        <w:ind w:left="340" w:hanging="228"/>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increased from a year ago due to higher gross profit. Compared with the prior quarter, operating profit increased due to higher revenue and associated gross profit.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Processors, Microcontrollers and Connectivity</w:t>
      </w:r>
      <w:r>
        <w:rPr>
          <w:rFonts w:ascii="Arial" w:cs="Arial" w:eastAsia="Arial" w:hAnsi="Arial"/>
          <w:sz w:val="18"/>
          <w:szCs w:val="18"/>
          <w:color w:val="auto"/>
        </w:rPr>
        <w:t>)</w:t>
      </w:r>
    </w:p>
    <w:p>
      <w:pPr>
        <w:spacing w:after="0" w:line="27" w:lineRule="exact"/>
        <w:rPr>
          <w:sz w:val="20"/>
          <w:szCs w:val="20"/>
          <w:color w:val="auto"/>
        </w:rPr>
      </w:pP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Compared with the year-ago quarter, the increase in revenue was due to growth in all three product lines.</w:t>
      </w:r>
    </w:p>
    <w:p>
      <w:pPr>
        <w:spacing w:after="0" w:line="9" w:lineRule="exact"/>
        <w:rPr>
          <w:rFonts w:ascii="Arial" w:cs="Arial" w:eastAsia="Arial" w:hAnsi="Arial"/>
          <w:sz w:val="18"/>
          <w:szCs w:val="18"/>
          <w:color w:val="auto"/>
        </w:rPr>
      </w:pPr>
    </w:p>
    <w:p>
      <w:pPr>
        <w:ind w:left="340" w:hanging="228"/>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Compared with the prior quarter, revenue increased primarily due to Processors. Revenue from Microcontrollers and Connectivity also increased.</w:t>
      </w:r>
    </w:p>
    <w:p>
      <w:pPr>
        <w:spacing w:after="0" w:line="20" w:lineRule="exact"/>
        <w:rPr>
          <w:rFonts w:ascii="Arial" w:cs="Arial" w:eastAsia="Arial" w:hAnsi="Arial"/>
          <w:sz w:val="17"/>
          <w:szCs w:val="17"/>
          <w:color w:val="auto"/>
        </w:rPr>
      </w:pPr>
    </w:p>
    <w:p>
      <w:pPr>
        <w:ind w:left="340" w:hanging="228"/>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 increased from a year ago due to higher revenue and associated gross profit, which was partially offset by higher operating expenses. Compared with the prior quarter, operating profit increased due to higher revenue and associated gross profit.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5"/>
          <w:szCs w:val="25"/>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royalties and legacy wireless products)</w:t>
      </w:r>
    </w:p>
    <w:p>
      <w:pPr>
        <w:jc w:val="both"/>
        <w:ind w:left="340" w:hanging="228"/>
        <w:spacing w:after="0" w:line="24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Compared with the year-ago quarter, revenue declined primarily due to lower revenue from legacy wireless products, and to a lesser extent, the nonrecurrence of business interruption insurance proceeds that were in the year-ago quarter. Revenue from DLP and custom ASIC products also declined, while revenue from calculators and royalties increased.</w:t>
      </w:r>
    </w:p>
    <w:p>
      <w:pPr>
        <w:spacing w:after="0" w:line="2" w:lineRule="exact"/>
        <w:rPr>
          <w:rFonts w:ascii="Arial" w:cs="Arial" w:eastAsia="Arial" w:hAnsi="Arial"/>
          <w:sz w:val="18"/>
          <w:szCs w:val="18"/>
          <w:color w:val="auto"/>
        </w:rPr>
      </w:pPr>
    </w:p>
    <w:p>
      <w:pPr>
        <w:ind w:left="340" w:right="20" w:hanging="228"/>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Compared with the prior quarter, revenue declined due to lower revenue from legacy wireless products. Revenue from calculators, custom ASIC products and royalties increased. Revenue from DLP products was about even.</w:t>
      </w:r>
    </w:p>
    <w:p>
      <w:pPr>
        <w:jc w:val="both"/>
        <w:ind w:left="340" w:hanging="228"/>
        <w:spacing w:after="0" w:line="273"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Operating profit decreased from a year ago due to lower revenue and associated gross profit and higher Restructuring charges/other, which resulted from the nonrecurrence of a gain from a change in a Japan pension program in the year-ago quarter. These were partially offset by lower operating expenses resulting from the wind-down of the legacy wireless operations. Operating profit decreased from the prior quarter due to higher Restructuring charges/other, which in the prior quarter included a gain from the transfer of wireless connectivity technology to a customer.</w:t>
      </w:r>
    </w:p>
    <w:p>
      <w:pPr>
        <w:sectPr>
          <w:pgSz w:w="11900" w:h="16838" w:orient="portrait"/>
          <w:cols w:equalWidth="0" w:num="1">
            <w:col w:w="11420"/>
          </w:cols>
          <w:pgMar w:left="240" w:top="25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excluding legacy wireless</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release includes references to TI’s revenue and revenue outlook excluding legacy wireless products. These measures, which were not prepared in accordance with generally accepted accounting principles (GAAP) in the United States, provide investors with insight into TI’s underlying business results and are supplemental to the comparable GAAP measure.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380" w:type="dxa"/>
            <w:vAlign w:val="bottom"/>
            <w:gridSpan w:val="10"/>
          </w:tcPr>
          <w:p>
            <w:pPr>
              <w:jc w:val="center"/>
              <w:ind w:right="820"/>
              <w:spacing w:after="0"/>
              <w:rPr>
                <w:sz w:val="20"/>
                <w:szCs w:val="20"/>
                <w:color w:val="auto"/>
              </w:rPr>
            </w:pPr>
            <w:r>
              <w:rPr>
                <w:rFonts w:ascii="Arial" w:cs="Arial" w:eastAsia="Arial" w:hAnsi="Arial"/>
                <w:sz w:val="18"/>
                <w:szCs w:val="18"/>
                <w:b w:val="1"/>
                <w:bCs w:val="1"/>
                <w:color w:val="auto"/>
              </w:rPr>
              <w:t>TEXAS INSTRUMENTS INCORPORATED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0" w:type="dxa"/>
            <w:vAlign w:val="bottom"/>
            <w:gridSpan w:val="7"/>
          </w:tcPr>
          <w:p>
            <w:pPr>
              <w:jc w:val="center"/>
              <w:ind w:right="760"/>
              <w:spacing w:after="0"/>
              <w:rPr>
                <w:sz w:val="20"/>
                <w:szCs w:val="20"/>
                <w:color w:val="auto"/>
              </w:rPr>
            </w:pPr>
            <w:r>
              <w:rPr>
                <w:rFonts w:ascii="Arial" w:cs="Arial" w:eastAsia="Arial" w:hAnsi="Arial"/>
                <w:sz w:val="18"/>
                <w:szCs w:val="18"/>
                <w:b w:val="1"/>
                <w:bCs w:val="1"/>
                <w:color w:val="auto"/>
                <w:w w:val="92"/>
              </w:rPr>
              <w:t>(Millions of dollars)</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780" w:type="dxa"/>
            <w:vAlign w:val="bottom"/>
            <w:gridSpan w:val="2"/>
          </w:tcPr>
          <w:p>
            <w:pPr>
              <w:spacing w:after="0"/>
              <w:rPr>
                <w:sz w:val="21"/>
                <w:szCs w:val="21"/>
                <w:color w:val="auto"/>
              </w:rPr>
            </w:pPr>
          </w:p>
        </w:tc>
        <w:tc>
          <w:tcPr>
            <w:tcW w:w="106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00" w:type="dxa"/>
            <w:vAlign w:val="bottom"/>
            <w:gridSpan w:val="8"/>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198" w:lineRule="exact"/>
              <w:rPr>
                <w:sz w:val="20"/>
                <w:szCs w:val="20"/>
                <w:color w:val="auto"/>
              </w:rPr>
            </w:pPr>
            <w:r>
              <w:rPr>
                <w:rFonts w:ascii="Arial" w:cs="Arial" w:eastAsia="Arial" w:hAnsi="Arial"/>
                <w:sz w:val="18"/>
                <w:szCs w:val="18"/>
                <w:b w:val="1"/>
                <w:bCs w:val="1"/>
                <w:color w:val="auto"/>
                <w:w w:val="86"/>
              </w:rPr>
              <w:t>Sept. 30,</w:t>
            </w:r>
          </w:p>
        </w:tc>
        <w:tc>
          <w:tcPr>
            <w:tcW w:w="2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ind w:left="80"/>
              <w:spacing w:after="0" w:line="198" w:lineRule="exact"/>
              <w:rPr>
                <w:sz w:val="20"/>
                <w:szCs w:val="20"/>
                <w:color w:val="auto"/>
              </w:rPr>
            </w:pPr>
            <w:r>
              <w:rPr>
                <w:rFonts w:ascii="Arial" w:cs="Arial" w:eastAsia="Arial" w:hAnsi="Arial"/>
                <w:sz w:val="18"/>
                <w:szCs w:val="18"/>
                <w:b w:val="1"/>
                <w:bCs w:val="1"/>
                <w:color w:val="auto"/>
              </w:rPr>
              <w:t>Jun. 30,</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2013</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 (GAAP)</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3,047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Less legacy wireless revenue</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0"/>
              </w:rPr>
              <w:t>TI Revenue less legacy wireless revenue (non-GAAP)</w:t>
            </w: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3,187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2,899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gridSpan w:val="8"/>
            <w:shd w:val="clear" w:color="auto" w:fill="CCEEFF"/>
          </w:tcPr>
          <w:p>
            <w:pPr>
              <w:ind w:left="180"/>
              <w:spacing w:after="0"/>
              <w:rPr>
                <w:sz w:val="20"/>
                <w:szCs w:val="20"/>
                <w:color w:val="auto"/>
              </w:rPr>
            </w:pPr>
            <w:r>
              <w:rPr>
                <w:rFonts w:ascii="Arial" w:cs="Arial" w:eastAsia="Arial" w:hAnsi="Arial"/>
                <w:sz w:val="18"/>
                <w:szCs w:val="18"/>
                <w:b w:val="1"/>
                <w:bCs w:val="1"/>
                <w:color w:val="auto"/>
                <w:w w:val="92"/>
              </w:rPr>
              <w:t>For Three Months Ended</w:t>
            </w:r>
          </w:p>
        </w:tc>
        <w:tc>
          <w:tcPr>
            <w:tcW w:w="6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1460" w:type="dxa"/>
            <w:vAlign w:val="bottom"/>
            <w:gridSpan w:val="4"/>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Dec. 31, 2013</w:t>
            </w:r>
          </w:p>
        </w:tc>
        <w:tc>
          <w:tcPr>
            <w:tcW w:w="80" w:type="dxa"/>
            <w:vAlign w:val="bottom"/>
            <w:shd w:val="clear" w:color="auto" w:fill="CCEEFF"/>
          </w:tcPr>
          <w:p>
            <w:pPr>
              <w:spacing w:after="0"/>
              <w:rPr>
                <w:sz w:val="17"/>
                <w:szCs w:val="17"/>
                <w:color w:val="auto"/>
              </w:rPr>
            </w:pPr>
          </w:p>
        </w:tc>
        <w:tc>
          <w:tcPr>
            <w:tcW w:w="108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Dec. 31,</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shd w:val="clear" w:color="auto" w:fill="CCEEFF"/>
          </w:tcPr>
          <w:p>
            <w:pPr>
              <w:spacing w:after="0"/>
              <w:rPr>
                <w:sz w:val="20"/>
                <w:szCs w:val="20"/>
                <w:color w:val="auto"/>
              </w:rPr>
            </w:pPr>
          </w:p>
        </w:tc>
        <w:tc>
          <w:tcPr>
            <w:tcW w:w="1460" w:type="dxa"/>
            <w:vAlign w:val="bottom"/>
            <w:gridSpan w:val="4"/>
            <w:shd w:val="clear" w:color="auto" w:fill="CCEEFF"/>
          </w:tcPr>
          <w:p>
            <w:pPr>
              <w:ind w:left="100"/>
              <w:spacing w:after="0"/>
              <w:rPr>
                <w:sz w:val="20"/>
                <w:szCs w:val="20"/>
                <w:color w:val="auto"/>
              </w:rPr>
            </w:pPr>
            <w:r>
              <w:rPr>
                <w:rFonts w:ascii="Arial" w:cs="Arial" w:eastAsia="Arial" w:hAnsi="Arial"/>
                <w:sz w:val="18"/>
                <w:szCs w:val="18"/>
                <w:b w:val="1"/>
                <w:bCs w:val="1"/>
                <w:color w:val="auto"/>
              </w:rPr>
              <w:t>(Expected)</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4"/>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 (GAAP)</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2,980</w:t>
            </w:r>
            <w:r>
              <w:rPr>
                <w:rFonts w:ascii="Arial" w:cs="Arial" w:eastAsia="Arial" w:hAnsi="Arial"/>
                <w:sz w:val="17"/>
                <w:szCs w:val="17"/>
                <w:color w:val="auto"/>
              </w:rPr>
              <w:t>(a)</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2,979</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legacy wireless revenue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TI Revenue less legacy wireless revenue (non-GAAP)</w:t>
            </w:r>
          </w:p>
        </w:tc>
        <w:tc>
          <w:tcPr>
            <w:tcW w:w="46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2,930</w:t>
            </w:r>
          </w:p>
        </w:tc>
        <w:tc>
          <w:tcPr>
            <w:tcW w:w="380" w:type="dxa"/>
            <w:vAlign w:val="bottom"/>
            <w:shd w:val="clear" w:color="auto" w:fill="CCEEFF"/>
          </w:tcPr>
          <w:p>
            <w:pPr>
              <w:spacing w:after="0"/>
              <w:rPr>
                <w:sz w:val="20"/>
                <w:szCs w:val="20"/>
                <w:color w:val="auto"/>
              </w:rPr>
            </w:pPr>
          </w:p>
        </w:tc>
        <w:tc>
          <w:tcPr>
            <w:tcW w:w="18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8"/>
        <w:spacing w:after="0" w:line="277" w:lineRule="auto"/>
        <w:tabs>
          <w:tab w:leader="none" w:pos="41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mid-point of the revenue guidance of $2.86 – 3.10 billion provided in the Outlook section of this release. The amount was determined by calculating the average of the low point and high point of that range.</w:t>
      </w:r>
    </w:p>
    <w:p>
      <w:pPr>
        <w:sectPr>
          <w:pgSz w:w="11900" w:h="16838" w:orient="portrait"/>
          <w:cols w:equalWidth="0" w:num="1">
            <w:col w:w="11200"/>
          </w:cols>
          <w:pgMar w:left="240" w:top="270"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Free cash flow</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release also includes references to free cash flow and various ratios based on that measure. These are financial measures that were not prepared in accordance with GAAP. Free cash flow was calculated by subtracting Capital expenditures from the most directly comparable GAAP measure of Cash flow from operating activities (also referred to as Cash flow from operations).</w:t>
      </w:r>
    </w:p>
    <w:p>
      <w:pPr>
        <w:spacing w:after="0" w:line="208"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free cash flow measures were compared to the following GAAP items to determine the various non-GAAP ratios presented below and referred to in the release: Revenue, Dividends paid and Stock repurchases. Reconciliation to the most directly comparable GAAP-based ratios is provided in the table below.</w:t>
      </w:r>
    </w:p>
    <w:p>
      <w:pPr>
        <w:spacing w:after="0" w:line="15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believes these non-GAAP measures provide insight into its liquidity, its cash-generating capability and the amount of cash available to return to investors as well as insight into its financial performance. These non-GAAP measures are supplemental to the comparable GAAP measures.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TEXAS INSTRUMENTS INCORPORATED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(Millions of dollars)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520" w:type="dxa"/>
            <w:vAlign w:val="bottom"/>
            <w:gridSpan w:val="5"/>
            <w:shd w:val="clear" w:color="auto" w:fill="CCEEFF"/>
          </w:tcPr>
          <w:p>
            <w:pPr>
              <w:jc w:val="center"/>
              <w:ind w:right="640"/>
              <w:spacing w:after="0"/>
              <w:rPr>
                <w:sz w:val="20"/>
                <w:szCs w:val="20"/>
                <w:color w:val="auto"/>
              </w:rPr>
            </w:pPr>
            <w:r>
              <w:rPr>
                <w:rFonts w:ascii="Arial" w:cs="Arial" w:eastAsia="Arial" w:hAnsi="Arial"/>
                <w:sz w:val="18"/>
                <w:szCs w:val="18"/>
                <w:b w:val="1"/>
                <w:bCs w:val="1"/>
                <w:color w:val="auto"/>
                <w:w w:val="91"/>
              </w:rPr>
              <w:t>For the</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91"/>
              </w:rPr>
              <w:t>For the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center"/>
              <w:ind w:right="640"/>
              <w:spacing w:after="0"/>
              <w:rPr>
                <w:sz w:val="20"/>
                <w:szCs w:val="20"/>
                <w:color w:val="auto"/>
              </w:rPr>
            </w:pPr>
            <w:r>
              <w:rPr>
                <w:rFonts w:ascii="Arial" w:cs="Arial" w:eastAsia="Arial" w:hAnsi="Arial"/>
                <w:sz w:val="18"/>
                <w:szCs w:val="18"/>
                <w:b w:val="1"/>
                <w:bCs w:val="1"/>
                <w:color w:val="auto"/>
                <w:w w:val="86"/>
              </w:rPr>
              <w:t>Twelve</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86"/>
              </w:rPr>
              <w:t>Twelve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center"/>
              <w:ind w:right="640"/>
              <w:spacing w:after="0"/>
              <w:rPr>
                <w:sz w:val="20"/>
                <w:szCs w:val="20"/>
                <w:color w:val="auto"/>
              </w:rPr>
            </w:pPr>
            <w:r>
              <w:rPr>
                <w:rFonts w:ascii="Arial" w:cs="Arial" w:eastAsia="Arial" w:hAnsi="Arial"/>
                <w:sz w:val="18"/>
                <w:szCs w:val="18"/>
                <w:b w:val="1"/>
                <w:bCs w:val="1"/>
                <w:color w:val="auto"/>
                <w:w w:val="93"/>
              </w:rPr>
              <w:t>Months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center"/>
              <w:ind w:right="660"/>
              <w:spacing w:after="0"/>
              <w:rPr>
                <w:sz w:val="20"/>
                <w:szCs w:val="20"/>
                <w:color w:val="auto"/>
              </w:rPr>
            </w:pPr>
            <w:r>
              <w:rPr>
                <w:rFonts w:ascii="Arial" w:cs="Arial" w:eastAsia="Arial" w:hAnsi="Arial"/>
                <w:sz w:val="18"/>
                <w:szCs w:val="18"/>
                <w:b w:val="1"/>
                <w:bCs w:val="1"/>
                <w:color w:val="auto"/>
                <w:w w:val="90"/>
              </w:rPr>
              <w:t>Ended</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center"/>
              <w:ind w:right="640"/>
              <w:spacing w:after="0"/>
              <w:rPr>
                <w:sz w:val="20"/>
                <w:szCs w:val="20"/>
                <w:color w:val="auto"/>
              </w:rPr>
            </w:pPr>
            <w:r>
              <w:rPr>
                <w:rFonts w:ascii="Arial" w:cs="Arial" w:eastAsia="Arial" w:hAnsi="Arial"/>
                <w:sz w:val="18"/>
                <w:szCs w:val="18"/>
                <w:b w:val="1"/>
                <w:bCs w:val="1"/>
                <w:color w:val="auto"/>
                <w:w w:val="86"/>
              </w:rPr>
              <w:t>Sept. 30,</w:t>
            </w:r>
          </w:p>
        </w:tc>
        <w:tc>
          <w:tcPr>
            <w:tcW w:w="126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6"/>
              </w:rPr>
              <w:t>Percentage</w:t>
            </w:r>
          </w:p>
        </w:tc>
        <w:tc>
          <w:tcPr>
            <w:tcW w:w="1180" w:type="dxa"/>
            <w:vAlign w:val="bottom"/>
            <w:gridSpan w:val="4"/>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86"/>
              </w:rPr>
              <w:t>Sept. 30,</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120" w:type="dxa"/>
            <w:vAlign w:val="bottom"/>
            <w:gridSpan w:val="4"/>
            <w:shd w:val="clear" w:color="auto" w:fill="CCEEFF"/>
          </w:tcPr>
          <w:p>
            <w:pPr>
              <w:jc w:val="center"/>
              <w:ind w:left="1150"/>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8"/>
              </w:rPr>
              <w:t>of Revenue</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2012</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of Revenue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12,155</w:t>
            </w:r>
          </w:p>
        </w:tc>
        <w:tc>
          <w:tcPr>
            <w:tcW w:w="40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13,266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 (GAAP)</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3,270</w:t>
            </w:r>
          </w:p>
        </w:tc>
        <w:tc>
          <w:tcPr>
            <w:tcW w:w="40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27% $</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3,298</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402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551</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2,868</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24% $</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2,747</w:t>
            </w:r>
          </w:p>
        </w:tc>
        <w:tc>
          <w:tcPr>
            <w:tcW w:w="10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Borders>
              <w:top w:val="single" w:sz="8" w:color="CCEEFF"/>
            </w:tcBorders>
          </w:tcPr>
          <w:p>
            <w:pPr>
              <w:spacing w:after="0"/>
              <w:rPr>
                <w:sz w:val="20"/>
                <w:szCs w:val="20"/>
                <w:color w:val="auto"/>
              </w:rPr>
            </w:pPr>
          </w:p>
        </w:tc>
        <w:tc>
          <w:tcPr>
            <w:tcW w:w="124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66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center"/>
              <w:ind w:right="520"/>
              <w:spacing w:after="0" w:line="198" w:lineRule="exact"/>
              <w:rPr>
                <w:sz w:val="20"/>
                <w:szCs w:val="20"/>
                <w:color w:val="auto"/>
              </w:rPr>
            </w:pPr>
            <w:r>
              <w:rPr>
                <w:rFonts w:ascii="Arial" w:cs="Arial" w:eastAsia="Arial" w:hAnsi="Arial"/>
                <w:sz w:val="18"/>
                <w:szCs w:val="18"/>
                <w:b w:val="1"/>
                <w:bCs w:val="1"/>
                <w:color w:val="auto"/>
                <w:w w:val="91"/>
              </w:rPr>
              <w:t>For the</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w w:val="86"/>
              </w:rPr>
              <w:t>Twelve</w:t>
            </w: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8"/>
              </w:rPr>
              <w:t>Percentage</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86"/>
              </w:rPr>
              <w:t>Percentage</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w w:val="93"/>
              </w:rPr>
              <w:t>Months</w:t>
            </w: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7"/>
              </w:rPr>
              <w:t>of Cash</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9"/>
              </w:rPr>
              <w:t>of Free</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90"/>
              </w:rPr>
              <w:t>Ended</w:t>
            </w: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2"/>
              </w:rPr>
              <w:t>Flow from</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Cash Flow</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w w:val="86"/>
              </w:rPr>
              <w:t>Sept. 30,</w:t>
            </w: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3"/>
              </w:rPr>
              <w:t>(Non-</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6"/>
              </w:rPr>
              <w:t>(GAAP)</w:t>
            </w:r>
          </w:p>
        </w:tc>
        <w:tc>
          <w:tcPr>
            <w:tcW w:w="1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6"/>
              </w:rPr>
              <w:t>GAAP)</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gridSpan w:val="2"/>
          </w:tcPr>
          <w:p>
            <w:pPr>
              <w:spacing w:after="0"/>
              <w:rPr>
                <w:sz w:val="18"/>
                <w:szCs w:val="18"/>
                <w:color w:val="auto"/>
              </w:rPr>
            </w:pPr>
          </w:p>
        </w:tc>
        <w:tc>
          <w:tcPr>
            <w:tcW w:w="1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1,084</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2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Stock repurchases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2,734</w:t>
            </w:r>
          </w:p>
        </w:tc>
        <w:tc>
          <w:tcPr>
            <w:tcW w:w="400" w:type="dxa"/>
            <w:vAlign w:val="bottom"/>
          </w:tcPr>
          <w:p>
            <w:pPr>
              <w:spacing w:after="0"/>
              <w:rPr>
                <w:sz w:val="19"/>
                <w:szCs w:val="19"/>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b w:val="1"/>
                <w:bCs w:val="1"/>
                <w:color w:val="auto"/>
              </w:rPr>
              <w:t>84%</w:t>
            </w:r>
          </w:p>
        </w:tc>
        <w:tc>
          <w:tcPr>
            <w:tcW w:w="1280" w:type="dxa"/>
            <w:vAlign w:val="bottom"/>
            <w:gridSpan w:val="5"/>
          </w:tcPr>
          <w:p>
            <w:pPr>
              <w:jc w:val="right"/>
              <w:spacing w:after="0"/>
              <w:rPr>
                <w:sz w:val="20"/>
                <w:szCs w:val="20"/>
                <w:color w:val="auto"/>
              </w:rPr>
            </w:pPr>
            <w:r>
              <w:rPr>
                <w:rFonts w:ascii="Arial" w:cs="Arial" w:eastAsia="Arial" w:hAnsi="Arial"/>
                <w:sz w:val="18"/>
                <w:szCs w:val="18"/>
                <w:b w:val="1"/>
                <w:bCs w:val="1"/>
                <w:color w:val="auto"/>
              </w:rPr>
              <w:t>95%</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returned to shareholders</w:t>
            </w:r>
          </w:p>
        </w:tc>
        <w:tc>
          <w:tcPr>
            <w:tcW w:w="144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3,818</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517"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right="20" w:hanging="139"/>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10-K for the year ended December 31, 2012.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9"/>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Ÿ"/>
      <w:numFmt w:val="bullet"/>
      <w:start w:val="1"/>
    </w:lvl>
  </w:abstractNum>
  <w:abstractNum w:abstractNumId="4">
    <w:nsid w:val="79E2A9E3"/>
    <w:multiLevelType w:val="hybridMultilevel"/>
    <w:lvl w:ilvl="0">
      <w:lvlJc w:val="left"/>
      <w:lvlText w:val="Ÿ"/>
      <w:numFmt w:val="bullet"/>
      <w:start w:val="1"/>
    </w:lvl>
  </w:abstractNum>
  <w:abstractNum w:abstractNumId="5">
    <w:nsid w:val="7545E146"/>
    <w:multiLevelType w:val="hybridMultilevel"/>
    <w:lvl w:ilvl="0">
      <w:lvlJc w:val="left"/>
      <w:lvlText w:val="Ÿ"/>
      <w:numFmt w:val="bullet"/>
      <w:start w:val="1"/>
    </w:lvl>
  </w:abstractNum>
  <w:abstractNum w:abstractNumId="6">
    <w:nsid w:val="515F007C"/>
    <w:multiLevelType w:val="hybridMultilevel"/>
    <w:lvl w:ilvl="0">
      <w:lvlJc w:val="left"/>
      <w:lvlText w:val="Ÿ"/>
      <w:numFmt w:val="bullet"/>
      <w:start w:val="1"/>
    </w:lvl>
  </w:abstractNum>
  <w:abstractNum w:abstractNumId="7">
    <w:nsid w:val="5BD062C2"/>
    <w:multiLevelType w:val="hybridMultilevel"/>
    <w:lvl w:ilvl="0">
      <w:lvlJc w:val="left"/>
      <w:lvlText w:val="Ÿ"/>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2019-12-05T16:30:49Z</dcterms:created>
  <dcterms:modified xsi:type="dcterms:W3CDTF">2019-12-05T16:30:49Z</dcterms:modified>
</cp:coreProperties>
</file>