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Registration No. 333-262523</w:t>
      </w:r>
    </w:p>
    <w:p>
      <w:pPr>
        <w:spacing w:after="0" w:line="135" w:lineRule="exact"/>
        <w:rPr>
          <w:sz w:val="24"/>
          <w:szCs w:val="24"/>
          <w:color w:val="auto"/>
        </w:rPr>
      </w:pPr>
    </w:p>
    <w:p>
      <w:pPr>
        <w:ind w:left="120" w:right="220"/>
        <w:spacing w:after="0" w:line="262" w:lineRule="auto"/>
        <w:rPr>
          <w:sz w:val="20"/>
          <w:szCs w:val="20"/>
          <w:color w:val="auto"/>
        </w:rPr>
      </w:pPr>
      <w:r>
        <w:rPr>
          <w:rFonts w:ascii="Times New Roman" w:cs="Times New Roman" w:eastAsia="Times New Roman" w:hAnsi="Times New Roman"/>
          <w:sz w:val="18"/>
          <w:szCs w:val="18"/>
          <w:b w:val="1"/>
          <w:bCs w:val="1"/>
          <w:color w:val="EB0029"/>
        </w:rPr>
        <w:t>The information in this preliminary prospectus supplement is not complete and may be changed. A registration statement relating to these notes has been filed with the Securities and Exchange Commission and is effective. This preliminary prospectus supplement and the accompanying prospectus is not an offer to sell these securities and it is not soliciting an offer to buy these securities in any jurisdiction where the offer or sale is not permitted.</w:t>
      </w:r>
    </w:p>
    <w:p>
      <w:pPr>
        <w:spacing w:after="0" w:line="10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EB0029"/>
        </w:rPr>
        <w:t>SUBJECT TO COMPLETION, DATED AUGUST 10, 2022</w:t>
      </w:r>
    </w:p>
    <w:p>
      <w:pPr>
        <w:spacing w:after="0" w:line="11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February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160020</wp:posOffset>
            </wp:positionV>
            <wp:extent cx="287147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7147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5220" w:hanging="1132"/>
        <w:spacing w:after="0"/>
        <w:tabs>
          <w:tab w:leader="none" w:pos="5220" w:val="left"/>
        </w:tabs>
        <w:numPr>
          <w:ilvl w:val="0"/>
          <w:numId w:val="1"/>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560"/>
        <w:spacing w:after="0"/>
        <w:tabs>
          <w:tab w:leader="none" w:pos="4500" w:val="left"/>
          <w:tab w:leader="none" w:pos="7060" w:val="left"/>
          <w:tab w:leader="none" w:pos="8420" w:val="left"/>
        </w:tabs>
        <w:rPr>
          <w:sz w:val="20"/>
          <w:szCs w:val="20"/>
          <w:color w:val="auto"/>
        </w:rPr>
      </w:pPr>
      <w:r>
        <w:rPr>
          <w:rFonts w:ascii="Times New Roman" w:cs="Times New Roman" w:eastAsia="Times New Roman" w:hAnsi="Times New Roman"/>
          <w:sz w:val="18"/>
          <w:szCs w:val="18"/>
          <w:color w:val="auto"/>
        </w:rPr>
        <w:t>Texas Instruments Incorporated is offering $</w:t>
      </w:r>
      <w:r>
        <w:rPr>
          <w:sz w:val="20"/>
          <w:szCs w:val="20"/>
          <w:color w:val="auto"/>
        </w:rPr>
        <w:tab/>
      </w:r>
      <w:r>
        <w:rPr>
          <w:rFonts w:ascii="Times New Roman" w:cs="Times New Roman" w:eastAsia="Times New Roman" w:hAnsi="Times New Roman"/>
          <w:sz w:val="18"/>
          <w:szCs w:val="18"/>
          <w:color w:val="auto"/>
        </w:rPr>
        <w:t>aggregate principal amount of its</w:t>
        <w:tab/>
        <w:t>% Notes due 20</w:t>
        <w:tab/>
        <w:t>(the “Notes”), which will bear</w:t>
      </w:r>
    </w:p>
    <w:p>
      <w:pPr>
        <w:spacing w:after="0" w:line="27" w:lineRule="exact"/>
        <w:rPr>
          <w:sz w:val="24"/>
          <w:szCs w:val="24"/>
          <w:color w:val="auto"/>
        </w:rPr>
      </w:pPr>
    </w:p>
    <w:p>
      <w:pPr>
        <w:ind w:left="120"/>
        <w:spacing w:after="0"/>
        <w:tabs>
          <w:tab w:leader="none" w:pos="8780" w:val="left"/>
          <w:tab w:leader="none" w:pos="9760" w:val="left"/>
        </w:tabs>
        <w:rPr>
          <w:sz w:val="20"/>
          <w:szCs w:val="20"/>
          <w:color w:val="auto"/>
        </w:rPr>
      </w:pPr>
      <w:r>
        <w:rPr>
          <w:rFonts w:ascii="Times New Roman" w:cs="Times New Roman" w:eastAsia="Times New Roman" w:hAnsi="Times New Roman"/>
          <w:sz w:val="18"/>
          <w:szCs w:val="18"/>
          <w:color w:val="auto"/>
        </w:rPr>
        <w:t>interest at the rate per year as set forth above. Interest on the Notes will be payable semi-annually in arrears on</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7"/>
          <w:szCs w:val="17"/>
          <w:color w:val="auto"/>
        </w:rPr>
        <w:t>of each year,</w:t>
      </w:r>
    </w:p>
    <w:p>
      <w:pPr>
        <w:spacing w:after="0" w:line="9" w:lineRule="exact"/>
        <w:rPr>
          <w:sz w:val="24"/>
          <w:szCs w:val="24"/>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color w:val="auto"/>
        </w:rPr>
        <w:t>beginning on</w:t>
      </w:r>
      <w:r>
        <w:rPr>
          <w:sz w:val="20"/>
          <w:szCs w:val="20"/>
          <w:color w:val="auto"/>
        </w:rPr>
        <w:tab/>
      </w:r>
      <w:r>
        <w:rPr>
          <w:rFonts w:ascii="Times New Roman" w:cs="Times New Roman" w:eastAsia="Times New Roman" w:hAnsi="Times New Roman"/>
          <w:sz w:val="18"/>
          <w:szCs w:val="18"/>
          <w:color w:val="auto"/>
        </w:rPr>
        <w:t>, 2023.</w:t>
      </w:r>
    </w:p>
    <w:p>
      <w:pPr>
        <w:spacing w:after="0" w:line="207" w:lineRule="exact"/>
        <w:rPr>
          <w:sz w:val="24"/>
          <w:szCs w:val="24"/>
          <w:color w:val="auto"/>
        </w:rPr>
      </w:pPr>
    </w:p>
    <w:p>
      <w:pPr>
        <w:ind w:left="560"/>
        <w:spacing w:after="0"/>
        <w:tabs>
          <w:tab w:leader="none" w:pos="3320" w:val="left"/>
          <w:tab w:leader="none" w:pos="3760" w:val="left"/>
        </w:tabs>
        <w:rPr>
          <w:sz w:val="20"/>
          <w:szCs w:val="20"/>
          <w:color w:val="auto"/>
        </w:rPr>
      </w:pPr>
      <w:r>
        <w:rPr>
          <w:rFonts w:ascii="Times New Roman" w:cs="Times New Roman" w:eastAsia="Times New Roman" w:hAnsi="Times New Roman"/>
          <w:sz w:val="18"/>
          <w:szCs w:val="18"/>
          <w:color w:val="auto"/>
        </w:rPr>
        <w:t>The Notes will mature on</w:t>
      </w:r>
      <w:r>
        <w:rPr>
          <w:sz w:val="20"/>
          <w:szCs w:val="20"/>
          <w:color w:val="auto"/>
        </w:rPr>
        <w:tab/>
      </w:r>
      <w:r>
        <w:rPr>
          <w:rFonts w:ascii="Times New Roman" w:cs="Times New Roman" w:eastAsia="Times New Roman" w:hAnsi="Times New Roman"/>
          <w:sz w:val="18"/>
          <w:szCs w:val="18"/>
          <w:color w:val="auto"/>
        </w:rPr>
        <w:t>, 20</w:t>
        <w:tab/>
        <w:t>.</w:t>
      </w:r>
    </w:p>
    <w:p>
      <w:pPr>
        <w:spacing w:after="0" w:line="225" w:lineRule="exact"/>
        <w:rPr>
          <w:sz w:val="24"/>
          <w:szCs w:val="24"/>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may redeem some or all of the Notes at any time at the redemption prices indicated under the caption “Description of the Notes—Optional Redemption.”</w:t>
      </w:r>
    </w:p>
    <w:p>
      <w:pPr>
        <w:spacing w:after="0" w:line="162" w:lineRule="exact"/>
        <w:rPr>
          <w:sz w:val="24"/>
          <w:szCs w:val="24"/>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Investing in the Notes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tbl>
      <w:tblPr>
        <w:tblLayout w:type="fixed"/>
        <w:tblInd w:w="12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96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w w:val="99"/>
              </w:rPr>
              <w:t>Per Note</w:t>
            </w:r>
          </w:p>
        </w:tc>
        <w:tc>
          <w:tcPr>
            <w:tcW w:w="280" w:type="dxa"/>
            <w:vAlign w:val="bottom"/>
          </w:tcPr>
          <w:p>
            <w:pPr>
              <w:spacing w:after="0"/>
              <w:rPr>
                <w:sz w:val="15"/>
                <w:szCs w:val="15"/>
                <w:color w:val="auto"/>
              </w:rPr>
            </w:pP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5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w:t>
            </w:r>
          </w:p>
        </w:tc>
        <w:tc>
          <w:tcPr>
            <w:tcW w:w="63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632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432"/>
        </w:trPr>
        <w:tc>
          <w:tcPr>
            <w:tcW w:w="3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on the Notes will accrue from</w:t>
            </w:r>
          </w:p>
        </w:tc>
        <w:tc>
          <w:tcPr>
            <w:tcW w:w="6320" w:type="dxa"/>
            <w:vAlign w:val="bottom"/>
            <w:gridSpan w:val="3"/>
          </w:tcPr>
          <w:p>
            <w:pPr>
              <w:jc w:val="right"/>
              <w:ind w:right="3630"/>
              <w:spacing w:after="0"/>
              <w:rPr>
                <w:sz w:val="20"/>
                <w:szCs w:val="20"/>
                <w:color w:val="auto"/>
              </w:rPr>
            </w:pPr>
            <w:r>
              <w:rPr>
                <w:rFonts w:ascii="Times New Roman" w:cs="Times New Roman" w:eastAsia="Times New Roman" w:hAnsi="Times New Roman"/>
                <w:sz w:val="18"/>
                <w:szCs w:val="18"/>
                <w:color w:val="auto"/>
              </w:rPr>
              <w:t>, 2022 to the date of delivery.</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9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expect to deliver the Notes to purchasers only in book-entry form through the facilities of The Depository Trust Company and its</w:t>
      </w:r>
    </w:p>
    <w:p>
      <w:pPr>
        <w:spacing w:after="0" w:line="27" w:lineRule="exact"/>
        <w:rPr>
          <w:sz w:val="24"/>
          <w:szCs w:val="24"/>
          <w:color w:val="auto"/>
        </w:rPr>
      </w:pPr>
    </w:p>
    <w:p>
      <w:pPr>
        <w:ind w:left="120" w:right="500"/>
        <w:spacing w:after="0" w:line="260" w:lineRule="auto"/>
        <w:rPr>
          <w:sz w:val="20"/>
          <w:szCs w:val="20"/>
          <w:color w:val="auto"/>
        </w:rPr>
      </w:pPr>
      <w:r>
        <w:rPr>
          <w:rFonts w:ascii="Times New Roman" w:cs="Times New Roman" w:eastAsia="Times New Roman" w:hAnsi="Times New Roman"/>
          <w:sz w:val="18"/>
          <w:szCs w:val="18"/>
          <w:color w:val="auto"/>
        </w:rPr>
        <w:t>participants, including Euroclear Bank S.A./N.V. and Clearstream Banking, S.A., on or about , 2022, which is the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212725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pacing w:after="0" w:line="236" w:lineRule="exact"/>
        <w:rPr>
          <w:sz w:val="24"/>
          <w:szCs w:val="24"/>
          <w:color w:val="auto"/>
        </w:rPr>
      </w:pPr>
    </w:p>
    <w:p>
      <w:pPr>
        <w:ind w:left="120"/>
        <w:spacing w:after="0"/>
        <w:tabs>
          <w:tab w:leader="none" w:pos="5060" w:val="left"/>
          <w:tab w:leader="none" w:pos="9620" w:val="left"/>
        </w:tabs>
        <w:rPr>
          <w:sz w:val="20"/>
          <w:szCs w:val="20"/>
          <w:color w:val="auto"/>
        </w:rPr>
      </w:pPr>
      <w:r>
        <w:rPr>
          <w:rFonts w:ascii="Times New Roman" w:cs="Times New Roman" w:eastAsia="Times New Roman" w:hAnsi="Times New Roman"/>
          <w:sz w:val="29"/>
          <w:szCs w:val="29"/>
          <w:b w:val="1"/>
          <w:bCs w:val="1"/>
          <w:color w:val="auto"/>
        </w:rPr>
        <w:t>BofA Securities</w:t>
      </w:r>
      <w:r>
        <w:rPr>
          <w:sz w:val="20"/>
          <w:szCs w:val="20"/>
          <w:color w:val="auto"/>
        </w:rPr>
        <w:tab/>
      </w:r>
      <w:r>
        <w:rPr>
          <w:rFonts w:ascii="Times New Roman" w:cs="Times New Roman" w:eastAsia="Times New Roman" w:hAnsi="Times New Roman"/>
          <w:sz w:val="29"/>
          <w:szCs w:val="29"/>
          <w:b w:val="1"/>
          <w:bCs w:val="1"/>
          <w:color w:val="auto"/>
        </w:rPr>
        <w:t>Citigroup</w:t>
      </w:r>
      <w:r>
        <w:rPr>
          <w:sz w:val="20"/>
          <w:szCs w:val="20"/>
          <w:color w:val="auto"/>
        </w:rPr>
        <w:tab/>
      </w:r>
      <w:r>
        <w:rPr>
          <w:rFonts w:ascii="Times New Roman" w:cs="Times New Roman" w:eastAsia="Times New Roman" w:hAnsi="Times New Roman"/>
          <w:sz w:val="28"/>
          <w:szCs w:val="28"/>
          <w:b w:val="1"/>
          <w:bCs w:val="1"/>
          <w:color w:val="auto"/>
        </w:rPr>
        <w:t>US Bancorp</w:t>
      </w:r>
    </w:p>
    <w:p>
      <w:pPr>
        <w:sectPr>
          <w:pgSz w:w="11900" w:h="16838" w:orient="portrait"/>
          <w:cols w:equalWidth="0" w:num="1">
            <w:col w:w="11140"/>
          </w:cols>
          <w:pgMar w:left="320" w:top="226" w:right="439" w:bottom="1440" w:gutter="0" w:footer="0" w:header="0"/>
        </w:sectPr>
      </w:pPr>
    </w:p>
    <w:p>
      <w:pPr>
        <w:spacing w:after="0" w:line="236" w:lineRule="exact"/>
        <w:rPr>
          <w:sz w:val="24"/>
          <w:szCs w:val="24"/>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 2022</w:t>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20" w:type="dxa"/>
            <w:vAlign w:val="bottom"/>
            <w:gridSpan w:val="3"/>
          </w:tcPr>
          <w:p>
            <w:pPr>
              <w:jc w:val="right"/>
              <w:ind w:right="4411"/>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64"/>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c>
          <w:tcPr>
            <w:tcW w:w="0" w:type="dxa"/>
            <w:vAlign w:val="bottom"/>
          </w:tcPr>
          <w:p>
            <w:pPr>
              <w:spacing w:after="0"/>
              <w:rPr>
                <w:sz w:val="1"/>
                <w:szCs w:val="1"/>
                <w:color w:val="auto"/>
              </w:rPr>
            </w:pPr>
          </w:p>
        </w:tc>
      </w:tr>
      <w:tr>
        <w:trPr>
          <w:trHeight w:val="410"/>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40" w:type="dxa"/>
            <w:vAlign w:val="bottom"/>
            <w:gridSpan w:val="4"/>
          </w:tcPr>
          <w:p>
            <w:pPr>
              <w:jc w:val="right"/>
              <w:ind w:right="4751"/>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0" w:type="dxa"/>
            <w:vAlign w:val="bottom"/>
          </w:tcPr>
          <w:p>
            <w:pPr>
              <w:spacing w:after="0"/>
              <w:rPr>
                <w:sz w:val="1"/>
                <w:szCs w:val="1"/>
                <w:color w:val="auto"/>
              </w:rPr>
            </w:pPr>
          </w:p>
        </w:tc>
      </w:tr>
      <w:tr>
        <w:trPr>
          <w:trHeight w:val="283"/>
        </w:trPr>
        <w:tc>
          <w:tcPr>
            <w:tcW w:w="3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c>
          <w:tcPr>
            <w:tcW w:w="0" w:type="dxa"/>
            <w:vAlign w:val="bottom"/>
          </w:tcPr>
          <w:p>
            <w:pPr>
              <w:spacing w:after="0"/>
              <w:rPr>
                <w:sz w:val="1"/>
                <w:szCs w:val="1"/>
                <w:color w:val="auto"/>
              </w:rPr>
            </w:pPr>
          </w:p>
        </w:tc>
      </w:tr>
      <w:tr>
        <w:trPr>
          <w:trHeight w:val="196"/>
        </w:trPr>
        <w:tc>
          <w:tcPr>
            <w:tcW w:w="254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88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2820" w:type="dxa"/>
            <w:vAlign w:val="bottom"/>
            <w:gridSpan w:val="17"/>
          </w:tcPr>
          <w:p>
            <w:pPr>
              <w:spacing w:after="0"/>
              <w:rPr>
                <w:sz w:val="17"/>
                <w:szCs w:val="17"/>
                <w:color w:val="auto"/>
              </w:rPr>
            </w:pP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2360" w:type="dxa"/>
            <w:vAlign w:val="bottom"/>
            <w:gridSpan w:val="13"/>
          </w:tcPr>
          <w:p>
            <w:pPr>
              <w:spacing w:after="0"/>
              <w:rPr>
                <w:sz w:val="17"/>
                <w:szCs w:val="17"/>
                <w:color w:val="auto"/>
              </w:rPr>
            </w:pP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176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U.S. Federal Income Tax Consequences</w:t>
            </w: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00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20" w:type="dxa"/>
            <w:vAlign w:val="bottom"/>
            <w:gridSpan w:val="3"/>
          </w:tcPr>
          <w:p>
            <w:pPr>
              <w:jc w:val="right"/>
              <w:ind w:right="5231"/>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0" w:type="dxa"/>
            <w:vAlign w:val="bottom"/>
          </w:tcPr>
          <w:p>
            <w:pPr>
              <w:spacing w:after="0"/>
              <w:rPr>
                <w:sz w:val="1"/>
                <w:szCs w:val="1"/>
                <w:color w:val="auto"/>
              </w:rPr>
            </w:pPr>
          </w:p>
        </w:tc>
      </w:tr>
      <w:tr>
        <w:trPr>
          <w:trHeight w:val="283"/>
        </w:trPr>
        <w:tc>
          <w:tcPr>
            <w:tcW w:w="3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7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1940" w:type="dxa"/>
            <w:vAlign w:val="bottom"/>
            <w:gridSpan w:val="8"/>
          </w:tcPr>
          <w:p>
            <w:pPr>
              <w:spacing w:after="0"/>
              <w:rPr>
                <w:sz w:val="18"/>
                <w:szCs w:val="18"/>
                <w:color w:val="auto"/>
              </w:rPr>
            </w:pPr>
          </w:p>
        </w:tc>
        <w:tc>
          <w:tcPr>
            <w:tcW w:w="7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44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7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00" w:type="dxa"/>
            <w:vAlign w:val="bottom"/>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340" w:type="dxa"/>
            <w:vAlign w:val="bottom"/>
            <w:gridSpan w:val="4"/>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1800" w:type="dxa"/>
            <w:vAlign w:val="bottom"/>
            <w:gridSpan w:val="7"/>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2060" w:type="dxa"/>
            <w:vAlign w:val="bottom"/>
            <w:gridSpan w:val="10"/>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000" w:type="dxa"/>
            <w:vAlign w:val="bottom"/>
            <w:gridSpan w:val="9"/>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4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our company or our management:</w:t>
      </w:r>
    </w:p>
    <w:p>
      <w:pPr>
        <w:spacing w:after="0" w:line="67" w:lineRule="exact"/>
        <w:rPr>
          <w:sz w:val="20"/>
          <w:szCs w:val="20"/>
          <w:color w:val="auto"/>
        </w:rPr>
      </w:pPr>
    </w:p>
    <w:p>
      <w:pPr>
        <w:ind w:left="1080" w:right="1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and natural events in the countries in which we, our customers or our suppliers operate, including global trade policies;</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the industrial and automotive markets, and customer demand that differs from forecasts;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and other threats relating to our information technology systems or those of our customers, vendors and other third parties;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1"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manufacturing equipment, third-party manufacturing services and manufacturing technology;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semiconductor distributors’ promotion of competing product lines to our detriment; or disputes with current or former distributors;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customer inventory adjustments;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personnel, and effectively manage key employee succession;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40"/>
          </w:cols>
          <w:pgMar w:left="320" w:top="45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4, 2022. The accompanying prospectus contains a description of our debt securities and gives more general information, some of which may not apply to this offering.</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 description of this offering varies between this prospectus supplement and the accompanying prospectus, you should rely on the information in this prospectus supplement.</w:t>
      </w:r>
    </w:p>
    <w:p>
      <w:pPr>
        <w:spacing w:after="0" w:line="158"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978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29787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2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76" w:lineRule="exact"/>
        <w:rPr>
          <w:sz w:val="20"/>
          <w:szCs w:val="20"/>
          <w:color w:val="auto"/>
        </w:rPr>
      </w:pPr>
    </w:p>
    <w:p>
      <w:pPr>
        <w:jc w:val="both"/>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76"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2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00"/>
          </w:cols>
          <w:pgMar w:left="320" w:top="455"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50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19" w:lineRule="exact"/>
        <w:rPr>
          <w:sz w:val="20"/>
          <w:szCs w:val="20"/>
          <w:color w:val="auto"/>
        </w:rPr>
      </w:pPr>
    </w:p>
    <w:p>
      <w:pPr>
        <w:jc w:val="both"/>
        <w:ind w:left="300" w:right="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50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Texas Instruments Incorporated.</w:t>
            </w:r>
          </w:p>
        </w:tc>
        <w:tc>
          <w:tcPr>
            <w:tcW w:w="2640" w:type="dxa"/>
            <w:vAlign w:val="bottom"/>
          </w:tcPr>
          <w:p>
            <w:pPr>
              <w:spacing w:after="0"/>
              <w:rPr>
                <w:sz w:val="20"/>
                <w:szCs w:val="20"/>
                <w:color w:val="auto"/>
              </w:rPr>
            </w:pPr>
          </w:p>
        </w:tc>
      </w:tr>
      <w:tr>
        <w:trPr>
          <w:trHeight w:val="47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16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6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aggregate principal amount of   % Notes due 20   .</w:t>
            </w:r>
          </w:p>
        </w:tc>
      </w:tr>
      <w:tr>
        <w:trPr>
          <w:trHeight w:val="47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66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20   .</w:t>
            </w:r>
          </w:p>
        </w:tc>
        <w:tc>
          <w:tcPr>
            <w:tcW w:w="21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7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166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2022.</w:t>
            </w:r>
          </w:p>
        </w:tc>
        <w:tc>
          <w:tcPr>
            <w:tcW w:w="21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7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29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Fixed rate of   %.</w:t>
            </w:r>
          </w:p>
        </w:tc>
        <w:tc>
          <w:tcPr>
            <w:tcW w:w="21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7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16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Each</w:t>
            </w:r>
          </w:p>
        </w:tc>
        <w:tc>
          <w:tcPr>
            <w:tcW w:w="12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and</w:t>
            </w:r>
          </w:p>
        </w:tc>
        <w:tc>
          <w:tcPr>
            <w:tcW w:w="2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beginning on</w:t>
            </w:r>
          </w:p>
        </w:tc>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2023, and on the maturity date.</w:t>
            </w:r>
          </w:p>
        </w:tc>
      </w:tr>
      <w:tr>
        <w:trPr>
          <w:trHeight w:val="45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770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The Notes will be the senior unsecured obligations of Texas Instruments Incorporated and</w:t>
            </w:r>
          </w:p>
        </w:tc>
      </w:tr>
      <w:tr>
        <w:trPr>
          <w:trHeight w:val="216"/>
        </w:trPr>
        <w:tc>
          <w:tcPr>
            <w:tcW w:w="2900" w:type="dxa"/>
            <w:vAlign w:val="bottom"/>
          </w:tcPr>
          <w:p>
            <w:pPr>
              <w:spacing w:after="0"/>
              <w:rPr>
                <w:sz w:val="18"/>
                <w:szCs w:val="18"/>
                <w:color w:val="auto"/>
              </w:rPr>
            </w:pPr>
          </w:p>
        </w:tc>
        <w:tc>
          <w:tcPr>
            <w:tcW w:w="770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will rank equally with all of its existing and future senior indebtedness from time to time</w:t>
            </w:r>
          </w:p>
        </w:tc>
      </w:tr>
      <w:tr>
        <w:trPr>
          <w:trHeight w:val="216"/>
        </w:trPr>
        <w:tc>
          <w:tcPr>
            <w:tcW w:w="2900" w:type="dxa"/>
            <w:vAlign w:val="bottom"/>
          </w:tcPr>
          <w:p>
            <w:pPr>
              <w:spacing w:after="0"/>
              <w:rPr>
                <w:sz w:val="18"/>
                <w:szCs w:val="18"/>
                <w:color w:val="auto"/>
              </w:rPr>
            </w:pPr>
          </w:p>
        </w:tc>
        <w:tc>
          <w:tcPr>
            <w:tcW w:w="770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outstanding. All existing and future liabilities of subsidiaries of Texas Instruments</w:t>
            </w:r>
          </w:p>
        </w:tc>
      </w:tr>
      <w:tr>
        <w:trPr>
          <w:trHeight w:val="234"/>
        </w:trPr>
        <w:tc>
          <w:tcPr>
            <w:tcW w:w="2900" w:type="dxa"/>
            <w:vAlign w:val="bottom"/>
          </w:tcPr>
          <w:p>
            <w:pPr>
              <w:spacing w:after="0"/>
              <w:rPr>
                <w:sz w:val="20"/>
                <w:szCs w:val="20"/>
                <w:color w:val="auto"/>
              </w:rPr>
            </w:pPr>
          </w:p>
        </w:tc>
        <w:tc>
          <w:tcPr>
            <w:tcW w:w="50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Incorporated will be effectively senior to the Notes.</w:t>
            </w:r>
          </w:p>
        </w:tc>
        <w:tc>
          <w:tcPr>
            <w:tcW w:w="2640" w:type="dxa"/>
            <w:vAlign w:val="bottom"/>
          </w:tcPr>
          <w:p>
            <w:pPr>
              <w:spacing w:after="0"/>
              <w:rPr>
                <w:sz w:val="20"/>
                <w:szCs w:val="20"/>
                <w:color w:val="auto"/>
              </w:rPr>
            </w:pPr>
          </w:p>
        </w:tc>
      </w:tr>
      <w:tr>
        <w:trPr>
          <w:trHeight w:val="441"/>
        </w:trPr>
        <w:tc>
          <w:tcPr>
            <w:tcW w:w="2900" w:type="dxa"/>
            <w:vAlign w:val="bottom"/>
          </w:tcPr>
          <w:p>
            <w:pPr>
              <w:spacing w:after="0"/>
              <w:rPr>
                <w:sz w:val="24"/>
                <w:szCs w:val="24"/>
                <w:color w:val="auto"/>
              </w:rPr>
            </w:pPr>
          </w:p>
        </w:tc>
        <w:tc>
          <w:tcPr>
            <w:tcW w:w="770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As of June 30, 2022, Texas Instruments Incorporated had approximately $7.3 billion</w:t>
            </w:r>
          </w:p>
        </w:tc>
      </w:tr>
      <w:tr>
        <w:trPr>
          <w:trHeight w:val="216"/>
        </w:trPr>
        <w:tc>
          <w:tcPr>
            <w:tcW w:w="2900" w:type="dxa"/>
            <w:vAlign w:val="bottom"/>
          </w:tcPr>
          <w:p>
            <w:pPr>
              <w:spacing w:after="0"/>
              <w:rPr>
                <w:sz w:val="18"/>
                <w:szCs w:val="18"/>
                <w:color w:val="auto"/>
              </w:rPr>
            </w:pPr>
          </w:p>
        </w:tc>
        <w:tc>
          <w:tcPr>
            <w:tcW w:w="770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principal amount of outstanding indebtedness. As of June 30, 2022, Texas Instruments had</w:t>
            </w:r>
          </w:p>
        </w:tc>
      </w:tr>
      <w:tr>
        <w:trPr>
          <w:trHeight w:val="216"/>
        </w:trPr>
        <w:tc>
          <w:tcPr>
            <w:tcW w:w="2900" w:type="dxa"/>
            <w:vAlign w:val="bottom"/>
          </w:tcPr>
          <w:p>
            <w:pPr>
              <w:spacing w:after="0"/>
              <w:rPr>
                <w:sz w:val="18"/>
                <w:szCs w:val="18"/>
                <w:color w:val="auto"/>
              </w:rPr>
            </w:pPr>
          </w:p>
        </w:tc>
        <w:tc>
          <w:tcPr>
            <w:tcW w:w="770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approximately $10.6 billion of total liabilities on a consolidated basis. Of the $10.6 billion</w:t>
            </w:r>
          </w:p>
        </w:tc>
      </w:tr>
      <w:tr>
        <w:trPr>
          <w:trHeight w:val="216"/>
        </w:trPr>
        <w:tc>
          <w:tcPr>
            <w:tcW w:w="2900" w:type="dxa"/>
            <w:vAlign w:val="bottom"/>
          </w:tcPr>
          <w:p>
            <w:pPr>
              <w:spacing w:after="0"/>
              <w:rPr>
                <w:sz w:val="18"/>
                <w:szCs w:val="18"/>
                <w:color w:val="auto"/>
              </w:rPr>
            </w:pPr>
          </w:p>
        </w:tc>
        <w:tc>
          <w:tcPr>
            <w:tcW w:w="770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of consolidated total liabilities, approximately $1.0 billion of liabilities (including trade</w:t>
            </w:r>
          </w:p>
        </w:tc>
      </w:tr>
      <w:tr>
        <w:trPr>
          <w:trHeight w:val="216"/>
        </w:trPr>
        <w:tc>
          <w:tcPr>
            <w:tcW w:w="2900" w:type="dxa"/>
            <w:vAlign w:val="bottom"/>
          </w:tcPr>
          <w:p>
            <w:pPr>
              <w:spacing w:after="0"/>
              <w:rPr>
                <w:sz w:val="18"/>
                <w:szCs w:val="18"/>
                <w:color w:val="auto"/>
              </w:rPr>
            </w:pPr>
          </w:p>
        </w:tc>
        <w:tc>
          <w:tcPr>
            <w:tcW w:w="770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w w:val="99"/>
              </w:rPr>
              <w:t>payables and excluding intercompany debt) were held by subsidiaries of Texas Instruments</w:t>
            </w:r>
          </w:p>
        </w:tc>
      </w:tr>
      <w:tr>
        <w:trPr>
          <w:trHeight w:val="234"/>
        </w:trPr>
        <w:tc>
          <w:tcPr>
            <w:tcW w:w="2900" w:type="dxa"/>
            <w:vAlign w:val="bottom"/>
          </w:tcPr>
          <w:p>
            <w:pPr>
              <w:spacing w:after="0"/>
              <w:rPr>
                <w:sz w:val="20"/>
                <w:szCs w:val="20"/>
                <w:color w:val="auto"/>
              </w:rPr>
            </w:pPr>
          </w:p>
        </w:tc>
        <w:tc>
          <w:tcPr>
            <w:tcW w:w="770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Incorporated to which the Notes will be effectively subordinated.</w:t>
            </w:r>
          </w:p>
        </w:tc>
      </w:tr>
      <w:tr>
        <w:trPr>
          <w:trHeight w:val="44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Form and Denomination</w:t>
            </w:r>
          </w:p>
        </w:tc>
        <w:tc>
          <w:tcPr>
            <w:tcW w:w="770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The Notes will be issued in the form of one or more fully registered global securities,</w:t>
            </w:r>
          </w:p>
        </w:tc>
      </w:tr>
      <w:tr>
        <w:trPr>
          <w:trHeight w:val="216"/>
        </w:trPr>
        <w:tc>
          <w:tcPr>
            <w:tcW w:w="2900" w:type="dxa"/>
            <w:vAlign w:val="bottom"/>
          </w:tcPr>
          <w:p>
            <w:pPr>
              <w:spacing w:after="0"/>
              <w:rPr>
                <w:sz w:val="18"/>
                <w:szCs w:val="18"/>
                <w:color w:val="auto"/>
              </w:rPr>
            </w:pPr>
          </w:p>
        </w:tc>
        <w:tc>
          <w:tcPr>
            <w:tcW w:w="770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without coupons, in denominations of $2,000 in principal amount and integral multiples of</w:t>
            </w:r>
          </w:p>
        </w:tc>
      </w:tr>
      <w:tr>
        <w:trPr>
          <w:trHeight w:val="216"/>
        </w:trPr>
        <w:tc>
          <w:tcPr>
            <w:tcW w:w="2900" w:type="dxa"/>
            <w:vAlign w:val="bottom"/>
          </w:tcPr>
          <w:p>
            <w:pPr>
              <w:spacing w:after="0"/>
              <w:rPr>
                <w:sz w:val="18"/>
                <w:szCs w:val="18"/>
                <w:color w:val="auto"/>
              </w:rPr>
            </w:pPr>
          </w:p>
        </w:tc>
        <w:tc>
          <w:tcPr>
            <w:tcW w:w="770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w w:val="99"/>
              </w:rPr>
              <w:t>$1,000 in excess thereof. These global notes will be deposited with the trustee as custodian</w:t>
            </w:r>
          </w:p>
        </w:tc>
      </w:tr>
      <w:tr>
        <w:trPr>
          <w:trHeight w:val="216"/>
        </w:trPr>
        <w:tc>
          <w:tcPr>
            <w:tcW w:w="2900" w:type="dxa"/>
            <w:vAlign w:val="bottom"/>
          </w:tcPr>
          <w:p>
            <w:pPr>
              <w:spacing w:after="0"/>
              <w:rPr>
                <w:sz w:val="18"/>
                <w:szCs w:val="18"/>
                <w:color w:val="auto"/>
              </w:rPr>
            </w:pPr>
          </w:p>
        </w:tc>
        <w:tc>
          <w:tcPr>
            <w:tcW w:w="770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for, and registered in the name of, a nominee of The Depository Trust Company, or DTC.</w:t>
            </w:r>
          </w:p>
        </w:tc>
      </w:tr>
      <w:tr>
        <w:trPr>
          <w:trHeight w:val="216"/>
        </w:trPr>
        <w:tc>
          <w:tcPr>
            <w:tcW w:w="2900" w:type="dxa"/>
            <w:vAlign w:val="bottom"/>
          </w:tcPr>
          <w:p>
            <w:pPr>
              <w:spacing w:after="0"/>
              <w:rPr>
                <w:sz w:val="18"/>
                <w:szCs w:val="18"/>
                <w:color w:val="auto"/>
              </w:rPr>
            </w:pPr>
          </w:p>
        </w:tc>
        <w:tc>
          <w:tcPr>
            <w:tcW w:w="770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Except in the limited circumstances described under “Description of the Notes—Book-</w:t>
            </w:r>
          </w:p>
        </w:tc>
      </w:tr>
      <w:tr>
        <w:trPr>
          <w:trHeight w:val="216"/>
        </w:trPr>
        <w:tc>
          <w:tcPr>
            <w:tcW w:w="2900" w:type="dxa"/>
            <w:vAlign w:val="bottom"/>
          </w:tcPr>
          <w:p>
            <w:pPr>
              <w:spacing w:after="0"/>
              <w:rPr>
                <w:sz w:val="18"/>
                <w:szCs w:val="18"/>
                <w:color w:val="auto"/>
              </w:rPr>
            </w:pPr>
          </w:p>
        </w:tc>
        <w:tc>
          <w:tcPr>
            <w:tcW w:w="770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Entry; Delivery and Form; Global Note,” Notes in certificated form will not be issued or</w:t>
            </w:r>
          </w:p>
        </w:tc>
      </w:tr>
      <w:tr>
        <w:trPr>
          <w:trHeight w:val="234"/>
        </w:trPr>
        <w:tc>
          <w:tcPr>
            <w:tcW w:w="2900" w:type="dxa"/>
            <w:vAlign w:val="bottom"/>
          </w:tcPr>
          <w:p>
            <w:pPr>
              <w:spacing w:after="0"/>
              <w:rPr>
                <w:sz w:val="20"/>
                <w:szCs w:val="20"/>
                <w:color w:val="auto"/>
              </w:rPr>
            </w:pPr>
          </w:p>
        </w:tc>
        <w:tc>
          <w:tcPr>
            <w:tcW w:w="50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exchanged for interests in global securities.</w:t>
            </w:r>
          </w:p>
        </w:tc>
        <w:tc>
          <w:tcPr>
            <w:tcW w:w="2640" w:type="dxa"/>
            <w:vAlign w:val="bottom"/>
          </w:tcPr>
          <w:p>
            <w:pPr>
              <w:spacing w:after="0"/>
              <w:rPr>
                <w:sz w:val="20"/>
                <w:szCs w:val="20"/>
                <w:color w:val="auto"/>
              </w:rPr>
            </w:pPr>
          </w:p>
        </w:tc>
      </w:tr>
      <w:tr>
        <w:trPr>
          <w:trHeight w:val="45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Governing Law</w:t>
            </w:r>
          </w:p>
        </w:tc>
        <w:tc>
          <w:tcPr>
            <w:tcW w:w="506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The internal laws of the State of New York.</w:t>
            </w:r>
          </w:p>
        </w:tc>
        <w:tc>
          <w:tcPr>
            <w:tcW w:w="2640" w:type="dxa"/>
            <w:vAlign w:val="bottom"/>
          </w:tcPr>
          <w:p>
            <w:pPr>
              <w:spacing w:after="0"/>
              <w:rPr>
                <w:sz w:val="24"/>
                <w:szCs w:val="24"/>
                <w:color w:val="auto"/>
              </w:rPr>
            </w:pPr>
          </w:p>
        </w:tc>
      </w:tr>
      <w:tr>
        <w:trPr>
          <w:trHeight w:val="45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70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w w:val="99"/>
              </w:rPr>
              <w:t>We expect to use the net proceeds of this offering for general corporate purposes. See “Use</w:t>
            </w:r>
          </w:p>
        </w:tc>
      </w:tr>
      <w:tr>
        <w:trPr>
          <w:trHeight w:val="234"/>
        </w:trPr>
        <w:tc>
          <w:tcPr>
            <w:tcW w:w="2900" w:type="dxa"/>
            <w:vAlign w:val="bottom"/>
          </w:tcPr>
          <w:p>
            <w:pPr>
              <w:spacing w:after="0"/>
              <w:rPr>
                <w:sz w:val="20"/>
                <w:szCs w:val="20"/>
                <w:color w:val="auto"/>
              </w:rPr>
            </w:pPr>
          </w:p>
        </w:tc>
        <w:tc>
          <w:tcPr>
            <w:tcW w:w="7700" w:type="dxa"/>
            <w:vAlign w:val="bottom"/>
            <w:gridSpan w:val="4"/>
          </w:tcPr>
          <w:p>
            <w:pPr>
              <w:ind w:left="1140"/>
              <w:spacing w:after="0"/>
              <w:rPr>
                <w:sz w:val="20"/>
                <w:szCs w:val="20"/>
                <w:color w:val="auto"/>
              </w:rPr>
            </w:pPr>
            <w:r>
              <w:rPr>
                <w:rFonts w:ascii="Times New Roman" w:cs="Times New Roman" w:eastAsia="Times New Roman" w:hAnsi="Times New Roman"/>
                <w:sz w:val="18"/>
                <w:szCs w:val="18"/>
                <w:color w:val="auto"/>
              </w:rPr>
              <w:t>of Proceeds.” In connection with the issuance of the Notes, we may enter into interest rate</w:t>
            </w:r>
          </w:p>
        </w:tc>
      </w:tr>
    </w:tbl>
    <w:p>
      <w:pPr>
        <w:ind w:left="4340" w:right="620"/>
        <w:spacing w:after="0" w:line="260" w:lineRule="auto"/>
        <w:rPr>
          <w:sz w:val="20"/>
          <w:szCs w:val="20"/>
          <w:color w:val="auto"/>
        </w:rPr>
      </w:pPr>
      <w:r>
        <w:rPr>
          <w:rFonts w:ascii="Times New Roman" w:cs="Times New Roman" w:eastAsia="Times New Roman" w:hAnsi="Times New Roman"/>
          <w:sz w:val="18"/>
          <w:szCs w:val="18"/>
          <w:color w:val="auto"/>
        </w:rPr>
        <w:t>swap agreements with financial institutions, which may include one or more of the underwriters or their affiliates.</w:t>
      </w: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00"/>
          </w:cols>
          <w:pgMar w:left="320" w:top="455" w:right="6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29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Issuances</w:t>
            </w:r>
          </w:p>
        </w:tc>
        <w:tc>
          <w:tcPr>
            <w:tcW w:w="8040" w:type="dxa"/>
            <w:vAlign w:val="bottom"/>
            <w:tcBorders>
              <w:top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Texas Instruments Incorporated may create and issue further notes ranking equally and</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ratably with the Notes offered by this prospectus supplement in all respects, so that such</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further notes will be consolidated and form a single series with the Notes offered by this</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Sinking Fund</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None.</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Texas Instruments Incorporated may redeem some or all of the Notes at any time at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redemption prices indicated under the heading “Description of the Notes—Optional</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Redemption.”</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Trading</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do not</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intend to apply for listing of the Notes on any securities exchange. The underwriters have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advised us that they intend to make a market in the Notes, but they are not obligated to do</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so and may discontinue market-making at any time without notice.</w:t>
            </w:r>
          </w:p>
        </w:tc>
      </w:tr>
      <w:tr>
        <w:trPr>
          <w:trHeight w:val="441"/>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See “Underwriting” in this prospectus supplement for more information about possible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market-making by the 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particular, you should evaluate the information set forth under “Notice Regarding Forward-</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Looking Statements” and “Risk Factors” before deciding whether to invest in the Notes.</w:t>
            </w:r>
          </w:p>
        </w:tc>
      </w:tr>
      <w:tr>
        <w:trPr>
          <w:trHeight w:val="159"/>
        </w:trPr>
        <w:tc>
          <w:tcPr>
            <w:tcW w:w="2980" w:type="dxa"/>
            <w:vAlign w:val="bottom"/>
            <w:tcBorders>
              <w:left w:val="single" w:sz="8" w:color="auto"/>
              <w:bottom w:val="single" w:sz="8" w:color="auto"/>
            </w:tcBorders>
          </w:tcPr>
          <w:p>
            <w:pPr>
              <w:spacing w:after="0"/>
              <w:rPr>
                <w:sz w:val="13"/>
                <w:szCs w:val="13"/>
                <w:color w:val="auto"/>
              </w:rPr>
            </w:pPr>
          </w:p>
        </w:tc>
        <w:tc>
          <w:tcPr>
            <w:tcW w:w="8040" w:type="dxa"/>
            <w:vAlign w:val="bottom"/>
            <w:tcBorders>
              <w:bottom w:val="single" w:sz="8" w:color="auto"/>
              <w:right w:val="single" w:sz="8" w:color="auto"/>
            </w:tcBorders>
          </w:tcPr>
          <w:p>
            <w:pPr>
              <w:spacing w:after="0"/>
              <w:rPr>
                <w:sz w:val="13"/>
                <w:szCs w:val="13"/>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hereby incorporate by reference risk factors in Item 1A of our Annual Report on Form 10-K for the year ended December 31, 2021.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Offering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the Notes may not develop.</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There is currently no public market for the Notes, and we do not currently plan to list the Notes on any national securities exchange. In addition, the liquidity of any trading market in the Notes, and the market prices quoted for the Notes, may be adversely affected by changes in the overall market for the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 you would otherwise receive upon a sale or disposition of the Notes.</w:t>
      </w:r>
    </w:p>
    <w:p>
      <w:pPr>
        <w:spacing w:after="0" w:line="291" w:lineRule="exact"/>
        <w:rPr>
          <w:sz w:val="20"/>
          <w:szCs w:val="20"/>
          <w:color w:val="auto"/>
        </w:rPr>
      </w:pPr>
    </w:p>
    <w:p>
      <w:pPr>
        <w:ind w:left="34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6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June 30, 2022, we had approximately $10.6 billion of total liabilities on a consolidated basis. Of this amount, subsidiaries of Texas Instruments Incorporated had approximately $1.0 billion of liabilities (including trade payables and excluding intercompany debt) to which the Notes will be effectively subordinated.</w:t>
      </w:r>
    </w:p>
    <w:p>
      <w:pPr>
        <w:spacing w:after="0" w:line="187"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subject to the prior claims of any future secured creditors.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92" w:lineRule="exact"/>
        <w:rPr>
          <w:sz w:val="20"/>
          <w:szCs w:val="20"/>
          <w:color w:val="auto"/>
        </w:rPr>
      </w:pPr>
    </w:p>
    <w:p>
      <w:pPr>
        <w:ind w:lef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7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Increased leverage may harm our financial condition and results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an as adjusted basis after giving effect to this offering, as of June 30, 2022, Texas Instruments Incorporated would have had approximately</w:t>
      </w:r>
    </w:p>
    <w:p>
      <w:pPr>
        <w:spacing w:after="0" w:line="27" w:lineRule="exact"/>
        <w:rPr>
          <w:sz w:val="20"/>
          <w:szCs w:val="20"/>
          <w:color w:val="auto"/>
        </w:rPr>
      </w:pPr>
    </w:p>
    <w:p>
      <w:pPr>
        <w:ind w:left="920" w:hanging="80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billion of total long-term indebtedness (including the Notes), all of which would have been unsecured and unsubordinated.</w:t>
      </w:r>
    </w:p>
    <w:p>
      <w:pPr>
        <w:spacing w:after="0" w:line="20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1" w:lineRule="exact"/>
        <w:rPr>
          <w:sz w:val="20"/>
          <w:szCs w:val="20"/>
          <w:color w:val="auto"/>
        </w:rPr>
      </w:pPr>
    </w:p>
    <w:p>
      <w:pPr>
        <w:ind w:left="1080" w:right="5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will have additional cash requirements in order to support the payment of interest on its outstanding indebtedness;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its outstanding indebtedness and leverage will increase its vulnerability to adverse changes in general economic and industry conditions, as well as to competitive pressure;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obtain additional financing for working capital, capital expenditures, general corporate and other purposes may be limited. 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Texas Instruments Incorporated is unable to generate sufficient cash flow from operations in the future to service its debt, it may be required, among other things:</w:t>
      </w:r>
    </w:p>
    <w:p>
      <w:pPr>
        <w:spacing w:after="0" w:line="6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additional financing in the debt or equity markets;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refinance or restructure all or a portion of its indebtedness, including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selected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capital expenditures;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operating and investment expenditures.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Notes will not protect you in the event of highly leveraged transactions or a change of control.</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ratings of the Notes may change and affect the market price and marketability of the Notes.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60"/>
          </w:cols>
          <w:pgMar w:left="320" w:top="455"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anticipate that we will receive net proceeds of approximately $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1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860"/>
          </w:cols>
          <w:pgMar w:left="320" w:top="455" w:right="7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cash, cash equivalents and short-term investments and our capitalization on an actual and as adjusted basis as of June 30, 2022. Our consolidated capitalization, as adjusted, gives effect to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par value)</w:t>
            </w: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0" w:type="dxa"/>
            <w:vAlign w:val="bottom"/>
          </w:tcPr>
          <w:p>
            <w:pPr>
              <w:spacing w:after="0"/>
              <w:rPr>
                <w:sz w:val="1"/>
                <w:szCs w:val="1"/>
                <w:color w:val="auto"/>
              </w:rPr>
            </w:pPr>
          </w:p>
        </w:tc>
      </w:tr>
      <w:tr>
        <w:trPr>
          <w:trHeight w:val="142"/>
        </w:trPr>
        <w:tc>
          <w:tcPr>
            <w:tcW w:w="7140" w:type="dxa"/>
            <w:vAlign w:val="bottom"/>
            <w:vMerge w:val="continue"/>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1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offered hereby</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debt(2)</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6,745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$25 par value. Shares authorized–10; none issued</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$1 par value. Shares authorized–2400;</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shares issued–1,741</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1,741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2,783</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48,280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common stock at cost (826 shares)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(38,532)</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 net of taxes (AOCI)</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capitalization</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20,837</w:t>
            </w:r>
          </w:p>
        </w:tc>
        <w:tc>
          <w:tcPr>
            <w:tcW w:w="1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offered hereby are shown at the amount of the public offering price, less offering expenses (including underwriting discounts).</w:t>
      </w:r>
    </w:p>
    <w:p>
      <w:pPr>
        <w:spacing w:after="0" w:line="27" w:lineRule="exact"/>
        <w:rPr>
          <w:rFonts w:ascii="Times New Roman" w:cs="Times New Roman" w:eastAsia="Times New Roman" w:hAnsi="Times New Roman"/>
          <w:sz w:val="18"/>
          <w:szCs w:val="18"/>
          <w:color w:val="auto"/>
        </w:rPr>
      </w:pPr>
    </w:p>
    <w:p>
      <w:pPr>
        <w:ind w:left="540" w:right="260" w:hanging="424"/>
        <w:spacing w:after="0" w:line="26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 billion principal amount of our existing outstanding notes less net unamortized discounts, premiums and debt issuance costs of $56 million, less $499 million representing the current portion of long-term debt.</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registration statement of which this prospectus supplement forms a part.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Notes will mature on , 20 . The Notes will be issued in book-entry form only, in denominations of $2,000 and multiples of $1,000 in excess thereof. Interest on the Notes will accrue from , 2022 at the rate per annum shown on the cover of this prospectus supplement. Interest on the Notes will be payable semi-annually on and , commencing on , 2023 to the persons in whose names the Notes are registered at the close of business on the preceding or , as the case may be. Interest on the Notes will be paid to but</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excluding the relevant interest payment date. Interest on the Notes will be calculated on the basis of a 360-day year comprised of twelve 30-day months.</w:t>
      </w:r>
    </w:p>
    <w:p>
      <w:pPr>
        <w:spacing w:after="0" w:line="20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issued under the indenture dated May 23, 2011 by and between Texas Instruments Incorporated and U.S. Bank Trust Company, National Association, as successor in interest to U.S. Bank National Association, as may be further supplemented from time to time. U.S. Bank Trust Company, National Association is the trustee for any and all securities issued under the indenture, as amended, including the Notes, and is referred to herein as the “trustee.” Texas Instruments Incorporated will be the sole obligor on the Notes.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June 30, 2022, Texas Instruments Incorporated had approximately $7.3 billion principal amount of outstanding indebtedness. As of June 30, 2022, Texas Instruments had approximately $10.6 billion of total liabilities on a consolidated basis. Of the $10.6 billion of consolidated total liabilities, approximately $1.0 billion of liabilities (including trade payables and excluding intercompany debt) were held by subsidiaries of Texas Instruments Incorporated to which the Notes will be effectively subordinated.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an as adjusted basis after giving effect to this offering, as of June 30, 2022:</w:t>
      </w:r>
    </w:p>
    <w:p>
      <w:pPr>
        <w:sectPr>
          <w:pgSz w:w="11900" w:h="16838" w:orient="portrait"/>
          <w:cols w:equalWidth="0" w:num="1">
            <w:col w:w="11140"/>
          </w:cols>
          <w:pgMar w:left="320" w:top="455" w:right="43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 would have had approximately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which would constitute senior and unsubordinated indebtedness;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billion of total long-term indebtedness (including the Notes),</w:t>
      </w:r>
    </w:p>
    <w:p>
      <w:pPr>
        <w:spacing w:after="0" w:line="357" w:lineRule="exact"/>
        <w:rPr>
          <w:sz w:val="20"/>
          <w:szCs w:val="20"/>
          <w:color w:val="auto"/>
        </w:rPr>
      </w:pPr>
    </w:p>
    <w:p>
      <w:pPr>
        <w:sectPr>
          <w:pgSz w:w="11900" w:h="16838" w:orient="portrait"/>
          <w:cols w:equalWidth="0" w:num="3">
            <w:col w:w="720" w:space="360"/>
            <w:col w:w="5080" w:space="380"/>
            <w:col w:w="4600"/>
          </w:cols>
          <w:pgMar w:left="320" w:top="455" w:right="4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we would have had approximately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billion of total liabilities on a consolidated basis;</w:t>
      </w:r>
    </w:p>
    <w:p>
      <w:pPr>
        <w:spacing w:after="0" w:line="142" w:lineRule="exact"/>
        <w:rPr>
          <w:sz w:val="20"/>
          <w:szCs w:val="20"/>
          <w:color w:val="auto"/>
        </w:rPr>
      </w:pPr>
    </w:p>
    <w:p>
      <w:pPr>
        <w:sectPr>
          <w:pgSz w:w="11900" w:h="16838" w:orient="portrait"/>
          <w:cols w:equalWidth="0" w:num="3">
            <w:col w:w="720" w:space="360"/>
            <w:col w:w="2660" w:space="720"/>
            <w:col w:w="6680"/>
          </w:cols>
          <w:pgMar w:left="320" w:top="455" w:right="439" w:bottom="1440" w:gutter="0" w:footer="0" w:header="0"/>
          <w:type w:val="continuous"/>
        </w:sectPr>
      </w:pPr>
    </w:p>
    <w:p>
      <w:pPr>
        <w:ind w:left="1080" w:right="9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would not have had any secured indebtedness to which the Notes would have been effectively subordinated; and</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subsidiaries would have had approximately $1.0 billion of liabilities (including trade payables but excluding intercompany debt) to which the Notes would have been structurally subordinated.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Additional Notes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Texas Instruments Incorporated may, without the consent of the holders, increase the principal amount of Notes by issuing additional Notes in the future on the same terms and conditions, except for any differences in the issue price and interest accrued prior to the issue date of the additional Notes. The additional Notes will have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40"/>
          </w:cols>
          <w:pgMar w:left="320" w:top="455"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same CUSIP number as the Notes; provided that any additional Notes that are not fungible with the Notes for U.S. federal income tax purposes will be issued under a separate CUSIP number. Texas Instruments Incorporated also may, without the consent of the holders, issue other series of debt securities under the indenture in the future on terms and conditions different from the Notes offered hereby.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Prior to the Par Call Date, the Notes will be redeemable, in whole or in part at any time, or from time to time, at Texas Instruments Incorporated’s option, at a “make-whole premium” redemption price calculated by Texas Instruments Incorporated equal to the greater of:</w:t>
      </w:r>
    </w:p>
    <w:p>
      <w:pPr>
        <w:spacing w:after="0" w:line="54" w:lineRule="exact"/>
        <w:rPr>
          <w:sz w:val="20"/>
          <w:szCs w:val="20"/>
          <w:color w:val="auto"/>
        </w:rPr>
      </w:pPr>
    </w:p>
    <w:p>
      <w:pPr>
        <w:ind w:left="120" w:right="380" w:firstLine="436"/>
        <w:spacing w:after="0" w:line="276" w:lineRule="auto"/>
        <w:tabs>
          <w:tab w:leader="none" w:pos="8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w:t>
      </w:r>
    </w:p>
    <w:p>
      <w:pPr>
        <w:spacing w:after="0" w:line="1" w:lineRule="exact"/>
        <w:rPr>
          <w:sz w:val="20"/>
          <w:szCs w:val="20"/>
          <w:color w:val="auto"/>
        </w:rPr>
      </w:pPr>
    </w:p>
    <w:p>
      <w:pPr>
        <w:ind w:left="120"/>
        <w:spacing w:after="0"/>
        <w:tabs>
          <w:tab w:leader="none" w:pos="2160" w:val="left"/>
        </w:tabs>
        <w:rPr>
          <w:sz w:val="20"/>
          <w:szCs w:val="20"/>
          <w:color w:val="auto"/>
        </w:rPr>
      </w:pPr>
      <w:r>
        <w:rPr>
          <w:rFonts w:ascii="Times New Roman" w:cs="Times New Roman" w:eastAsia="Times New Roman" w:hAnsi="Times New Roman"/>
          <w:sz w:val="18"/>
          <w:szCs w:val="18"/>
          <w:color w:val="auto"/>
        </w:rPr>
        <w:t>Treasury Rate plus</w:t>
      </w:r>
      <w:r>
        <w:rPr>
          <w:sz w:val="20"/>
          <w:szCs w:val="20"/>
          <w:color w:val="auto"/>
        </w:rPr>
        <w:tab/>
      </w:r>
      <w:r>
        <w:rPr>
          <w:rFonts w:ascii="Times New Roman" w:cs="Times New Roman" w:eastAsia="Times New Roman" w:hAnsi="Times New Roman"/>
          <w:sz w:val="18"/>
          <w:szCs w:val="18"/>
          <w:color w:val="auto"/>
        </w:rPr>
        <w:t>basis points less (b) interest accrued to the date of redemption, and</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 100% of the principal amount of the Notes to be redeemed,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jc w:val="both"/>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On or after the Par Call Date, Texas Instruments Incorporated may redeem the Notes, in whole or in part, at any time and from time to time, at a redemption price equal to 100% of the principal amount of the Notes being redeemed plus accrued and unpaid interest thereon to the redemption date.</w:t>
      </w:r>
    </w:p>
    <w:p>
      <w:pPr>
        <w:spacing w:after="0" w:line="138" w:lineRule="exact"/>
        <w:rPr>
          <w:sz w:val="20"/>
          <w:szCs w:val="20"/>
          <w:color w:val="auto"/>
        </w:rPr>
      </w:pPr>
    </w:p>
    <w:p>
      <w:pPr>
        <w:ind w:left="560"/>
        <w:spacing w:after="0"/>
        <w:tabs>
          <w:tab w:leader="none" w:pos="2800" w:val="left"/>
          <w:tab w:leader="none" w:pos="3300" w:val="left"/>
          <w:tab w:leader="none" w:pos="48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w:t>
      </w:r>
      <w:r>
        <w:rPr>
          <w:sz w:val="20"/>
          <w:szCs w:val="20"/>
          <w:color w:val="auto"/>
        </w:rPr>
        <w:tab/>
      </w:r>
      <w:r>
        <w:rPr>
          <w:rFonts w:ascii="Times New Roman" w:cs="Times New Roman" w:eastAsia="Times New Roman" w:hAnsi="Times New Roman"/>
          <w:sz w:val="18"/>
          <w:szCs w:val="18"/>
          <w:color w:val="auto"/>
        </w:rPr>
        <w:t>, 20</w:t>
        <w:tab/>
        <w:t>(the date that is</w:t>
      </w:r>
      <w:r>
        <w:rPr>
          <w:sz w:val="20"/>
          <w:szCs w:val="20"/>
          <w:color w:val="auto"/>
        </w:rPr>
        <w:tab/>
      </w:r>
      <w:r>
        <w:rPr>
          <w:rFonts w:ascii="Times New Roman" w:cs="Times New Roman" w:eastAsia="Times New Roman" w:hAnsi="Times New Roman"/>
          <w:sz w:val="17"/>
          <w:szCs w:val="17"/>
          <w:color w:val="auto"/>
        </w:rPr>
        <w:t>months prior to the maturity date of the Notes).</w:t>
      </w:r>
    </w:p>
    <w:p>
      <w:pPr>
        <w:spacing w:after="0" w:line="225"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Texas Instruments Incorporated in accordance with the following two paragraphs.</w:t>
      </w:r>
    </w:p>
    <w:p>
      <w:pPr>
        <w:spacing w:after="0" w:line="16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Texas Instruments Incorporated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Texas Instruments Incorporated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Texas Instruments Incorporated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Texas Instruments Incorporated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Texas Instruments Incorporated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Texas Instruments Incorporated’s actions and determinations in determining the redemption price shall be conclusive and binding for all purposes, absent manifest error.</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Notice of any redemption of Notes may, at our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Unless Texas Instruments Incorporated defaults in payment of the redemption price, on and after the redemption date interest will cease to accrue on the Notes or portions thereof called for redemption.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not be entitled to any sinking fund.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for the Notes is defined under the indenture as being:</w:t>
      </w:r>
    </w:p>
    <w:p>
      <w:pPr>
        <w:spacing w:after="0" w:line="131" w:lineRule="exact"/>
        <w:rPr>
          <w:sz w:val="20"/>
          <w:szCs w:val="20"/>
          <w:color w:val="auto"/>
        </w:rPr>
      </w:pPr>
    </w:p>
    <w:p>
      <w:pPr>
        <w:ind w:left="1080" w:right="44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payment of interest on the Notes when due and payable, if that default continues for a period of 30 days;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performance of or breach of any of its other covenants or agreements in the indenture applicable to the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and any other series of debt securities affected thereby then outstanding;</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30" w:lineRule="exact"/>
        <w:rPr>
          <w:rFonts w:ascii="Times New Roman" w:cs="Times New Roman" w:eastAsia="Times New Roman" w:hAnsi="Times New Roman"/>
          <w:sz w:val="18"/>
          <w:szCs w:val="18"/>
          <w:color w:val="auto"/>
        </w:rPr>
      </w:pPr>
    </w:p>
    <w:p>
      <w:pPr>
        <w:ind w:left="1540" w:right="420" w:hanging="439"/>
        <w:spacing w:after="0" w:line="282"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Texas Instruments Incorporated in an involuntary case under any applicable bankruptcy, insolvency, or other similar law now or hereafter in effect,</w:t>
      </w:r>
    </w:p>
    <w:p>
      <w:pPr>
        <w:spacing w:after="0" w:line="67"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Texas Instruments Incorporated or for all or substantially all of its property,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Texas Instruments Incorporated’s affairs,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under any applicable bankruptcy, insolvency, or other similar law now or hereafter in effect,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in an involuntary case under any such law,</w:t>
      </w:r>
    </w:p>
    <w:p>
      <w:pPr>
        <w:spacing w:after="0" w:line="130" w:lineRule="exact"/>
        <w:rPr>
          <w:rFonts w:ascii="Times New Roman" w:cs="Times New Roman" w:eastAsia="Times New Roman" w:hAnsi="Times New Roman"/>
          <w:sz w:val="18"/>
          <w:szCs w:val="18"/>
          <w:color w:val="auto"/>
        </w:rPr>
      </w:pPr>
    </w:p>
    <w:p>
      <w:pPr>
        <w:ind w:left="1540" w:right="340" w:hanging="439"/>
        <w:spacing w:after="0" w:line="282"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any general assignment for the benefit of creditors.</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default by Texas Instruments Incorporated under any other debt, including any other series of debt securities under the indenture, is not a default with respect to the Notes.</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the Notes and is continuing under the indenture, then, and in each and every such case, either the trustee or the holders of not less than 25% in aggregate principal amount of the Notes then outstanding under the indenture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the Notes may direct the time, method, and place of conducting any proceeding for any remedy available to the trustee or exercising any trust or power conferred on the trustee with respect to the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the Notes unless:</w:t>
      </w:r>
    </w:p>
    <w:p>
      <w:pPr>
        <w:spacing w:after="0" w:line="93"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Notes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the Notes do not give the trustee a direction that is inconsistent with the request.</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 Global Note</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Notes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if they are participants in such systems, or indirectly through organizations that are participants in such systems. Euroclear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Upon the issuance of a registered global note, the depositary will credit, on its book-entry registration and transfer system, the participants’ accounts with the respective principal or face amounts of the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note, that depositary or its nominee, as the case may be, will be considered the sole owner or holder of the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92"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Notes or to pledge such Notes, such holder must transfer its interest in the relevant global note in accordance with the normal procedures of DTC and the procedures set forth in the indenture.</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w:t>
      </w:r>
    </w:p>
    <w:p>
      <w:pPr>
        <w:spacing w:after="0" w:line="180"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shall no longer be represented by a global note and will issue Notes in definitive form in exchange for such global note pursuant to the procedure described above. DTC is a limited- purpose trust company organized under the New York Banking Law, a “banking organization” within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w:t>
      </w:r>
    </w:p>
    <w:p>
      <w:pPr>
        <w:spacing w:after="0" w:line="183"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Notices to holders of the Notes will be made by first class mail, postage prepaid, to the addresses that appear on the security register for the Notes.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Our Relationship with the Trustee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maintain ordinary banking relationships with the trustee and its affiliates and in the future may enter into additional such relationships. An affiliate of the trustee is a lender under our credit facility, and an affiliate of the trustee is an underwriter of this offering.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7"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are the material U.S. federal income tax consequences of owning and disposing of Notes purchased for cash in this offering at the “issue price,” which we assume will be the applicable public offering price indicated on the cover of this prospectus supplement, and held as capital assets for U.S. federal income tax purposes.</w:t>
      </w:r>
    </w:p>
    <w:p>
      <w:pPr>
        <w:spacing w:after="0" w:line="17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trader in securities that uses a mark-to-market method of tax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Notes as part of a “straddle” or integrated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for U.S. federal income tax purposes;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you are a partnership for U.S. federal income tax purposes, the U.S. federal income tax treatment of each of your partners will generally depend on the status of the partner and your activities.</w:t>
      </w:r>
    </w:p>
    <w:p>
      <w:pPr>
        <w:spacing w:after="0" w:line="162" w:lineRule="exact"/>
        <w:rPr>
          <w:sz w:val="20"/>
          <w:szCs w:val="20"/>
          <w:color w:val="auto"/>
        </w:rPr>
      </w:pPr>
    </w:p>
    <w:p>
      <w:pPr>
        <w:jc w:val="both"/>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w:t>
      </w:r>
    </w:p>
    <w:p>
      <w:pPr>
        <w:spacing w:after="0" w:line="14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section applies to you if you are a U.S. Holder. You are a U.S. Holder if for U.S. federal income tax purposes you are a beneficial owner of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and are:</w:t>
      </w:r>
    </w:p>
    <w:p>
      <w:pPr>
        <w:spacing w:after="0" w:line="112"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This section applies to you if are a Non-U.S. Holder. You are a Non-U.S. Holder if for U.S. federal income tax purposes you are a beneficial owner of a Note and are:</w:t>
      </w:r>
    </w:p>
    <w:p>
      <w:pPr>
        <w:spacing w:after="0" w:line="67"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on the Notes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under “—Backup Withholding and Information Reporting” and “FATCA,” payments of principal and interest on the Notes to you will not be subject to U.S. federal income or withholding tax, provided that, in the case of interest,</w:t>
      </w:r>
    </w:p>
    <w:p>
      <w:pPr>
        <w:spacing w:after="0" w:line="67" w:lineRule="exact"/>
        <w:rPr>
          <w:sz w:val="20"/>
          <w:szCs w:val="20"/>
          <w:color w:val="auto"/>
        </w:rPr>
      </w:pPr>
    </w:p>
    <w:p>
      <w:pPr>
        <w:ind w:left="1080" w:right="2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ten percent or more of the total combined voting power of all classes of our stock entitled to vote;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related, directly or indirectly, to us through stock ownership;</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effectively connected with your conduct of a trade or business in the United States as described below.</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 below under “—Backup Withholding and Information Reporting” and “FATCA,”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Effectively Connected Income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payment of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interest on the Notes, as well as of gross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In addition,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BofA Securities, Inc., Citigroup Global Markets Inc. and U.S. Bancorp Investments,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2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73"/>
        </w:trPr>
        <w:tc>
          <w:tcPr>
            <w:tcW w:w="450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2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2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gridSpan w:val="2"/>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4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 per Note. Any such securities dealers may resell any Notes purchased from the underwriters to certain other brokers or dealers at a discount from the initial public offering price not to exceed % per Note. If all the Notes are not sold at the initial offering price, the underwriters may change the offering price and the other selling terms.</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that we are to pay to the underwriters in connection with this offering (expressed as a percentage of the principal amount of the Notes).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560" w:type="dxa"/>
            <w:vAlign w:val="bottom"/>
            <w:gridSpan w:val="3"/>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w w:val="99"/>
              </w:rPr>
              <w:t>Paid by Texas</w:t>
            </w:r>
          </w:p>
        </w:tc>
      </w:tr>
      <w:tr>
        <w:trPr>
          <w:trHeight w:val="149"/>
        </w:trPr>
        <w:tc>
          <w:tcPr>
            <w:tcW w:w="17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560" w:type="dxa"/>
            <w:vAlign w:val="bottom"/>
            <w:gridSpan w:val="3"/>
          </w:tcPr>
          <w:p>
            <w:pPr>
              <w:jc w:val="center"/>
              <w:ind w:right="1720"/>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r>
      <w:tr>
        <w:trPr>
          <w:trHeight w:val="173"/>
        </w:trPr>
        <w:tc>
          <w:tcPr>
            <w:tcW w:w="176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560" w:type="dxa"/>
            <w:vAlign w:val="bottom"/>
            <w:gridSpan w:val="3"/>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Incorporated</w:t>
            </w:r>
          </w:p>
        </w:tc>
      </w:tr>
      <w:tr>
        <w:trPr>
          <w:trHeight w:val="210"/>
        </w:trPr>
        <w:tc>
          <w:tcPr>
            <w:tcW w:w="176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Note</w:t>
            </w:r>
          </w:p>
        </w:tc>
        <w:tc>
          <w:tcPr>
            <w:tcW w:w="18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20" w:type="dxa"/>
            <w:vAlign w:val="bottom"/>
          </w:tcPr>
          <w:p>
            <w:pPr>
              <w:spacing w:after="0"/>
              <w:rPr>
                <w:sz w:val="18"/>
                <w:szCs w:val="18"/>
                <w:color w:val="auto"/>
              </w:rPr>
            </w:pPr>
          </w:p>
        </w:tc>
      </w:tr>
      <w:tr>
        <w:trPr>
          <w:trHeight w:val="414"/>
        </w:trPr>
        <w:tc>
          <w:tcPr>
            <w:tcW w:w="6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We estimate that our total expenses for this offering will be approximately $</w:t>
            </w:r>
          </w:p>
        </w:tc>
        <w:tc>
          <w:tcPr>
            <w:tcW w:w="43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million, including underwriting discounts. The underwriters</w:t>
            </w:r>
          </w:p>
        </w:tc>
      </w:tr>
      <w:tr>
        <w:trPr>
          <w:trHeight w:val="234"/>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have agreed to reimburse us for certain of our expenses in connection with the offering.</w:t>
            </w:r>
          </w:p>
        </w:tc>
        <w:tc>
          <w:tcPr>
            <w:tcW w:w="1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Purchases and sales in the open market may include short sales, purchases to cover short positions and stabilizing purchases.</w:t>
      </w:r>
    </w:p>
    <w:p>
      <w:pPr>
        <w:spacing w:after="0" w:line="131" w:lineRule="exact"/>
        <w:rPr>
          <w:sz w:val="20"/>
          <w:szCs w:val="20"/>
          <w:color w:val="auto"/>
        </w:rPr>
      </w:pPr>
    </w:p>
    <w:p>
      <w:pPr>
        <w:ind w:left="1080" w:right="1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the Notes than they are required to purchase in this offering.</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 Purchases to cover short positions and stabilizing purchases, as well as other purchases by the underwriters for their own accounts, may have the effect of preventing or retarding a decline in the market price of the Notes.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last paragraph of the cover page of this</w:t>
      </w:r>
    </w:p>
    <w:p>
      <w:pPr>
        <w:spacing w:after="0" w:line="27"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prospectus supplement, which will be the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 , to specify alternative settlement arrangements to prevent a failed settlement.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In addition, an affiliate of one of the underwriters is the trustee for the Notes and our other debt securities outstanding under the indenture.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8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(the “UK Prospectus Regulation”)</w:t>
      </w:r>
    </w:p>
    <w:p>
      <w:pPr>
        <w:spacing w:after="0" w:line="2" w:lineRule="exact"/>
        <w:rPr>
          <w:sz w:val="20"/>
          <w:szCs w:val="20"/>
          <w:color w:val="auto"/>
        </w:rPr>
      </w:pPr>
    </w:p>
    <w:p>
      <w:pPr>
        <w:ind w:left="120" w:right="220" w:hanging="4"/>
        <w:spacing w:after="0" w:line="253" w:lineRule="auto"/>
        <w:tabs>
          <w:tab w:leader="none" w:pos="21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8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76"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Canadian investors are advised that this document has been prepared in reliance on section 3A.3 of National Instrument 33-105 </w:t>
      </w:r>
      <w:r>
        <w:rPr>
          <w:rFonts w:ascii="Times New Roman" w:cs="Times New Roman" w:eastAsia="Times New Roman" w:hAnsi="Times New Roman"/>
          <w:sz w:val="18"/>
          <w:szCs w:val="18"/>
          <w:b w:val="1"/>
          <w:bCs w:val="1"/>
          <w:i w:val="1"/>
          <w:iCs w:val="1"/>
          <w:color w:val="auto"/>
        </w:rPr>
        <w:t>Underwriting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Conflicts </w:t>
      </w:r>
      <w:r>
        <w:rPr>
          <w:rFonts w:ascii="Times New Roman" w:cs="Times New Roman" w:eastAsia="Times New Roman" w:hAnsi="Times New Roman"/>
          <w:sz w:val="18"/>
          <w:szCs w:val="18"/>
          <w:b w:val="1"/>
          <w:bCs w:val="1"/>
          <w:color w:val="auto"/>
        </w:rPr>
        <w:t>(“NI 33-105”). Pursuant to section 3A.3 of NI 33-105, this document is exempt from the requirement to provide investors with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conflicts of interest disclosure pertaining to “connected issuer” and/or “related issuer” relationships as would otherwise be required pursuant to subsection 2.1(1) of NI 33-105.</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Resale Restrictions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of Purchasers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Prospectus Exemptions (“NI 45-106”) or, in Ontario, as such term is defined in section 73.3(1) of the Securities Act (Ontario); and (iii) is a “permitted client” as such term is defined in section 1.1 of National Instrument 31-103 Registration Requirements, Exemptions and Ongoing Registrant Obligations.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Taxation and Eligibility for Investment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Rights of Action for Damages or Rescission</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Language of Documents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Neither this prospectus supplement nor any other offering material relating to the Notes described in this prospectus supplement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any other offering material relating to the Notes has been or will be:</w:t>
      </w:r>
    </w:p>
    <w:p>
      <w:pPr>
        <w:spacing w:after="0" w:line="85"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Notes to the public in France.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31" w:lineRule="exact"/>
        <w:rPr>
          <w:sz w:val="20"/>
          <w:szCs w:val="20"/>
          <w:color w:val="auto"/>
        </w:rPr>
      </w:pPr>
    </w:p>
    <w:p>
      <w:pPr>
        <w:ind w:left="1080" w:right="1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àl’épargne).</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Notes may be resold directly or indirectly, only in compliance with articles L.411-1, L.411-2, L.412-1 and L.621-8 through L.621-8-3 of the French Code monétaire et financier.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1080" w:right="1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1" w:lineRule="exact"/>
        <w:rPr>
          <w:sz w:val="20"/>
          <w:szCs w:val="20"/>
          <w:color w:val="auto"/>
        </w:rPr>
      </w:pPr>
    </w:p>
    <w:p>
      <w:pPr>
        <w:ind w:left="1080" w:hanging="424"/>
        <w:spacing w:after="0" w:line="258"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158"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Singapore Securities and Futures Act Product Classification </w:t>
      </w:r>
      <w:r>
        <w:rPr>
          <w:rFonts w:ascii="Times New Roman" w:cs="Times New Roman" w:eastAsia="Times New Roman" w:hAnsi="Times New Roman"/>
          <w:sz w:val="18"/>
          <w:szCs w:val="18"/>
          <w:color w:val="auto"/>
        </w:rPr>
        <w:t>– Solely for the purposes of its obligations pursuant to sections 309B(1)(a)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Plan Investors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may be purchased and held by or with the assets of (i) “employee benefit plans” within the meaning of Section 3(3) of the Employee Retirement Income Security Act of 1974, as amended (“ERISA”) subject to Title I of ERISA, (ii) plans, individual retirement 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of the foregoing described in clauses (i) and (ii), pursuant to ERISA or otherwise (each of the foregoing described in clauses (i), (ii) and (iii) referred to herein as a “Plan”). A fiduciary of a Plan subject to Title I of ERISA or Similar Laws must determine that the purchase and holding of a Note is consistent with its fiduciary duties under any applicable provision of ERISA, Section 4975 of the Code or Similar Laws. Each purchaser and subsequent transferee that is a Plan must also determine, and will be deemed to have represented by its purchase and holding of a Note, that such purchase and holding and any subsequent disposition of the Note will not constitute or result in a non-exempt prohibited transaction under Section 406 of ERISA or Section 4975 of the Code, or a violation of any applicable Similar Law. Such purchaser or transferee should consult legal counsel before purchasing the Notes. Nothing in this prospectus supplement, or the accompanying prospectus is, or should be construed as, a representation or advice as to whether an investment in the Notes is appropriate for, or would meet any or all of the relevant legal requirements with respect to investments by, Plans generally or any particular Plan.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and the effectiveness of our internal control over financial reporting as of December 31, 2021, as set forth in their reports, which are incorporated by reference in this prospectus supplement and elsewhere in the registration statement. Our financial statements and our management’s assessment of the effectiveness of internal control over financial reporting as of December 31, 2021 are incorporated by reference in reliance on Ernst &amp; Young LLP’s reports, given on their authority as experts in accounting and auditing.</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supplement forms a part and the exhibits and schedules thereto.</w:t>
      </w:r>
    </w:p>
    <w:p>
      <w:pPr>
        <w:spacing w:after="0" w:line="176" w:lineRule="exact"/>
        <w:rPr>
          <w:sz w:val="20"/>
          <w:szCs w:val="20"/>
          <w:color w:val="auto"/>
        </w:rPr>
      </w:pPr>
    </w:p>
    <w:p>
      <w:pPr>
        <w:ind w:left="120" w:right="40" w:firstLine="4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our Annual Report on </w:t>
      </w:r>
      <w:hyperlink r:id="rId48">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xml:space="preserve"> for the year ended December 31, 2021, filed on February 4, 2022, the sections of our Definitive Proxy Statement on </w:t>
      </w:r>
      <w:hyperlink r:id="rId49">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2022 annual meeting of stockholders, filed on March 15, 2022 that are incorporated by reference in our Annual Report on </w:t>
      </w:r>
      <w:hyperlink r:id="rId4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2021, our Quarterly Reports on Form 10-Q for the quarters ended </w:t>
      </w:r>
      <w:hyperlink r:id="rId50">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1">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 xml:space="preserve">, filed on April 27, 2022 and July 27, 2022, respectively, our Current Reports on Form 8-K filed on </w:t>
      </w:r>
      <w:hyperlink r:id="rId52">
        <w:r>
          <w:rPr>
            <w:rFonts w:ascii="Times New Roman" w:cs="Times New Roman" w:eastAsia="Times New Roman" w:hAnsi="Times New Roman"/>
            <w:sz w:val="18"/>
            <w:szCs w:val="18"/>
            <w:u w:val="single" w:color="auto"/>
            <w:color w:val="0000EE"/>
          </w:rPr>
          <w:t>January 26, 2022</w:t>
        </w:r>
      </w:hyperlink>
      <w:r>
        <w:rPr>
          <w:rFonts w:ascii="Times New Roman" w:cs="Times New Roman" w:eastAsia="Times New Roman" w:hAnsi="Times New Roman"/>
          <w:sz w:val="18"/>
          <w:szCs w:val="18"/>
          <w:color w:val="auto"/>
        </w:rPr>
        <w:t xml:space="preserve">, and </w:t>
      </w:r>
      <w:hyperlink r:id="rId53">
        <w:r>
          <w:rPr>
            <w:rFonts w:ascii="Times New Roman" w:cs="Times New Roman" w:eastAsia="Times New Roman" w:hAnsi="Times New Roman"/>
            <w:sz w:val="18"/>
            <w:szCs w:val="18"/>
            <w:u w:val="single" w:color="auto"/>
            <w:color w:val="0000EE"/>
          </w:rPr>
          <w:t>April 29, 2022</w:t>
        </w:r>
      </w:hyperlink>
      <w:r>
        <w:rPr>
          <w:rFonts w:ascii="Times New Roman" w:cs="Times New Roman" w:eastAsia="Times New Roman" w:hAnsi="Times New Roman"/>
          <w:sz w:val="18"/>
          <w:szCs w:val="18"/>
          <w:color w:val="auto"/>
        </w:rPr>
        <w:t>,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88" w:lineRule="exact"/>
        <w:rPr>
          <w:rFonts w:ascii="Times New Roman" w:cs="Times New Roman" w:eastAsia="Times New Roman" w:hAnsi="Times New Roman"/>
          <w:sz w:val="18"/>
          <w:szCs w:val="18"/>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76" w:lineRule="exact"/>
        <w:rPr>
          <w:rFonts w:ascii="Times New Roman" w:cs="Times New Roman" w:eastAsia="Times New Roman" w:hAnsi="Times New Roman"/>
          <w:sz w:val="18"/>
          <w:szCs w:val="18"/>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90"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173990</wp:posOffset>
            </wp:positionV>
            <wp:extent cx="2871470" cy="668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28714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267335</wp:posOffset>
            </wp:positionV>
            <wp:extent cx="1474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types of securities that may be offered and sold by Texas Instruments Incorporated or by selling security holders under this prospectus from time to time: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 Common stock</w:t>
            </w:r>
          </w:p>
        </w:tc>
        <w:tc>
          <w:tcPr>
            <w:tcW w:w="2420" w:type="dxa"/>
            <w:vAlign w:val="bottom"/>
          </w:tcPr>
          <w:p>
            <w:pPr>
              <w:ind w:left="2260"/>
              <w:spacing w:after="0"/>
              <w:rPr>
                <w:sz w:val="20"/>
                <w:szCs w:val="20"/>
                <w:color w:val="auto"/>
              </w:rPr>
            </w:pPr>
            <w:r>
              <w:rPr>
                <w:rFonts w:ascii="Times New Roman" w:cs="Times New Roman" w:eastAsia="Times New Roman" w:hAnsi="Times New Roman"/>
                <w:sz w:val="13"/>
                <w:szCs w:val="13"/>
                <w:color w:val="auto"/>
                <w:w w:val="79"/>
              </w:rPr>
              <w:t>• </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1"/>
              </w:rPr>
              <w:t> Warrants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 Preferred stock</w:t>
            </w:r>
          </w:p>
        </w:tc>
        <w:tc>
          <w:tcPr>
            <w:tcW w:w="2420" w:type="dxa"/>
            <w:vAlign w:val="bottom"/>
          </w:tcPr>
          <w:p>
            <w:pPr>
              <w:ind w:left="2260"/>
              <w:spacing w:after="0"/>
              <w:rPr>
                <w:sz w:val="20"/>
                <w:szCs w:val="20"/>
                <w:color w:val="auto"/>
              </w:rPr>
            </w:pPr>
            <w:r>
              <w:rPr>
                <w:rFonts w:ascii="Times New Roman" w:cs="Times New Roman" w:eastAsia="Times New Roman" w:hAnsi="Times New Roman"/>
                <w:sz w:val="13"/>
                <w:szCs w:val="13"/>
                <w:color w:val="auto"/>
                <w:w w:val="79"/>
              </w:rPr>
              <w:t>• </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 Units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 Debt securities</w:t>
            </w:r>
          </w:p>
        </w:tc>
        <w:tc>
          <w:tcPr>
            <w:tcW w:w="24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 Maturity</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 Redemption terms</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 Liquidation amount</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 Interest rate</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 Listing on a security exchange</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 Subsidiary guarantees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 Currency of payments</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 Amount payable at maturity</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 Sinking fund terms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 Dividends</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 Conversion or exchange rights</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19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under the ticker symbol TXN. On February 3, 2022, the reported last sale price on The Nasdaq Global Select Market for our common stock was $175.59.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left="120" w:right="660" w:firstLine="440"/>
        <w:spacing w:after="0" w:line="286" w:lineRule="auto"/>
        <w:rPr>
          <w:sz w:val="20"/>
          <w:szCs w:val="20"/>
          <w:color w:val="auto"/>
        </w:rPr>
      </w:pPr>
      <w:r>
        <w:rPr>
          <w:rFonts w:ascii="Times New Roman" w:cs="Times New Roman" w:eastAsia="Times New Roman" w:hAnsi="Times New Roman"/>
          <w:sz w:val="21"/>
          <w:szCs w:val="21"/>
          <w:b w:val="1"/>
          <w:bCs w:val="1"/>
          <w:color w:val="auto"/>
        </w:rPr>
        <w:t>Investing in these securities involves certain risks. See “Item 1A—Risk Factors” beginning on page 9 of our Annual Report on Form 10-K for the year ended December 31, 2021,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194310</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4, 2022</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64"/>
        </w:trPr>
        <w:tc>
          <w:tcPr>
            <w:tcW w:w="43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232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412"/>
        </w:trPr>
        <w:tc>
          <w:tcPr>
            <w:tcW w:w="4340" w:type="dxa"/>
            <w:vAlign w:val="bottom"/>
            <w:gridSpan w:val="14"/>
            <w:vMerge w:val="continue"/>
          </w:tcPr>
          <w:p>
            <w:pPr>
              <w:spacing w:after="0"/>
              <w:rPr>
                <w:sz w:val="24"/>
                <w:szCs w:val="24"/>
                <w:color w:val="auto"/>
              </w:rPr>
            </w:pPr>
          </w:p>
        </w:tc>
        <w:tc>
          <w:tcPr>
            <w:tcW w:w="2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40" w:type="dxa"/>
            <w:vAlign w:val="bottom"/>
            <w:gridSpan w:val="14"/>
            <w:vMerge w:val="continue"/>
          </w:tcPr>
          <w:p>
            <w:pPr>
              <w:spacing w:after="0"/>
              <w:rPr>
                <w:sz w:val="13"/>
                <w:szCs w:val="13"/>
                <w:color w:val="auto"/>
              </w:rPr>
            </w:pPr>
          </w:p>
        </w:tc>
        <w:tc>
          <w:tcPr>
            <w:tcW w:w="6340" w:type="dxa"/>
            <w:vAlign w:val="bottom"/>
            <w:gridSpan w:val="2"/>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700" w:type="dxa"/>
            <w:vAlign w:val="bottom"/>
            <w:gridSpan w:val="6"/>
          </w:tcPr>
          <w:p>
            <w:pPr>
              <w:spacing w:after="0"/>
              <w:rPr>
                <w:sz w:val="18"/>
                <w:szCs w:val="18"/>
                <w:color w:val="auto"/>
              </w:rPr>
            </w:pPr>
          </w:p>
        </w:tc>
        <w:tc>
          <w:tcPr>
            <w:tcW w:w="6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920" w:type="dxa"/>
            <w:vAlign w:val="bottom"/>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2160" w:type="dxa"/>
            <w:vAlign w:val="bottom"/>
            <w:gridSpan w:val="3"/>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gridSpan w:val="5"/>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2880" w:type="dxa"/>
            <w:vAlign w:val="bottom"/>
            <w:gridSpan w:val="8"/>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820" w:type="dxa"/>
            <w:vAlign w:val="bottom"/>
            <w:gridSpan w:val="7"/>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62" w:lineRule="exact"/>
        <w:rPr>
          <w:sz w:val="20"/>
          <w:szCs w:val="20"/>
          <w:color w:val="auto"/>
        </w:rPr>
      </w:pPr>
    </w:p>
    <w:p>
      <w:pPr>
        <w:jc w:val="both"/>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on the SEC’s website www.sec.gov.</w:t>
      </w:r>
    </w:p>
    <w:p>
      <w:pPr>
        <w:spacing w:after="0" w:line="162" w:lineRule="exact"/>
        <w:rPr>
          <w:sz w:val="20"/>
          <w:szCs w:val="20"/>
          <w:color w:val="auto"/>
        </w:rPr>
      </w:pPr>
    </w:p>
    <w:p>
      <w:pPr>
        <w:ind w:left="120" w:right="40" w:firstLine="44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63">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for the year ended December 31, 2021, filed on February 4, 2022, the Current Report on </w:t>
      </w:r>
      <w:hyperlink r:id="rId52">
        <w:r>
          <w:rPr>
            <w:rFonts w:ascii="Times New Roman" w:cs="Times New Roman" w:eastAsia="Times New Roman" w:hAnsi="Times New Roman"/>
            <w:sz w:val="17"/>
            <w:szCs w:val="17"/>
            <w:u w:val="single" w:color="auto"/>
            <w:color w:val="0000EE"/>
          </w:rPr>
          <w:t>Form 8-K</w:t>
        </w:r>
      </w:hyperlink>
      <w:r>
        <w:rPr>
          <w:rFonts w:ascii="Times New Roman" w:cs="Times New Roman" w:eastAsia="Times New Roman" w:hAnsi="Times New Roman"/>
          <w:sz w:val="17"/>
          <w:szCs w:val="17"/>
          <w:color w:val="auto"/>
        </w:rPr>
        <w:t xml:space="preserve">, filed on January 26, 2022, the description of our common stock contained in our registration statement on </w:t>
      </w:r>
      <w:hyperlink r:id="rId64">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71" w:lineRule="exact"/>
        <w:rPr>
          <w:rFonts w:ascii="Times New Roman" w:cs="Times New Roman" w:eastAsia="Times New Roman" w:hAnsi="Times New Roman"/>
          <w:sz w:val="17"/>
          <w:szCs w:val="17"/>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76" w:lineRule="exact"/>
        <w:rPr>
          <w:rFonts w:ascii="Times New Roman" w:cs="Times New Roman" w:eastAsia="Times New Roman" w:hAnsi="Times New Roman"/>
          <w:sz w:val="17"/>
          <w:szCs w:val="17"/>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Texas Instruments Incorporated, P.O. Box 660199, MS 8657, Dallas, Texas 75266-0199, Attention: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92" w:lineRule="exact"/>
        <w:rPr>
          <w:rFonts w:ascii="Times New Roman" w:cs="Times New Roman" w:eastAsia="Times New Roman" w:hAnsi="Times New Roman"/>
          <w:sz w:val="17"/>
          <w:szCs w:val="17"/>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rFonts w:ascii="Times New Roman" w:cs="Times New Roman" w:eastAsia="Times New Roman" w:hAnsi="Times New Roman"/>
          <w:sz w:val="17"/>
          <w:szCs w:val="17"/>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7" w:lineRule="exact"/>
        <w:rPr>
          <w:rFonts w:ascii="Times New Roman" w:cs="Times New Roman" w:eastAsia="Times New Roman" w:hAnsi="Times New Roman"/>
          <w:sz w:val="17"/>
          <w:szCs w:val="17"/>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our company or our management:</w:t>
      </w:r>
    </w:p>
    <w:p>
      <w:pPr>
        <w:spacing w:after="0" w:line="67" w:lineRule="exact"/>
        <w:rPr>
          <w:rFonts w:ascii="Times New Roman" w:cs="Times New Roman" w:eastAsia="Times New Roman" w:hAnsi="Times New Roman"/>
          <w:sz w:val="17"/>
          <w:szCs w:val="17"/>
          <w:color w:val="auto"/>
        </w:rPr>
      </w:pPr>
    </w:p>
    <w:p>
      <w:pPr>
        <w:ind w:left="1080" w:right="1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and natural events in the countries in which we, our customers or our suppliers operate, including global trade policies;</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the industrial and automotive markets, and customer demand that differs from forecasts;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58" w:lineRule="exact"/>
        <w:rPr>
          <w:rFonts w:ascii="Times New Roman" w:cs="Times New Roman" w:eastAsia="Times New Roman" w:hAnsi="Times New Roman"/>
          <w:sz w:val="17"/>
          <w:szCs w:val="17"/>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and other threats relating to our information technology systems or those of our customers, vendors and other third parties ;</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and realize opportunities from acquisitions and other strategic, business and organizational changes, or our ability to realize our expectations regarding the amount and timing of associated restructuring charges and cost savings;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1"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manufacturing equipment, third-party manufacturing services and manufacturing technology;</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semiconductor distributors’ promotion of competing product lines to our detriment; or disputes with current or former distributors;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customer inventory adjustments;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personnel, and effectively manage key employee succession;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320" w:top="455" w:right="6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3"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Restated Certificate of Incorporation authorizes us to issue 2,400,000,000 shares of common stock, $1.00 par value per share, and 10,000,000 shares of preferred stock, $25.00 par value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January 25, 2022, there were 923,547,062 shares of common stock outstanding which were held of record by 12,134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9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By-Laws provide that the annual meeting of stockholders shall be held on a date as may be fixed by our board of directors and as stated in a written notice, which must be mailed or delivered to each stockholder at least 10 days prior to any stockholder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As of January 25, 2022,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 Special meetings of stockholders may also be requested by a stockholder or stockholders who own, individually or in the aggregate, at least 25% of our outstanding common stock, subject to the written notice requirements and exceptions set forth in the By-Laws.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prior to the date the interested stockholder obtained such status;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 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will constitute unsecured and unsubordinated obligations of ours and will rank pari passu with our other unsecured and unsubordinated obligations.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9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You should look in the prospectus supplement for any additional or different terms of the debt securities being offered, including the following terms:</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designation;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(i.e., price) at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 and the place or places where principal and interest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exchanged for the cash value of other securities issued by us or by a third party;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the debt securities may be defeased;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debt securities in uncertificated form;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Debt Securities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The term “attributable debt” in respect of a sale and leaseback transaction means, at the time of determination, the lesser of</w:t>
      </w:r>
    </w:p>
    <w:p>
      <w:pPr>
        <w:spacing w:after="0" w:line="29" w:lineRule="exact"/>
        <w:rPr>
          <w:sz w:val="20"/>
          <w:szCs w:val="20"/>
          <w:color w:val="auto"/>
        </w:rPr>
      </w:pPr>
    </w:p>
    <w:p>
      <w:pPr>
        <w:ind w:left="120" w:right="120" w:hanging="4"/>
        <w:spacing w:after="0" w:line="255" w:lineRule="auto"/>
        <w:tabs>
          <w:tab w:leader="none" w:pos="3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8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6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78" w:lineRule="exact"/>
        <w:rPr>
          <w:sz w:val="20"/>
          <w:szCs w:val="20"/>
          <w:color w:val="auto"/>
        </w:rPr>
      </w:pPr>
    </w:p>
    <w:p>
      <w:pPr>
        <w:ind w:left="120" w:right="32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Restrictions on Liens</w:t>
      </w:r>
      <w:r>
        <w:rPr>
          <w:rFonts w:ascii="Times New Roman" w:cs="Times New Roman" w:eastAsia="Times New Roman" w:hAnsi="Times New Roman"/>
          <w:sz w:val="17"/>
          <w:szCs w:val="17"/>
          <w:color w:val="auto"/>
        </w:rPr>
        <w:t>. The indenture provides that, unless as may otherwise be indicated by resolution of our board of directors, officers’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as of the closing date of the offering of the relevant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existing at the time of or within 120 days after acquisition of the property and certain purchase money mortgages;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an entity existing at the time that entity is merged into or consolidated with us or substantially all the assets of which are acquired by us;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for taxes, assessments or other governmental charges not yet due or payable or subject to penalties for non-payment or which we are contesting in good faith by appropriate proceedings;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in whole or in part, of any mortgage referred to in the bullet points above.</w:t>
      </w:r>
    </w:p>
    <w:p>
      <w:pPr>
        <w:spacing w:after="0" w:line="160"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Restrictions on Sale and Leaseback Transactions</w:t>
      </w:r>
      <w:r>
        <w:rPr>
          <w:rFonts w:ascii="Times New Roman" w:cs="Times New Roman" w:eastAsia="Times New Roman" w:hAnsi="Times New Roman"/>
          <w:sz w:val="18"/>
          <w:szCs w:val="18"/>
          <w:color w:val="auto"/>
        </w:rPr>
        <w:t>. The indenture provides that, unless as may otherwise be indicated by resolution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87" w:lineRule="exact"/>
        <w:rPr>
          <w:sz w:val="20"/>
          <w:szCs w:val="20"/>
          <w:color w:val="auto"/>
        </w:rPr>
      </w:pPr>
    </w:p>
    <w:p>
      <w:pPr>
        <w:ind w:left="108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85" w:lineRule="exact"/>
        <w:rPr>
          <w:rFonts w:ascii="Times New Roman" w:cs="Times New Roman" w:eastAsia="Times New Roman" w:hAnsi="Times New Roman"/>
          <w:sz w:val="18"/>
          <w:szCs w:val="18"/>
          <w:color w:val="auto"/>
        </w:rPr>
      </w:pPr>
    </w:p>
    <w:p>
      <w:pPr>
        <w:ind w:left="1080" w:right="320" w:hanging="424"/>
        <w:spacing w:after="0" w:line="312" w:lineRule="auto"/>
        <w:tabs>
          <w:tab w:leader="none" w:pos="10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5"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such sale and leaseback transaction and we elect to designate such amount as a credit against such transaction,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720" w:hanging="331"/>
        <w:spacing w:after="0" w:line="282"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74"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Exempted Debt</w:t>
      </w:r>
      <w:r>
        <w:rPr>
          <w:rFonts w:ascii="Times New Roman" w:cs="Times New Roman" w:eastAsia="Times New Roman" w:hAnsi="Times New Roman"/>
          <w:sz w:val="18"/>
          <w:szCs w:val="18"/>
          <w:color w:val="auto"/>
        </w:rPr>
        <w:t>. The indenture provides that, notwithstanding the restrictions on mortgages and sale and leaseback transactions described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Consolidation, Merger and Sale or Conveyance</w:t>
      </w:r>
      <w:r>
        <w:rPr>
          <w:rFonts w:ascii="Times New Roman" w:cs="Times New Roman" w:eastAsia="Times New Roman" w:hAnsi="Times New Roman"/>
          <w:sz w:val="18"/>
          <w:szCs w:val="18"/>
          <w:color w:val="auto"/>
        </w:rPr>
        <w:t>. We may not consolidate with, merge with or into, or sell, or convey (including by way of lease)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or substantially all of our assets to any person or permit any person to merge with or into us unless:</w:t>
      </w:r>
    </w:p>
    <w:p>
      <w:pPr>
        <w:spacing w:after="0" w:line="112" w:lineRule="exact"/>
        <w:rPr>
          <w:sz w:val="20"/>
          <w:szCs w:val="20"/>
          <w:color w:val="auto"/>
        </w:rPr>
      </w:pPr>
    </w:p>
    <w:p>
      <w:pPr>
        <w:ind w:left="1080" w:right="160" w:hanging="424"/>
        <w:spacing w:after="0" w:line="25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9" w:lineRule="auto"/>
        <w:tabs>
          <w:tab w:leader="none" w:pos="10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 The restrictions in the bullets above shall not be applicable to:</w:t>
      </w:r>
    </w:p>
    <w:p>
      <w:pPr>
        <w:spacing w:after="0" w:line="63" w:lineRule="exact"/>
        <w:rPr>
          <w:rFonts w:ascii="Times New Roman" w:cs="Times New Roman" w:eastAsia="Times New Roman" w:hAnsi="Times New Roman"/>
          <w:sz w:val="17"/>
          <w:szCs w:val="17"/>
          <w:color w:val="auto"/>
        </w:rPr>
      </w:pPr>
    </w:p>
    <w:p>
      <w:pPr>
        <w:ind w:left="1080" w:right="5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of ours pursuant to Section 251(g) (or any successor provision) of the General Corporation Law of the State of Delaware. 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for any series of debt securities is defined under the indenture as being:</w:t>
      </w:r>
    </w:p>
    <w:p>
      <w:pPr>
        <w:spacing w:after="0" w:line="131" w:lineRule="exact"/>
        <w:rPr>
          <w:sz w:val="20"/>
          <w:szCs w:val="20"/>
          <w:color w:val="auto"/>
        </w:rPr>
      </w:pPr>
    </w:p>
    <w:p>
      <w:pPr>
        <w:ind w:left="1080" w:right="22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payment of interest on any debt securities of such series when due and payable, if that default continues for a period of 30 days;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such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30"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us in an involuntary case under any applicable bankruptcy, insolvency, or other similar law now or hereafter in effect;</w:t>
      </w:r>
    </w:p>
    <w:p>
      <w:pPr>
        <w:spacing w:after="0" w:line="67"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us or for all or substantially all of our property; or</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our affairs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under any applicable bankruptcy, insolvency, or other similar law now or hereafter in effect;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in an involuntary case under any such law;</w:t>
      </w:r>
    </w:p>
    <w:p>
      <w:pPr>
        <w:spacing w:after="0" w:line="130" w:lineRule="exact"/>
        <w:rPr>
          <w:rFonts w:ascii="Times New Roman" w:cs="Times New Roman" w:eastAsia="Times New Roman" w:hAnsi="Times New Roman"/>
          <w:sz w:val="18"/>
          <w:szCs w:val="18"/>
          <w:color w:val="auto"/>
        </w:rPr>
      </w:pPr>
    </w:p>
    <w:p>
      <w:pPr>
        <w:ind w:left="1540" w:right="400" w:hanging="331"/>
        <w:spacing w:after="0" w:line="282" w:lineRule="auto"/>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or taking possession by a receiver, liquidator, assignee, custodian, trustee, sequestrator, or similar official of us for all or substantially all of our property; or</w:t>
      </w:r>
    </w:p>
    <w:p>
      <w:pPr>
        <w:spacing w:after="0" w:line="67"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general assignment for the benefit of creditors. The default by us under any other debt, including any other series of debt securities, is not a default under the indenture.</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93"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debt securities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debt securities do not give the trustee a direction that is inconsistent with the request.</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67" w:lineRule="exact"/>
        <w:rPr>
          <w:sz w:val="20"/>
          <w:szCs w:val="20"/>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previously authenticated and delivered have been delivered to the trustee for cancellation, and we have paid all sums payable by us under the indenture; or</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85" w:lineRule="exact"/>
        <w:rPr>
          <w:sz w:val="20"/>
          <w:szCs w:val="20"/>
          <w:color w:val="auto"/>
        </w:rPr>
      </w:pPr>
    </w:p>
    <w:p>
      <w:pPr>
        <w:ind w:left="1080" w:right="40" w:hanging="424"/>
        <w:spacing w:after="0" w:line="254"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93"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88"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mortgage or pledge any assets as security for the securities of one or more series;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by such successor corporation of our covenants, agreements and obligations under the indenture;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under “Certain Covenants—Consolidation, Merger and Sale or Conveyance”;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debt securities as permitted by the indenture;</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is necessary or desirable provided that such change shall not adversely affect the interests of the holders of the debt securities of any series in any material respect;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85"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stated maturity of the principal of, or the time of payment of any installment of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place or currency of payment of principal of, or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impairs the right of holders to institute suit for the enforcement of any payment of any debt securities of such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67" w:lineRule="exact"/>
        <w:rPr>
          <w:rFonts w:ascii="Times New Roman" w:cs="Times New Roman" w:eastAsia="Times New Roman" w:hAnsi="Times New Roman"/>
          <w:sz w:val="18"/>
          <w:szCs w:val="18"/>
          <w:color w:val="auto"/>
        </w:rPr>
      </w:pPr>
    </w:p>
    <w:p>
      <w:pPr>
        <w:ind w:left="1080" w:right="70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1" w:lineRule="exact"/>
        <w:rPr>
          <w:rFonts w:ascii="Times New Roman" w:cs="Times New Roman" w:eastAsia="Times New Roman" w:hAnsi="Times New Roman"/>
          <w:sz w:val="18"/>
          <w:szCs w:val="18"/>
          <w:color w:val="auto"/>
        </w:rPr>
      </w:pPr>
    </w:p>
    <w:p>
      <w:pPr>
        <w:ind w:left="5540" w:right="180" w:hanging="4884"/>
        <w:spacing w:after="0" w:line="454" w:lineRule="auto"/>
        <w:tabs>
          <w:tab w:leader="none" w:pos="10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default in respect of a covenant or provision which cannot be modified or amended without the consent of each affected holder. 15</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60"/>
          </w:cols>
          <w:pgMar w:left="320" w:top="455" w:right="5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1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Registered Global Securities</w:t>
      </w:r>
      <w:r>
        <w:rPr>
          <w:rFonts w:ascii="Times New Roman" w:cs="Times New Roman" w:eastAsia="Times New Roman" w:hAnsi="Times New Roman"/>
          <w:sz w:val="18"/>
          <w:szCs w:val="18"/>
          <w:color w:val="auto"/>
        </w:rPr>
        <w:t>. We may issue the registered debt securities, warrants and units in the form of one or more fully registered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4"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or selling security holders may sell the securities being offered hereby in the following manner or any manner specified in a prospectus supplement:</w:t>
      </w:r>
    </w:p>
    <w:p>
      <w:pPr>
        <w:spacing w:after="0" w:line="67"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sz w:val="20"/>
          <w:szCs w:val="20"/>
          <w:color w:val="auto"/>
        </w:rPr>
      </w:pPr>
    </w:p>
    <w:p>
      <w:pPr>
        <w:jc w:val="both"/>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6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83"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and the effectiveness of our internal control over financial reporting as of December 31, 2021, as set forth in their reports, which are incorporated by reference into this prospectus and elsewhere in the registration statement. Our financial statements and our management’s assessment of the effectiveness of internal control over financial reporting as of December 31, 2021, are incorporated by reference in reliance on Ernst &amp; Young LLP’s reports, given on their authority as experts in accounting and auditing.</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40"/>
          </w:cols>
          <w:pgMar w:left="320" w:top="455" w:right="5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953770</wp:posOffset>
            </wp:positionV>
            <wp:extent cx="2871470" cy="676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287147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20" w:hanging="1132"/>
        <w:spacing w:after="0"/>
        <w:tabs>
          <w:tab w:leader="none" w:pos="5220" w:val="left"/>
        </w:tabs>
        <w:numPr>
          <w:ilvl w:val="0"/>
          <w:numId w:val="44"/>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735965</wp:posOffset>
            </wp:positionV>
            <wp:extent cx="1474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107" w:lineRule="exact"/>
        <w:rPr>
          <w:sz w:val="20"/>
          <w:szCs w:val="20"/>
          <w:color w:val="auto"/>
        </w:rPr>
      </w:pPr>
    </w:p>
    <w:p>
      <w:pPr>
        <w:ind w:left="120"/>
        <w:spacing w:after="0"/>
        <w:tabs>
          <w:tab w:leader="none" w:pos="5200" w:val="left"/>
          <w:tab w:leader="none" w:pos="9620" w:val="left"/>
        </w:tabs>
        <w:rPr>
          <w:sz w:val="20"/>
          <w:szCs w:val="20"/>
          <w:color w:val="auto"/>
        </w:rPr>
      </w:pPr>
      <w:r>
        <w:rPr>
          <w:rFonts w:ascii="Times New Roman" w:cs="Times New Roman" w:eastAsia="Times New Roman" w:hAnsi="Times New Roman"/>
          <w:sz w:val="29"/>
          <w:szCs w:val="29"/>
          <w:b w:val="1"/>
          <w:bCs w:val="1"/>
          <w:color w:val="auto"/>
        </w:rPr>
        <w:t>BofA Securities</w:t>
      </w:r>
      <w:r>
        <w:rPr>
          <w:sz w:val="20"/>
          <w:szCs w:val="20"/>
          <w:color w:val="auto"/>
        </w:rPr>
        <w:tab/>
      </w:r>
      <w:r>
        <w:rPr>
          <w:rFonts w:ascii="Times New Roman" w:cs="Times New Roman" w:eastAsia="Times New Roman" w:hAnsi="Times New Roman"/>
          <w:sz w:val="29"/>
          <w:szCs w:val="29"/>
          <w:b w:val="1"/>
          <w:bCs w:val="1"/>
          <w:color w:val="auto"/>
        </w:rPr>
        <w:t>Citigroup</w:t>
      </w:r>
      <w:r>
        <w:rPr>
          <w:sz w:val="20"/>
          <w:szCs w:val="20"/>
          <w:color w:val="auto"/>
        </w:rPr>
        <w:tab/>
      </w:r>
      <w:r>
        <w:rPr>
          <w:rFonts w:ascii="Times New Roman" w:cs="Times New Roman" w:eastAsia="Times New Roman" w:hAnsi="Times New Roman"/>
          <w:sz w:val="28"/>
          <w:szCs w:val="28"/>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729615</wp:posOffset>
            </wp:positionV>
            <wp:extent cx="1474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457200</wp:posOffset>
            </wp:positionV>
            <wp:extent cx="6995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525780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lvl w:ilvl="1">
      <w:lvlJc w:val="left"/>
      <w:lvlText w:val="(%2)"/>
      <w:numFmt w:val="decimal"/>
      <w:start w:val="1"/>
    </w:lvl>
  </w:abstractNum>
  <w:abstractNum w:abstractNumId="12">
    <w:nsid w:val="836C40E"/>
    <w:multiLevelType w:val="hybridMultilevel"/>
    <w:lvl w:ilvl="0">
      <w:lvlJc w:val="left"/>
      <w:lvlText w:val="•"/>
      <w:numFmt w:val="bullet"/>
      <w:start w:val="1"/>
    </w:lvl>
    <w:lvl w:ilvl="1">
      <w:lvlJc w:val="left"/>
      <w:lvlText w:val="(%2)"/>
      <w:numFmt w:val="decimal"/>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lvl w:ilvl="1">
      <w:lvlJc w:val="left"/>
      <w:lvlText w:val="•"/>
      <w:numFmt w:val="bullet"/>
      <w:start w:val="1"/>
    </w:lvl>
  </w:abstractNum>
  <w:abstractNum w:abstractNumId="32">
    <w:nsid w:val="2463B9EA"/>
    <w:multiLevelType w:val="hybridMultilevel"/>
    <w:lvl w:ilvl="0">
      <w:lvlJc w:val="left"/>
      <w:lvlText w:val="•"/>
      <w:numFmt w:val="bullet"/>
      <w:start w:val="1"/>
    </w:lvl>
    <w:lvl w:ilvl="1">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lvl w:ilvl="1">
      <w:lvlJc w:val="left"/>
      <w:lvlText w:val="•"/>
      <w:numFmt w:val="bullet"/>
      <w:start w:val="1"/>
    </w:lvl>
  </w:abstractNum>
  <w:abstractNum w:abstractNumId="35">
    <w:nsid w:val="2D517796"/>
    <w:multiLevelType w:val="hybridMultilevel"/>
    <w:lvl w:ilvl="0">
      <w:lvlJc w:val="left"/>
      <w:lvlText w:val="•"/>
      <w:numFmt w:val="bullet"/>
      <w:start w:val="1"/>
    </w:lvl>
    <w:lvl w:ilvl="1">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jpe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jpe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48" Type="http://schemas.openxmlformats.org/officeDocument/2006/relationships/hyperlink" Target="http://www.sec.gov/ix?doc=/Archives/edgar/data/97476/000009747622000009/txn-20211231.htm" TargetMode="External"/><Relationship Id="rId49" Type="http://schemas.openxmlformats.org/officeDocument/2006/relationships/hyperlink" Target="http://www.sec.gov/Archives/edgar/data/97476/000009747622000018/a2022proxystatement.htm" TargetMode="External"/><Relationship Id="rId50" Type="http://schemas.openxmlformats.org/officeDocument/2006/relationships/hyperlink" Target="http://www.sec.gov/ix?doc=/Archives/edgar/data/97476/000009747622000028/txn-20220331.htm" TargetMode="External"/><Relationship Id="rId51" Type="http://schemas.openxmlformats.org/officeDocument/2006/relationships/hyperlink" Target="http://www.sec.gov/ix?doc=/Archives/edgar/data/97476/000009747622000040/txn-20220630.htm" TargetMode="External"/><Relationship Id="rId52" Type="http://schemas.openxmlformats.org/officeDocument/2006/relationships/hyperlink" Target="http://www.sec.gov/ix?doc=/Archives/edgar/data/97476/000119312522018409/d252810d8k.htm" TargetMode="External"/><Relationship Id="rId53" Type="http://schemas.openxmlformats.org/officeDocument/2006/relationships/hyperlink" Target="http://www.sec.gov/ix?doc=/Archives/edgar/data/97476/000009747622000034/txn-20220428.htm" TargetMode="External"/><Relationship Id="rId63" Type="http://schemas.openxmlformats.org/officeDocument/2006/relationships/hyperlink" Target="http://www.sec.gov/ix?doc=/Archives/edgar/data/0000097476/000009747622000009/txn-20211231.htm" TargetMode="External"/><Relationship Id="rId64"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2022-08-10T08:14:45Z</dcterms:created>
  <dcterms:modified xsi:type="dcterms:W3CDTF">2022-08-10T08:14:45Z</dcterms:modified>
</cp:coreProperties>
</file>