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jc w:val="center"/>
        <w:ind w:right="20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0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14D-1</w:t>
      </w:r>
    </w:p>
    <w:p>
      <w:pPr>
        <w:ind w:left="1260"/>
        <w:spacing w:after="0" w:line="238" w:lineRule="auto"/>
        <w:rPr>
          <w:sz w:val="20"/>
          <w:szCs w:val="20"/>
          <w:color w:val="auto"/>
        </w:rPr>
      </w:pPr>
      <w:r>
        <w:rPr>
          <w:rFonts w:ascii="Courier New" w:cs="Courier New" w:eastAsia="Courier New" w:hAnsi="Courier New"/>
          <w:sz w:val="18"/>
          <w:szCs w:val="18"/>
          <w:color w:val="auto"/>
        </w:rPr>
        <w:t>TENDER OFFER STATEMENT PURSUANT TO SECTION 14(d)(1)</w:t>
      </w:r>
    </w:p>
    <w:p>
      <w:pPr>
        <w:ind w:left="190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INTEGRATED SENSOR SOLUTIONS,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SENSOR ACQUISITION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TEXAS INSTRUMENTS INCORPORATED</w:t>
      </w:r>
    </w:p>
    <w:p>
      <w:pPr>
        <w:jc w:val="center"/>
        <w:ind w:right="2219"/>
        <w:spacing w:after="0"/>
        <w:rPr>
          <w:sz w:val="20"/>
          <w:szCs w:val="20"/>
          <w:color w:val="auto"/>
        </w:rPr>
      </w:pPr>
      <w:r>
        <w:rPr>
          <w:rFonts w:ascii="Courier New" w:cs="Courier New" w:eastAsia="Courier New" w:hAnsi="Courier New"/>
          <w:sz w:val="18"/>
          <w:szCs w:val="18"/>
          <w:color w:val="auto"/>
        </w:rPr>
        <w:t>(Bidders)</w:t>
      </w:r>
    </w:p>
    <w:p>
      <w:pPr>
        <w:spacing w:after="0" w:line="200"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COMMON STOCK, $.001 PAR VALUE</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45814M102</w:t>
      </w:r>
    </w:p>
    <w:p>
      <w:pPr>
        <w:jc w:val="center"/>
        <w:ind w:right="199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Richard J. Agnich, Esq.</w:t>
      </w:r>
    </w:p>
    <w:p>
      <w:pPr>
        <w:ind w:left="232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ind w:left="2540"/>
        <w:spacing w:after="0"/>
        <w:rPr>
          <w:sz w:val="20"/>
          <w:szCs w:val="20"/>
          <w:color w:val="auto"/>
        </w:rPr>
      </w:pPr>
      <w:r>
        <w:rPr>
          <w:rFonts w:ascii="Courier New" w:cs="Courier New" w:eastAsia="Courier New" w:hAnsi="Courier New"/>
          <w:sz w:val="18"/>
          <w:szCs w:val="18"/>
          <w:color w:val="auto"/>
        </w:rPr>
        <w:t>8505 Forest Lane, M/S 8658</w:t>
      </w:r>
    </w:p>
    <w:p>
      <w:pPr>
        <w:ind w:left="2840"/>
        <w:spacing w:after="0" w:line="237" w:lineRule="auto"/>
        <w:rPr>
          <w:sz w:val="20"/>
          <w:szCs w:val="20"/>
          <w:color w:val="auto"/>
        </w:rPr>
      </w:pPr>
      <w:r>
        <w:rPr>
          <w:rFonts w:ascii="Courier New" w:cs="Courier New" w:eastAsia="Courier New" w:hAnsi="Courier New"/>
          <w:sz w:val="18"/>
          <w:szCs w:val="18"/>
          <w:color w:val="auto"/>
        </w:rPr>
        <w:t>Dallas, Texas 75243</w:t>
      </w:r>
    </w:p>
    <w:p>
      <w:pPr>
        <w:ind w:left="3160"/>
        <w:spacing w:after="0" w:line="238" w:lineRule="auto"/>
        <w:rPr>
          <w:sz w:val="20"/>
          <w:szCs w:val="20"/>
          <w:color w:val="auto"/>
        </w:rPr>
      </w:pPr>
      <w:r>
        <w:rPr>
          <w:rFonts w:ascii="Courier New" w:cs="Courier New" w:eastAsia="Courier New" w:hAnsi="Courier New"/>
          <w:sz w:val="18"/>
          <w:szCs w:val="18"/>
          <w:color w:val="auto"/>
        </w:rPr>
        <w:t>(972) 480-5050</w:t>
      </w:r>
    </w:p>
    <w:p>
      <w:pPr>
        <w:jc w:val="center"/>
        <w:ind w:right="2219"/>
        <w:spacing w:after="0"/>
        <w:rPr>
          <w:sz w:val="20"/>
          <w:szCs w:val="20"/>
          <w:color w:val="auto"/>
        </w:rPr>
      </w:pPr>
      <w:r>
        <w:rPr>
          <w:rFonts w:ascii="Courier New" w:cs="Courier New" w:eastAsia="Courier New" w:hAnsi="Courier New"/>
          <w:sz w:val="18"/>
          <w:szCs w:val="18"/>
          <w:color w:val="auto"/>
        </w:rPr>
        <w:t>(Name, Address and Telephone Number of Person</w:t>
      </w:r>
    </w:p>
    <w:p>
      <w:pPr>
        <w:spacing w:after="0" w:line="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Authorized to Receive Notices and Communications on Behalf of Bidders)</w:t>
      </w:r>
    </w:p>
    <w:p>
      <w:pPr>
        <w:spacing w:after="0" w:line="21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R. SCOTT COHEN, ESQ.</w:t>
      </w:r>
    </w:p>
    <w:p>
      <w:pPr>
        <w:jc w:val="center"/>
        <w:ind w:right="2099"/>
        <w:spacing w:after="0" w:line="238" w:lineRule="auto"/>
        <w:rPr>
          <w:sz w:val="20"/>
          <w:szCs w:val="20"/>
          <w:color w:val="auto"/>
        </w:rPr>
      </w:pPr>
      <w:r>
        <w:rPr>
          <w:rFonts w:ascii="Courier New" w:cs="Courier New" w:eastAsia="Courier New" w:hAnsi="Courier New"/>
          <w:sz w:val="18"/>
          <w:szCs w:val="18"/>
          <w:color w:val="auto"/>
        </w:rPr>
        <w:t>WEIL, GOTSHAL &amp; MANGES LLP</w:t>
      </w:r>
    </w:p>
    <w:p>
      <w:pPr>
        <w:jc w:val="center"/>
        <w:ind w:right="2099"/>
        <w:spacing w:after="0"/>
        <w:rPr>
          <w:sz w:val="20"/>
          <w:szCs w:val="20"/>
          <w:color w:val="auto"/>
        </w:rPr>
      </w:pPr>
      <w:r>
        <w:rPr>
          <w:rFonts w:ascii="Courier New" w:cs="Courier New" w:eastAsia="Courier New" w:hAnsi="Courier New"/>
          <w:sz w:val="18"/>
          <w:szCs w:val="18"/>
          <w:color w:val="auto"/>
        </w:rPr>
        <w:t>100 CRESCENT COURT, SUITE 1300</w:t>
      </w:r>
    </w:p>
    <w:p>
      <w:pPr>
        <w:jc w:val="center"/>
        <w:ind w:right="2099"/>
        <w:spacing w:after="0" w:line="237" w:lineRule="auto"/>
        <w:rPr>
          <w:sz w:val="20"/>
          <w:szCs w:val="20"/>
          <w:color w:val="auto"/>
        </w:rPr>
      </w:pPr>
      <w:r>
        <w:rPr>
          <w:rFonts w:ascii="Courier New" w:cs="Courier New" w:eastAsia="Courier New" w:hAnsi="Courier New"/>
          <w:sz w:val="18"/>
          <w:szCs w:val="18"/>
          <w:color w:val="auto"/>
        </w:rPr>
        <w:t>DALLAS, TEXAS 75201-6950</w:t>
      </w:r>
    </w:p>
    <w:p>
      <w:pPr>
        <w:jc w:val="center"/>
        <w:ind w:right="2099"/>
        <w:spacing w:after="0" w:line="238" w:lineRule="auto"/>
        <w:rPr>
          <w:sz w:val="20"/>
          <w:szCs w:val="20"/>
          <w:color w:val="auto"/>
        </w:rPr>
      </w:pPr>
      <w:r>
        <w:rPr>
          <w:rFonts w:ascii="Courier New" w:cs="Courier New" w:eastAsia="Courier New" w:hAnsi="Courier New"/>
          <w:sz w:val="18"/>
          <w:szCs w:val="18"/>
          <w:color w:val="auto"/>
        </w:rPr>
        <w:t>214-746-7738</w:t>
      </w:r>
    </w:p>
    <w:p>
      <w:pPr>
        <w:sectPr>
          <w:pgSz w:w="11900" w:h="16838" w:orient="portrait"/>
          <w:cols w:equalWidth="0" w:num="1">
            <w:col w:w="9899"/>
          </w:cols>
          <w:pgMar w:left="56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580"/>
        <w:spacing w:after="0" w:line="238" w:lineRule="auto"/>
        <w:rPr>
          <w:sz w:val="20"/>
          <w:szCs w:val="20"/>
          <w:color w:val="auto"/>
        </w:rPr>
      </w:pPr>
      <w:r>
        <w:rPr>
          <w:rFonts w:ascii="Courier New" w:cs="Courier New" w:eastAsia="Courier New" w:hAnsi="Courier New"/>
          <w:sz w:val="18"/>
          <w:szCs w:val="18"/>
          <w:color w:val="auto"/>
        </w:rPr>
        <w:t>TENDER OFFER</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This Amendment No. 1 amends and supplements the Tender Offer Statement on Schedule 14D-1 (the "Schedule 14D-1") originally filed with the Securities and Exchange Commission on May 7, 1999 by Sensor Acquisition Corporation, a Delaware corporation (the "Purchaser"), and Texas Instruments Incorporated, a Delaware corporation and the sole stockholder of the Purchaser ("Parent"), relating to the offer by the Purchaser to purchase all outstanding shares of common stock, par value $.001 per share (the "Shares"), of Integrated Sensor Solutions, Inc., a Delaware corporation, at $8.05 per Share, net to the seller in cash, on the terms and subject to the conditions set forth in the Offer to Purchase dated May 7, 1999 (the "Offer to Purchase") and in the related Letter of Transmittal, copies of which are attached to the Schedule 14D-1 as Exhibits 99(a)(1) and 99(a)(2), respectively.</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10 of the Schedule 14D-1 is hereby amended and supplemented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left="960" w:right="1999" w:firstLine="316"/>
        <w:spacing w:after="0" w:line="237" w:lineRule="auto"/>
        <w:rPr>
          <w:sz w:val="20"/>
          <w:szCs w:val="20"/>
          <w:color w:val="auto"/>
        </w:rPr>
      </w:pPr>
      <w:r>
        <w:rPr>
          <w:rFonts w:ascii="Courier New" w:cs="Courier New" w:eastAsia="Courier New" w:hAnsi="Courier New"/>
          <w:sz w:val="18"/>
          <w:szCs w:val="18"/>
          <w:color w:val="auto"/>
        </w:rPr>
        <w:t>Clause (i) of the first paragraph of Section 14 of the Offer to Purchase, "Conditions to the Offer," which Section 14 is incorporated by reference in Item 10 of the Schedule 14D-1, is hereby deleted, and the following is inserted in lieu thereof:</w:t>
      </w:r>
    </w:p>
    <w:p>
      <w:pPr>
        <w:spacing w:after="0" w:line="207" w:lineRule="exact"/>
        <w:rPr>
          <w:sz w:val="20"/>
          <w:szCs w:val="20"/>
          <w:color w:val="auto"/>
        </w:rPr>
      </w:pPr>
    </w:p>
    <w:p>
      <w:pPr>
        <w:ind w:left="1900" w:right="2199"/>
        <w:spacing w:after="0" w:line="235" w:lineRule="auto"/>
        <w:rPr>
          <w:sz w:val="20"/>
          <w:szCs w:val="20"/>
          <w:color w:val="auto"/>
        </w:rPr>
      </w:pPr>
      <w:r>
        <w:rPr>
          <w:rFonts w:ascii="Courier New" w:cs="Courier New" w:eastAsia="Courier New" w:hAnsi="Courier New"/>
          <w:sz w:val="18"/>
          <w:szCs w:val="18"/>
          <w:color w:val="auto"/>
        </w:rPr>
        <w:t>"(i) the Minimum Condition has not been satisfied prior to the expiration of the Offer,"</w:t>
      </w:r>
    </w:p>
    <w:p>
      <w:pPr>
        <w:spacing w:after="0" w:line="208" w:lineRule="exact"/>
        <w:rPr>
          <w:sz w:val="20"/>
          <w:szCs w:val="20"/>
          <w:color w:val="auto"/>
        </w:rPr>
      </w:pPr>
    </w:p>
    <w:p>
      <w:pPr>
        <w:ind w:left="960" w:right="1999" w:firstLine="316"/>
        <w:spacing w:after="0" w:line="237" w:lineRule="auto"/>
        <w:rPr>
          <w:sz w:val="20"/>
          <w:szCs w:val="20"/>
          <w:color w:val="auto"/>
        </w:rPr>
      </w:pPr>
      <w:r>
        <w:rPr>
          <w:rFonts w:ascii="Courier New" w:cs="Courier New" w:eastAsia="Courier New" w:hAnsi="Courier New"/>
          <w:sz w:val="18"/>
          <w:szCs w:val="18"/>
          <w:color w:val="auto"/>
        </w:rPr>
        <w:t>Clause (iii) of the first paragraph of Section 14 of the Offer to Purchase, "Conditions to the Offer," which Section 14 is incorporated by reference in Item 10 of the Schedule 14D-1, is hereby deleted, and the following is inserted in lieu thereof:</w:t>
      </w:r>
    </w:p>
    <w:p>
      <w:pPr>
        <w:spacing w:after="0" w:line="202"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"(iii) at</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any</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time on or after</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the date of the Merger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prior to</w:t>
            </w:r>
          </w:p>
        </w:tc>
        <w:tc>
          <w:tcPr>
            <w:tcW w:w="4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the expiration of the Offer, any of the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events shall</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occur:"</w:t>
            </w:r>
          </w:p>
        </w:tc>
        <w:tc>
          <w:tcPr>
            <w:tcW w:w="3320" w:type="dxa"/>
            <w:vAlign w:val="bottom"/>
          </w:tcPr>
          <w:p>
            <w:pPr>
              <w:spacing w:after="0"/>
              <w:rPr>
                <w:sz w:val="17"/>
                <w:szCs w:val="17"/>
                <w:color w:val="auto"/>
              </w:rPr>
            </w:pPr>
          </w:p>
        </w:tc>
      </w:tr>
    </w:tbl>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Item 10. of the Schedule 14D-1 is further amended and supplemented hereby by adding the following text thereto:</w:t>
      </w:r>
    </w:p>
    <w:p>
      <w:pPr>
        <w:spacing w:after="0" w:line="208" w:lineRule="exact"/>
        <w:rPr>
          <w:sz w:val="20"/>
          <w:szCs w:val="20"/>
          <w:color w:val="auto"/>
        </w:rPr>
      </w:pPr>
    </w:p>
    <w:p>
      <w:pPr>
        <w:ind w:left="1900" w:right="2319"/>
        <w:spacing w:after="0" w:line="279" w:lineRule="auto"/>
        <w:rPr>
          <w:sz w:val="20"/>
          <w:szCs w:val="20"/>
          <w:color w:val="auto"/>
        </w:rPr>
      </w:pPr>
      <w:r>
        <w:rPr>
          <w:rFonts w:ascii="Courier New" w:cs="Courier New" w:eastAsia="Courier New" w:hAnsi="Courier New"/>
          <w:sz w:val="16"/>
          <w:szCs w:val="16"/>
          <w:color w:val="auto"/>
        </w:rPr>
        <w:t>"On June 7, 1999, the Purchaser and Parent issued a press release, a copy of which is attached hereto as Exhibit 99(a)(9) and is incorporated herein by reference."</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MATERIAL TO BE FILED AS EXHIBITS</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Item 11 of the Schedule 14D-1 is hereby amended and supplemented by adding a new Exhibit as follows:</w:t>
      </w:r>
    </w:p>
    <w:p>
      <w:pPr>
        <w:spacing w:after="0" w:line="208"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99(a)(9) Text of Press Release issued by the Purchaser and Parent dated June 7, 1999.</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After due inquiry and to the best of their knowledge and belief, the undersigned certify that the information set forth in this statement is true, complete and correct.</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Dated: June 7, 1999</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SENSOR ACQUISITION CORPORATION</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MARTHA N. SULLIVAN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Martha N. Sullivan</w:t>
      </w:r>
    </w:p>
    <w:p>
      <w:pPr>
        <w:ind w:left="43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RICHARD K. TEMPLETON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Richard K. Templeton</w:t>
      </w:r>
    </w:p>
    <w:p>
      <w:pPr>
        <w:ind w:left="43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Executive Vice President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EXHIBIT INDEX</w:t>
            </w:r>
          </w:p>
        </w:tc>
        <w:tc>
          <w:tcPr>
            <w:tcW w:w="2960" w:type="dxa"/>
            <w:vAlign w:val="bottom"/>
          </w:tcPr>
          <w:p>
            <w:pPr>
              <w:spacing w:after="0"/>
              <w:rPr>
                <w:sz w:val="17"/>
                <w:szCs w:val="17"/>
                <w:color w:val="auto"/>
              </w:rPr>
            </w:pPr>
          </w:p>
        </w:tc>
      </w:tr>
      <w:tr>
        <w:trPr>
          <w:trHeight w:val="810"/>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99(a)(9)</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Text of Press</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Release issued by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the Purchaser and Parent</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dated June 7,</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99(c)(1)</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Agreement and</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Plan of Merger dated as of May 3, 1999, by and</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among Parent,</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Purchaser and</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99(c)(2)</w:t>
            </w:r>
          </w:p>
        </w:tc>
        <w:tc>
          <w:tcPr>
            <w:tcW w:w="394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9"/>
              </w:rPr>
              <w:t>Stockholders Agreement dated as</w:t>
            </w:r>
          </w:p>
        </w:tc>
        <w:tc>
          <w:tcPr>
            <w:tcW w:w="2960" w:type="dxa"/>
            <w:vAlign w:val="bottom"/>
          </w:tcPr>
          <w:p>
            <w:pPr>
              <w:spacing w:after="0"/>
              <w:rPr>
                <w:sz w:val="20"/>
                <w:szCs w:val="20"/>
                <w:color w:val="auto"/>
              </w:rPr>
            </w:pPr>
            <w:r>
              <w:rPr>
                <w:rFonts w:ascii="Courier New" w:cs="Courier New" w:eastAsia="Courier New" w:hAnsi="Courier New"/>
                <w:sz w:val="18"/>
                <w:szCs w:val="18"/>
                <w:color w:val="auto"/>
                <w:w w:val="97"/>
              </w:rPr>
              <w:t>of May 3, 1999, by and among</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8"/>
              </w:rPr>
              <w:t>the Purchaser, Manher D. Naik, Donald Paulus, Ramesh Sirsi,</w:t>
            </w:r>
          </w:p>
        </w:tc>
      </w:tr>
      <w:tr>
        <w:trPr>
          <w:trHeight w:val="203"/>
        </w:trPr>
        <w:tc>
          <w:tcPr>
            <w:tcW w:w="1540" w:type="dxa"/>
            <w:vAlign w:val="bottom"/>
          </w:tcPr>
          <w:p>
            <w:pPr>
              <w:spacing w:after="0"/>
              <w:rPr>
                <w:sz w:val="17"/>
                <w:szCs w:val="17"/>
                <w:color w:val="auto"/>
              </w:rPr>
            </w:pPr>
          </w:p>
        </w:tc>
        <w:tc>
          <w:tcPr>
            <w:tcW w:w="39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David Satterfield, Nagano Keiki</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 Ltd., Breed</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Technologies,</w:t>
            </w:r>
          </w:p>
        </w:tc>
        <w:tc>
          <w:tcPr>
            <w:tcW w:w="4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Inc., WK Technology Funds, and Vinod K. Sood,</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Sood Family Trust dated 5/14/90.*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99(c)(3)</w:t>
            </w:r>
          </w:p>
        </w:tc>
        <w:tc>
          <w:tcPr>
            <w:tcW w:w="394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9"/>
              </w:rPr>
              <w:t>Confidentiality Agreement dated</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as of March 2, 1999, by and</w:t>
            </w:r>
          </w:p>
        </w:tc>
      </w:tr>
      <w:tr>
        <w:trPr>
          <w:trHeight w:val="203"/>
        </w:trPr>
        <w:tc>
          <w:tcPr>
            <w:tcW w:w="1540" w:type="dxa"/>
            <w:vAlign w:val="bottom"/>
          </w:tcPr>
          <w:p>
            <w:pPr>
              <w:spacing w:after="0"/>
              <w:rPr>
                <w:sz w:val="17"/>
                <w:szCs w:val="17"/>
                <w:color w:val="auto"/>
              </w:rPr>
            </w:pPr>
          </w:p>
        </w:tc>
        <w:tc>
          <w:tcPr>
            <w:tcW w:w="39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6"/>
              </w:rPr>
              <w:t>between Parent and the Company.*</w:t>
            </w:r>
          </w:p>
        </w:tc>
        <w:tc>
          <w:tcPr>
            <w:tcW w:w="2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 as an exhibit to the Schedule 14D-1.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99(a)(9)</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TEXAS INSTRUMENTS EXTENDS CASH TENDER OFFER</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 SHARES OF INTEGRATED SENSOR SOLUTIONS</w:t>
      </w:r>
    </w:p>
    <w:p>
      <w:pPr>
        <w:spacing w:after="0" w:line="200" w:lineRule="exact"/>
        <w:rPr>
          <w:sz w:val="20"/>
          <w:szCs w:val="20"/>
          <w:color w:val="auto"/>
        </w:rPr>
      </w:pP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DALLAS (June 7, 1999)--Texas Instruments today announced that TI and its wholly-owned subsidiary, Sensor Acquisition Corporation, have extended their tender offer for all of the issued and outstanding shares of common stock of Integrated Sensor Solutions, Inc. (ISS) (NASDAQ: ISNR) at a price of $8.05 per share, net to the seller in cash, until midnight, EDT, on Friday, June 25, 1999. The tender offer was previously scheduled to expire at midnight, EDT, on Friday, June 4, 1999.</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requirements of U.S. antitrust laws applicable to the transaction have been satisfied. However, the review of the transaction by German antitrust authorities and ISS's purchase of the outstanding minority interest in its German subsidiary have not been completed. These conditions are expected to be satisfied in late June.</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TI has been advised by the depositary for the tender offer that as of 5:00 p.m., EDT on June 4, 1999, 7,440,749 shares of ISS common stock, or approximately 96.5% of the issued and outstanding shares, had been validly tendered and not withdrawn.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TO EDITORS: Texas Instruments Incorporated is a global semiconductor company and the world's leading designer and supplier of digital signal processing and analog technologies, the engines driving the digitization of electronics. Headquartered in Dallas, Texas, the company's businesses also include materials and controls, educational and productivity solutions, and digital imaging. The company has manufacturing or sales operations in more than 25 countries.</w:t>
      </w:r>
    </w:p>
    <w:p>
      <w:pPr>
        <w:spacing w:after="0" w:line="21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Texas Instruments is traded on the New York Stock Exchange under the symbol TXN. More information is located on the World Wide Web at http://www.ti.com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2019-12-16T14:51:58Z</dcterms:created>
  <dcterms:modified xsi:type="dcterms:W3CDTF">2019-12-16T14:51:58Z</dcterms:modified>
</cp:coreProperties>
</file>