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Craighead Martin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22,534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2,159</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granted under the Texas Instruments 2018 Director Compensation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2024.</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spacing w:after="0" w:line="4" w:lineRule="exact"/>
        <w:rPr>
          <w:sz w:val="20"/>
          <w:szCs w:val="20"/>
          <w:color w:val="auto"/>
        </w:rPr>
      </w:pPr>
    </w:p>
    <w:p>
      <w:pPr>
        <w:ind w:right="2799"/>
        <w:spacing w:after="0" w:line="257"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w:t>
      </w:r>
    </w:p>
    <w:p>
      <w:pPr>
        <w:spacing w:after="0" w:line="2" w:lineRule="exact"/>
        <w:rPr>
          <w:sz w:val="20"/>
          <w:szCs w:val="20"/>
          <w:color w:val="auto"/>
        </w:rPr>
      </w:pPr>
    </w:p>
    <w:p>
      <w:pPr>
        <w:ind w:right="3419"/>
        <w:spacing w:after="0" w:line="257" w:lineRule="auto"/>
        <w:rPr>
          <w:sz w:val="20"/>
          <w:szCs w:val="20"/>
          <w:color w:val="auto"/>
        </w:rPr>
      </w:pPr>
      <w:r>
        <w:rPr>
          <w:rFonts w:ascii="Courier New" w:cs="Courier New" w:eastAsia="Courier New" w:hAnsi="Courier New"/>
          <w:sz w:val="16"/>
          <w:szCs w:val="16"/>
          <w:color w:val="auto"/>
        </w:rPr>
        <w:t>of beneficial ownership of equity securities of Texas Instruments Incorporated (the ?Company?), and of changes in such beneficial ownership, as well as any and all representation letters that may be required in connection with sales by me of equity securities</w:t>
      </w:r>
    </w:p>
    <w:p>
      <w:pPr>
        <w:spacing w:after="0" w:line="3" w:lineRule="exact"/>
        <w:rPr>
          <w:sz w:val="20"/>
          <w:szCs w:val="20"/>
          <w:color w:val="auto"/>
        </w:rPr>
      </w:pPr>
    </w:p>
    <w:p>
      <w:pPr>
        <w:ind w:right="2899"/>
        <w:spacing w:after="0" w:line="242" w:lineRule="auto"/>
        <w:rPr>
          <w:sz w:val="20"/>
          <w:szCs w:val="20"/>
          <w:color w:val="auto"/>
        </w:rPr>
      </w:pPr>
      <w:r>
        <w:rPr>
          <w:rFonts w:ascii="Courier New" w:cs="Courier New" w:eastAsia="Courier New" w:hAnsi="Courier New"/>
          <w:sz w:val="17"/>
          <w:szCs w:val="17"/>
          <w:color w:val="auto"/>
        </w:rPr>
        <w:t>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 acknowledge that the persons authorized hereunder are</w:t>
      </w:r>
    </w:p>
    <w:p>
      <w:pPr>
        <w:spacing w:after="0" w:line="4"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7"/>
          <w:szCs w:val="17"/>
          <w:color w:val="auto"/>
        </w:rPr>
        <w:t>not assuming, nor is the Company assuming, any of my responsibilities to comply with Section 16 of the Exchange Act and other relevant securities laws.</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20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Martin S. Craighead</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6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2023-01-30T16:28:55Z</dcterms:created>
  <dcterms:modified xsi:type="dcterms:W3CDTF">2023-01-30T16:28:55Z</dcterms:modified>
</cp:coreProperties>
</file>