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817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817360"/>
                    </a:xfrm>
                    <a:prstGeom prst="rect">
                      <a:avLst/>
                    </a:prstGeom>
                    <a:noFill/>
                  </pic:spPr>
                </pic:pic>
              </a:graphicData>
            </a:graphic>
          </wp:anchor>
        </w:drawing>
      </w:r>
    </w:p>
    <w:p>
      <w:pPr>
        <w:sectPr>
          <w:pgSz w:w="11900" w:h="16909"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HEACOCK DAVID 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04/19/2007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0000FF"/>
              </w:rPr>
              <w:t>SR.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909"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67,079</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(2)</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01/15/2013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12,500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(3)</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02/20/2013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12,500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(4)</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01/20/2015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35,000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(5)</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01/16/2012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(6)</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07/22/2009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15,070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27.03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(7)</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01/18/2017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17,600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28.32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(8)</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02/21/2012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93"/>
              </w:rPr>
              <w:t>100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29.19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w w:val="88"/>
              </w:rPr>
              <w:t>(9)</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01/14/2014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35,000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rPr>
              <w:t>(10)</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01/19/2016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17,500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rPr>
              <w:t>(11)</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04/17/2012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34.39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rPr>
              <w:t>(12)</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07/31/2011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6,500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35.13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rPr>
              <w:t>(13)</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01/17/2011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8,000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50.38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center"/>
              <w:ind w:left="621"/>
              <w:spacing w:after="0"/>
              <w:rPr>
                <w:sz w:val="20"/>
                <w:szCs w:val="20"/>
                <w:color w:val="auto"/>
              </w:rPr>
            </w:pPr>
            <w:r>
              <w:rPr>
                <w:rFonts w:ascii="Arial" w:cs="Arial" w:eastAsia="Arial" w:hAnsi="Arial"/>
                <w:sz w:val="11"/>
                <w:szCs w:val="11"/>
                <w:color w:val="008000"/>
              </w:rPr>
              <w:t>(14)</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01/19/2010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7,000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55.22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41,767 shares subject to terms of restricted stock units awarded under the 2000 Long-Term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15,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three annual installments beginning on February 20,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16,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July 22,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18,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100% exercisable on February 21,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becomes exercisable in four equal annual installments beginning on April 17, 2003.</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July 31,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17,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04/30/2007</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909" w:orient="portrait"/>
          <w:cols w:equalWidth="0" w:num="1">
            <w:col w:w="11420"/>
          </w:cols>
          <w:pgMar w:left="240" w:top="226" w:right="2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909"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7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20th day of April,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K. Heacock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96846"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2019-12-16T02:50:09Z</dcterms:created>
  <dcterms:modified xsi:type="dcterms:W3CDTF">2019-12-16T02:50:09Z</dcterms:modified>
</cp:coreProperties>
</file>