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Filed Pursuant to Rule 424(b)(4)</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Registration No. 333-44572-01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ectPr>
          <w:pgSz w:w="11900" w:h="16838" w:orient="portrait"/>
          <w:cols w:equalWidth="0" w:num="2">
            <w:col w:w="4340" w:space="720"/>
            <w:col w:w="5159"/>
          </w:cols>
          <w:pgMar w:left="240" w:top="649" w:right="1440" w:bottom="0" w:gutter="0" w:footer="0" w:header="0"/>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2"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8739"/>
        <w:spacing w:after="0"/>
        <w:rPr>
          <w:sz w:val="20"/>
          <w:szCs w:val="20"/>
          <w:color w:val="auto"/>
        </w:rPr>
      </w:pPr>
      <w:r>
        <w:rPr>
          <w:rFonts w:ascii="Courier New" w:cs="Courier New" w:eastAsia="Courier New" w:hAnsi="Courier New"/>
          <w:sz w:val="18"/>
          <w:szCs w:val="18"/>
          <w:color w:val="auto"/>
        </w:rPr>
        <w:t>MATURITY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739"/>
        <w:spacing w:after="0"/>
        <w:rPr>
          <w:sz w:val="20"/>
          <w:szCs w:val="20"/>
          <w:color w:val="auto"/>
        </w:rPr>
      </w:pPr>
      <w:r>
        <w:rPr>
          <w:rFonts w:ascii="Courier New" w:cs="Courier New" w:eastAsia="Courier New" w:hAnsi="Courier New"/>
          <w:sz w:val="18"/>
          <w:szCs w:val="18"/>
          <w:color w:val="auto"/>
        </w:rPr>
        <w:t>OWNED THAT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THAT</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MAY COMMON</w:t>
      </w:r>
    </w:p>
    <w:p>
      <w:pPr>
        <w:jc w:val="center"/>
        <w:ind w:right="8739"/>
        <w:spacing w:after="0"/>
        <w:rPr>
          <w:sz w:val="20"/>
          <w:szCs w:val="20"/>
          <w:color w:val="auto"/>
        </w:rPr>
      </w:pPr>
      <w:r>
        <w:rPr>
          <w:rFonts w:ascii="Courier New" w:cs="Courier New" w:eastAsia="Courier New" w:hAnsi="Courier New"/>
          <w:sz w:val="18"/>
          <w:szCs w:val="18"/>
          <w:color w:val="auto"/>
        </w:rPr>
        <w:t>STOCK NAME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spacing w:after="0" w:line="5"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SECURITYHOLDER</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MAY BE SOLD</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BE SOLD(1)</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OUTSTANDING</w:t>
      </w:r>
    </w:p>
    <w:p>
      <w:pPr>
        <w:ind w:left="480" w:hanging="421"/>
        <w:spacing w:after="0" w:line="238" w:lineRule="auto"/>
        <w:tabs>
          <w:tab w:leader="none" w:pos="4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CIBC World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$920,000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20,697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960" w:right="1999" w:hanging="952"/>
        <w:spacing w:after="0" w:line="272"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1,733,843,885 shares of Texas Instruments common stock issued and outstanding as of June 2, 2002. Assumes the number of shares of Texas Instruments common stock issuable upon conversion of all of that particular holder's notes are outstanding. However, this does not include the conversion of any other holder's notes.</w:t>
      </w:r>
    </w:p>
    <w:p>
      <w:pPr>
        <w:spacing w:after="0" w:line="20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SECURITIES OFFERED HEREBY INVOLVE A HIGH DEGREE OF RISK. SEE "RISK</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FACTORS" BEGINNING ON PAGE 3 OF THE PROSPECTUS.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w:t>
      </w:r>
    </w:p>
    <w:p>
      <w:pPr>
        <w:sectPr>
          <w:pgSz w:w="11900" w:h="16838" w:orient="portrait"/>
          <w:cols w:equalWidth="0" w:num="1">
            <w:col w:w="10219"/>
          </w:cols>
          <w:pgMar w:left="240" w:top="136" w:right="1440" w:bottom="1440" w:gutter="0" w:footer="0" w:header="0"/>
        </w:sectPr>
      </w:pPr>
    </w:p>
    <w:bookmarkStart w:id="2" w:name="page3"/>
    <w:bookmarkEnd w:id="2"/>
    <w:p>
      <w:pPr>
        <w:ind w:right="1779"/>
        <w:spacing w:after="0" w:line="235" w:lineRule="auto"/>
        <w:rPr>
          <w:sz w:val="20"/>
          <w:szCs w:val="20"/>
          <w:color w:val="auto"/>
        </w:rPr>
      </w:pPr>
      <w:r>
        <w:rPr>
          <w:rFonts w:ascii="Courier New" w:cs="Courier New" w:eastAsia="Courier New" w:hAnsi="Courier New"/>
          <w:sz w:val="18"/>
          <w:szCs w:val="18"/>
          <w:color w:val="auto"/>
        </w:rPr>
        <w:t>DETERMINED IF THIS PROSPECTUS IS TRUTHFUL OR COMPLETE. ANY REPRESENTATION TO THE CONTRARY IS A CRIMINAL OFFENSE.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June 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2019-12-13T07:47:54Z</dcterms:created>
  <dcterms:modified xsi:type="dcterms:W3CDTF">2019-12-13T07:47:54Z</dcterms:modified>
</cp:coreProperties>
</file>