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15240</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5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42545</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July 23,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29210</wp:posOffset>
            </wp:positionV>
            <wp:extent cx="4166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23495</wp:posOffset>
            </wp:positionV>
            <wp:extent cx="4166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87" w:lineRule="exact"/>
        <w:rPr>
          <w:sz w:val="24"/>
          <w:szCs w:val="24"/>
          <w:color w:val="auto"/>
        </w:rPr>
      </w:pPr>
    </w:p>
    <w:tbl>
      <w:tblPr>
        <w:tblLayout w:type="fixed"/>
        <w:tblInd w:w="860" w:type="dxa"/>
        <w:tblCellMar>
          <w:top w:w="0" w:type="dxa"/>
          <w:left w:w="0" w:type="dxa"/>
          <w:bottom w:w="0" w:type="dxa"/>
          <w:right w:w="0" w:type="dxa"/>
        </w:tblCellMar>
      </w:tblPr>
      <w:tr>
        <w:trPr>
          <w:trHeight w:val="239"/>
        </w:trPr>
        <w:tc>
          <w:tcPr>
            <w:tcW w:w="2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Delaware</w:t>
            </w:r>
          </w:p>
        </w:tc>
        <w:tc>
          <w:tcPr>
            <w:tcW w:w="5400" w:type="dxa"/>
            <w:vAlign w:val="bottom"/>
          </w:tcPr>
          <w:p>
            <w:pPr>
              <w:jc w:val="center"/>
              <w:ind w:right="60"/>
              <w:spacing w:after="0"/>
              <w:rPr>
                <w:sz w:val="20"/>
                <w:szCs w:val="20"/>
                <w:color w:val="auto"/>
              </w:rPr>
            </w:pPr>
            <w:r>
              <w:rPr>
                <w:rFonts w:ascii="Arial" w:cs="Arial" w:eastAsia="Arial" w:hAnsi="Arial"/>
                <w:sz w:val="18"/>
                <w:szCs w:val="18"/>
                <w:b w:val="1"/>
                <w:bCs w:val="1"/>
                <w:color w:val="auto"/>
                <w:w w:val="99"/>
              </w:rPr>
              <w:t>001-03761</w:t>
            </w:r>
          </w:p>
        </w:tc>
        <w:tc>
          <w:tcPr>
            <w:tcW w:w="1680" w:type="dxa"/>
            <w:vAlign w:val="bottom"/>
            <w:gridSpan w:val="2"/>
          </w:tcPr>
          <w:p>
            <w:pPr>
              <w:jc w:val="center"/>
              <w:ind w:left="399"/>
              <w:spacing w:after="0"/>
              <w:rPr>
                <w:sz w:val="20"/>
                <w:szCs w:val="20"/>
                <w:color w:val="auto"/>
              </w:rPr>
            </w:pPr>
            <w:r>
              <w:rPr>
                <w:rFonts w:ascii="Arial" w:cs="Arial" w:eastAsia="Arial" w:hAnsi="Arial"/>
                <w:sz w:val="18"/>
                <w:szCs w:val="18"/>
                <w:b w:val="1"/>
                <w:bCs w:val="1"/>
                <w:color w:val="auto"/>
                <w:w w:val="99"/>
              </w:rPr>
              <w:t>75-0289970</w:t>
            </w:r>
          </w:p>
        </w:tc>
      </w:tr>
      <w:tr>
        <w:trPr>
          <w:trHeight w:val="144"/>
        </w:trPr>
        <w:tc>
          <w:tcPr>
            <w:tcW w:w="214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rPr>
              <w:t>(State or other jurisdiction</w:t>
            </w:r>
          </w:p>
        </w:tc>
        <w:tc>
          <w:tcPr>
            <w:tcW w:w="5400" w:type="dxa"/>
            <w:vAlign w:val="bottom"/>
          </w:tcPr>
          <w:p>
            <w:pPr>
              <w:jc w:val="center"/>
              <w:ind w:right="60"/>
              <w:spacing w:after="0" w:line="145" w:lineRule="exact"/>
              <w:rPr>
                <w:sz w:val="20"/>
                <w:szCs w:val="20"/>
                <w:color w:val="auto"/>
              </w:rPr>
            </w:pPr>
            <w:r>
              <w:rPr>
                <w:rFonts w:ascii="Arial" w:cs="Arial" w:eastAsia="Arial" w:hAnsi="Arial"/>
                <w:sz w:val="14"/>
                <w:szCs w:val="14"/>
                <w:b w:val="1"/>
                <w:bCs w:val="1"/>
                <w:color w:val="auto"/>
              </w:rPr>
              <w:t>(Commission</w:t>
            </w:r>
          </w:p>
        </w:tc>
        <w:tc>
          <w:tcPr>
            <w:tcW w:w="500" w:type="dxa"/>
            <w:vAlign w:val="bottom"/>
          </w:tcPr>
          <w:p>
            <w:pPr>
              <w:spacing w:after="0"/>
              <w:rPr>
                <w:sz w:val="12"/>
                <w:szCs w:val="12"/>
                <w:color w:val="auto"/>
              </w:rPr>
            </w:pPr>
          </w:p>
        </w:tc>
        <w:tc>
          <w:tcPr>
            <w:tcW w:w="1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(I.R.S. employer</w:t>
            </w:r>
          </w:p>
        </w:tc>
      </w:tr>
      <w:tr>
        <w:trPr>
          <w:trHeight w:val="196"/>
        </w:trPr>
        <w:tc>
          <w:tcPr>
            <w:tcW w:w="2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of incorporation)</w:t>
            </w:r>
          </w:p>
        </w:tc>
        <w:tc>
          <w:tcPr>
            <w:tcW w:w="5400" w:type="dxa"/>
            <w:vAlign w:val="bottom"/>
          </w:tcPr>
          <w:p>
            <w:pPr>
              <w:jc w:val="center"/>
              <w:ind w:right="60"/>
              <w:spacing w:after="0"/>
              <w:rPr>
                <w:sz w:val="20"/>
                <w:szCs w:val="20"/>
                <w:color w:val="auto"/>
              </w:rPr>
            </w:pPr>
            <w:r>
              <w:rPr>
                <w:rFonts w:ascii="Arial" w:cs="Arial" w:eastAsia="Arial" w:hAnsi="Arial"/>
                <w:sz w:val="14"/>
                <w:szCs w:val="14"/>
                <w:b w:val="1"/>
                <w:bCs w:val="1"/>
                <w:color w:val="auto"/>
              </w:rPr>
              <w:t>file number)</w:t>
            </w:r>
          </w:p>
        </w:tc>
        <w:tc>
          <w:tcPr>
            <w:tcW w:w="1680" w:type="dxa"/>
            <w:vAlign w:val="bottom"/>
            <w:gridSpan w:val="2"/>
          </w:tcPr>
          <w:p>
            <w:pPr>
              <w:jc w:val="center"/>
              <w:ind w:left="399"/>
              <w:spacing w:after="0"/>
              <w:rPr>
                <w:sz w:val="20"/>
                <w:szCs w:val="20"/>
                <w:color w:val="auto"/>
              </w:rPr>
            </w:pPr>
            <w:r>
              <w:rPr>
                <w:rFonts w:ascii="Arial" w:cs="Arial" w:eastAsia="Arial" w:hAnsi="Arial"/>
                <w:sz w:val="14"/>
                <w:szCs w:val="14"/>
                <w:b w:val="1"/>
                <w:bCs w:val="1"/>
                <w:color w:val="auto"/>
              </w:rPr>
              <w:t>identification no.)</w:t>
            </w:r>
          </w:p>
        </w:tc>
      </w:tr>
      <w:tr>
        <w:trPr>
          <w:trHeight w:val="487"/>
        </w:trPr>
        <w:tc>
          <w:tcPr>
            <w:tcW w:w="1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0" w:type="dxa"/>
            <w:vAlign w:val="bottom"/>
          </w:tcPr>
          <w:p>
            <w:pPr>
              <w:jc w:val="center"/>
              <w:ind w:right="80"/>
              <w:spacing w:after="0"/>
              <w:rPr>
                <w:sz w:val="20"/>
                <w:szCs w:val="20"/>
                <w:color w:val="auto"/>
              </w:rPr>
            </w:pPr>
            <w:r>
              <w:rPr>
                <w:rFonts w:ascii="Arial" w:cs="Arial" w:eastAsia="Arial" w:hAnsi="Arial"/>
                <w:sz w:val="18"/>
                <w:szCs w:val="18"/>
                <w:b w:val="1"/>
                <w:bCs w:val="1"/>
                <w:color w:val="auto"/>
                <w:w w:val="99"/>
              </w:rPr>
              <w:t>12500 TI Boulevard</w:t>
            </w: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6"/>
        </w:trPr>
        <w:tc>
          <w:tcPr>
            <w:tcW w:w="1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0" w:type="dxa"/>
            <w:vAlign w:val="bottom"/>
          </w:tcPr>
          <w:p>
            <w:pPr>
              <w:jc w:val="center"/>
              <w:ind w:right="80"/>
              <w:spacing w:after="0"/>
              <w:rPr>
                <w:sz w:val="20"/>
                <w:szCs w:val="20"/>
                <w:color w:val="auto"/>
              </w:rPr>
            </w:pPr>
            <w:r>
              <w:rPr>
                <w:rFonts w:ascii="Arial" w:cs="Arial" w:eastAsia="Arial" w:hAnsi="Arial"/>
                <w:sz w:val="18"/>
                <w:szCs w:val="18"/>
                <w:b w:val="1"/>
                <w:bCs w:val="1"/>
                <w:color w:val="auto"/>
                <w:w w:val="99"/>
              </w:rPr>
              <w:t>Dallas, Texas 75243</w:t>
            </w: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196"/>
        </w:trPr>
        <w:tc>
          <w:tcPr>
            <w:tcW w:w="1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0" w:type="dxa"/>
            <w:vAlign w:val="bottom"/>
          </w:tcPr>
          <w:p>
            <w:pPr>
              <w:jc w:val="center"/>
              <w:ind w:right="80"/>
              <w:spacing w:after="0"/>
              <w:rPr>
                <w:sz w:val="20"/>
                <w:szCs w:val="20"/>
                <w:color w:val="auto"/>
              </w:rPr>
            </w:pPr>
            <w:r>
              <w:rPr>
                <w:rFonts w:ascii="Arial" w:cs="Arial" w:eastAsia="Arial" w:hAnsi="Arial"/>
                <w:sz w:val="14"/>
                <w:szCs w:val="14"/>
                <w:b w:val="1"/>
                <w:bCs w:val="1"/>
                <w:color w:val="auto"/>
              </w:rPr>
              <w:t>(Address of principal executive offices)</w:t>
            </w: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400"/>
        </w:trPr>
        <w:tc>
          <w:tcPr>
            <w:tcW w:w="14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Registrant’s telephone number, including area code: (214) 479-3773</w:t>
            </w:r>
          </w:p>
        </w:tc>
        <w:tc>
          <w:tcPr>
            <w:tcW w:w="500" w:type="dxa"/>
            <w:vAlign w:val="bottom"/>
            <w:tcBorders>
              <w:bottom w:val="single" w:sz="8" w:color="auto"/>
            </w:tcBorders>
          </w:tcPr>
          <w:p>
            <w:pPr>
              <w:spacing w:after="0"/>
              <w:rPr>
                <w:sz w:val="24"/>
                <w:szCs w:val="24"/>
                <w:color w:val="auto"/>
              </w:rPr>
            </w:pPr>
          </w:p>
        </w:tc>
        <w:tc>
          <w:tcPr>
            <w:tcW w:w="1180" w:type="dxa"/>
            <w:vAlign w:val="bottom"/>
          </w:tcPr>
          <w:p>
            <w:pPr>
              <w:spacing w:after="0"/>
              <w:rPr>
                <w:sz w:val="24"/>
                <w:szCs w:val="24"/>
                <w:color w:val="auto"/>
              </w:rPr>
            </w:pPr>
          </w:p>
        </w:tc>
      </w:tr>
    </w:tbl>
    <w:p>
      <w:pPr>
        <w:spacing w:after="0" w:line="346" w:lineRule="exact"/>
        <w:rPr>
          <w:sz w:val="24"/>
          <w:szCs w:val="24"/>
          <w:color w:val="auto"/>
        </w:rPr>
      </w:pPr>
    </w:p>
    <w:p>
      <w:pPr>
        <w:ind w:right="260"/>
        <w:spacing w:after="0" w:line="263"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6"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09" w:lineRule="exact"/>
        <w:rPr>
          <w:rFonts w:ascii="MS PGothic" w:cs="MS PGothic" w:eastAsia="MS PGothic" w:hAnsi="MS PGothic"/>
          <w:sz w:val="17"/>
          <w:szCs w:val="17"/>
          <w:color w:val="auto"/>
        </w:rPr>
      </w:pPr>
    </w:p>
    <w:p>
      <w:pPr>
        <w:ind w:left="740" w:hanging="714"/>
        <w:spacing w:after="0"/>
        <w:tabs>
          <w:tab w:leader="none" w:pos="7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42" w:lineRule="exact"/>
        <w:rPr>
          <w:rFonts w:ascii="MS PGothic" w:cs="MS PGothic" w:eastAsia="MS PGothic" w:hAnsi="MS PGothic"/>
          <w:sz w:val="17"/>
          <w:szCs w:val="17"/>
          <w:color w:val="auto"/>
        </w:rPr>
      </w:pPr>
    </w:p>
    <w:p>
      <w:pPr>
        <w:ind w:left="740" w:hanging="714"/>
        <w:spacing w:after="0"/>
        <w:tabs>
          <w:tab w:leader="none" w:pos="7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55" w:lineRule="exact"/>
        <w:rPr>
          <w:rFonts w:ascii="MS PGothic" w:cs="MS PGothic" w:eastAsia="MS PGothic" w:hAnsi="MS PGothic"/>
          <w:sz w:val="17"/>
          <w:szCs w:val="17"/>
          <w:color w:val="auto"/>
        </w:rPr>
      </w:pPr>
    </w:p>
    <w:p>
      <w:pPr>
        <w:ind w:left="740" w:hanging="714"/>
        <w:spacing w:after="0"/>
        <w:tabs>
          <w:tab w:leader="none" w:pos="7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334"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7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4700" w:type="dxa"/>
            <w:vAlign w:val="bottom"/>
            <w:gridSpan w:val="3"/>
            <w:vMerge w:val="restart"/>
          </w:tcPr>
          <w:p>
            <w:pPr>
              <w:jc w:val="center"/>
              <w:ind w:right="640"/>
              <w:spacing w:after="0"/>
              <w:rPr>
                <w:sz w:val="20"/>
                <w:szCs w:val="20"/>
                <w:color w:val="auto"/>
              </w:rPr>
            </w:pPr>
            <w:r>
              <w:rPr>
                <w:rFonts w:ascii="Arial" w:cs="Arial" w:eastAsia="Arial" w:hAnsi="Arial"/>
                <w:sz w:val="18"/>
                <w:szCs w:val="18"/>
                <w:b w:val="1"/>
                <w:bCs w:val="1"/>
                <w:color w:val="auto"/>
                <w:w w:val="99"/>
              </w:rPr>
              <w:t>Title of each class</w:t>
            </w:r>
          </w:p>
        </w:tc>
        <w:tc>
          <w:tcPr>
            <w:tcW w:w="174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6"/>
              </w:rPr>
              <w:t>Trading</w:t>
            </w:r>
          </w:p>
        </w:tc>
        <w:tc>
          <w:tcPr>
            <w:tcW w:w="47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5"/>
        </w:trPr>
        <w:tc>
          <w:tcPr>
            <w:tcW w:w="4700" w:type="dxa"/>
            <w:vAlign w:val="bottom"/>
            <w:gridSpan w:val="3"/>
            <w:vMerge w:val="continue"/>
          </w:tcPr>
          <w:p>
            <w:pPr>
              <w:spacing w:after="0"/>
              <w:rPr>
                <w:sz w:val="20"/>
                <w:szCs w:val="20"/>
                <w:color w:val="auto"/>
              </w:rPr>
            </w:pPr>
          </w:p>
        </w:tc>
        <w:tc>
          <w:tcPr>
            <w:tcW w:w="174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rPr>
              <w:t>Symbol(s)</w:t>
            </w:r>
          </w:p>
        </w:tc>
        <w:tc>
          <w:tcPr>
            <w:tcW w:w="4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Common Stock, par value $1.00</w:t>
            </w:r>
          </w:p>
        </w:tc>
        <w:tc>
          <w:tcPr>
            <w:tcW w:w="3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TXN</w:t>
            </w:r>
          </w:p>
        </w:tc>
        <w:tc>
          <w:tcPr>
            <w:tcW w:w="340" w:type="dxa"/>
            <w:vAlign w:val="bottom"/>
          </w:tcPr>
          <w:p>
            <w:pPr>
              <w:spacing w:after="0"/>
              <w:rPr>
                <w:sz w:val="20"/>
                <w:szCs w:val="20"/>
                <w:color w:val="auto"/>
              </w:rPr>
            </w:pPr>
          </w:p>
        </w:tc>
        <w:tc>
          <w:tcPr>
            <w:tcW w:w="4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The Nasdaq Global Select Market</w:t>
            </w:r>
          </w:p>
        </w:tc>
        <w:tc>
          <w:tcPr>
            <w:tcW w:w="0" w:type="dxa"/>
            <w:vAlign w:val="bottom"/>
          </w:tcPr>
          <w:p>
            <w:pPr>
              <w:spacing w:after="0"/>
              <w:rPr>
                <w:sz w:val="1"/>
                <w:szCs w:val="1"/>
                <w:color w:val="auto"/>
              </w:rPr>
            </w:pPr>
          </w:p>
        </w:tc>
      </w:tr>
    </w:tbl>
    <w:p>
      <w:pPr>
        <w:spacing w:after="0" w:line="274" w:lineRule="exact"/>
        <w:rPr>
          <w:sz w:val="24"/>
          <w:szCs w:val="24"/>
          <w:color w:val="auto"/>
        </w:rPr>
      </w:pPr>
    </w:p>
    <w:p>
      <w:pPr>
        <w:jc w:val="both"/>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7"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128905</wp:posOffset>
            </wp:positionV>
            <wp:extent cx="7089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68580</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25"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 Registrant’s news release dated July 23, 2024, regarding its second-quarter results of operations and financial condition is attached hereto as Exhibit 99.</w:t>
      </w:r>
    </w:p>
    <w:p>
      <w:pPr>
        <w:spacing w:after="0" w:line="15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attached news release includes references to the following financial measures that were not prepared in accordance with generally accepted accounting principles in the United States (non-GAAP measures): free cash flow and ratios based on free cash flow. The company believes these non-GAAP measures provide insight into its liquidity, cash generating capability and the amount of cash potentially available to return to shareholders, as well as insight into its financial performance. These non -GAAP measures are supplemental to the comparable GAAP measures. Reconciliation to the most directly comparable GAAP measures is included in the “Non-GAAP financial information” section of the news release.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Designation</w:t>
      </w:r>
    </w:p>
    <w:p>
      <w:pPr>
        <w:ind w:left="320"/>
        <w:spacing w:after="0" w:line="203" w:lineRule="auto"/>
        <w:rPr>
          <w:sz w:val="20"/>
          <w:szCs w:val="20"/>
          <w:color w:val="auto"/>
        </w:rPr>
      </w:pPr>
      <w:r>
        <w:rPr>
          <w:rFonts w:ascii="Arial" w:cs="Arial" w:eastAsia="Arial" w:hAnsi="Arial"/>
          <w:sz w:val="14"/>
          <w:szCs w:val="14"/>
          <w:color w:val="auto"/>
        </w:rPr>
        <w:t>of Exhibit</w:t>
      </w:r>
    </w:p>
    <w:p>
      <w:pPr>
        <w:ind w:left="440"/>
        <w:spacing w:after="0" w:line="221" w:lineRule="auto"/>
        <w:rPr>
          <w:sz w:val="20"/>
          <w:szCs w:val="20"/>
          <w:color w:val="auto"/>
        </w:rPr>
      </w:pPr>
      <w:r>
        <w:rPr>
          <w:rFonts w:ascii="Arial" w:cs="Arial" w:eastAsia="Arial" w:hAnsi="Arial"/>
          <w:sz w:val="14"/>
          <w:szCs w:val="14"/>
          <w:color w:val="auto"/>
        </w:rPr>
        <w:t>in this</w:t>
      </w:r>
    </w:p>
    <w:p>
      <w:pPr>
        <w:spacing w:after="0" w:line="1" w:lineRule="exact"/>
        <w:rPr>
          <w:sz w:val="20"/>
          <w:szCs w:val="20"/>
          <w:color w:val="auto"/>
        </w:rPr>
      </w:pPr>
    </w:p>
    <w:p>
      <w:pPr>
        <w:ind w:left="400"/>
        <w:spacing w:after="0"/>
        <w:tabs>
          <w:tab w:leader="none" w:pos="1580" w:val="left"/>
        </w:tabs>
        <w:rPr>
          <w:sz w:val="20"/>
          <w:szCs w:val="20"/>
          <w:color w:val="auto"/>
        </w:rPr>
      </w:pPr>
      <w:r>
        <w:rPr>
          <w:rFonts w:ascii="Arial" w:cs="Arial" w:eastAsia="Arial" w:hAnsi="Arial"/>
          <w:sz w:val="14"/>
          <w:szCs w:val="14"/>
          <w:color w:val="auto"/>
        </w:rPr>
        <w:t>Report</w:t>
      </w:r>
      <w:r>
        <w:rPr>
          <w:sz w:val="20"/>
          <w:szCs w:val="20"/>
          <w:color w:val="auto"/>
        </w:rPr>
        <w:tab/>
      </w:r>
      <w:r>
        <w:rPr>
          <w:rFonts w:ascii="Arial" w:cs="Arial" w:eastAsia="Arial" w:hAnsi="Arial"/>
          <w:sz w:val="14"/>
          <w:szCs w:val="14"/>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14605</wp:posOffset>
            </wp:positionV>
            <wp:extent cx="61290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29020" cy="8890"/>
                    </a:xfrm>
                    <a:prstGeom prst="rect">
                      <a:avLst/>
                    </a:prstGeom>
                    <a:noFill/>
                  </pic:spPr>
                </pic:pic>
              </a:graphicData>
            </a:graphic>
          </wp:anchor>
        </w:drawing>
      </w:r>
    </w:p>
    <w:p>
      <w:pPr>
        <w:spacing w:after="0" w:line="268" w:lineRule="exact"/>
        <w:rPr>
          <w:sz w:val="20"/>
          <w:szCs w:val="20"/>
          <w:color w:val="auto"/>
        </w:rPr>
      </w:pPr>
    </w:p>
    <w:p>
      <w:pPr>
        <w:ind w:left="1600" w:hanging="1078"/>
        <w:spacing w:after="0"/>
        <w:tabs>
          <w:tab w:leader="none" w:pos="160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0000FF"/>
        </w:rPr>
        <w:t>Registrant’s News Release</w:t>
      </w:r>
    </w:p>
    <w:p>
      <w:pPr>
        <w:spacing w:after="0" w:line="31"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Dated July 23, 2024 (furnished pursuant to Item 2.02)</w:t>
      </w:r>
    </w:p>
    <w:p>
      <w:pPr>
        <w:spacing w:after="0" w:line="23" w:lineRule="exact"/>
        <w:rPr>
          <w:sz w:val="20"/>
          <w:szCs w:val="20"/>
          <w:color w:val="auto"/>
        </w:rPr>
      </w:pPr>
    </w:p>
    <w:p>
      <w:pPr>
        <w:ind w:left="480"/>
        <w:spacing w:after="0"/>
        <w:tabs>
          <w:tab w:leader="none" w:pos="15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770890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820" w:type="dxa"/>
            <w:vAlign w:val="bottom"/>
          </w:tcPr>
          <w:p>
            <w:pPr>
              <w:spacing w:after="0"/>
              <w:rPr>
                <w:sz w:val="20"/>
                <w:szCs w:val="20"/>
                <w:color w:val="auto"/>
              </w:rPr>
            </w:pPr>
          </w:p>
        </w:tc>
        <w:tc>
          <w:tcPr>
            <w:tcW w:w="7380" w:type="dxa"/>
            <w:vAlign w:val="bottom"/>
            <w:gridSpan w:val="2"/>
          </w:tcPr>
          <w:p>
            <w:pPr>
              <w:ind w:left="2260"/>
              <w:spacing w:after="0"/>
              <w:rPr>
                <w:sz w:val="20"/>
                <w:szCs w:val="20"/>
                <w:color w:val="auto"/>
              </w:rPr>
            </w:pPr>
            <w:r>
              <w:rPr>
                <w:rFonts w:ascii="Arial" w:cs="Arial" w:eastAsia="Arial" w:hAnsi="Arial"/>
                <w:sz w:val="18"/>
                <w:szCs w:val="18"/>
                <w:color w:val="auto"/>
              </w:rPr>
              <w:t>TEXAS INSTRUMENTS INCORPORATED</w:t>
            </w:r>
          </w:p>
        </w:tc>
      </w:tr>
      <w:tr>
        <w:trPr>
          <w:trHeight w:val="455"/>
        </w:trPr>
        <w:tc>
          <w:tcPr>
            <w:tcW w:w="3820" w:type="dxa"/>
            <w:vAlign w:val="bottom"/>
          </w:tcPr>
          <w:p>
            <w:pPr>
              <w:spacing w:after="0"/>
              <w:rPr>
                <w:sz w:val="20"/>
                <w:szCs w:val="20"/>
                <w:color w:val="auto"/>
              </w:rPr>
            </w:pPr>
            <w:r>
              <w:rPr>
                <w:rFonts w:ascii="Arial" w:cs="Arial" w:eastAsia="Arial" w:hAnsi="Arial"/>
                <w:sz w:val="18"/>
                <w:szCs w:val="18"/>
                <w:color w:val="auto"/>
              </w:rPr>
              <w:t>Date: July 23, 2024</w:t>
            </w:r>
          </w:p>
        </w:tc>
        <w:tc>
          <w:tcPr>
            <w:tcW w:w="3100" w:type="dxa"/>
            <w:vAlign w:val="bottom"/>
          </w:tcPr>
          <w:p>
            <w:pPr>
              <w:ind w:left="226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Rafael R. Lizardi</w:t>
            </w:r>
          </w:p>
        </w:tc>
      </w:tr>
      <w:tr>
        <w:trPr>
          <w:trHeight w:val="218"/>
        </w:trPr>
        <w:tc>
          <w:tcPr>
            <w:tcW w:w="38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Rafael R. Lizardi</w:t>
            </w:r>
          </w:p>
        </w:tc>
      </w:tr>
      <w:tr>
        <w:trPr>
          <w:trHeight w:val="229"/>
        </w:trPr>
        <w:tc>
          <w:tcPr>
            <w:tcW w:w="38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Senior Vice President and</w:t>
            </w:r>
          </w:p>
        </w:tc>
      </w:tr>
      <w:tr>
        <w:trPr>
          <w:trHeight w:val="239"/>
        </w:trPr>
        <w:tc>
          <w:tcPr>
            <w:tcW w:w="38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320" w:top="890" w:right="359" w:bottom="1440" w:gutter="0" w:footer="0" w:header="0"/>
        </w:sectPr>
      </w:pPr>
    </w:p>
    <w:bookmarkStart w:id="3" w:name="page4"/>
    <w:bookmarkEnd w:id="3"/>
    <w:p>
      <w:pPr>
        <w:ind w:left="10400"/>
        <w:spacing w:after="0"/>
        <w:rPr>
          <w:sz w:val="20"/>
          <w:szCs w:val="20"/>
          <w:color w:val="auto"/>
        </w:rPr>
      </w:pPr>
      <w:r>
        <w:rPr>
          <w:rFonts w:ascii="Arial" w:cs="Arial" w:eastAsia="Arial" w:hAnsi="Arial"/>
          <w:sz w:val="17"/>
          <w:szCs w:val="17"/>
          <w:b w:val="1"/>
          <w:bCs w:val="1"/>
          <w:color w:val="auto"/>
        </w:rPr>
        <w:t>Exhibit 99</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reports second quarter 2024 financial results and shareholder returns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website at 3:30 p.m. Central time today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3A3AFF"/>
        </w:rPr>
        <w:t>www.ti.com/ir</w:t>
      </w:r>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DALLAS (July 23, 2024) – Texas Instruments Incorporated (TI) (Nasdaq: TXN) today reported second quarter revenue of $3.82 billion, net income of $1.13 billion and earnings per share of $1.22. Earnings per share included a 5-cent benefit for items that were not in the company's original guidance.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Regarding the company's performance and returns to shareholders, Haviv Ilan, TI's president and CEO, made the following comments:</w:t>
      </w:r>
    </w:p>
    <w:p>
      <w:pPr>
        <w:spacing w:after="0" w:line="225" w:lineRule="exact"/>
        <w:rPr>
          <w:sz w:val="20"/>
          <w:szCs w:val="20"/>
          <w:color w:val="auto"/>
        </w:rPr>
      </w:pPr>
    </w:p>
    <w:p>
      <w:pPr>
        <w:ind w:left="620" w:right="200" w:hanging="329"/>
        <w:spacing w:after="0" w:line="287"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decreased 16% from the same quarter a year ago and increased 4% sequentially. Industrial and automotive continued to decline sequentially, while all other end markets grew.</w:t>
      </w:r>
    </w:p>
    <w:p>
      <w:pPr>
        <w:spacing w:after="0" w:line="152" w:lineRule="exact"/>
        <w:rPr>
          <w:rFonts w:ascii="Arial" w:cs="Arial" w:eastAsia="Arial" w:hAnsi="Arial"/>
          <w:sz w:val="18"/>
          <w:szCs w:val="18"/>
          <w:color w:val="auto"/>
        </w:rPr>
      </w:pPr>
    </w:p>
    <w:p>
      <w:pPr>
        <w:ind w:left="620" w:right="320" w:hanging="329"/>
        <w:spacing w:after="0" w:line="287"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cash flow from operations of $6.4 billion for the trailing 12 months again underscored the strength of our business model, the quality of our product portfolio and the benefit of 300mm production. Free cash flow for the same period was $1.5 billion.</w:t>
      </w:r>
    </w:p>
    <w:p>
      <w:pPr>
        <w:spacing w:after="0" w:line="152" w:lineRule="exact"/>
        <w:rPr>
          <w:rFonts w:ascii="Arial" w:cs="Arial" w:eastAsia="Arial" w:hAnsi="Arial"/>
          <w:sz w:val="18"/>
          <w:szCs w:val="18"/>
          <w:color w:val="auto"/>
        </w:rPr>
      </w:pPr>
    </w:p>
    <w:p>
      <w:pPr>
        <w:ind w:left="620" w:right="180" w:hanging="329"/>
        <w:spacing w:after="0" w:line="287"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"Over the past 12 months we invested $3.7 billion in R&amp;D and SG&amp;A, invested $5.0 billion in capital expenditures and returned $4.9 billion to owners.</w:t>
      </w:r>
    </w:p>
    <w:p>
      <w:pPr>
        <w:spacing w:after="0" w:line="152" w:lineRule="exact"/>
        <w:rPr>
          <w:rFonts w:ascii="Arial" w:cs="Arial" w:eastAsia="Arial" w:hAnsi="Arial"/>
          <w:sz w:val="18"/>
          <w:szCs w:val="18"/>
          <w:color w:val="auto"/>
        </w:rPr>
      </w:pPr>
    </w:p>
    <w:p>
      <w:pPr>
        <w:ind w:left="620" w:right="40" w:hanging="329"/>
        <w:spacing w:after="0" w:line="287"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third quarter outlook is for revenue in the range of $3.94 billion to $4.26 billion and earnings per share between $1.24 and $1.48. We continue to expect our effective tax rate to be about 13%."</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Free cash flow, a non-GAAP financial measure, is cash flow from operations less capital expenditures.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gridSpan w:val="4"/>
          </w:tcPr>
          <w:p>
            <w:pPr>
              <w:spacing w:after="0"/>
              <w:rPr>
                <w:sz w:val="20"/>
                <w:szCs w:val="20"/>
                <w:color w:val="auto"/>
              </w:rPr>
            </w:pPr>
            <w:r>
              <w:rPr>
                <w:rFonts w:ascii="Arial" w:cs="Arial" w:eastAsia="Arial" w:hAnsi="Arial"/>
                <w:sz w:val="18"/>
                <w:szCs w:val="18"/>
                <w:b w:val="1"/>
                <w:bCs w:val="1"/>
                <w:color w:val="auto"/>
              </w:rPr>
              <w:t>Earnings summary</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Q2 2024</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6"/>
            <w:vMerge w:val="restart"/>
          </w:tcPr>
          <w:p>
            <w:pPr>
              <w:ind w:left="140"/>
              <w:spacing w:after="0"/>
              <w:rPr>
                <w:sz w:val="20"/>
                <w:szCs w:val="20"/>
                <w:color w:val="auto"/>
              </w:rPr>
            </w:pPr>
            <w:r>
              <w:rPr>
                <w:rFonts w:ascii="Arial" w:cs="Arial" w:eastAsia="Arial" w:hAnsi="Arial"/>
                <w:sz w:val="18"/>
                <w:szCs w:val="18"/>
                <w:color w:val="auto"/>
              </w:rPr>
              <w:t>Q2 2023</w:t>
            </w:r>
          </w:p>
        </w:tc>
        <w:tc>
          <w:tcPr>
            <w:tcW w:w="1540" w:type="dxa"/>
            <w:vAlign w:val="bottom"/>
            <w:vMerge w:val="restart"/>
          </w:tcPr>
          <w:p>
            <w:pPr>
              <w:ind w:left="44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line="20" w:lineRule="exact"/>
              <w:rPr>
                <w:sz w:val="1"/>
                <w:szCs w:val="1"/>
                <w:color w:val="auto"/>
              </w:rPr>
            </w:pPr>
          </w:p>
        </w:tc>
      </w:tr>
      <w:tr>
        <w:trPr>
          <w:trHeight w:val="547"/>
        </w:trPr>
        <w:tc>
          <w:tcPr>
            <w:tcW w:w="4900" w:type="dxa"/>
            <w:vAlign w:val="bottom"/>
            <w:gridSpan w:val="4"/>
          </w:tcPr>
          <w:p>
            <w:pPr>
              <w:ind w:left="20"/>
              <w:spacing w:after="0"/>
              <w:rPr>
                <w:sz w:val="20"/>
                <w:szCs w:val="20"/>
                <w:color w:val="auto"/>
              </w:rPr>
            </w:pPr>
            <w:r>
              <w:rPr>
                <w:rFonts w:ascii="Arial" w:cs="Arial" w:eastAsia="Arial" w:hAnsi="Arial"/>
                <w:sz w:val="18"/>
                <w:szCs w:val="18"/>
                <w:i w:val="1"/>
                <w:iCs w:val="1"/>
                <w:color w:val="auto"/>
              </w:rPr>
              <w:t>(In millions, except per-share amounts)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6"/>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00" w:type="dxa"/>
            <w:vAlign w:val="bottom"/>
            <w:tcBorders>
              <w:top w:val="single" w:sz="8" w:color="DBDBDB"/>
            </w:tcBorders>
            <w:gridSpan w:val="4"/>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DBDBDB"/>
            </w:tcBorders>
            <w:shd w:val="clear" w:color="auto" w:fill="DBDBDB"/>
          </w:tcPr>
          <w:p>
            <w:pPr>
              <w:spacing w:after="0"/>
              <w:rPr>
                <w:sz w:val="19"/>
                <w:szCs w:val="19"/>
                <w:color w:val="auto"/>
              </w:rPr>
            </w:pPr>
          </w:p>
        </w:tc>
        <w:tc>
          <w:tcPr>
            <w:tcW w:w="980" w:type="dxa"/>
            <w:vAlign w:val="bottom"/>
            <w:tcBorders>
              <w:top w:val="single" w:sz="8" w:color="DBDBDB"/>
            </w:tcBorders>
            <w:shd w:val="clear" w:color="auto" w:fill="DBDBDB"/>
          </w:tcPr>
          <w:p>
            <w:pPr>
              <w:spacing w:after="0"/>
              <w:rPr>
                <w:sz w:val="19"/>
                <w:szCs w:val="19"/>
                <w:color w:val="auto"/>
              </w:rPr>
            </w:pPr>
          </w:p>
        </w:tc>
        <w:tc>
          <w:tcPr>
            <w:tcW w:w="6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6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3,822</w:t>
            </w:r>
          </w:p>
        </w:tc>
        <w:tc>
          <w:tcPr>
            <w:tcW w:w="20" w:type="dxa"/>
            <w:vAlign w:val="bottom"/>
            <w:tcBorders>
              <w:top w:val="single" w:sz="8" w:color="DBDBDB"/>
            </w:tcBorders>
            <w:shd w:val="clear" w:color="auto" w:fill="DBDBDB"/>
          </w:tcPr>
          <w:p>
            <w:pPr>
              <w:spacing w:after="0"/>
              <w:rPr>
                <w:sz w:val="19"/>
                <w:szCs w:val="19"/>
                <w:color w:val="auto"/>
              </w:rPr>
            </w:pPr>
          </w:p>
        </w:tc>
        <w:tc>
          <w:tcPr>
            <w:tcW w:w="8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gridSpan w:val="2"/>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4,531</w:t>
            </w:r>
          </w:p>
        </w:tc>
        <w:tc>
          <w:tcPr>
            <w:tcW w:w="2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6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auto"/>
            </w:tcBorders>
            <w:shd w:val="clear" w:color="auto" w:fill="DBDBDB"/>
          </w:tcPr>
          <w:p>
            <w:pPr>
              <w:spacing w:after="0"/>
              <w:rPr>
                <w:sz w:val="19"/>
                <w:szCs w:val="19"/>
                <w:color w:val="auto"/>
              </w:rPr>
            </w:pPr>
          </w:p>
        </w:tc>
        <w:tc>
          <w:tcPr>
            <w:tcW w:w="20" w:type="dxa"/>
            <w:vAlign w:val="bottom"/>
            <w:tcBorders>
              <w:top w:val="single" w:sz="8" w:color="auto"/>
            </w:tcBorders>
            <w:shd w:val="clear" w:color="auto" w:fill="DBDBDB"/>
          </w:tcPr>
          <w:p>
            <w:pPr>
              <w:spacing w:after="0"/>
              <w:rPr>
                <w:sz w:val="19"/>
                <w:szCs w:val="19"/>
                <w:color w:val="auto"/>
              </w:rPr>
            </w:pPr>
          </w:p>
        </w:tc>
        <w:tc>
          <w:tcPr>
            <w:tcW w:w="15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4900" w:type="dxa"/>
            <w:vAlign w:val="bottom"/>
            <w:gridSpan w:val="4"/>
          </w:tcPr>
          <w:p>
            <w:pPr>
              <w:ind w:left="20"/>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1,248</w:t>
            </w:r>
          </w:p>
        </w:tc>
        <w:tc>
          <w:tcPr>
            <w:tcW w:w="340" w:type="dxa"/>
            <w:vAlign w:val="bottom"/>
            <w:gridSpan w:val="4"/>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1,972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490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1,127</w:t>
            </w:r>
          </w:p>
        </w:tc>
        <w:tc>
          <w:tcPr>
            <w:tcW w:w="340" w:type="dxa"/>
            <w:vAlign w:val="bottom"/>
            <w:gridSpan w:val="4"/>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1,722</w:t>
            </w: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9"/>
        </w:trPr>
        <w:tc>
          <w:tcPr>
            <w:tcW w:w="4900" w:type="dxa"/>
            <w:vAlign w:val="bottom"/>
            <w:gridSpan w:val="4"/>
          </w:tcPr>
          <w:p>
            <w:pPr>
              <w:ind w:left="20"/>
              <w:spacing w:after="0"/>
              <w:rPr>
                <w:sz w:val="20"/>
                <w:szCs w:val="20"/>
                <w:color w:val="auto"/>
              </w:rPr>
            </w:pPr>
            <w:r>
              <w:rPr>
                <w:rFonts w:ascii="Arial" w:cs="Arial" w:eastAsia="Arial" w:hAnsi="Arial"/>
                <w:sz w:val="18"/>
                <w:szCs w:val="18"/>
                <w:color w:val="auto"/>
              </w:rPr>
              <w:t>Earnings per share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1.22</w:t>
            </w:r>
          </w:p>
        </w:tc>
        <w:tc>
          <w:tcPr>
            <w:tcW w:w="340" w:type="dxa"/>
            <w:vAlign w:val="bottom"/>
            <w:gridSpan w:val="4"/>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585"/>
        </w:trPr>
        <w:tc>
          <w:tcPr>
            <w:tcW w:w="4900" w:type="dxa"/>
            <w:vAlign w:val="bottom"/>
            <w:gridSpan w:val="4"/>
          </w:tcPr>
          <w:p>
            <w:pPr>
              <w:spacing w:after="0"/>
              <w:rPr>
                <w:sz w:val="20"/>
                <w:szCs w:val="20"/>
                <w:color w:val="auto"/>
              </w:rPr>
            </w:pPr>
            <w:r>
              <w:rPr>
                <w:rFonts w:ascii="Arial" w:cs="Arial" w:eastAsia="Arial" w:hAnsi="Arial"/>
                <w:sz w:val="18"/>
                <w:szCs w:val="18"/>
                <w:b w:val="1"/>
                <w:bCs w:val="1"/>
                <w:color w:val="auto"/>
              </w:rPr>
              <w:t>Cash generation</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9"/>
          </w:tcPr>
          <w:p>
            <w:pPr>
              <w:ind w:left="40"/>
              <w:spacing w:after="0"/>
              <w:rPr>
                <w:sz w:val="20"/>
                <w:szCs w:val="20"/>
                <w:color w:val="auto"/>
              </w:rPr>
            </w:pPr>
            <w:r>
              <w:rPr>
                <w:rFonts w:ascii="Arial" w:cs="Arial" w:eastAsia="Arial" w:hAnsi="Arial"/>
                <w:sz w:val="18"/>
                <w:szCs w:val="18"/>
                <w:color w:val="auto"/>
              </w:rPr>
              <w:t>Trailing 12 Months</w:t>
            </w: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00" w:type="dxa"/>
            <w:vAlign w:val="bottom"/>
            <w:gridSpan w:val="4"/>
          </w:tcPr>
          <w:p>
            <w:pPr>
              <w:ind w:left="2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w w:val="98"/>
              </w:rPr>
              <w:t>Q2 2024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Q2 2024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6"/>
          </w:tcPr>
          <w:p>
            <w:pPr>
              <w:ind w:left="120"/>
              <w:spacing w:after="0"/>
              <w:rPr>
                <w:sz w:val="20"/>
                <w:szCs w:val="20"/>
                <w:color w:val="auto"/>
              </w:rPr>
            </w:pPr>
            <w:r>
              <w:rPr>
                <w:rFonts w:ascii="Arial" w:cs="Arial" w:eastAsia="Arial" w:hAnsi="Arial"/>
                <w:sz w:val="18"/>
                <w:szCs w:val="18"/>
                <w:color w:val="auto"/>
              </w:rPr>
              <w:t>Q2 2023</w:t>
            </w:r>
          </w:p>
        </w:tc>
        <w:tc>
          <w:tcPr>
            <w:tcW w:w="1540" w:type="dxa"/>
            <w:vAlign w:val="bottom"/>
          </w:tcPr>
          <w:p>
            <w:pPr>
              <w:ind w:left="46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23"/>
        </w:trPr>
        <w:tc>
          <w:tcPr>
            <w:tcW w:w="4900" w:type="dxa"/>
            <w:vAlign w:val="bottom"/>
            <w:tcBorders>
              <w:top w:val="single" w:sz="8" w:color="DBDBDB"/>
            </w:tcBorders>
            <w:gridSpan w:val="4"/>
            <w:shd w:val="clear" w:color="auto" w:fill="DBDBDB"/>
          </w:tcPr>
          <w:p>
            <w:pPr>
              <w:ind w:left="20"/>
              <w:spacing w:after="0"/>
              <w:rPr>
                <w:sz w:val="20"/>
                <w:szCs w:val="20"/>
                <w:color w:val="auto"/>
              </w:rPr>
            </w:pPr>
            <w:r>
              <w:rPr>
                <w:rFonts w:ascii="Arial" w:cs="Arial" w:eastAsia="Arial" w:hAnsi="Arial"/>
                <w:sz w:val="18"/>
                <w:szCs w:val="18"/>
                <w:color w:val="auto"/>
              </w:rPr>
              <w:t>Cash flow from operations</w:t>
            </w: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DBDBDB"/>
          </w:tcPr>
          <w:p>
            <w:pPr>
              <w:spacing w:after="0"/>
              <w:rPr>
                <w:sz w:val="19"/>
                <w:szCs w:val="19"/>
                <w:color w:val="auto"/>
              </w:rPr>
            </w:pPr>
          </w:p>
        </w:tc>
        <w:tc>
          <w:tcPr>
            <w:tcW w:w="9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1,571</w:t>
            </w:r>
          </w:p>
        </w:tc>
        <w:tc>
          <w:tcPr>
            <w:tcW w:w="6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tcBorders>
            <w:shd w:val="clear" w:color="auto" w:fill="DBDBDB"/>
          </w:tcPr>
          <w:p>
            <w:pPr>
              <w:spacing w:after="0"/>
              <w:rPr>
                <w:sz w:val="19"/>
                <w:szCs w:val="19"/>
                <w:color w:val="auto"/>
              </w:rPr>
            </w:pPr>
          </w:p>
        </w:tc>
        <w:tc>
          <w:tcPr>
            <w:tcW w:w="40" w:type="dxa"/>
            <w:vAlign w:val="bottom"/>
            <w:tcBorders>
              <w:top w:val="single" w:sz="8" w:color="auto"/>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spacing w:after="0"/>
              <w:rPr>
                <w:sz w:val="19"/>
                <w:szCs w:val="19"/>
                <w:color w:val="auto"/>
              </w:rPr>
            </w:pPr>
          </w:p>
        </w:tc>
        <w:tc>
          <w:tcPr>
            <w:tcW w:w="1160" w:type="dxa"/>
            <w:vAlign w:val="bottom"/>
            <w:tcBorders>
              <w:top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6,449</w:t>
            </w:r>
          </w:p>
        </w:tc>
        <w:tc>
          <w:tcPr>
            <w:tcW w:w="8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320" w:type="dxa"/>
            <w:vAlign w:val="bottom"/>
            <w:tcBorders>
              <w:top w:val="single" w:sz="8" w:color="auto"/>
            </w:tcBorders>
            <w:gridSpan w:val="3"/>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rPr>
              <w:t>7,367</w:t>
            </w:r>
          </w:p>
        </w:tc>
        <w:tc>
          <w:tcPr>
            <w:tcW w:w="20" w:type="dxa"/>
            <w:vAlign w:val="bottom"/>
            <w:tcBorders>
              <w:top w:val="single" w:sz="8" w:color="auto"/>
            </w:tcBorders>
            <w:shd w:val="clear" w:color="auto" w:fill="DBDBDB"/>
          </w:tcPr>
          <w:p>
            <w:pPr>
              <w:spacing w:after="0"/>
              <w:rPr>
                <w:sz w:val="19"/>
                <w:szCs w:val="19"/>
                <w:color w:val="auto"/>
              </w:rPr>
            </w:pPr>
          </w:p>
        </w:tc>
        <w:tc>
          <w:tcPr>
            <w:tcW w:w="20" w:type="dxa"/>
            <w:vAlign w:val="bottom"/>
            <w:tcBorders>
              <w:top w:val="single" w:sz="8" w:color="auto"/>
            </w:tcBorders>
            <w:shd w:val="clear" w:color="auto" w:fill="DBDBDB"/>
          </w:tcPr>
          <w:p>
            <w:pPr>
              <w:spacing w:after="0"/>
              <w:rPr>
                <w:sz w:val="19"/>
                <w:szCs w:val="19"/>
                <w:color w:val="auto"/>
              </w:rPr>
            </w:pPr>
          </w:p>
        </w:tc>
        <w:tc>
          <w:tcPr>
            <w:tcW w:w="6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15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4900" w:type="dxa"/>
            <w:vAlign w:val="bottom"/>
            <w:gridSpan w:val="4"/>
          </w:tcPr>
          <w:p>
            <w:pPr>
              <w:ind w:left="2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1,064</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4,955</w:t>
            </w:r>
          </w:p>
        </w:tc>
        <w:tc>
          <w:tcPr>
            <w:tcW w:w="80" w:type="dxa"/>
            <w:vAlign w:val="bottom"/>
          </w:tcPr>
          <w:p>
            <w:pPr>
              <w:spacing w:after="0"/>
              <w:rPr>
                <w:sz w:val="19"/>
                <w:szCs w:val="19"/>
                <w:color w:val="auto"/>
              </w:rPr>
            </w:pPr>
          </w:p>
        </w:tc>
        <w:tc>
          <w:tcPr>
            <w:tcW w:w="340" w:type="dxa"/>
            <w:vAlign w:val="bottom"/>
            <w:gridSpan w:val="4"/>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4,185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30"/>
        </w:trPr>
        <w:tc>
          <w:tcPr>
            <w:tcW w:w="490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Free cash flow</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507</w:t>
            </w:r>
          </w:p>
        </w:tc>
        <w:tc>
          <w:tcPr>
            <w:tcW w:w="30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1,494</w:t>
            </w:r>
          </w:p>
        </w:tc>
        <w:tc>
          <w:tcPr>
            <w:tcW w:w="80" w:type="dxa"/>
            <w:vAlign w:val="bottom"/>
            <w:shd w:val="clear" w:color="auto" w:fill="DBDBDB"/>
          </w:tcPr>
          <w:p>
            <w:pPr>
              <w:spacing w:after="0"/>
              <w:rPr>
                <w:sz w:val="19"/>
                <w:szCs w:val="19"/>
                <w:color w:val="auto"/>
              </w:rPr>
            </w:pPr>
          </w:p>
        </w:tc>
        <w:tc>
          <w:tcPr>
            <w:tcW w:w="340" w:type="dxa"/>
            <w:vAlign w:val="bottom"/>
            <w:gridSpan w:val="4"/>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3,182</w:t>
            </w: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9"/>
        </w:trPr>
        <w:tc>
          <w:tcPr>
            <w:tcW w:w="4900" w:type="dxa"/>
            <w:vAlign w:val="bottom"/>
            <w:gridSpan w:val="4"/>
          </w:tcPr>
          <w:p>
            <w:pPr>
              <w:ind w:left="20"/>
              <w:spacing w:after="0"/>
              <w:rPr>
                <w:sz w:val="20"/>
                <w:szCs w:val="20"/>
                <w:color w:val="auto"/>
              </w:rPr>
            </w:pPr>
            <w:r>
              <w:rPr>
                <w:rFonts w:ascii="Arial" w:cs="Arial" w:eastAsia="Arial" w:hAnsi="Arial"/>
                <w:sz w:val="18"/>
                <w:szCs w:val="18"/>
                <w:color w:val="auto"/>
              </w:rPr>
              <w:t>Free cash flow % of revenue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16.9 %</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1"/>
        </w:trPr>
        <w:tc>
          <w:tcPr>
            <w:tcW w:w="4900" w:type="dxa"/>
            <w:vAlign w:val="bottom"/>
            <w:gridSpan w:val="4"/>
          </w:tcPr>
          <w:p>
            <w:pPr>
              <w:spacing w:after="0"/>
              <w:rPr>
                <w:sz w:val="20"/>
                <w:szCs w:val="20"/>
                <w:color w:val="auto"/>
              </w:rPr>
            </w:pPr>
            <w:r>
              <w:rPr>
                <w:rFonts w:ascii="Arial" w:cs="Arial" w:eastAsia="Arial" w:hAnsi="Arial"/>
                <w:sz w:val="18"/>
                <w:szCs w:val="18"/>
                <w:b w:val="1"/>
                <w:bCs w:val="1"/>
                <w:color w:val="auto"/>
              </w:rPr>
              <w:t>Cash return</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7"/>
          </w:tcPr>
          <w:p>
            <w:pPr>
              <w:ind w:left="60"/>
              <w:spacing w:after="0"/>
              <w:rPr>
                <w:sz w:val="20"/>
                <w:szCs w:val="20"/>
                <w:color w:val="auto"/>
              </w:rPr>
            </w:pPr>
            <w:r>
              <w:rPr>
                <w:rFonts w:ascii="Arial" w:cs="Arial" w:eastAsia="Arial" w:hAnsi="Arial"/>
                <w:sz w:val="18"/>
                <w:szCs w:val="18"/>
                <w:color w:val="auto"/>
                <w:w w:val="99"/>
              </w:rPr>
              <w:t>Trailing 12 Months</w:t>
            </w: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00" w:type="dxa"/>
            <w:vAlign w:val="bottom"/>
            <w:gridSpan w:val="4"/>
          </w:tcPr>
          <w:p>
            <w:pPr>
              <w:ind w:left="2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Q2 2024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Q2 2024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6"/>
          </w:tcPr>
          <w:p>
            <w:pPr>
              <w:ind w:left="160"/>
              <w:spacing w:after="0"/>
              <w:rPr>
                <w:sz w:val="20"/>
                <w:szCs w:val="20"/>
                <w:color w:val="auto"/>
              </w:rPr>
            </w:pPr>
            <w:r>
              <w:rPr>
                <w:rFonts w:ascii="Arial" w:cs="Arial" w:eastAsia="Arial" w:hAnsi="Arial"/>
                <w:sz w:val="18"/>
                <w:szCs w:val="18"/>
                <w:color w:val="auto"/>
              </w:rPr>
              <w:t>Q2 2023</w:t>
            </w:r>
          </w:p>
        </w:tc>
        <w:tc>
          <w:tcPr>
            <w:tcW w:w="1540" w:type="dxa"/>
            <w:vAlign w:val="bottom"/>
          </w:tcPr>
          <w:p>
            <w:pPr>
              <w:ind w:left="44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23"/>
        </w:trPr>
        <w:tc>
          <w:tcPr>
            <w:tcW w:w="4900" w:type="dxa"/>
            <w:vAlign w:val="bottom"/>
            <w:tcBorders>
              <w:top w:val="single" w:sz="8" w:color="DBDBDB"/>
            </w:tcBorders>
            <w:gridSpan w:val="4"/>
            <w:shd w:val="clear" w:color="auto" w:fill="DBDBDB"/>
          </w:tcPr>
          <w:p>
            <w:pPr>
              <w:ind w:left="20"/>
              <w:spacing w:after="0"/>
              <w:rPr>
                <w:sz w:val="20"/>
                <w:szCs w:val="20"/>
                <w:color w:val="auto"/>
              </w:rPr>
            </w:pPr>
            <w:r>
              <w:rPr>
                <w:rFonts w:ascii="Arial" w:cs="Arial" w:eastAsia="Arial" w:hAnsi="Arial"/>
                <w:sz w:val="18"/>
                <w:szCs w:val="18"/>
                <w:color w:val="auto"/>
              </w:rPr>
              <w:t>Dividends paid</w:t>
            </w:r>
          </w:p>
        </w:tc>
        <w:tc>
          <w:tcPr>
            <w:tcW w:w="2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gridSpan w:val="4"/>
            <w:shd w:val="clear" w:color="auto" w:fill="DBDBDB"/>
          </w:tcPr>
          <w:p>
            <w:pPr>
              <w:jc w:val="right"/>
              <w:spacing w:after="0"/>
              <w:rPr>
                <w:sz w:val="20"/>
                <w:szCs w:val="20"/>
                <w:color w:val="auto"/>
              </w:rPr>
            </w:pPr>
            <w:r>
              <w:rPr>
                <w:rFonts w:ascii="Arial" w:cs="Arial" w:eastAsia="Arial" w:hAnsi="Arial"/>
                <w:sz w:val="18"/>
                <w:szCs w:val="18"/>
                <w:color w:val="auto"/>
              </w:rPr>
              <w:t>1,185</w:t>
            </w:r>
          </w:p>
        </w:tc>
        <w:tc>
          <w:tcPr>
            <w:tcW w:w="60" w:type="dxa"/>
            <w:vAlign w:val="bottom"/>
            <w:tcBorders>
              <w:top w:val="single" w:sz="8" w:color="DBDBDB"/>
            </w:tcBorders>
            <w:shd w:val="clear" w:color="auto" w:fill="DBDBDB"/>
          </w:tcPr>
          <w:p>
            <w:pPr>
              <w:spacing w:after="0"/>
              <w:rPr>
                <w:sz w:val="19"/>
                <w:szCs w:val="19"/>
                <w:color w:val="auto"/>
              </w:rPr>
            </w:pPr>
          </w:p>
        </w:tc>
        <w:tc>
          <w:tcPr>
            <w:tcW w:w="4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gridSpan w:val="2"/>
            <w:shd w:val="clear" w:color="auto" w:fill="DBDBDB"/>
          </w:tcPr>
          <w:p>
            <w:pPr>
              <w:jc w:val="right"/>
              <w:ind w:right="60"/>
              <w:spacing w:after="0"/>
              <w:rPr>
                <w:sz w:val="20"/>
                <w:szCs w:val="20"/>
                <w:color w:val="auto"/>
              </w:rPr>
            </w:pPr>
            <w:r>
              <w:rPr>
                <w:rFonts w:ascii="Arial" w:cs="Arial" w:eastAsia="Arial" w:hAnsi="Arial"/>
                <w:sz w:val="18"/>
                <w:szCs w:val="18"/>
                <w:color w:val="auto"/>
              </w:rPr>
              <w:t>4,675</w:t>
            </w:r>
          </w:p>
        </w:tc>
        <w:tc>
          <w:tcPr>
            <w:tcW w:w="2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gridSpan w:val="2"/>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4,424</w:t>
            </w:r>
          </w:p>
        </w:tc>
        <w:tc>
          <w:tcPr>
            <w:tcW w:w="20" w:type="dxa"/>
            <w:vAlign w:val="bottom"/>
            <w:tcBorders>
              <w:top w:val="single" w:sz="8" w:color="auto"/>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6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auto"/>
            </w:tcBorders>
            <w:shd w:val="clear" w:color="auto" w:fill="DBDBDB"/>
          </w:tcPr>
          <w:p>
            <w:pPr>
              <w:spacing w:after="0"/>
              <w:rPr>
                <w:sz w:val="19"/>
                <w:szCs w:val="19"/>
                <w:color w:val="auto"/>
              </w:rPr>
            </w:pPr>
          </w:p>
        </w:tc>
        <w:tc>
          <w:tcPr>
            <w:tcW w:w="15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0"/>
        </w:trPr>
        <w:tc>
          <w:tcPr>
            <w:tcW w:w="4900" w:type="dxa"/>
            <w:vAlign w:val="bottom"/>
            <w:gridSpan w:val="4"/>
          </w:tcPr>
          <w:p>
            <w:pPr>
              <w:ind w:left="20"/>
              <w:spacing w:after="0"/>
              <w:rPr>
                <w:sz w:val="20"/>
                <w:szCs w:val="20"/>
                <w:color w:val="auto"/>
              </w:rPr>
            </w:pPr>
            <w:r>
              <w:rPr>
                <w:rFonts w:ascii="Arial" w:cs="Arial" w:eastAsia="Arial" w:hAnsi="Arial"/>
                <w:sz w:val="18"/>
                <w:szCs w:val="18"/>
                <w:color w:val="auto"/>
              </w:rPr>
              <w:t>Stock repurchases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w w:val="99"/>
              </w:rPr>
              <w:t>71</w:t>
            </w:r>
          </w:p>
        </w:tc>
        <w:tc>
          <w:tcPr>
            <w:tcW w:w="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185</w:t>
            </w:r>
          </w:p>
        </w:tc>
        <w:tc>
          <w:tcPr>
            <w:tcW w:w="340" w:type="dxa"/>
            <w:vAlign w:val="bottom"/>
            <w:gridSpan w:val="4"/>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2,026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9"/>
        </w:trPr>
        <w:tc>
          <w:tcPr>
            <w:tcW w:w="490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Total cash returned</w:t>
            </w:r>
          </w:p>
        </w:tc>
        <w:tc>
          <w:tcPr>
            <w:tcW w:w="3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4"/>
            <w:shd w:val="clear" w:color="auto" w:fill="DBDBDB"/>
          </w:tcPr>
          <w:p>
            <w:pPr>
              <w:jc w:val="right"/>
              <w:spacing w:after="0"/>
              <w:rPr>
                <w:sz w:val="20"/>
                <w:szCs w:val="20"/>
                <w:color w:val="auto"/>
              </w:rPr>
            </w:pPr>
            <w:r>
              <w:rPr>
                <w:rFonts w:ascii="Arial" w:cs="Arial" w:eastAsia="Arial" w:hAnsi="Arial"/>
                <w:sz w:val="18"/>
                <w:szCs w:val="18"/>
                <w:color w:val="auto"/>
              </w:rPr>
              <w:t>1,256</w:t>
            </w:r>
          </w:p>
        </w:tc>
        <w:tc>
          <w:tcPr>
            <w:tcW w:w="60" w:type="dxa"/>
            <w:vAlign w:val="bottom"/>
            <w:shd w:val="clear" w:color="auto" w:fill="DBDBDB"/>
          </w:tcPr>
          <w:p>
            <w:pPr>
              <w:spacing w:after="0"/>
              <w:rPr>
                <w:sz w:val="19"/>
                <w:szCs w:val="19"/>
                <w:color w:val="auto"/>
              </w:rPr>
            </w:pPr>
          </w:p>
        </w:tc>
        <w:tc>
          <w:tcPr>
            <w:tcW w:w="2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DBDBDB"/>
          </w:tcPr>
          <w:p>
            <w:pPr>
              <w:jc w:val="right"/>
              <w:ind w:right="60"/>
              <w:spacing w:after="0"/>
              <w:rPr>
                <w:sz w:val="20"/>
                <w:szCs w:val="20"/>
                <w:color w:val="auto"/>
              </w:rPr>
            </w:pPr>
            <w:r>
              <w:rPr>
                <w:rFonts w:ascii="Arial" w:cs="Arial" w:eastAsia="Arial" w:hAnsi="Arial"/>
                <w:sz w:val="18"/>
                <w:szCs w:val="18"/>
                <w:color w:val="auto"/>
              </w:rPr>
              <w:t>4,860</w:t>
            </w:r>
          </w:p>
        </w:tc>
        <w:tc>
          <w:tcPr>
            <w:tcW w:w="340" w:type="dxa"/>
            <w:vAlign w:val="bottom"/>
            <w:gridSpan w:val="4"/>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6,450</w:t>
            </w: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31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47"/>
        </w:trPr>
        <w:tc>
          <w:tcPr>
            <w:tcW w:w="8260" w:type="dxa"/>
            <w:vAlign w:val="bottom"/>
            <w:gridSpan w:val="3"/>
          </w:tcPr>
          <w:p>
            <w:pPr>
              <w:jc w:val="center"/>
              <w:ind w:left="2790"/>
              <w:spacing w:after="0"/>
              <w:rPr>
                <w:sz w:val="20"/>
                <w:szCs w:val="20"/>
                <w:color w:val="auto"/>
              </w:rPr>
            </w:pPr>
            <w:r>
              <w:rPr>
                <w:rFonts w:ascii="Arial" w:cs="Arial" w:eastAsia="Arial" w:hAnsi="Arial"/>
                <w:sz w:val="18"/>
                <w:szCs w:val="18"/>
                <w:b w:val="1"/>
                <w:bCs w:val="1"/>
                <w:color w:val="auto"/>
                <w:w w:val="99"/>
              </w:rPr>
              <w:t>TEXAS INSTRUMENTS INCORPORATED AND SUBSIDIARIES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Consolidated Statements of Income</w:t>
            </w:r>
          </w:p>
        </w:tc>
        <w:tc>
          <w:tcPr>
            <w:tcW w:w="540" w:type="dxa"/>
            <w:vAlign w:val="bottom"/>
          </w:tcPr>
          <w:p>
            <w:pPr>
              <w:spacing w:after="0"/>
              <w:rPr>
                <w:sz w:val="21"/>
                <w:szCs w:val="21"/>
                <w:color w:val="auto"/>
              </w:rPr>
            </w:pPr>
          </w:p>
        </w:tc>
        <w:tc>
          <w:tcPr>
            <w:tcW w:w="28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For Three Months Ended</w:t>
            </w:r>
          </w:p>
        </w:tc>
        <w:tc>
          <w:tcPr>
            <w:tcW w:w="0" w:type="dxa"/>
            <w:vAlign w:val="bottom"/>
          </w:tcPr>
          <w:p>
            <w:pPr>
              <w:spacing w:after="0"/>
              <w:rPr>
                <w:sz w:val="1"/>
                <w:szCs w:val="1"/>
                <w:color w:val="auto"/>
              </w:rPr>
            </w:pPr>
          </w:p>
        </w:tc>
      </w:tr>
      <w:tr>
        <w:trPr>
          <w:trHeight w:val="243"/>
        </w:trPr>
        <w:tc>
          <w:tcPr>
            <w:tcW w:w="7720" w:type="dxa"/>
            <w:vAlign w:val="bottom"/>
            <w:gridSpan w:val="2"/>
            <w:vMerge w:val="continue"/>
          </w:tcPr>
          <w:p>
            <w:pPr>
              <w:spacing w:after="0"/>
              <w:rPr>
                <w:sz w:val="21"/>
                <w:szCs w:val="21"/>
                <w:color w:val="auto"/>
              </w:rPr>
            </w:pPr>
          </w:p>
        </w:tc>
        <w:tc>
          <w:tcPr>
            <w:tcW w:w="540" w:type="dxa"/>
            <w:vAlign w:val="bottom"/>
          </w:tcPr>
          <w:p>
            <w:pPr>
              <w:spacing w:after="0"/>
              <w:rPr>
                <w:sz w:val="21"/>
                <w:szCs w:val="21"/>
                <w:color w:val="auto"/>
              </w:rPr>
            </w:pPr>
          </w:p>
        </w:tc>
        <w:tc>
          <w:tcPr>
            <w:tcW w:w="16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60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 millions, except per-share amounts)</w:t>
            </w:r>
          </w:p>
        </w:tc>
        <w:tc>
          <w:tcPr>
            <w:tcW w:w="120" w:type="dxa"/>
            <w:vAlign w:val="bottom"/>
            <w:tcBorders>
              <w:bottom w:val="single" w:sz="8" w:color="DBDBDB"/>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bottom w:val="single" w:sz="8" w:color="DBDBDB"/>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540" w:type="dxa"/>
            <w:vAlign w:val="bottom"/>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3,822</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4,531</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Cost of revenue (COR)</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1,611</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2,211</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2,910</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(R&amp;D)</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498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Selling, general and administrative (SG&amp;A)</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465</w:t>
            </w:r>
          </w:p>
        </w:tc>
        <w:tc>
          <w:tcPr>
            <w:tcW w:w="100" w:type="dxa"/>
            <w:vAlign w:val="bottom"/>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Operating profit</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1,248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income (expense), net (OI&amp;E)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130</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Interest and debt expense</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131</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Income before income taxes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1,247</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120</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540" w:type="dxa"/>
            <w:vAlign w:val="bottom"/>
            <w:tcBorders>
              <w:bottom w:val="single" w:sz="8" w:color="auto"/>
            </w:tcBorders>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1,127</w:t>
            </w:r>
          </w:p>
        </w:tc>
        <w:tc>
          <w:tcPr>
            <w:tcW w:w="10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0"/>
        </w:trPr>
        <w:tc>
          <w:tcPr>
            <w:tcW w:w="76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77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Diluted earnings per common share</w:t>
            </w:r>
          </w:p>
        </w:tc>
        <w:tc>
          <w:tcPr>
            <w:tcW w:w="540" w:type="dxa"/>
            <w:vAlign w:val="bottom"/>
            <w:tcBorders>
              <w:bottom w:val="single" w:sz="8" w:color="auto"/>
            </w:tcBorders>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1.22</w:t>
            </w:r>
          </w:p>
        </w:tc>
        <w:tc>
          <w:tcPr>
            <w:tcW w:w="10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76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Average shares outstanding:</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Basic</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912</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0"/>
        </w:trPr>
        <w:tc>
          <w:tcPr>
            <w:tcW w:w="76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720" w:type="dxa"/>
            <w:vAlign w:val="bottom"/>
            <w:tcBorders>
              <w:bottom w:val="single" w:sz="8" w:color="DBDBDB"/>
            </w:tcBorders>
            <w:gridSpan w:val="2"/>
            <w:shd w:val="clear" w:color="auto" w:fill="DBDBDB"/>
          </w:tcPr>
          <w:p>
            <w:pPr>
              <w:ind w:left="220"/>
              <w:spacing w:after="0"/>
              <w:rPr>
                <w:sz w:val="20"/>
                <w:szCs w:val="20"/>
                <w:color w:val="auto"/>
              </w:rPr>
            </w:pPr>
            <w:r>
              <w:rPr>
                <w:rFonts w:ascii="Arial" w:cs="Arial" w:eastAsia="Arial" w:hAnsi="Arial"/>
                <w:sz w:val="18"/>
                <w:szCs w:val="18"/>
                <w:color w:val="auto"/>
              </w:rPr>
              <w:t>Diluted</w:t>
            </w:r>
          </w:p>
        </w:tc>
        <w:tc>
          <w:tcPr>
            <w:tcW w:w="540" w:type="dxa"/>
            <w:vAlign w:val="bottom"/>
            <w:tcBorders>
              <w:bottom w:val="single" w:sz="8" w:color="auto"/>
            </w:tcBorders>
            <w:shd w:val="clear" w:color="auto" w:fill="DBDBDB"/>
          </w:tcPr>
          <w:p>
            <w:pPr>
              <w:spacing w:after="0"/>
              <w:rPr>
                <w:sz w:val="21"/>
                <w:szCs w:val="21"/>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919</w:t>
            </w:r>
          </w:p>
        </w:tc>
        <w:tc>
          <w:tcPr>
            <w:tcW w:w="10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spacing w:after="0"/>
              <w:rPr>
                <w:sz w:val="21"/>
                <w:szCs w:val="21"/>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0"/>
        </w:trPr>
        <w:tc>
          <w:tcPr>
            <w:tcW w:w="76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77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540" w:type="dxa"/>
            <w:vAlign w:val="bottom"/>
            <w:tcBorders>
              <w:bottom w:val="single" w:sz="8" w:color="auto"/>
            </w:tcBorders>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1.30</w:t>
            </w:r>
          </w:p>
        </w:tc>
        <w:tc>
          <w:tcPr>
            <w:tcW w:w="10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7720" w:type="dxa"/>
            <w:vAlign w:val="bottom"/>
            <w:tcBorders>
              <w:top w:val="single" w:sz="8" w:color="DBDBDB"/>
              <w:bottom w:val="single" w:sz="8" w:color="DBDBDB"/>
            </w:tcBorders>
            <w:gridSpan w:val="2"/>
            <w:vMerge w:val="restart"/>
          </w:tcPr>
          <w:p>
            <w:pPr>
              <w:jc w:val="center"/>
              <w:ind w:left="3330"/>
              <w:spacing w:after="0"/>
              <w:rPr>
                <w:sz w:val="20"/>
                <w:szCs w:val="20"/>
                <w:color w:val="auto"/>
              </w:rPr>
            </w:pPr>
            <w:r>
              <w:rPr>
                <w:rFonts w:ascii="Arial" w:cs="Arial" w:eastAsia="Arial" w:hAnsi="Arial"/>
                <w:sz w:val="18"/>
                <w:szCs w:val="18"/>
                <w:b w:val="1"/>
                <w:bCs w:val="1"/>
                <w:color w:val="auto"/>
                <w:w w:val="99"/>
              </w:rPr>
              <w:t>Supplemental Information</w:t>
            </w: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72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7720" w:type="dxa"/>
            <w:vAlign w:val="bottom"/>
            <w:gridSpan w:val="2"/>
          </w:tcPr>
          <w:p>
            <w:pPr>
              <w:jc w:val="center"/>
              <w:ind w:left="3310"/>
              <w:spacing w:after="0"/>
              <w:rPr>
                <w:sz w:val="20"/>
                <w:szCs w:val="20"/>
                <w:color w:val="auto"/>
              </w:rPr>
            </w:pPr>
            <w:r>
              <w:rPr>
                <w:rFonts w:ascii="Arial" w:cs="Arial" w:eastAsia="Arial" w:hAnsi="Arial"/>
                <w:sz w:val="18"/>
                <w:szCs w:val="18"/>
                <w:b w:val="1"/>
                <w:bCs w:val="1"/>
                <w:color w:val="auto"/>
                <w:w w:val="99"/>
              </w:rPr>
              <w:t>(Quarterly, except as noted)</w:t>
            </w: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2"/>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 is based on the following:</w:t>
            </w: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Operating taxes (calculated using the estimated annual effective tax rate)</w:t>
            </w:r>
          </w:p>
        </w:tc>
        <w:tc>
          <w:tcPr>
            <w:tcW w:w="540" w:type="dxa"/>
            <w:vAlign w:val="bottom"/>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170</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Discrete tax items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Provision for income taxes (effective taxes)</w:t>
            </w:r>
          </w:p>
        </w:tc>
        <w:tc>
          <w:tcPr>
            <w:tcW w:w="540" w:type="dxa"/>
            <w:vAlign w:val="bottom"/>
            <w:tcBorders>
              <w:bottom w:val="single" w:sz="8" w:color="auto"/>
            </w:tcBorders>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120</w:t>
            </w:r>
          </w:p>
        </w:tc>
        <w:tc>
          <w:tcPr>
            <w:tcW w:w="10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
        </w:trPr>
        <w:tc>
          <w:tcPr>
            <w:tcW w:w="76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20" w:right="740"/>
        <w:spacing w:after="0"/>
        <w:rPr>
          <w:sz w:val="20"/>
          <w:szCs w:val="20"/>
          <w:color w:val="auto"/>
        </w:rPr>
      </w:pPr>
      <w:r>
        <w:rPr>
          <w:rFonts w:ascii="Arial" w:cs="Arial" w:eastAsia="Arial" w:hAnsi="Arial"/>
          <w:sz w:val="18"/>
          <w:szCs w:val="18"/>
          <w:color w:val="auto"/>
        </w:rPr>
        <w:t>A portion of net income is allocated to unvested restricted stock units (RSUs) on which we pay dividend equivalents. Diluted EPS is calculated using the following:</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600" w:type="dxa"/>
            <w:vAlign w:val="bottom"/>
            <w:shd w:val="clear" w:color="auto" w:fill="DBDBDB"/>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1,127</w:t>
            </w:r>
          </w:p>
        </w:tc>
        <w:tc>
          <w:tcPr>
            <w:tcW w:w="100" w:type="dxa"/>
            <w:vAlign w:val="bottom"/>
            <w:shd w:val="clear" w:color="auto" w:fill="DBDBDB"/>
          </w:tcPr>
          <w:p>
            <w:pPr>
              <w:spacing w:after="0"/>
              <w:rPr>
                <w:sz w:val="19"/>
                <w:szCs w:val="19"/>
                <w:color w:val="auto"/>
              </w:rPr>
            </w:pPr>
          </w:p>
        </w:tc>
        <w:tc>
          <w:tcPr>
            <w:tcW w:w="620" w:type="dxa"/>
            <w:vAlign w:val="bottom"/>
            <w:shd w:val="clear" w:color="auto" w:fill="DBDBDB"/>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1,722</w:t>
            </w:r>
          </w:p>
        </w:tc>
      </w:tr>
      <w:tr>
        <w:trPr>
          <w:trHeight w:val="229"/>
        </w:trPr>
        <w:tc>
          <w:tcPr>
            <w:tcW w:w="77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Income allocated to RSUs</w:t>
            </w: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DBDBDB"/>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48"/>
        </w:trPr>
        <w:tc>
          <w:tcPr>
            <w:tcW w:w="77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Income allocated to common stock for diluted EPS</w:t>
            </w:r>
          </w:p>
        </w:tc>
        <w:tc>
          <w:tcPr>
            <w:tcW w:w="600" w:type="dxa"/>
            <w:vAlign w:val="bottom"/>
            <w:tcBorders>
              <w:bottom w:val="single" w:sz="8" w:color="auto"/>
            </w:tcBorders>
            <w:shd w:val="clear" w:color="auto" w:fill="DBDBDB"/>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1,121</w:t>
            </w:r>
          </w:p>
        </w:tc>
        <w:tc>
          <w:tcPr>
            <w:tcW w:w="100" w:type="dxa"/>
            <w:vAlign w:val="bottom"/>
            <w:tcBorders>
              <w:bottom w:val="single" w:sz="8" w:color="DBDBDB"/>
            </w:tcBorders>
            <w:shd w:val="clear" w:color="auto" w:fill="DBDBDB"/>
          </w:tcPr>
          <w:p>
            <w:pPr>
              <w:spacing w:after="0"/>
              <w:rPr>
                <w:sz w:val="21"/>
                <w:szCs w:val="21"/>
                <w:color w:val="auto"/>
              </w:rPr>
            </w:pPr>
          </w:p>
        </w:tc>
        <w:tc>
          <w:tcPr>
            <w:tcW w:w="620" w:type="dxa"/>
            <w:vAlign w:val="bottom"/>
            <w:tcBorders>
              <w:bottom w:val="single" w:sz="8" w:color="auto"/>
            </w:tcBorders>
            <w:shd w:val="clear" w:color="auto" w:fill="DBDBDB"/>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1,714</w:t>
            </w:r>
          </w:p>
        </w:tc>
      </w:tr>
      <w:tr>
        <w:trPr>
          <w:trHeight w:val="20"/>
        </w:trPr>
        <w:tc>
          <w:tcPr>
            <w:tcW w:w="7720" w:type="dxa"/>
            <w:vAlign w:val="bottom"/>
            <w:tcBorders>
              <w:top w:val="single" w:sz="8" w:color="DBDBDB"/>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180"/>
          </w:cols>
          <w:pgMar w:left="380" w:top="89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47"/>
        </w:trPr>
        <w:tc>
          <w:tcPr>
            <w:tcW w:w="8260" w:type="dxa"/>
            <w:vAlign w:val="bottom"/>
            <w:gridSpan w:val="3"/>
          </w:tcPr>
          <w:p>
            <w:pPr>
              <w:ind w:left="2960"/>
              <w:spacing w:after="0"/>
              <w:rPr>
                <w:sz w:val="20"/>
                <w:szCs w:val="20"/>
                <w:color w:val="auto"/>
              </w:rPr>
            </w:pPr>
            <w:r>
              <w:rPr>
                <w:rFonts w:ascii="Arial" w:cs="Arial" w:eastAsia="Arial" w:hAnsi="Arial"/>
                <w:sz w:val="18"/>
                <w:szCs w:val="18"/>
                <w:b w:val="1"/>
                <w:bCs w:val="1"/>
                <w:color w:val="auto"/>
              </w:rPr>
              <w:t>TEXAS INSTRUMENTS INCORPORATED AND SUBSIDIARIES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99"/>
        </w:trPr>
        <w:tc>
          <w:tcPr>
            <w:tcW w:w="7720" w:type="dxa"/>
            <w:vAlign w:val="bottom"/>
            <w:gridSpan w:val="2"/>
          </w:tcPr>
          <w:p>
            <w:pPr>
              <w:ind w:left="20"/>
              <w:spacing w:after="0"/>
              <w:rPr>
                <w:sz w:val="20"/>
                <w:szCs w:val="20"/>
                <w:color w:val="auto"/>
              </w:rPr>
            </w:pPr>
            <w:r>
              <w:rPr>
                <w:rFonts w:ascii="Arial" w:cs="Arial" w:eastAsia="Arial" w:hAnsi="Arial"/>
                <w:sz w:val="18"/>
                <w:szCs w:val="18"/>
                <w:b w:val="1"/>
                <w:bCs w:val="1"/>
                <w:color w:val="auto"/>
              </w:rPr>
              <w:t>Consolidated Balance Sheets</w:t>
            </w:r>
          </w:p>
        </w:tc>
        <w:tc>
          <w:tcPr>
            <w:tcW w:w="540" w:type="dxa"/>
            <w:vAlign w:val="bottom"/>
          </w:tcPr>
          <w:p>
            <w:pPr>
              <w:spacing w:after="0"/>
              <w:rPr>
                <w:sz w:val="24"/>
                <w:szCs w:val="24"/>
                <w:color w:val="auto"/>
              </w:rPr>
            </w:pPr>
          </w:p>
        </w:tc>
        <w:tc>
          <w:tcPr>
            <w:tcW w:w="16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200" w:type="dxa"/>
            <w:vAlign w:val="bottom"/>
          </w:tcPr>
          <w:p>
            <w:pPr>
              <w:spacing w:after="0"/>
              <w:rPr>
                <w:sz w:val="24"/>
                <w:szCs w:val="24"/>
                <w:color w:val="auto"/>
              </w:rPr>
            </w:pPr>
          </w:p>
        </w:tc>
      </w:tr>
      <w:tr>
        <w:trPr>
          <w:trHeight w:val="223"/>
        </w:trPr>
        <w:tc>
          <w:tcPr>
            <w:tcW w:w="760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 millions, except par value)</w:t>
            </w:r>
          </w:p>
        </w:tc>
        <w:tc>
          <w:tcPr>
            <w:tcW w:w="120" w:type="dxa"/>
            <w:vAlign w:val="bottom"/>
            <w:tcBorders>
              <w:bottom w:val="single" w:sz="8" w:color="DBDBDB"/>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bottom w:val="single" w:sz="8" w:color="DBDBDB"/>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Cash and cash equivalents</w:t>
            </w:r>
          </w:p>
        </w:tc>
        <w:tc>
          <w:tcPr>
            <w:tcW w:w="540" w:type="dxa"/>
            <w:vAlign w:val="bottom"/>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2,740</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3,439</w:t>
            </w: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Short-term investments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6,948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6,113</w:t>
            </w: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Accounts receivable, net of allowances of ($28) and ($16)</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1,711</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1,956</w:t>
            </w:r>
          </w:p>
        </w:tc>
      </w:tr>
      <w:tr>
        <w:trPr>
          <w:trHeight w:val="230"/>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Raw materials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405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388</w:t>
            </w:r>
          </w:p>
        </w:tc>
      </w:tr>
      <w:tr>
        <w:trPr>
          <w:trHeight w:val="229"/>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Work in process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2,072</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2,110</w:t>
            </w:r>
          </w:p>
        </w:tc>
      </w:tr>
      <w:tr>
        <w:trPr>
          <w:trHeight w:val="229"/>
        </w:trPr>
        <w:tc>
          <w:tcPr>
            <w:tcW w:w="7720" w:type="dxa"/>
            <w:vAlign w:val="bottom"/>
            <w:tcBorders>
              <w:bottom w:val="single" w:sz="8" w:color="DBDBDB"/>
            </w:tcBorders>
            <w:gridSpan w:val="2"/>
          </w:tcPr>
          <w:p>
            <w:pPr>
              <w:ind w:left="460"/>
              <w:spacing w:after="0"/>
              <w:rPr>
                <w:sz w:val="20"/>
                <w:szCs w:val="20"/>
                <w:color w:val="auto"/>
              </w:rPr>
            </w:pPr>
            <w:r>
              <w:rPr>
                <w:rFonts w:ascii="Arial" w:cs="Arial" w:eastAsia="Arial" w:hAnsi="Arial"/>
                <w:sz w:val="18"/>
                <w:szCs w:val="18"/>
                <w:color w:val="auto"/>
              </w:rPr>
              <w:t>Finished goods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1,629</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w:t>
            </w:r>
          </w:p>
        </w:tc>
      </w:tr>
      <w:tr>
        <w:trPr>
          <w:trHeight w:val="223"/>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Inventories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4,106</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3,729</w:t>
            </w:r>
          </w:p>
        </w:tc>
      </w:tr>
      <w:tr>
        <w:trPr>
          <w:trHeight w:val="229"/>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1,284</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r>
      <w:tr>
        <w:trPr>
          <w:trHeight w:val="223"/>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Total current assets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16,789</w:t>
            </w:r>
          </w:p>
        </w:tc>
        <w:tc>
          <w:tcPr>
            <w:tcW w:w="100" w:type="dxa"/>
            <w:vAlign w:val="bottom"/>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15,514</w:t>
            </w: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at cost</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14,622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11,664</w:t>
            </w: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Accumulated depreciation</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(3,448)</w:t>
            </w:r>
          </w:p>
        </w:tc>
        <w:tc>
          <w:tcPr>
            <w:tcW w:w="100" w:type="dxa"/>
            <w:vAlign w:val="bottom"/>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(3,139)</w:t>
            </w:r>
          </w:p>
        </w:tc>
      </w:tr>
      <w:tr>
        <w:trPr>
          <w:trHeight w:val="223"/>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Property, plant and equipment</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11,174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8,525</w:t>
            </w: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Goodwill</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4,362</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4,362</w:t>
            </w: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Deferred tax assets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905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537</w:t>
            </w: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Capitalized software licenses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230</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143</w:t>
            </w: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Overfunded retirement plans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167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29"/>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assets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1,421</w:t>
            </w:r>
          </w:p>
        </w:tc>
        <w:tc>
          <w:tcPr>
            <w:tcW w:w="100" w:type="dxa"/>
            <w:vAlign w:val="bottom"/>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1,675</w:t>
            </w: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35,048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30,939</w:t>
            </w:r>
          </w:p>
        </w:tc>
      </w:tr>
      <w:tr>
        <w:trPr>
          <w:trHeight w:val="20"/>
        </w:trPr>
        <w:tc>
          <w:tcPr>
            <w:tcW w:w="76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76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Current liabilities: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r>
      <w:tr>
        <w:trPr>
          <w:trHeight w:val="229"/>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Current portion of long-term debt</w:t>
            </w:r>
          </w:p>
        </w:tc>
        <w:tc>
          <w:tcPr>
            <w:tcW w:w="540" w:type="dxa"/>
            <w:vAlign w:val="bottom"/>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1,049</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299</w:t>
            </w: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Accounts payable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858</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923</w:t>
            </w: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Accrued compensation</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569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561</w:t>
            </w: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Income taxes payable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178</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121</w:t>
            </w:r>
          </w:p>
        </w:tc>
      </w:tr>
      <w:tr>
        <w:trPr>
          <w:trHeight w:val="229"/>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Accrued expenses and other liabilities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983</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r>
      <w:tr>
        <w:trPr>
          <w:trHeight w:val="223"/>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Total current liabilities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3,637</w:t>
            </w:r>
          </w:p>
        </w:tc>
        <w:tc>
          <w:tcPr>
            <w:tcW w:w="100" w:type="dxa"/>
            <w:vAlign w:val="bottom"/>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2,711</w:t>
            </w: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12,842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10,920</w:t>
            </w: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Underfunded retirement plans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113</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127</w:t>
            </w: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Deferred tax liabilities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55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liabilities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1,187</w:t>
            </w:r>
          </w:p>
        </w:tc>
        <w:tc>
          <w:tcPr>
            <w:tcW w:w="100" w:type="dxa"/>
            <w:vAlign w:val="bottom"/>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1,172</w:t>
            </w:r>
          </w:p>
        </w:tc>
      </w:tr>
      <w:tr>
        <w:trPr>
          <w:trHeight w:val="223"/>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Total liabilities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17,834</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14,999</w:t>
            </w:r>
          </w:p>
        </w:tc>
      </w:tr>
      <w:tr>
        <w:trPr>
          <w:trHeight w:val="21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Stockholders' equity:</w:t>
            </w:r>
          </w:p>
        </w:tc>
        <w:tc>
          <w:tcPr>
            <w:tcW w:w="54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Preferred stock, $25 par value. Shares authorized – 10; none issued</w:t>
            </w:r>
          </w:p>
        </w:tc>
        <w:tc>
          <w:tcPr>
            <w:tcW w:w="5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Common stock, $1 par value. Shares authorized – 2,400; shares issued – 1,741</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1,741</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1,741</w:t>
            </w: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Paid-in capital</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3,666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3,163</w:t>
            </w: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Retained earnings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52,135</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51,522</w:t>
            </w: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Treasury common stock at cost</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Shares: June 30, 2024 – 828; June 30, 2023 – 833</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(40,128)</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(40,240)</w:t>
            </w:r>
          </w:p>
        </w:tc>
      </w:tr>
      <w:tr>
        <w:trPr>
          <w:trHeight w:val="229"/>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Accumulated other comprehensive income (loss), net of taxes (AOCI)</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Total stockholders' equity</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17,214</w:t>
            </w:r>
          </w:p>
        </w:tc>
        <w:tc>
          <w:tcPr>
            <w:tcW w:w="100" w:type="dxa"/>
            <w:vAlign w:val="bottom"/>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15,940</w:t>
            </w: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35,048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30,939</w:t>
            </w:r>
          </w:p>
        </w:tc>
      </w:tr>
      <w:tr>
        <w:trPr>
          <w:trHeight w:val="21"/>
        </w:trPr>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180"/>
          </w:cols>
          <w:pgMar w:left="380" w:top="89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47"/>
        </w:trPr>
        <w:tc>
          <w:tcPr>
            <w:tcW w:w="8260" w:type="dxa"/>
            <w:vAlign w:val="bottom"/>
            <w:gridSpan w:val="3"/>
          </w:tcPr>
          <w:p>
            <w:pPr>
              <w:ind w:left="2960"/>
              <w:spacing w:after="0"/>
              <w:rPr>
                <w:sz w:val="20"/>
                <w:szCs w:val="20"/>
                <w:color w:val="auto"/>
              </w:rPr>
            </w:pPr>
            <w:r>
              <w:rPr>
                <w:rFonts w:ascii="Arial" w:cs="Arial" w:eastAsia="Arial" w:hAnsi="Arial"/>
                <w:sz w:val="18"/>
                <w:szCs w:val="18"/>
                <w:b w:val="1"/>
                <w:bCs w:val="1"/>
                <w:color w:val="auto"/>
              </w:rPr>
              <w:t>TEXAS INSTRUMENTS INCORPORATED AND SUBSIDIARIES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Consolidated Statements of Cash Flows</w:t>
            </w:r>
          </w:p>
        </w:tc>
        <w:tc>
          <w:tcPr>
            <w:tcW w:w="540" w:type="dxa"/>
            <w:vAlign w:val="bottom"/>
          </w:tcPr>
          <w:p>
            <w:pPr>
              <w:spacing w:after="0"/>
              <w:rPr>
                <w:sz w:val="21"/>
                <w:szCs w:val="21"/>
                <w:color w:val="auto"/>
              </w:rPr>
            </w:pPr>
          </w:p>
        </w:tc>
        <w:tc>
          <w:tcPr>
            <w:tcW w:w="28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For Three Months Ended</w:t>
            </w:r>
          </w:p>
        </w:tc>
        <w:tc>
          <w:tcPr>
            <w:tcW w:w="0" w:type="dxa"/>
            <w:vAlign w:val="bottom"/>
          </w:tcPr>
          <w:p>
            <w:pPr>
              <w:spacing w:after="0"/>
              <w:rPr>
                <w:sz w:val="1"/>
                <w:szCs w:val="1"/>
                <w:color w:val="auto"/>
              </w:rPr>
            </w:pPr>
          </w:p>
        </w:tc>
      </w:tr>
      <w:tr>
        <w:trPr>
          <w:trHeight w:val="243"/>
        </w:trPr>
        <w:tc>
          <w:tcPr>
            <w:tcW w:w="7720" w:type="dxa"/>
            <w:vAlign w:val="bottom"/>
            <w:gridSpan w:val="2"/>
            <w:vMerge w:val="continue"/>
          </w:tcPr>
          <w:p>
            <w:pPr>
              <w:spacing w:after="0"/>
              <w:rPr>
                <w:sz w:val="21"/>
                <w:szCs w:val="21"/>
                <w:color w:val="auto"/>
              </w:rPr>
            </w:pPr>
          </w:p>
        </w:tc>
        <w:tc>
          <w:tcPr>
            <w:tcW w:w="540" w:type="dxa"/>
            <w:vAlign w:val="bottom"/>
          </w:tcPr>
          <w:p>
            <w:pPr>
              <w:spacing w:after="0"/>
              <w:rPr>
                <w:sz w:val="21"/>
                <w:szCs w:val="21"/>
                <w:color w:val="auto"/>
              </w:rPr>
            </w:pPr>
          </w:p>
        </w:tc>
        <w:tc>
          <w:tcPr>
            <w:tcW w:w="16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60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 millions)</w:t>
            </w:r>
          </w:p>
        </w:tc>
        <w:tc>
          <w:tcPr>
            <w:tcW w:w="120" w:type="dxa"/>
            <w:vAlign w:val="bottom"/>
            <w:tcBorders>
              <w:bottom w:val="single" w:sz="8" w:color="DBDBDB"/>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bottom w:val="single" w:sz="8" w:color="DBDBDB"/>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540" w:type="dxa"/>
            <w:vAlign w:val="bottom"/>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1,127</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Adjustments to net income: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Depreciation</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363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Amortization of capitalized software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Stock compensation</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116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(Gains) losses on sales of assets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Deferred taxes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Increase (decrease) from changes in:</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Accounts receivable</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Inventories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30"/>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Accounts payable and accrued expenses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102</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Accrued compensation</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168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Income taxes payable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120</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9"/>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Changes in funded status of retirement plans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(285)</w:t>
            </w:r>
          </w:p>
        </w:tc>
        <w:tc>
          <w:tcPr>
            <w:tcW w:w="100" w:type="dxa"/>
            <w:vAlign w:val="bottom"/>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flows from operating activities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1,571</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37"/>
        </w:trPr>
        <w:tc>
          <w:tcPr>
            <w:tcW w:w="76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540" w:type="dxa"/>
            <w:vAlign w:val="bottom"/>
            <w:shd w:val="clear" w:color="auto" w:fill="DBDBDB"/>
          </w:tcPr>
          <w:p>
            <w:pPr>
              <w:spacing w:after="0"/>
              <w:rPr>
                <w:sz w:val="20"/>
                <w:szCs w:val="20"/>
                <w:color w:val="auto"/>
              </w:rPr>
            </w:pPr>
          </w:p>
        </w:tc>
        <w:tc>
          <w:tcPr>
            <w:tcW w:w="11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460" w:type="dxa"/>
            <w:vAlign w:val="bottom"/>
            <w:shd w:val="clear" w:color="auto" w:fill="DBDBDB"/>
          </w:tcPr>
          <w:p>
            <w:pPr>
              <w:spacing w:after="0"/>
              <w:rPr>
                <w:sz w:val="20"/>
                <w:szCs w:val="20"/>
                <w:color w:val="auto"/>
              </w:rPr>
            </w:pPr>
          </w:p>
        </w:tc>
        <w:tc>
          <w:tcPr>
            <w:tcW w:w="120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Capital expenditures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(1,064)</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Proceeds from asset sales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Purchases of short-term investments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(2,098)</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(4,047)</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Proceeds from short-term investments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3,130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3,065</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30</w:t>
            </w:r>
          </w:p>
        </w:tc>
        <w:tc>
          <w:tcPr>
            <w:tcW w:w="100" w:type="dxa"/>
            <w:vAlign w:val="bottom"/>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flows from investing activities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(2,385)</w:t>
            </w:r>
          </w:p>
        </w:tc>
        <w:tc>
          <w:tcPr>
            <w:tcW w:w="0" w:type="dxa"/>
            <w:vAlign w:val="bottom"/>
          </w:tcPr>
          <w:p>
            <w:pPr>
              <w:spacing w:after="0"/>
              <w:rPr>
                <w:sz w:val="1"/>
                <w:szCs w:val="1"/>
                <w:color w:val="auto"/>
              </w:rPr>
            </w:pPr>
          </w:p>
        </w:tc>
      </w:tr>
      <w:tr>
        <w:trPr>
          <w:trHeight w:val="236"/>
        </w:trPr>
        <w:tc>
          <w:tcPr>
            <w:tcW w:w="76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540" w:type="dxa"/>
            <w:vAlign w:val="bottom"/>
            <w:shd w:val="clear" w:color="auto" w:fill="DBDBDB"/>
          </w:tcPr>
          <w:p>
            <w:pPr>
              <w:spacing w:after="0"/>
              <w:rPr>
                <w:sz w:val="20"/>
                <w:szCs w:val="20"/>
                <w:color w:val="auto"/>
              </w:rPr>
            </w:pPr>
          </w:p>
        </w:tc>
        <w:tc>
          <w:tcPr>
            <w:tcW w:w="11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460" w:type="dxa"/>
            <w:vAlign w:val="bottom"/>
            <w:shd w:val="clear" w:color="auto" w:fill="DBDBDB"/>
          </w:tcPr>
          <w:p>
            <w:pPr>
              <w:spacing w:after="0"/>
              <w:rPr>
                <w:sz w:val="20"/>
                <w:szCs w:val="20"/>
                <w:color w:val="auto"/>
              </w:rPr>
            </w:pPr>
          </w:p>
        </w:tc>
        <w:tc>
          <w:tcPr>
            <w:tcW w:w="120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Proceeds from issuance of long-term debt</w:t>
            </w:r>
          </w:p>
        </w:tc>
        <w:tc>
          <w:tcPr>
            <w:tcW w:w="540" w:type="dxa"/>
            <w:vAlign w:val="bottom"/>
            <w:shd w:val="clear" w:color="auto" w:fill="DBDBDB"/>
          </w:tcPr>
          <w:p>
            <w:pPr>
              <w:spacing w:after="0"/>
              <w:rPr>
                <w:sz w:val="19"/>
                <w:szCs w:val="19"/>
                <w:color w:val="auto"/>
              </w:rPr>
            </w:pPr>
          </w:p>
        </w:tc>
        <w:tc>
          <w:tcPr>
            <w:tcW w:w="122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29"/>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Repayment of debt</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Dividends paid</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(1,185)</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Stock repurchases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Proceeds from common stock transactions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248</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flows from financing activities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(1,314)</w:t>
            </w:r>
          </w:p>
        </w:tc>
        <w:tc>
          <w:tcPr>
            <w:tcW w:w="100" w:type="dxa"/>
            <w:vAlign w:val="bottom"/>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6"/>
        </w:trPr>
        <w:tc>
          <w:tcPr>
            <w:tcW w:w="7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257</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2,483</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4,477</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540" w:type="dxa"/>
            <w:vAlign w:val="bottom"/>
            <w:tcBorders>
              <w:bottom w:val="single" w:sz="8" w:color="auto"/>
            </w:tcBorders>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2,740</w:t>
            </w:r>
          </w:p>
        </w:tc>
        <w:tc>
          <w:tcPr>
            <w:tcW w:w="10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3,439</w:t>
            </w:r>
          </w:p>
        </w:tc>
        <w:tc>
          <w:tcPr>
            <w:tcW w:w="0" w:type="dxa"/>
            <w:vAlign w:val="bottom"/>
          </w:tcPr>
          <w:p>
            <w:pPr>
              <w:spacing w:after="0"/>
              <w:rPr>
                <w:sz w:val="1"/>
                <w:szCs w:val="1"/>
                <w:color w:val="auto"/>
              </w:rPr>
            </w:pPr>
          </w:p>
        </w:tc>
      </w:tr>
      <w:tr>
        <w:trPr>
          <w:trHeight w:val="20"/>
        </w:trPr>
        <w:tc>
          <w:tcPr>
            <w:tcW w:w="76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Investment tax credit (ITC) used to reduce income taxes payable</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312</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Total cash benefit related to the U.S. CHIPS and Science Act</w:t>
            </w:r>
          </w:p>
        </w:tc>
        <w:tc>
          <w:tcPr>
            <w:tcW w:w="540" w:type="dxa"/>
            <w:vAlign w:val="bottom"/>
            <w:tcBorders>
              <w:bottom w:val="single" w:sz="8" w:color="auto"/>
            </w:tcBorders>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312</w:t>
            </w:r>
          </w:p>
        </w:tc>
        <w:tc>
          <w:tcPr>
            <w:tcW w:w="10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180"/>
          </w:cols>
          <w:pgMar w:left="380" w:top="89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Segment results</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385"/>
        </w:trPr>
        <w:tc>
          <w:tcPr>
            <w:tcW w:w="1400" w:type="dxa"/>
            <w:vAlign w:val="bottom"/>
            <w:tcBorders>
              <w:top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5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Q2 2024</w:t>
            </w:r>
          </w:p>
        </w:tc>
        <w:tc>
          <w:tcPr>
            <w:tcW w:w="240" w:type="dxa"/>
            <w:vAlign w:val="bottom"/>
          </w:tcPr>
          <w:p>
            <w:pPr>
              <w:spacing w:after="0"/>
              <w:rPr>
                <w:sz w:val="24"/>
                <w:szCs w:val="24"/>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color w:val="auto"/>
              </w:rPr>
              <w:t>Q2 2023</w:t>
            </w: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Change</w:t>
            </w:r>
          </w:p>
        </w:tc>
      </w:tr>
      <w:tr>
        <w:trPr>
          <w:trHeight w:val="223"/>
        </w:trPr>
        <w:tc>
          <w:tcPr>
            <w:tcW w:w="660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Analog:</w:t>
            </w:r>
          </w:p>
        </w:tc>
        <w:tc>
          <w:tcPr>
            <w:tcW w:w="240" w:type="dxa"/>
            <w:vAlign w:val="bottom"/>
            <w:tcBorders>
              <w:top w:val="single" w:sz="8" w:color="auto"/>
            </w:tcBorders>
            <w:shd w:val="clear" w:color="auto" w:fill="DBDBDB"/>
          </w:tcPr>
          <w:p>
            <w:pPr>
              <w:spacing w:after="0"/>
              <w:rPr>
                <w:sz w:val="19"/>
                <w:szCs w:val="19"/>
                <w:color w:val="auto"/>
              </w:rPr>
            </w:pPr>
          </w:p>
        </w:tc>
        <w:tc>
          <w:tcPr>
            <w:tcW w:w="118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spacing w:after="0"/>
              <w:rPr>
                <w:sz w:val="19"/>
                <w:szCs w:val="19"/>
                <w:color w:val="auto"/>
              </w:rPr>
            </w:pPr>
          </w:p>
        </w:tc>
        <w:tc>
          <w:tcPr>
            <w:tcW w:w="120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580" w:type="dxa"/>
            <w:vAlign w:val="bottom"/>
            <w:tcBorders>
              <w:top w:val="single" w:sz="8" w:color="auto"/>
            </w:tcBorders>
            <w:shd w:val="clear" w:color="auto" w:fill="DBDBDB"/>
          </w:tcPr>
          <w:p>
            <w:pPr>
              <w:spacing w:after="0"/>
              <w:rPr>
                <w:sz w:val="19"/>
                <w:szCs w:val="19"/>
                <w:color w:val="auto"/>
              </w:rPr>
            </w:pPr>
          </w:p>
        </w:tc>
      </w:tr>
      <w:tr>
        <w:trPr>
          <w:trHeight w:val="229"/>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2,928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3,278</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66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Operating profit</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1,047</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1,463</w:t>
            </w:r>
          </w:p>
        </w:tc>
        <w:tc>
          <w:tcPr>
            <w:tcW w:w="100" w:type="dxa"/>
            <w:vAlign w:val="bottom"/>
            <w:shd w:val="clear" w:color="auto" w:fill="DBDBDB"/>
          </w:tcPr>
          <w:p>
            <w:pPr>
              <w:spacing w:after="0"/>
              <w:rPr>
                <w:sz w:val="19"/>
                <w:szCs w:val="19"/>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Embedded Processing:</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66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DBDBDB"/>
          </w:tcPr>
          <w:p>
            <w:pPr>
              <w:spacing w:after="0"/>
              <w:rPr>
                <w:sz w:val="19"/>
                <w:szCs w:val="19"/>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Operating profit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66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580" w:type="dxa"/>
            <w:vAlign w:val="bottom"/>
            <w:shd w:val="clear" w:color="auto" w:fill="DBDBDB"/>
          </w:tcPr>
          <w:p>
            <w:pPr>
              <w:spacing w:after="0"/>
              <w:rPr>
                <w:sz w:val="19"/>
                <w:szCs w:val="19"/>
                <w:color w:val="auto"/>
              </w:rPr>
            </w:pPr>
          </w:p>
        </w:tc>
      </w:tr>
      <w:tr>
        <w:trPr>
          <w:trHeight w:val="230"/>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66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Operating profit*</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DBDBDB"/>
          </w:tcPr>
          <w:p>
            <w:pPr>
              <w:spacing w:after="0"/>
              <w:rPr>
                <w:sz w:val="19"/>
                <w:szCs w:val="19"/>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w:t>
            </w: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Includes restructuring charges/other.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87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Non-GAAP financial information</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release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17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8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For 12 Months Ended</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43"/>
        </w:trPr>
        <w:tc>
          <w:tcPr>
            <w:tcW w:w="63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23"/>
        </w:trPr>
        <w:tc>
          <w:tcPr>
            <w:tcW w:w="6320" w:type="dxa"/>
            <w:vAlign w:val="bottom"/>
            <w:tcBorders>
              <w:bottom w:val="single" w:sz="8" w:color="DBDBDB"/>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DBDBDB"/>
            </w:tcBorders>
          </w:tcPr>
          <w:p>
            <w:pPr>
              <w:spacing w:after="0"/>
              <w:rPr>
                <w:sz w:val="19"/>
                <w:szCs w:val="19"/>
                <w:color w:val="auto"/>
              </w:rPr>
            </w:pPr>
          </w:p>
        </w:tc>
        <w:tc>
          <w:tcPr>
            <w:tcW w:w="1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Change</w:t>
            </w:r>
          </w:p>
        </w:tc>
      </w:tr>
      <w:tr>
        <w:trPr>
          <w:trHeight w:val="223"/>
        </w:trPr>
        <w:tc>
          <w:tcPr>
            <w:tcW w:w="6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(GAAP)*</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6,449</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7,367</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63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Capital expenditures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(4,955)</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(4,185)</w:t>
            </w:r>
          </w:p>
        </w:tc>
        <w:tc>
          <w:tcPr>
            <w:tcW w:w="100" w:type="dxa"/>
            <w:vAlign w:val="bottom"/>
            <w:tcBorders>
              <w:bottom w:val="single" w:sz="8" w:color="DBDBDB"/>
            </w:tcBorders>
          </w:tcPr>
          <w:p>
            <w:pPr>
              <w:spacing w:after="0"/>
              <w:rPr>
                <w:sz w:val="19"/>
                <w:szCs w:val="19"/>
                <w:color w:val="auto"/>
              </w:rPr>
            </w:pPr>
          </w:p>
        </w:tc>
        <w:tc>
          <w:tcPr>
            <w:tcW w:w="1560" w:type="dxa"/>
            <w:vAlign w:val="bottom"/>
            <w:tcBorders>
              <w:bottom w:val="single" w:sz="8" w:color="DBDBDB"/>
            </w:tcBorders>
          </w:tcPr>
          <w:p>
            <w:pPr>
              <w:spacing w:after="0"/>
              <w:rPr>
                <w:sz w:val="19"/>
                <w:szCs w:val="19"/>
                <w:color w:val="auto"/>
              </w:rPr>
            </w:pPr>
          </w:p>
        </w:tc>
      </w:tr>
      <w:tr>
        <w:trPr>
          <w:trHeight w:val="248"/>
        </w:trPr>
        <w:tc>
          <w:tcPr>
            <w:tcW w:w="6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Free cash flow (non-GAAP)</w:t>
            </w: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1,494</w:t>
            </w:r>
          </w:p>
        </w:tc>
        <w:tc>
          <w:tcPr>
            <w:tcW w:w="10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3,182</w:t>
            </w:r>
          </w:p>
        </w:tc>
        <w:tc>
          <w:tcPr>
            <w:tcW w:w="166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63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tcBorders>
          </w:tcPr>
          <w:p>
            <w:pPr>
              <w:spacing w:after="0" w:line="20" w:lineRule="exact"/>
              <w:rPr>
                <w:sz w:val="1"/>
                <w:szCs w:val="1"/>
                <w:color w:val="auto"/>
              </w:rPr>
            </w:pPr>
          </w:p>
        </w:tc>
      </w:tr>
      <w:tr>
        <w:trPr>
          <w:trHeight w:val="203"/>
        </w:trPr>
        <w:tc>
          <w:tcPr>
            <w:tcW w:w="6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54"/>
        </w:trPr>
        <w:tc>
          <w:tcPr>
            <w:tcW w:w="6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16,092</w:t>
            </w:r>
          </w:p>
        </w:tc>
        <w:tc>
          <w:tcPr>
            <w:tcW w:w="10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18,821</w:t>
            </w:r>
          </w:p>
        </w:tc>
        <w:tc>
          <w:tcPr>
            <w:tcW w:w="100" w:type="dxa"/>
            <w:vAlign w:val="bottom"/>
            <w:tcBorders>
              <w:bottom w:val="single" w:sz="8" w:color="DBDBDB"/>
            </w:tcBorders>
            <w:shd w:val="clear" w:color="auto" w:fill="DBDBDB"/>
          </w:tcPr>
          <w:p>
            <w:pPr>
              <w:spacing w:after="0"/>
              <w:rPr>
                <w:sz w:val="21"/>
                <w:szCs w:val="21"/>
                <w:color w:val="auto"/>
              </w:rPr>
            </w:pPr>
          </w:p>
        </w:tc>
        <w:tc>
          <w:tcPr>
            <w:tcW w:w="1560" w:type="dxa"/>
            <w:vAlign w:val="bottom"/>
            <w:tcBorders>
              <w:bottom w:val="single" w:sz="8" w:color="DBDBDB"/>
            </w:tcBorders>
            <w:shd w:val="clear" w:color="auto" w:fill="DBDBDB"/>
          </w:tcPr>
          <w:p>
            <w:pPr>
              <w:spacing w:after="0"/>
              <w:rPr>
                <w:sz w:val="21"/>
                <w:szCs w:val="21"/>
                <w:color w:val="auto"/>
              </w:rPr>
            </w:pPr>
          </w:p>
        </w:tc>
      </w:tr>
      <w:tr>
        <w:trPr>
          <w:trHeight w:val="20"/>
        </w:trPr>
        <w:tc>
          <w:tcPr>
            <w:tcW w:w="63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tcBorders>
          </w:tcPr>
          <w:p>
            <w:pPr>
              <w:spacing w:after="0" w:line="20" w:lineRule="exact"/>
              <w:rPr>
                <w:sz w:val="1"/>
                <w:szCs w:val="1"/>
                <w:color w:val="auto"/>
              </w:rPr>
            </w:pPr>
          </w:p>
        </w:tc>
      </w:tr>
      <w:tr>
        <w:trPr>
          <w:trHeight w:val="204"/>
        </w:trPr>
        <w:tc>
          <w:tcPr>
            <w:tcW w:w="6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29"/>
        </w:trPr>
        <w:tc>
          <w:tcPr>
            <w:tcW w:w="6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as a percentage of revenue (GAAP)</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40.1 %</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39.1 %</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r>
      <w:tr>
        <w:trPr>
          <w:trHeight w:val="247"/>
        </w:trPr>
        <w:tc>
          <w:tcPr>
            <w:tcW w:w="6320" w:type="dxa"/>
            <w:vAlign w:val="bottom"/>
          </w:tcPr>
          <w:p>
            <w:pPr>
              <w:ind w:left="20"/>
              <w:spacing w:after="0"/>
              <w:rPr>
                <w:sz w:val="20"/>
                <w:szCs w:val="20"/>
                <w:color w:val="auto"/>
              </w:rPr>
            </w:pPr>
            <w:r>
              <w:rPr>
                <w:rFonts w:ascii="Arial" w:cs="Arial" w:eastAsia="Arial" w:hAnsi="Arial"/>
                <w:sz w:val="18"/>
                <w:szCs w:val="18"/>
                <w:color w:val="auto"/>
              </w:rPr>
              <w:t>Free cash flow as a percentage of revenue (non-GAAP)</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9.3 %</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16.9 %</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bl>
    <w:p>
      <w:pPr>
        <w:spacing w:after="0" w:line="168" w:lineRule="exact"/>
        <w:rPr>
          <w:sz w:val="20"/>
          <w:szCs w:val="20"/>
          <w:color w:val="auto"/>
        </w:rPr>
      </w:pPr>
    </w:p>
    <w:p>
      <w:pPr>
        <w:ind w:right="520" w:firstLine="8"/>
        <w:spacing w:after="0" w:line="285" w:lineRule="auto"/>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Includes a cash benefit of $312 million from the U.S. CHIPS and Science Act ITC used to reduce income taxes payable for the twelve months ended June 30, 2024</w:t>
      </w:r>
      <w:r>
        <w:rPr>
          <w:rFonts w:ascii="Arial" w:cs="Arial" w:eastAsia="Arial" w:hAnsi="Arial"/>
          <w:sz w:val="18"/>
          <w:szCs w:val="18"/>
          <w:color w:val="auto"/>
        </w:rPr>
        <w:t>.</w:t>
      </w:r>
    </w:p>
    <w:p>
      <w:pPr>
        <w:spacing w:after="0" w:line="15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This release also includes references to operating taxes, a non-GAAP term we use to describe taxes calculated using the estimated annual effective tax rate, a GAAP measure that by definition does not include discrete tax items. We believe the term operating taxes helps to differentiate from effective taxes, which include discrete tax items.</w:t>
      </w: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21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5"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153" w:lineRule="exact"/>
        <w:rPr>
          <w:sz w:val="20"/>
          <w:szCs w:val="20"/>
          <w:color w:val="auto"/>
        </w:rPr>
      </w:pPr>
    </w:p>
    <w:p>
      <w:pPr>
        <w:ind w:left="620" w:right="340" w:hanging="329"/>
        <w:spacing w:after="0" w:line="26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spacing w:after="0" w:line="1" w:lineRule="exact"/>
        <w:rPr>
          <w:rFonts w:ascii="Arial" w:cs="Arial" w:eastAsia="Arial" w:hAnsi="Arial"/>
          <w:sz w:val="18"/>
          <w:szCs w:val="18"/>
          <w:color w:val="auto"/>
        </w:rPr>
      </w:pPr>
    </w:p>
    <w:p>
      <w:pPr>
        <w:ind w:left="620" w:right="42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the industrial and automotive markets, and customer demand that differs from forecasts;</w:t>
      </w: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9" w:lineRule="exact"/>
        <w:rPr>
          <w:rFonts w:ascii="Arial" w:cs="Arial" w:eastAsia="Arial" w:hAnsi="Arial"/>
          <w:sz w:val="18"/>
          <w:szCs w:val="18"/>
          <w:color w:val="auto"/>
        </w:rPr>
      </w:pPr>
    </w:p>
    <w:p>
      <w:pPr>
        <w:ind w:left="620" w:right="44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suppliers and other third parties;</w:t>
      </w:r>
    </w:p>
    <w:p>
      <w:pPr>
        <w:ind w:left="620" w:right="22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ind w:left="620" w:right="26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1" w:lineRule="exact"/>
        <w:rPr>
          <w:rFonts w:ascii="Arial" w:cs="Arial" w:eastAsia="Arial" w:hAnsi="Arial"/>
          <w:sz w:val="18"/>
          <w:szCs w:val="18"/>
          <w:color w:val="auto"/>
        </w:rPr>
      </w:pPr>
    </w:p>
    <w:p>
      <w:pPr>
        <w:ind w:left="620" w:right="62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Availability and cost of key materials, utilities, manufacturing equipment, third-party manufacturing services and manufacturing technology;</w:t>
      </w: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w:t>
      </w:r>
    </w:p>
    <w:p>
      <w:pPr>
        <w:spacing w:after="0" w:line="9" w:lineRule="exact"/>
        <w:rPr>
          <w:rFonts w:ascii="Arial" w:cs="Arial" w:eastAsia="Arial" w:hAnsi="Arial"/>
          <w:sz w:val="18"/>
          <w:szCs w:val="18"/>
          <w:color w:val="auto"/>
        </w:rPr>
      </w:pPr>
    </w:p>
    <w:p>
      <w:pPr>
        <w:ind w:left="620" w:right="120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software, manufacturing, delivery, services, design or communications, or recalls by our customers for a product containing one of our parts;</w:t>
      </w:r>
    </w:p>
    <w:p>
      <w:pPr>
        <w:jc w:val="both"/>
        <w:ind w:left="620" w:right="68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ind w:left="620" w:right="32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1" w:lineRule="exact"/>
        <w:rPr>
          <w:rFonts w:ascii="Arial" w:cs="Arial" w:eastAsia="Arial" w:hAnsi="Arial"/>
          <w:sz w:val="18"/>
          <w:szCs w:val="18"/>
          <w:color w:val="auto"/>
        </w:rPr>
      </w:pPr>
    </w:p>
    <w:p>
      <w:pPr>
        <w:ind w:left="620" w:right="66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and amount of customer inventory adjustments;</w:t>
      </w:r>
    </w:p>
    <w:p>
      <w:pPr>
        <w:spacing w:after="0" w:line="9" w:lineRule="exact"/>
        <w:rPr>
          <w:rFonts w:ascii="Arial" w:cs="Arial" w:eastAsia="Arial" w:hAnsi="Arial"/>
          <w:sz w:val="18"/>
          <w:szCs w:val="18"/>
          <w:color w:val="auto"/>
        </w:rPr>
      </w:pPr>
    </w:p>
    <w:p>
      <w:pPr>
        <w:ind w:left="620" w:right="16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ind w:left="620" w:right="14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and</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0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release are made only as of the date of this release,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10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About Texas Instruments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Texas Instruments Incorporated (Nasdaq: TXN) is a global semiconductor company that designs, manufactures, tests and sells analog and embedded processing chips for markets such as industrial, automotive, personal electronics, communications equipment and enterprise systems. At our core, we have a passion to create a better world by making electronics more affordable through semiconductors. This passion is alive today as each generation of innovation builds upon the last to make our technology more reliable, more affordable and lower power, making it possible for semiconductors to go into electronics everywhere. Learn more at </w:t>
      </w:r>
      <w:r>
        <w:rPr>
          <w:rFonts w:ascii="Arial" w:cs="Arial" w:eastAsia="Arial" w:hAnsi="Arial"/>
          <w:sz w:val="18"/>
          <w:szCs w:val="18"/>
          <w:u w:val="single" w:color="auto"/>
          <w:color w:val="3A3AFF"/>
        </w:rPr>
        <w:t>TI.com</w:t>
      </w:r>
      <w:r>
        <w:rPr>
          <w:rFonts w:ascii="Arial" w:cs="Arial" w:eastAsia="Arial" w:hAnsi="Arial"/>
          <w:sz w:val="18"/>
          <w:szCs w:val="18"/>
          <w:color w:val="auto"/>
        </w:rPr>
        <w:t>.</w:t>
      </w: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sectPr>
      <w:pgSz w:w="11900" w:h="16838" w:orient="portrait"/>
      <w:cols w:equalWidth="0" w:num="1">
        <w:col w:w="11240"/>
      </w:cols>
      <w:pgMar w:left="320" w:top="11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99"/>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2024-07-23T15:14:16Z</dcterms:created>
  <dcterms:modified xsi:type="dcterms:W3CDTF">2024-07-23T15:14:16Z</dcterms:modified>
</cp:coreProperties>
</file>