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216535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259715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229235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79"/>
        <w:spacing w:after="0"/>
        <w:tabs>
          <w:tab w:leader="none" w:pos="2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220980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200"/>
        <w:spacing w:after="0" w:line="184" w:lineRule="exact"/>
        <w:tabs>
          <w:tab w:leader="none" w:pos="32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6" w:lineRule="exact"/>
        <w:rPr>
          <w:sz w:val="24"/>
          <w:szCs w:val="24"/>
          <w:color w:val="auto"/>
        </w:rPr>
      </w:pPr>
    </w:p>
    <w:p>
      <w:pPr>
        <w:ind w:left="200"/>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4" w:lineRule="exact"/>
        <w:rPr>
          <w:rFonts w:ascii="MS PGothic" w:cs="MS PGothic" w:eastAsia="MS PGothic" w:hAnsi="MS PGothic"/>
          <w:sz w:val="16"/>
          <w:szCs w:val="16"/>
          <w:color w:val="auto"/>
        </w:rPr>
      </w:pPr>
    </w:p>
    <w:p>
      <w:pPr>
        <w:ind w:left="760" w:hanging="556"/>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29" w:lineRule="exact"/>
        <w:rPr>
          <w:sz w:val="24"/>
          <w:szCs w:val="24"/>
          <w:color w:val="auto"/>
        </w:rPr>
      </w:pPr>
    </w:p>
    <w:p>
      <w:pPr>
        <w:ind w:left="760" w:hanging="556"/>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760" w:hanging="556"/>
        <w:spacing w:after="0"/>
        <w:tabs>
          <w:tab w:leader="none" w:pos="7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760" w:hanging="556"/>
        <w:spacing w:after="0"/>
        <w:tabs>
          <w:tab w:leader="none" w:pos="7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89" w:lineRule="exact"/>
        <w:rPr>
          <w:sz w:val="24"/>
          <w:szCs w:val="24"/>
          <w:color w:val="auto"/>
        </w:rPr>
      </w:pPr>
    </w:p>
    <w:p>
      <w:pPr>
        <w:jc w:val="center"/>
        <w:ind w:right="-399"/>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65405</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3"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470535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4" w:lineRule="exact"/>
        <w:rPr>
          <w:sz w:val="24"/>
          <w:szCs w:val="24"/>
          <w:color w:val="auto"/>
        </w:rPr>
      </w:pPr>
    </w:p>
    <w:p>
      <w:pPr>
        <w:ind w:left="200"/>
        <w:spacing w:after="0"/>
        <w:rPr>
          <w:sz w:val="20"/>
          <w:szCs w:val="20"/>
          <w:color w:val="auto"/>
        </w:rPr>
      </w:pPr>
      <w:r>
        <w:rPr>
          <w:rFonts w:ascii="Arial" w:cs="Arial" w:eastAsia="Arial" w:hAnsi="Arial"/>
          <w:sz w:val="16"/>
          <w:szCs w:val="16"/>
          <w:color w:val="auto"/>
        </w:rPr>
        <w:t>Payment of Filing Fee (Check the appropriate box):</w:t>
      </w:r>
    </w:p>
    <w:p>
      <w:pPr>
        <w:spacing w:after="0" w:line="221" w:lineRule="exact"/>
        <w:rPr>
          <w:sz w:val="24"/>
          <w:szCs w:val="24"/>
          <w:color w:val="auto"/>
        </w:rPr>
      </w:pPr>
    </w:p>
    <w:p>
      <w:pPr>
        <w:ind w:left="780" w:hanging="576"/>
        <w:spacing w:after="0"/>
        <w:tabs>
          <w:tab w:leader="none" w:pos="7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780" w:hanging="576"/>
        <w:spacing w:after="0"/>
        <w:tabs>
          <w:tab w:leader="none" w:pos="7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320" w:hanging="549"/>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320" w:hanging="549"/>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320" w:right="40" w:hanging="549"/>
        <w:spacing w:after="0" w:line="291" w:lineRule="auto"/>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left="1320" w:hanging="549"/>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320" w:hanging="549"/>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780" w:hanging="576"/>
        <w:spacing w:after="0"/>
        <w:tabs>
          <w:tab w:leader="none" w:pos="7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780" w:hanging="576"/>
        <w:spacing w:after="0" w:line="291" w:lineRule="auto"/>
        <w:tabs>
          <w:tab w:leader="none" w:pos="7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8" w:lineRule="exact"/>
        <w:rPr>
          <w:rFonts w:ascii="MS PGothic" w:cs="MS PGothic" w:eastAsia="MS PGothic" w:hAnsi="MS PGothic"/>
          <w:sz w:val="16"/>
          <w:szCs w:val="16"/>
          <w:color w:val="auto"/>
        </w:rPr>
      </w:pPr>
    </w:p>
    <w:p>
      <w:pPr>
        <w:ind w:left="1320" w:hanging="549"/>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-2917825</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-2463165</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-1888490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-1433830</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-1039495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332105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040"/>
          </w:cols>
          <w:pgMar w:left="240" w:top="226" w:right="619" w:bottom="775" w:gutter="0" w:footer="0" w:header="0"/>
        </w:sectPr>
      </w:pPr>
    </w:p>
    <w:bookmarkStart w:id="1" w:name="page2"/>
    <w:bookmarkEnd w:id="1"/>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-576580</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-121920</wp:posOffset>
            </wp:positionV>
            <wp:extent cx="6294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332105</wp:posOffset>
            </wp:positionV>
            <wp:extent cx="6294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512445</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554990</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21"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7006590" cy="608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65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Stockholder:</w:t>
      </w:r>
    </w:p>
    <w:p>
      <w:pPr>
        <w:spacing w:after="0" w:line="212"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You are cordially invited to attend the 2019 annual meeting of stockholders on Thursday, April 25, 2019, in the auditorium on our property at 12500 TI Boulevard, Dallas, Texas, at 8:30 a.m. (Central time). See “Attendance requirements” for important information about attending the annual meeting. At the meeting we will consider and act upon the following matters:</w:t>
      </w:r>
    </w:p>
    <w:p>
      <w:pPr>
        <w:spacing w:after="0" w:line="191" w:lineRule="exact"/>
        <w:rPr>
          <w:sz w:val="20"/>
          <w:szCs w:val="20"/>
          <w:color w:val="auto"/>
        </w:rPr>
      </w:pPr>
    </w:p>
    <w:p>
      <w:pPr>
        <w:ind w:left="960" w:hanging="54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spacing w:after="0" w:line="17"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ind w:left="960" w:right="240" w:hanging="540"/>
        <w:spacing w:after="0" w:line="23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2019, and</w:t>
      </w:r>
    </w:p>
    <w:p>
      <w:pPr>
        <w:spacing w:after="0" w:line="1" w:lineRule="exact"/>
        <w:rPr>
          <w:rFonts w:ascii="Arial" w:cs="Arial" w:eastAsia="Arial" w:hAnsi="Arial"/>
          <w:sz w:val="18"/>
          <w:szCs w:val="18"/>
          <w:color w:val="auto"/>
        </w:rPr>
      </w:pPr>
    </w:p>
    <w:p>
      <w:pPr>
        <w:ind w:left="960" w:hanging="54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meeting.</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of record at the close of business on February 25, 2019, are entitled to vote at the annual meeting.</w:t>
      </w:r>
    </w:p>
    <w:p>
      <w:pPr>
        <w:spacing w:after="0" w:line="210" w:lineRule="exact"/>
        <w:rPr>
          <w:sz w:val="20"/>
          <w:szCs w:val="20"/>
          <w:color w:val="auto"/>
        </w:rPr>
      </w:pPr>
    </w:p>
    <w:p>
      <w:pPr>
        <w:ind w:left="200" w:right="80"/>
        <w:spacing w:after="0" w:line="288" w:lineRule="auto"/>
        <w:rPr>
          <w:sz w:val="20"/>
          <w:szCs w:val="20"/>
          <w:color w:val="auto"/>
        </w:rPr>
      </w:pPr>
      <w:r>
        <w:rPr>
          <w:rFonts w:ascii="Arial" w:cs="Arial" w:eastAsia="Arial" w:hAnsi="Arial"/>
          <w:sz w:val="18"/>
          <w:szCs w:val="18"/>
          <w:b w:val="1"/>
          <w:bCs w:val="1"/>
          <w:color w:val="auto"/>
        </w:rPr>
        <w:t>We urge you to vote your shares as promptly as possible by: (1) accessing the voting website, (2) calling the toll-free number or (3) signing, dating and mailing the enclosed proxy.</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166370</wp:posOffset>
            </wp:positionV>
            <wp:extent cx="2066925"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669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spacing w:after="0" w:line="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w:t>
      </w:r>
    </w:p>
    <w:p>
      <w:pPr>
        <w:ind w:left="6060"/>
        <w:spacing w:after="0" w:line="234" w:lineRule="auto"/>
        <w:rPr>
          <w:sz w:val="20"/>
          <w:szCs w:val="20"/>
          <w:color w:val="auto"/>
        </w:rPr>
      </w:pPr>
      <w:r>
        <w:rPr>
          <w:rFonts w:ascii="Arial" w:cs="Arial" w:eastAsia="Arial" w:hAnsi="Arial"/>
          <w:sz w:val="18"/>
          <w:szCs w:val="18"/>
          <w:color w:val="auto"/>
        </w:rPr>
        <w:t>Secretary and</w:t>
      </w:r>
    </w:p>
    <w:p>
      <w:pPr>
        <w:ind w:left="6060"/>
        <w:spacing w:after="0" w:line="235" w:lineRule="auto"/>
        <w:rPr>
          <w:sz w:val="20"/>
          <w:szCs w:val="20"/>
          <w:color w:val="auto"/>
        </w:rPr>
      </w:pPr>
      <w:r>
        <w:rPr>
          <w:rFonts w:ascii="Arial" w:cs="Arial" w:eastAsia="Arial" w:hAnsi="Arial"/>
          <w:sz w:val="18"/>
          <w:szCs w:val="18"/>
          <w:color w:val="auto"/>
        </w:rPr>
        <w:t>General Counsel</w:t>
      </w:r>
    </w:p>
    <w:p>
      <w:pPr>
        <w:ind w:left="200"/>
        <w:spacing w:after="0" w:line="235" w:lineRule="auto"/>
        <w:rPr>
          <w:sz w:val="20"/>
          <w:szCs w:val="20"/>
          <w:color w:val="auto"/>
        </w:rPr>
      </w:pPr>
      <w:r>
        <w:rPr>
          <w:rFonts w:ascii="Arial" w:cs="Arial" w:eastAsia="Arial" w:hAnsi="Arial"/>
          <w:sz w:val="18"/>
          <w:szCs w:val="18"/>
          <w:color w:val="auto"/>
        </w:rPr>
        <w:t>Dallas, Texas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12, 2019</w:t>
      </w:r>
    </w:p>
    <w:p>
      <w:pPr>
        <w:spacing w:after="0" w:line="123"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1</w:t>
            </w:r>
          </w:p>
        </w:tc>
      </w:tr>
    </w:tbl>
    <w:p>
      <w:pPr>
        <w:sectPr>
          <w:pgSz w:w="11900" w:h="16838" w:orient="portrait"/>
          <w:cols w:equalWidth="0" w:num="1">
            <w:col w:w="11220"/>
          </w:cols>
          <w:pgMar w:left="24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TABLE OF CONTENTS</w:t>
      </w:r>
    </w:p>
    <w:p>
      <w:pPr>
        <w:spacing w:after="0" w:line="29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820" w:type="dxa"/>
            <w:vAlign w:val="bottom"/>
            <w:gridSpan w:val="3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Voting procedures, quorum and attendance requirements</w:t>
              </w:r>
            </w:hyperlink>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4940" w:type="dxa"/>
            <w:vAlign w:val="bottom"/>
            <w:gridSpan w:val="31"/>
          </w:tcPr>
          <w:p>
            <w:pPr>
              <w:ind w:left="180"/>
              <w:spacing w:after="0"/>
              <w:rPr>
                <w:rFonts w:ascii="Arial" w:cs="Arial" w:eastAsia="Arial" w:hAnsi="Arial"/>
                <w:sz w:val="18"/>
                <w:szCs w:val="18"/>
                <w:color w:val="0000EE"/>
              </w:rPr>
            </w:pPr>
            <w:hyperlink w:anchor="page33">
              <w:r>
                <w:rPr>
                  <w:rFonts w:ascii="Arial" w:cs="Arial" w:eastAsia="Arial" w:hAnsi="Arial"/>
                  <w:sz w:val="18"/>
                  <w:szCs w:val="18"/>
                  <w:color w:val="0000EE"/>
                </w:rPr>
                <w:t>Compensation Committee report</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454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Election of directors</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Summary compensation table</w:t>
              </w:r>
            </w:hyperlink>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16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gridSpan w:val="7"/>
          </w:tcPr>
          <w:p>
            <w:pPr>
              <w:spacing w:after="0" w:line="182"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Director nominees,</w:t>
              </w:r>
            </w:hyperlink>
          </w:p>
        </w:tc>
        <w:tc>
          <w:tcPr>
            <w:tcW w:w="80" w:type="dxa"/>
            <w:vAlign w:val="bottom"/>
          </w:tcPr>
          <w:p>
            <w:pPr>
              <w:spacing w:after="0"/>
              <w:rPr>
                <w:sz w:val="15"/>
                <w:szCs w:val="15"/>
                <w:color w:val="auto"/>
              </w:rPr>
            </w:pPr>
          </w:p>
        </w:tc>
        <w:tc>
          <w:tcPr>
            <w:tcW w:w="3180" w:type="dxa"/>
            <w:vAlign w:val="bottom"/>
            <w:gridSpan w:val="28"/>
          </w:tcPr>
          <w:p>
            <w:pPr>
              <w:ind w:left="80"/>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qualifications and experience</w:t>
              </w:r>
            </w:hyperlink>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Grants of plan-based awards</w:t>
              </w:r>
            </w:hyperlink>
          </w:p>
        </w:tc>
        <w:tc>
          <w:tcPr>
            <w:tcW w:w="3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390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Director nomination process</w:t>
              </w:r>
            </w:hyperlink>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tcBorders>
              <w:top w:val="single" w:sz="8" w:color="0000EE"/>
            </w:tcBorders>
            <w:gridSpan w:val="12"/>
          </w:tcPr>
          <w:p>
            <w:pPr>
              <w:spacing w:after="0" w:line="182"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Outstanding equity awards at</w:t>
              </w:r>
            </w:hyperlink>
          </w:p>
        </w:tc>
        <w:tc>
          <w:tcPr>
            <w:tcW w:w="60" w:type="dxa"/>
            <w:vAlign w:val="bottom"/>
          </w:tcPr>
          <w:p>
            <w:pPr>
              <w:spacing w:after="0"/>
              <w:rPr>
                <w:sz w:val="15"/>
                <w:szCs w:val="15"/>
                <w:color w:val="auto"/>
              </w:rPr>
            </w:pPr>
          </w:p>
        </w:tc>
        <w:tc>
          <w:tcPr>
            <w:tcW w:w="2380" w:type="dxa"/>
            <w:vAlign w:val="bottom"/>
            <w:gridSpan w:val="17"/>
          </w:tcPr>
          <w:p>
            <w:pPr>
              <w:ind w:left="20"/>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fiscal year-end</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920" w:type="dxa"/>
            <w:vAlign w:val="bottom"/>
            <w:tcBorders>
              <w:right w:val="single" w:sz="8" w:color="0000EE"/>
            </w:tcBorders>
            <w:gridSpan w:val="12"/>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10"/>
            <w:shd w:val="clear" w:color="auto" w:fill="0000EE"/>
          </w:tcPr>
          <w:p>
            <w:pPr>
              <w:spacing w:after="0" w:line="20" w:lineRule="exact"/>
              <w:rPr>
                <w:sz w:val="1"/>
                <w:szCs w:val="1"/>
                <w:color w:val="auto"/>
              </w:rPr>
            </w:pPr>
          </w:p>
        </w:tc>
        <w:tc>
          <w:tcPr>
            <w:tcW w:w="2420" w:type="dxa"/>
            <w:vAlign w:val="bottom"/>
            <w:gridSpan w:val="14"/>
          </w:tcPr>
          <w:p>
            <w:pPr>
              <w:spacing w:after="0" w:line="20" w:lineRule="exact"/>
              <w:rPr>
                <w:sz w:val="1"/>
                <w:szCs w:val="1"/>
                <w:color w:val="auto"/>
              </w:rPr>
            </w:pPr>
          </w:p>
        </w:tc>
        <w:tc>
          <w:tcPr>
            <w:tcW w:w="50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2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shd w:val="clear" w:color="auto" w:fill="0000EE"/>
          </w:tcPr>
          <w:p>
            <w:pPr>
              <w:spacing w:after="0" w:line="20" w:lineRule="exact"/>
              <w:rPr>
                <w:sz w:val="1"/>
                <w:szCs w:val="1"/>
                <w:color w:val="auto"/>
              </w:rPr>
            </w:pPr>
          </w:p>
        </w:tc>
        <w:tc>
          <w:tcPr>
            <w:tcW w:w="540" w:type="dxa"/>
            <w:vAlign w:val="bottom"/>
            <w:vMerge w:val="restart"/>
            <w:shd w:val="clear" w:color="auto" w:fill="0000EE"/>
          </w:tcPr>
          <w:p>
            <w:pPr>
              <w:spacing w:after="0" w:line="20" w:lineRule="exact"/>
              <w:rPr>
                <w:sz w:val="1"/>
                <w:szCs w:val="1"/>
                <w:color w:val="auto"/>
              </w:rPr>
            </w:pPr>
          </w:p>
        </w:tc>
        <w:tc>
          <w:tcPr>
            <w:tcW w:w="320" w:type="dxa"/>
            <w:vAlign w:val="bottom"/>
            <w:vMerge w:val="restart"/>
            <w:shd w:val="clear" w:color="auto" w:fill="0000EE"/>
          </w:tcPr>
          <w:p>
            <w:pPr>
              <w:spacing w:after="0" w:line="20" w:lineRule="exact"/>
              <w:rPr>
                <w:sz w:val="1"/>
                <w:szCs w:val="1"/>
                <w:color w:val="auto"/>
              </w:rPr>
            </w:pPr>
          </w:p>
        </w:tc>
        <w:tc>
          <w:tcPr>
            <w:tcW w:w="120" w:type="dxa"/>
            <w:vAlign w:val="bottom"/>
            <w:vMerge w:val="restart"/>
            <w:shd w:val="clear" w:color="auto" w:fill="0000EE"/>
          </w:tcPr>
          <w:p>
            <w:pPr>
              <w:spacing w:after="0" w:line="20" w:lineRule="exact"/>
              <w:rPr>
                <w:sz w:val="1"/>
                <w:szCs w:val="1"/>
                <w:color w:val="auto"/>
              </w:rPr>
            </w:pPr>
          </w:p>
        </w:tc>
        <w:tc>
          <w:tcPr>
            <w:tcW w:w="160" w:type="dxa"/>
            <w:vAlign w:val="bottom"/>
            <w:vMerge w:val="restart"/>
            <w:shd w:val="clear" w:color="auto" w:fill="0000EE"/>
          </w:tcPr>
          <w:p>
            <w:pPr>
              <w:spacing w:after="0" w:line="20" w:lineRule="exact"/>
              <w:rPr>
                <w:sz w:val="1"/>
                <w:szCs w:val="1"/>
                <w:color w:val="auto"/>
              </w:rPr>
            </w:pPr>
          </w:p>
        </w:tc>
        <w:tc>
          <w:tcPr>
            <w:tcW w:w="140" w:type="dxa"/>
            <w:vAlign w:val="bottom"/>
            <w:tcBorders>
              <w:left w:val="single" w:sz="8" w:color="0000EE"/>
            </w:tcBorders>
            <w:vMerge w:val="restart"/>
            <w:shd w:val="clear" w:color="auto" w:fill="0000EE"/>
          </w:tcPr>
          <w:p>
            <w:pPr>
              <w:spacing w:after="0" w:line="20" w:lineRule="exact"/>
              <w:rPr>
                <w:sz w:val="1"/>
                <w:szCs w:val="1"/>
                <w:color w:val="auto"/>
              </w:rPr>
            </w:pPr>
          </w:p>
        </w:tc>
        <w:tc>
          <w:tcPr>
            <w:tcW w:w="40" w:type="dxa"/>
            <w:vAlign w:val="bottom"/>
            <w:vMerge w:val="restart"/>
            <w:shd w:val="clear" w:color="auto" w:fill="0000EE"/>
          </w:tcPr>
          <w:p>
            <w:pPr>
              <w:spacing w:after="0" w:line="20" w:lineRule="exact"/>
              <w:rPr>
                <w:sz w:val="1"/>
                <w:szCs w:val="1"/>
                <w:color w:val="auto"/>
              </w:rPr>
            </w:pPr>
          </w:p>
        </w:tc>
        <w:tc>
          <w:tcPr>
            <w:tcW w:w="60" w:type="dxa"/>
            <w:vAlign w:val="bottom"/>
            <w:vMerge w:val="restart"/>
            <w:shd w:val="clear" w:color="auto" w:fill="0000EE"/>
          </w:tcPr>
          <w:p>
            <w:pPr>
              <w:spacing w:after="0" w:line="20" w:lineRule="exact"/>
              <w:rPr>
                <w:sz w:val="1"/>
                <w:szCs w:val="1"/>
                <w:color w:val="auto"/>
              </w:rPr>
            </w:pPr>
          </w:p>
        </w:tc>
        <w:tc>
          <w:tcPr>
            <w:tcW w:w="120" w:type="dxa"/>
            <w:vAlign w:val="bottom"/>
            <w:vMerge w:val="restart"/>
            <w:shd w:val="clear" w:color="auto" w:fill="0000EE"/>
          </w:tcPr>
          <w:p>
            <w:pPr>
              <w:spacing w:after="0" w:line="20" w:lineRule="exact"/>
              <w:rPr>
                <w:sz w:val="1"/>
                <w:szCs w:val="1"/>
                <w:color w:val="auto"/>
              </w:rPr>
            </w:pPr>
          </w:p>
        </w:tc>
        <w:tc>
          <w:tcPr>
            <w:tcW w:w="80" w:type="dxa"/>
            <w:vAlign w:val="bottom"/>
            <w:vMerge w:val="restart"/>
            <w:shd w:val="clear" w:color="auto" w:fill="0000EE"/>
          </w:tcPr>
          <w:p>
            <w:pPr>
              <w:spacing w:after="0" w:line="20" w:lineRule="exact"/>
              <w:rPr>
                <w:sz w:val="1"/>
                <w:szCs w:val="1"/>
                <w:color w:val="auto"/>
              </w:rPr>
            </w:pPr>
          </w:p>
        </w:tc>
        <w:tc>
          <w:tcPr>
            <w:tcW w:w="500" w:type="dxa"/>
            <w:vAlign w:val="bottom"/>
            <w:vMerge w:val="restart"/>
            <w:shd w:val="clear" w:color="auto" w:fill="0000EE"/>
          </w:tcPr>
          <w:p>
            <w:pPr>
              <w:spacing w:after="0" w:line="20" w:lineRule="exact"/>
              <w:rPr>
                <w:sz w:val="1"/>
                <w:szCs w:val="1"/>
                <w:color w:val="auto"/>
              </w:rPr>
            </w:pPr>
          </w:p>
        </w:tc>
        <w:tc>
          <w:tcPr>
            <w:tcW w:w="120" w:type="dxa"/>
            <w:vAlign w:val="bottom"/>
            <w:gridSpan w:val="2"/>
            <w:vMerge w:val="restart"/>
            <w:shd w:val="clear" w:color="auto" w:fill="0000EE"/>
          </w:tcPr>
          <w:p>
            <w:pPr>
              <w:spacing w:after="0" w:line="20" w:lineRule="exact"/>
              <w:rPr>
                <w:sz w:val="1"/>
                <w:szCs w:val="1"/>
                <w:color w:val="auto"/>
              </w:rPr>
            </w:pPr>
          </w:p>
        </w:tc>
        <w:tc>
          <w:tcPr>
            <w:tcW w:w="380" w:type="dxa"/>
            <w:vAlign w:val="bottom"/>
            <w:gridSpan w:val="3"/>
            <w:vMerge w:val="restart"/>
            <w:shd w:val="clear" w:color="auto" w:fill="0000EE"/>
          </w:tcPr>
          <w:p>
            <w:pPr>
              <w:spacing w:after="0" w:line="20" w:lineRule="exact"/>
              <w:rPr>
                <w:sz w:val="1"/>
                <w:szCs w:val="1"/>
                <w:color w:val="auto"/>
              </w:rPr>
            </w:pPr>
          </w:p>
        </w:tc>
        <w:tc>
          <w:tcPr>
            <w:tcW w:w="240" w:type="dxa"/>
            <w:vAlign w:val="bottom"/>
            <w:tcBorders>
              <w:right w:val="single" w:sz="8" w:color="0000EE"/>
            </w:tcBorders>
            <w:vMerge w:val="restart"/>
            <w:shd w:val="clear" w:color="auto" w:fill="0000EE"/>
          </w:tcPr>
          <w:p>
            <w:pPr>
              <w:spacing w:after="0" w:line="20" w:lineRule="exact"/>
              <w:rPr>
                <w:sz w:val="1"/>
                <w:szCs w:val="1"/>
                <w:color w:val="auto"/>
              </w:rPr>
            </w:pPr>
          </w:p>
        </w:tc>
        <w:tc>
          <w:tcPr>
            <w:tcW w:w="180" w:type="dxa"/>
            <w:vAlign w:val="bottom"/>
            <w:vMerge w:val="restart"/>
            <w:shd w:val="clear" w:color="auto" w:fill="0000EE"/>
          </w:tcPr>
          <w:p>
            <w:pPr>
              <w:spacing w:after="0" w:line="20" w:lineRule="exact"/>
              <w:rPr>
                <w:sz w:val="1"/>
                <w:szCs w:val="1"/>
                <w:color w:val="auto"/>
              </w:rPr>
            </w:pPr>
          </w:p>
        </w:tc>
        <w:tc>
          <w:tcPr>
            <w:tcW w:w="180" w:type="dxa"/>
            <w:vAlign w:val="bottom"/>
            <w:vMerge w:val="restart"/>
            <w:shd w:val="clear" w:color="auto" w:fill="0000EE"/>
          </w:tcPr>
          <w:p>
            <w:pPr>
              <w:spacing w:after="0" w:line="20" w:lineRule="exact"/>
              <w:rPr>
                <w:sz w:val="1"/>
                <w:szCs w:val="1"/>
                <w:color w:val="auto"/>
              </w:rPr>
            </w:pPr>
          </w:p>
        </w:tc>
        <w:tc>
          <w:tcPr>
            <w:tcW w:w="200" w:type="dxa"/>
            <w:vAlign w:val="bottom"/>
            <w:vMerge w:val="restart"/>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60" w:type="dxa"/>
            <w:vAlign w:val="bottom"/>
            <w:gridSpan w:val="36"/>
            <w:vMerge w:val="restart"/>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Communications with the board</w:t>
              </w:r>
            </w:hyperlink>
          </w:p>
        </w:tc>
        <w:tc>
          <w:tcPr>
            <w:tcW w:w="50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80" w:type="dxa"/>
            <w:vAlign w:val="bottom"/>
            <w:vMerge w:val="continue"/>
            <w:shd w:val="clear" w:color="auto" w:fill="0000EE"/>
          </w:tcPr>
          <w:p>
            <w:pPr>
              <w:spacing w:after="0" w:line="20" w:lineRule="exact"/>
              <w:rPr>
                <w:sz w:val="1"/>
                <w:szCs w:val="1"/>
                <w:color w:val="auto"/>
              </w:rPr>
            </w:pPr>
          </w:p>
        </w:tc>
        <w:tc>
          <w:tcPr>
            <w:tcW w:w="540" w:type="dxa"/>
            <w:vAlign w:val="bottom"/>
            <w:vMerge w:val="continue"/>
            <w:shd w:val="clear" w:color="auto" w:fill="0000EE"/>
          </w:tcPr>
          <w:p>
            <w:pPr>
              <w:spacing w:after="0" w:line="20" w:lineRule="exact"/>
              <w:rPr>
                <w:sz w:val="1"/>
                <w:szCs w:val="1"/>
                <w:color w:val="auto"/>
              </w:rPr>
            </w:pPr>
          </w:p>
        </w:tc>
        <w:tc>
          <w:tcPr>
            <w:tcW w:w="320" w:type="dxa"/>
            <w:vAlign w:val="bottom"/>
            <w:vMerge w:val="continue"/>
            <w:shd w:val="clear" w:color="auto" w:fill="0000EE"/>
          </w:tcPr>
          <w:p>
            <w:pPr>
              <w:spacing w:after="0" w:line="20" w:lineRule="exact"/>
              <w:rPr>
                <w:sz w:val="1"/>
                <w:szCs w:val="1"/>
                <w:color w:val="auto"/>
              </w:rPr>
            </w:pPr>
          </w:p>
        </w:tc>
        <w:tc>
          <w:tcPr>
            <w:tcW w:w="120" w:type="dxa"/>
            <w:vAlign w:val="bottom"/>
            <w:vMerge w:val="continue"/>
            <w:shd w:val="clear" w:color="auto" w:fill="0000EE"/>
          </w:tcPr>
          <w:p>
            <w:pPr>
              <w:spacing w:after="0" w:line="20" w:lineRule="exact"/>
              <w:rPr>
                <w:sz w:val="1"/>
                <w:szCs w:val="1"/>
                <w:color w:val="auto"/>
              </w:rPr>
            </w:pPr>
          </w:p>
        </w:tc>
        <w:tc>
          <w:tcPr>
            <w:tcW w:w="160" w:type="dxa"/>
            <w:vAlign w:val="bottom"/>
            <w:vMerge w:val="continue"/>
            <w:shd w:val="clear" w:color="auto" w:fill="0000EE"/>
          </w:tcPr>
          <w:p>
            <w:pPr>
              <w:spacing w:after="0" w:line="20" w:lineRule="exact"/>
              <w:rPr>
                <w:sz w:val="1"/>
                <w:szCs w:val="1"/>
                <w:color w:val="auto"/>
              </w:rPr>
            </w:pPr>
          </w:p>
        </w:tc>
        <w:tc>
          <w:tcPr>
            <w:tcW w:w="140" w:type="dxa"/>
            <w:vAlign w:val="bottom"/>
            <w:tcBorders>
              <w:left w:val="single" w:sz="8" w:color="0000EE"/>
            </w:tcBorders>
            <w:vMerge w:val="continue"/>
            <w:shd w:val="clear" w:color="auto" w:fill="0000EE"/>
          </w:tcPr>
          <w:p>
            <w:pPr>
              <w:spacing w:after="0" w:line="20" w:lineRule="exact"/>
              <w:rPr>
                <w:sz w:val="1"/>
                <w:szCs w:val="1"/>
                <w:color w:val="auto"/>
              </w:rPr>
            </w:pPr>
          </w:p>
        </w:tc>
        <w:tc>
          <w:tcPr>
            <w:tcW w:w="40" w:type="dxa"/>
            <w:vAlign w:val="bottom"/>
            <w:vMerge w:val="continue"/>
            <w:shd w:val="clear" w:color="auto" w:fill="0000EE"/>
          </w:tcPr>
          <w:p>
            <w:pPr>
              <w:spacing w:after="0" w:line="20" w:lineRule="exact"/>
              <w:rPr>
                <w:sz w:val="1"/>
                <w:szCs w:val="1"/>
                <w:color w:val="auto"/>
              </w:rPr>
            </w:pPr>
          </w:p>
        </w:tc>
        <w:tc>
          <w:tcPr>
            <w:tcW w:w="60" w:type="dxa"/>
            <w:vAlign w:val="bottom"/>
            <w:vMerge w:val="continue"/>
            <w:shd w:val="clear" w:color="auto" w:fill="0000EE"/>
          </w:tcPr>
          <w:p>
            <w:pPr>
              <w:spacing w:after="0" w:line="20" w:lineRule="exact"/>
              <w:rPr>
                <w:sz w:val="1"/>
                <w:szCs w:val="1"/>
                <w:color w:val="auto"/>
              </w:rPr>
            </w:pPr>
          </w:p>
        </w:tc>
        <w:tc>
          <w:tcPr>
            <w:tcW w:w="120" w:type="dxa"/>
            <w:vAlign w:val="bottom"/>
            <w:vMerge w:val="continue"/>
            <w:shd w:val="clear" w:color="auto" w:fill="0000EE"/>
          </w:tcPr>
          <w:p>
            <w:pPr>
              <w:spacing w:after="0" w:line="20" w:lineRule="exact"/>
              <w:rPr>
                <w:sz w:val="1"/>
                <w:szCs w:val="1"/>
                <w:color w:val="auto"/>
              </w:rPr>
            </w:pPr>
          </w:p>
        </w:tc>
        <w:tc>
          <w:tcPr>
            <w:tcW w:w="80" w:type="dxa"/>
            <w:vAlign w:val="bottom"/>
            <w:vMerge w:val="continue"/>
            <w:shd w:val="clear" w:color="auto" w:fill="0000EE"/>
          </w:tcPr>
          <w:p>
            <w:pPr>
              <w:spacing w:after="0" w:line="20" w:lineRule="exact"/>
              <w:rPr>
                <w:sz w:val="1"/>
                <w:szCs w:val="1"/>
                <w:color w:val="auto"/>
              </w:rPr>
            </w:pPr>
          </w:p>
        </w:tc>
        <w:tc>
          <w:tcPr>
            <w:tcW w:w="500" w:type="dxa"/>
            <w:vAlign w:val="bottom"/>
            <w:vMerge w:val="continue"/>
            <w:shd w:val="clear" w:color="auto" w:fill="0000EE"/>
          </w:tcPr>
          <w:p>
            <w:pPr>
              <w:spacing w:after="0" w:line="20" w:lineRule="exact"/>
              <w:rPr>
                <w:sz w:val="1"/>
                <w:szCs w:val="1"/>
                <w:color w:val="auto"/>
              </w:rPr>
            </w:pPr>
          </w:p>
        </w:tc>
        <w:tc>
          <w:tcPr>
            <w:tcW w:w="120" w:type="dxa"/>
            <w:vAlign w:val="bottom"/>
            <w:gridSpan w:val="2"/>
            <w:vMerge w:val="continue"/>
            <w:shd w:val="clear" w:color="auto" w:fill="0000EE"/>
          </w:tcPr>
          <w:p>
            <w:pPr>
              <w:spacing w:after="0" w:line="20" w:lineRule="exact"/>
              <w:rPr>
                <w:sz w:val="1"/>
                <w:szCs w:val="1"/>
                <w:color w:val="auto"/>
              </w:rPr>
            </w:pPr>
          </w:p>
        </w:tc>
        <w:tc>
          <w:tcPr>
            <w:tcW w:w="380" w:type="dxa"/>
            <w:vAlign w:val="bottom"/>
            <w:gridSpan w:val="3"/>
            <w:vMerge w:val="continue"/>
            <w:shd w:val="clear" w:color="auto" w:fill="0000EE"/>
          </w:tcPr>
          <w:p>
            <w:pPr>
              <w:spacing w:after="0" w:line="20" w:lineRule="exact"/>
              <w:rPr>
                <w:sz w:val="1"/>
                <w:szCs w:val="1"/>
                <w:color w:val="auto"/>
              </w:rPr>
            </w:pPr>
          </w:p>
        </w:tc>
        <w:tc>
          <w:tcPr>
            <w:tcW w:w="240" w:type="dxa"/>
            <w:vAlign w:val="bottom"/>
            <w:tcBorders>
              <w:right w:val="single" w:sz="8" w:color="0000EE"/>
            </w:tcBorders>
            <w:vMerge w:val="continue"/>
            <w:shd w:val="clear" w:color="auto" w:fill="0000EE"/>
          </w:tcPr>
          <w:p>
            <w:pPr>
              <w:spacing w:after="0" w:line="20" w:lineRule="exact"/>
              <w:rPr>
                <w:sz w:val="1"/>
                <w:szCs w:val="1"/>
                <w:color w:val="auto"/>
              </w:rPr>
            </w:pPr>
          </w:p>
        </w:tc>
        <w:tc>
          <w:tcPr>
            <w:tcW w:w="180" w:type="dxa"/>
            <w:vAlign w:val="bottom"/>
            <w:vMerge w:val="continue"/>
            <w:shd w:val="clear" w:color="auto" w:fill="0000EE"/>
          </w:tcPr>
          <w:p>
            <w:pPr>
              <w:spacing w:after="0" w:line="20" w:lineRule="exact"/>
              <w:rPr>
                <w:sz w:val="1"/>
                <w:szCs w:val="1"/>
                <w:color w:val="auto"/>
              </w:rPr>
            </w:pPr>
          </w:p>
        </w:tc>
        <w:tc>
          <w:tcPr>
            <w:tcW w:w="180" w:type="dxa"/>
            <w:vAlign w:val="bottom"/>
            <w:vMerge w:val="continue"/>
            <w:shd w:val="clear" w:color="auto" w:fill="0000EE"/>
          </w:tcPr>
          <w:p>
            <w:pPr>
              <w:spacing w:after="0" w:line="20" w:lineRule="exact"/>
              <w:rPr>
                <w:sz w:val="1"/>
                <w:szCs w:val="1"/>
                <w:color w:val="auto"/>
              </w:rPr>
            </w:pPr>
          </w:p>
        </w:tc>
        <w:tc>
          <w:tcPr>
            <w:tcW w:w="200" w:type="dxa"/>
            <w:vAlign w:val="bottom"/>
            <w:vMerge w:val="continue"/>
            <w:shd w:val="clear" w:color="auto" w:fill="0000E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4660" w:type="dxa"/>
            <w:vAlign w:val="bottom"/>
            <w:gridSpan w:val="36"/>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560" w:type="dxa"/>
            <w:vAlign w:val="bottom"/>
            <w:gridSpan w:val="20"/>
          </w:tcPr>
          <w:p>
            <w:pPr>
              <w:spacing w:after="0" w:line="163" w:lineRule="exact"/>
              <w:rPr>
                <w:rFonts w:ascii="Arial" w:cs="Arial" w:eastAsia="Arial" w:hAnsi="Arial"/>
                <w:sz w:val="18"/>
                <w:szCs w:val="18"/>
                <w:color w:val="0000EE"/>
              </w:rPr>
            </w:pPr>
            <w:hyperlink w:anchor="page38">
              <w:r>
                <w:rPr>
                  <w:rFonts w:ascii="Arial" w:cs="Arial" w:eastAsia="Arial" w:hAnsi="Arial"/>
                  <w:sz w:val="18"/>
                  <w:szCs w:val="18"/>
                  <w:color w:val="0000EE"/>
                </w:rPr>
                <w:t>Option exercises and stock vested</w:t>
              </w:r>
            </w:hyperlink>
          </w:p>
        </w:tc>
        <w:tc>
          <w:tcPr>
            <w:tcW w:w="1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0" w:type="dxa"/>
            <w:vAlign w:val="bottom"/>
            <w:tcBorders>
              <w:top w:val="single" w:sz="8" w:color="0000EE"/>
            </w:tcBorders>
            <w:gridSpan w:val="12"/>
          </w:tcPr>
          <w:p>
            <w:pPr>
              <w:spacing w:after="0" w:line="182" w:lineRule="exact"/>
              <w:rPr>
                <w:rFonts w:ascii="Arial" w:cs="Arial" w:eastAsia="Arial" w:hAnsi="Arial"/>
                <w:sz w:val="18"/>
                <w:szCs w:val="18"/>
                <w:color w:val="0000EE"/>
                <w:w w:val="98"/>
              </w:rPr>
            </w:pPr>
            <w:hyperlink w:anchor="page12">
              <w:r>
                <w:rPr>
                  <w:rFonts w:ascii="Arial" w:cs="Arial" w:eastAsia="Arial" w:hAnsi="Arial"/>
                  <w:sz w:val="18"/>
                  <w:szCs w:val="18"/>
                  <w:color w:val="0000EE"/>
                  <w:w w:val="98"/>
                </w:rPr>
                <w:t>Corporate governance</w:t>
              </w:r>
            </w:hyperlink>
          </w:p>
        </w:tc>
        <w:tc>
          <w:tcPr>
            <w:tcW w:w="720" w:type="dxa"/>
            <w:vAlign w:val="bottom"/>
            <w:tcBorders>
              <w:top w:val="single" w:sz="8" w:color="0000EE"/>
            </w:tcBorders>
            <w:gridSpan w:val="13"/>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Pension benefits</w:t>
              </w:r>
            </w:hyperlink>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920" w:type="dxa"/>
            <w:vAlign w:val="bottom"/>
            <w:tcBorders>
              <w:right w:val="single" w:sz="8" w:color="0000EE"/>
            </w:tcBorders>
            <w:gridSpan w:val="12"/>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60" w:type="dxa"/>
            <w:vAlign w:val="bottom"/>
            <w:gridSpan w:val="24"/>
          </w:tcPr>
          <w:p>
            <w:pPr>
              <w:spacing w:after="0" w:line="20" w:lineRule="exact"/>
              <w:rPr>
                <w:sz w:val="1"/>
                <w:szCs w:val="1"/>
                <w:color w:val="auto"/>
              </w:rPr>
            </w:pPr>
          </w:p>
        </w:tc>
        <w:tc>
          <w:tcPr>
            <w:tcW w:w="50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2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440" w:type="dxa"/>
            <w:vAlign w:val="bottom"/>
            <w:tcBorders>
              <w:left w:val="single" w:sz="8" w:color="0000EE"/>
            </w:tcBorders>
            <w:gridSpan w:val="25"/>
          </w:tcPr>
          <w:p>
            <w:pPr>
              <w:spacing w:after="0" w:line="20" w:lineRule="exact"/>
              <w:rPr>
                <w:sz w:val="1"/>
                <w:szCs w:val="1"/>
                <w:color w:val="auto"/>
              </w:rPr>
            </w:pPr>
          </w:p>
        </w:tc>
        <w:tc>
          <w:tcPr>
            <w:tcW w:w="4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4660" w:type="dxa"/>
            <w:vAlign w:val="bottom"/>
            <w:gridSpan w:val="36"/>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Annual meeting attendance</w:t>
              </w:r>
            </w:hyperlink>
          </w:p>
        </w:tc>
        <w:tc>
          <w:tcPr>
            <w:tcW w:w="5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760" w:type="dxa"/>
            <w:vAlign w:val="bottom"/>
            <w:gridSpan w:val="30"/>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Non-qualified deferred compensation</w:t>
              </w:r>
            </w:hyperlink>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20" w:type="dxa"/>
            <w:vAlign w:val="bottom"/>
            <w:tcBorders>
              <w:top w:val="single" w:sz="8" w:color="0000EE"/>
            </w:tcBorders>
            <w:gridSpan w:val="13"/>
          </w:tcPr>
          <w:p>
            <w:pPr>
              <w:spacing w:after="0" w:line="18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Director independence</w:t>
              </w:r>
            </w:hyperlink>
          </w:p>
        </w:tc>
        <w:tc>
          <w:tcPr>
            <w:tcW w:w="420" w:type="dxa"/>
            <w:vAlign w:val="bottom"/>
            <w:tcBorders>
              <w:top w:val="single" w:sz="8" w:color="0000EE"/>
            </w:tcBorders>
            <w:gridSpan w:val="9"/>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Potential payments upon termination</w:t>
              </w:r>
            </w:hyperlink>
          </w:p>
        </w:tc>
        <w:tc>
          <w:tcPr>
            <w:tcW w:w="1760" w:type="dxa"/>
            <w:vAlign w:val="bottom"/>
            <w:gridSpan w:val="13"/>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or change in control</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920" w:type="dxa"/>
            <w:vAlign w:val="bottom"/>
            <w:tcBorders>
              <w:right w:val="single" w:sz="8" w:color="0000EE"/>
            </w:tcBorders>
            <w:gridSpan w:val="12"/>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gridSpan w:val="2"/>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11</w:t>
            </w:r>
          </w:p>
        </w:tc>
        <w:tc>
          <w:tcPr>
            <w:tcW w:w="2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680" w:type="dxa"/>
            <w:vAlign w:val="bottom"/>
            <w:tcBorders>
              <w:left w:val="single" w:sz="8" w:color="0000EE"/>
              <w:right w:val="single" w:sz="8" w:color="0000EE"/>
            </w:tcBorders>
            <w:gridSpan w:val="12"/>
            <w:shd w:val="clear" w:color="auto" w:fill="0000EE"/>
          </w:tcPr>
          <w:p>
            <w:pPr>
              <w:spacing w:after="0" w:line="20" w:lineRule="exact"/>
              <w:rPr>
                <w:sz w:val="1"/>
                <w:szCs w:val="1"/>
                <w:color w:val="auto"/>
              </w:rPr>
            </w:pPr>
          </w:p>
        </w:tc>
        <w:tc>
          <w:tcPr>
            <w:tcW w:w="1560" w:type="dxa"/>
            <w:vAlign w:val="bottom"/>
            <w:gridSpan w:val="12"/>
            <w:shd w:val="clear" w:color="auto" w:fill="0000E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83"/>
        </w:trPr>
        <w:tc>
          <w:tcPr>
            <w:tcW w:w="150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Board organization</w:t>
              </w:r>
            </w:hyperlink>
          </w:p>
        </w:tc>
        <w:tc>
          <w:tcPr>
            <w:tcW w:w="480" w:type="dxa"/>
            <w:vAlign w:val="bottom"/>
            <w:gridSpan w:val="7"/>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Pay ratio</w:t>
              </w:r>
            </w:hyperlink>
          </w:p>
        </w:tc>
        <w:tc>
          <w:tcPr>
            <w:tcW w:w="3840" w:type="dxa"/>
            <w:vAlign w:val="bottom"/>
            <w:gridSpan w:val="27"/>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500" w:type="dxa"/>
            <w:vAlign w:val="bottom"/>
            <w:gridSpan w:val="24"/>
          </w:tcPr>
          <w:p>
            <w:pPr>
              <w:spacing w:after="0" w:line="182"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Board and committee meetings</w:t>
              </w:r>
            </w:hyperlink>
          </w:p>
        </w:tc>
        <w:tc>
          <w:tcPr>
            <w:tcW w:w="2160" w:type="dxa"/>
            <w:vAlign w:val="bottom"/>
            <w:gridSpan w:val="12"/>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5"/>
                <w:szCs w:val="15"/>
                <w:color w:val="auto"/>
              </w:rPr>
            </w:pPr>
          </w:p>
        </w:tc>
        <w:tc>
          <w:tcPr>
            <w:tcW w:w="4940" w:type="dxa"/>
            <w:vAlign w:val="bottom"/>
            <w:gridSpan w:val="31"/>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Audit Committee report</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920" w:type="dxa"/>
            <w:vAlign w:val="bottom"/>
            <w:tcBorders>
              <w:right w:val="single" w:sz="8" w:color="0000EE"/>
            </w:tcBorders>
            <w:gridSpan w:val="12"/>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12"/>
            <w:shd w:val="clear" w:color="auto" w:fill="0000EE"/>
          </w:tcPr>
          <w:p>
            <w:pPr>
              <w:spacing w:after="0" w:line="20" w:lineRule="exact"/>
              <w:rPr>
                <w:sz w:val="1"/>
                <w:szCs w:val="1"/>
                <w:color w:val="auto"/>
              </w:rPr>
            </w:pPr>
          </w:p>
        </w:tc>
        <w:tc>
          <w:tcPr>
            <w:tcW w:w="660" w:type="dxa"/>
            <w:vAlign w:val="bottom"/>
            <w:gridSpan w:val="2"/>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280" w:type="dxa"/>
            <w:vAlign w:val="bottom"/>
            <w:vMerge w:val="restart"/>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3840" w:type="dxa"/>
            <w:vAlign w:val="bottom"/>
            <w:tcBorders>
              <w:left w:val="single" w:sz="8" w:color="0000EE"/>
            </w:tcBorders>
            <w:gridSpan w:val="26"/>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500" w:type="dxa"/>
            <w:vAlign w:val="bottom"/>
            <w:gridSpan w:val="24"/>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Committees of the board</w:t>
              </w:r>
            </w:hyperlink>
          </w:p>
        </w:tc>
        <w:tc>
          <w:tcPr>
            <w:tcW w:w="66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940" w:type="dxa"/>
            <w:vAlign w:val="bottom"/>
            <w:gridSpan w:val="31"/>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Proposal to ratify appointment of independent registered</w:t>
              </w:r>
            </w:hyperlink>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980" w:type="dxa"/>
            <w:vAlign w:val="bottom"/>
            <w:tcBorders>
              <w:top w:val="single" w:sz="8" w:color="0000EE"/>
            </w:tcBorders>
            <w:gridSpan w:val="17"/>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Board evaluation process</w:t>
              </w:r>
            </w:hyperlink>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0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5"/>
                <w:szCs w:val="15"/>
                <w:color w:val="auto"/>
              </w:rPr>
            </w:pPr>
          </w:p>
        </w:tc>
        <w:tc>
          <w:tcPr>
            <w:tcW w:w="4500" w:type="dxa"/>
            <w:vAlign w:val="bottom"/>
            <w:tcBorders>
              <w:top w:val="single" w:sz="8" w:color="0000EE"/>
            </w:tcBorders>
            <w:gridSpan w:val="27"/>
          </w:tcPr>
          <w:p>
            <w:pPr>
              <w:ind w:left="180"/>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public accounting firm</w:t>
              </w:r>
            </w:hyperlink>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040" w:type="dxa"/>
            <w:vAlign w:val="bottom"/>
            <w:tcBorders>
              <w:top w:val="single" w:sz="8" w:color="0000EE"/>
            </w:tcBorders>
            <w:gridSpan w:val="18"/>
          </w:tcPr>
          <w:p>
            <w:pPr>
              <w:spacing w:after="0" w:line="182"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Board leadership structure</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0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14</w:t>
            </w:r>
          </w:p>
        </w:tc>
        <w:tc>
          <w:tcPr>
            <w:tcW w:w="460" w:type="dxa"/>
            <w:vAlign w:val="bottom"/>
            <w:gridSpan w:val="2"/>
          </w:tcPr>
          <w:p>
            <w:pPr>
              <w:spacing w:after="0"/>
              <w:rPr>
                <w:sz w:val="15"/>
                <w:szCs w:val="15"/>
                <w:color w:val="auto"/>
              </w:rPr>
            </w:pPr>
          </w:p>
        </w:tc>
        <w:tc>
          <w:tcPr>
            <w:tcW w:w="176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Additional information</w:t>
              </w:r>
            </w:hyperlink>
          </w:p>
        </w:tc>
        <w:tc>
          <w:tcPr>
            <w:tcW w:w="50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2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140" w:type="dxa"/>
            <w:vAlign w:val="bottom"/>
            <w:tcBorders>
              <w:top w:val="single" w:sz="8" w:color="0000EE"/>
            </w:tcBorders>
            <w:gridSpan w:val="20"/>
          </w:tcPr>
          <w:p>
            <w:pPr>
              <w:spacing w:after="0" w:line="182"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Risk oversight by the board</w:t>
              </w:r>
            </w:hyperlink>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0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5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Voting securities</w:t>
              </w:r>
            </w:hyperlink>
          </w:p>
        </w:tc>
        <w:tc>
          <w:tcPr>
            <w:tcW w:w="70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62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800" w:type="dxa"/>
            <w:vAlign w:val="bottom"/>
            <w:gridSpan w:val="3"/>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15</w:t>
            </w:r>
          </w:p>
        </w:tc>
        <w:tc>
          <w:tcPr>
            <w:tcW w:w="2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83"/>
        </w:trPr>
        <w:tc>
          <w:tcPr>
            <w:tcW w:w="2340" w:type="dxa"/>
            <w:vAlign w:val="bottom"/>
            <w:gridSpan w:val="22"/>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Director compensation</w:t>
              </w:r>
            </w:hyperlink>
          </w:p>
        </w:tc>
        <w:tc>
          <w:tcPr>
            <w:tcW w:w="180" w:type="dxa"/>
            <w:vAlign w:val="bottom"/>
            <w:gridSpan w:val="2"/>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760" w:type="dxa"/>
            <w:vAlign w:val="bottom"/>
            <w:gridSpan w:val="30"/>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w:t>
              </w:r>
            </w:hyperlink>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Executive compensation</w:t>
              </w:r>
            </w:hyperlink>
          </w:p>
        </w:tc>
        <w:tc>
          <w:tcPr>
            <w:tcW w:w="40" w:type="dxa"/>
            <w:vAlign w:val="bottom"/>
            <w:tcBorders>
              <w:bottom w:val="single" w:sz="8" w:color="0000EE"/>
            </w:tcBorders>
          </w:tcPr>
          <w:p>
            <w:pPr>
              <w:spacing w:after="0"/>
              <w:rPr>
                <w:sz w:val="15"/>
                <w:szCs w:val="15"/>
                <w:color w:val="auto"/>
              </w:rPr>
            </w:pPr>
          </w:p>
        </w:tc>
        <w:tc>
          <w:tcPr>
            <w:tcW w:w="10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240" w:type="dxa"/>
            <w:vAlign w:val="bottom"/>
            <w:gridSpan w:val="4"/>
          </w:tcPr>
          <w:p>
            <w:pPr>
              <w:spacing w:after="0"/>
              <w:rPr>
                <w:sz w:val="15"/>
                <w:szCs w:val="15"/>
                <w:color w:val="auto"/>
              </w:rPr>
            </w:pPr>
          </w:p>
        </w:tc>
        <w:tc>
          <w:tcPr>
            <w:tcW w:w="80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Security ownership of directors and management</w:t>
              </w:r>
            </w:hyperlink>
          </w:p>
        </w:tc>
        <w:tc>
          <w:tcPr>
            <w:tcW w:w="4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4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4660" w:type="dxa"/>
            <w:vAlign w:val="bottom"/>
            <w:gridSpan w:val="36"/>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Proposal regarding advisory approval of the company’s</w:t>
              </w:r>
            </w:hyperlink>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20" w:type="dxa"/>
            <w:vAlign w:val="bottom"/>
            <w:gridSpan w:val="25"/>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Related person transactions</w:t>
              </w:r>
            </w:hyperlink>
          </w:p>
        </w:tc>
        <w:tc>
          <w:tcPr>
            <w:tcW w:w="4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22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executive compensation</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Compensation committee</w:t>
              </w:r>
            </w:hyperlink>
          </w:p>
        </w:tc>
        <w:tc>
          <w:tcPr>
            <w:tcW w:w="2500" w:type="dxa"/>
            <w:vAlign w:val="bottom"/>
            <w:gridSpan w:val="19"/>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interlocks and insider</w:t>
              </w:r>
            </w:hyperlink>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Borders>
              <w:bottom w:val="single" w:sz="8" w:color="0000EE"/>
            </w:tcBorders>
          </w:tcPr>
          <w:p>
            <w:pPr>
              <w:spacing w:after="0"/>
              <w:rPr>
                <w:sz w:val="15"/>
                <w:szCs w:val="15"/>
                <w:color w:val="auto"/>
              </w:rPr>
            </w:pPr>
          </w:p>
        </w:tc>
        <w:tc>
          <w:tcPr>
            <w:tcW w:w="194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Compensation Discussion</w:t>
              </w:r>
            </w:hyperlink>
          </w:p>
        </w:tc>
        <w:tc>
          <w:tcPr>
            <w:tcW w:w="1040" w:type="dxa"/>
            <w:vAlign w:val="bottom"/>
            <w:tcBorders>
              <w:bottom w:val="single" w:sz="8" w:color="0000EE"/>
            </w:tcBorders>
            <w:gridSpan w:val="7"/>
          </w:tcPr>
          <w:p>
            <w:pPr>
              <w:jc w:val="cente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and Analysis</w:t>
              </w:r>
            </w:hyperlink>
          </w:p>
        </w:tc>
        <w:tc>
          <w:tcPr>
            <w:tcW w:w="1500" w:type="dxa"/>
            <w:vAlign w:val="bottom"/>
            <w:gridSpan w:val="10"/>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participation</w:t>
              </w:r>
            </w:hyperlink>
          </w:p>
        </w:tc>
        <w:tc>
          <w:tcPr>
            <w:tcW w:w="2640" w:type="dxa"/>
            <w:vAlign w:val="bottom"/>
            <w:tcBorders>
              <w:top w:val="single" w:sz="8" w:color="0000EE"/>
            </w:tcBorders>
            <w:gridSpan w:val="19"/>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10"/>
          </w:tcPr>
          <w:p>
            <w:pPr>
              <w:spacing w:after="0" w:line="182"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Executive summary</w:t>
              </w:r>
            </w:hyperlink>
          </w:p>
        </w:tc>
        <w:tc>
          <w:tcPr>
            <w:tcW w:w="1400" w:type="dxa"/>
            <w:vAlign w:val="bottom"/>
            <w:gridSpan w:val="15"/>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30"/>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Cost of solicitation</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gridSpan w:val="7"/>
            <w:vMerge w:val="restart"/>
          </w:tcPr>
          <w:p>
            <w:pPr>
              <w:spacing w:after="0" w:line="20" w:lineRule="exact"/>
              <w:rPr>
                <w:sz w:val="1"/>
                <w:szCs w:val="1"/>
                <w:color w:val="auto"/>
              </w:rPr>
            </w:pPr>
          </w:p>
        </w:tc>
        <w:tc>
          <w:tcPr>
            <w:tcW w:w="1220" w:type="dxa"/>
            <w:vAlign w:val="bottom"/>
            <w:gridSpan w:val="4"/>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20</w:t>
            </w:r>
          </w:p>
        </w:tc>
        <w:tc>
          <w:tcPr>
            <w:tcW w:w="2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10"/>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Detailed discussion</w:t>
              </w:r>
            </w:hyperlink>
          </w:p>
        </w:tc>
        <w:tc>
          <w:tcPr>
            <w:tcW w:w="80" w:type="dxa"/>
            <w:vAlign w:val="bottom"/>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40" w:type="dxa"/>
            <w:vAlign w:val="bottom"/>
            <w:gridSpan w:val="7"/>
            <w:vMerge w:val="continue"/>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760" w:type="dxa"/>
            <w:vAlign w:val="bottom"/>
            <w:gridSpan w:val="30"/>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Stockholder proposals and nominations for 2020</w:t>
              </w:r>
            </w:hyperlink>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Compensation</w:t>
              </w:r>
            </w:hyperlink>
          </w:p>
        </w:tc>
        <w:tc>
          <w:tcPr>
            <w:tcW w:w="1820" w:type="dxa"/>
            <w:vAlign w:val="bottom"/>
            <w:tcBorders>
              <w:bottom w:val="single" w:sz="8" w:color="0000EE"/>
            </w:tcBorders>
            <w:gridSpan w:val="16"/>
          </w:tcPr>
          <w:p>
            <w:pPr>
              <w:jc w:val="center"/>
              <w:spacing w:after="0" w:line="182"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philosophy and elements</w:t>
              </w:r>
            </w:hyperlink>
          </w:p>
        </w:tc>
        <w:tc>
          <w:tcPr>
            <w:tcW w:w="1080" w:type="dxa"/>
            <w:vAlign w:val="bottom"/>
            <w:gridSpan w:val="9"/>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Benefit plan voting</w:t>
              </w:r>
            </w:hyperlink>
          </w:p>
        </w:tc>
        <w:tc>
          <w:tcPr>
            <w:tcW w:w="2380" w:type="dxa"/>
            <w:vAlign w:val="bottom"/>
            <w:tcBorders>
              <w:top w:val="single" w:sz="8" w:color="0000EE"/>
            </w:tcBorders>
            <w:gridSpan w:val="17"/>
          </w:tcPr>
          <w:p>
            <w:pPr>
              <w:spacing w:after="0"/>
              <w:rPr>
                <w:sz w:val="15"/>
                <w:szCs w:val="15"/>
                <w:color w:val="auto"/>
              </w:rPr>
            </w:pPr>
          </w:p>
        </w:tc>
        <w:tc>
          <w:tcPr>
            <w:tcW w:w="5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12"/>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Comparator group</w:t>
              </w:r>
            </w:hyperlink>
          </w:p>
        </w:tc>
        <w:tc>
          <w:tcPr>
            <w:tcW w:w="1740" w:type="dxa"/>
            <w:vAlign w:val="bottom"/>
            <w:gridSpan w:val="13"/>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30"/>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Section 16(a) beneficial ownership reporting compliance</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22</w:t>
            </w:r>
          </w:p>
        </w:tc>
        <w:tc>
          <w:tcPr>
            <w:tcW w:w="2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340" w:type="dxa"/>
            <w:vAlign w:val="bottom"/>
            <w:gridSpan w:val="10"/>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4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gridSpan w:val="34"/>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Analysis of compensation determinations</w:t>
              </w:r>
            </w:hyperlink>
          </w:p>
        </w:tc>
        <w:tc>
          <w:tcPr>
            <w:tcW w:w="5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480" w:type="dxa"/>
            <w:vAlign w:val="bottom"/>
            <w:gridSpan w:val="28"/>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Telephone and internet voting</w:t>
              </w:r>
            </w:hyperlink>
          </w:p>
        </w:tc>
        <w:tc>
          <w:tcPr>
            <w:tcW w:w="2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Equity dilution</w:t>
              </w:r>
            </w:hyperlink>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tcBorders>
              <w:top w:val="single" w:sz="8" w:color="0000EE"/>
            </w:tcBorders>
            <w:gridSpan w:val="13"/>
          </w:tcPr>
          <w:p>
            <w:pPr>
              <w:spacing w:after="0" w:line="182"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Stockholders sharing the same</w:t>
              </w:r>
            </w:hyperlink>
          </w:p>
        </w:tc>
        <w:tc>
          <w:tcPr>
            <w:tcW w:w="2380" w:type="dxa"/>
            <w:vAlign w:val="bottom"/>
            <w:gridSpan w:val="17"/>
          </w:tcPr>
          <w:p>
            <w:pPr>
              <w:ind w:left="160"/>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address</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28</w:t>
            </w:r>
          </w:p>
        </w:tc>
        <w:tc>
          <w:tcPr>
            <w:tcW w:w="2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960" w:type="dxa"/>
            <w:vAlign w:val="bottom"/>
            <w:tcBorders>
              <w:right w:val="single" w:sz="8" w:color="0000EE"/>
            </w:tcBorders>
            <w:gridSpan w:val="1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gridSpan w:val="34"/>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Process for equity grants</w:t>
              </w:r>
            </w:hyperlink>
          </w:p>
        </w:tc>
        <w:tc>
          <w:tcPr>
            <w:tcW w:w="5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760" w:type="dxa"/>
            <w:vAlign w:val="bottom"/>
            <w:gridSpan w:val="30"/>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Electronic delivery of proxy materials and copies of our</w:t>
              </w:r>
            </w:hyperlink>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Recoupment policy</w:t>
              </w:r>
            </w:hyperlink>
          </w:p>
        </w:tc>
        <w:tc>
          <w:tcPr>
            <w:tcW w:w="460" w:type="dxa"/>
            <w:vAlign w:val="bottom"/>
            <w:tcBorders>
              <w:top w:val="single" w:sz="8" w:color="0000EE"/>
            </w:tcBorders>
            <w:gridSpan w:val="8"/>
          </w:tcPr>
          <w:p>
            <w:pPr>
              <w:spacing w:after="0"/>
              <w:rPr>
                <w:sz w:val="15"/>
                <w:szCs w:val="15"/>
                <w:color w:val="auto"/>
              </w:rPr>
            </w:pPr>
          </w:p>
        </w:tc>
        <w:tc>
          <w:tcPr>
            <w:tcW w:w="1680" w:type="dxa"/>
            <w:vAlign w:val="bottom"/>
            <w:gridSpan w:val="7"/>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53">
              <w:r>
                <w:rPr>
                  <w:rFonts w:ascii="Arial" w:cs="Arial" w:eastAsia="Arial" w:hAnsi="Arial"/>
                  <w:sz w:val="18"/>
                  <w:szCs w:val="18"/>
                  <w:color w:val="0000EE"/>
                  <w:w w:val="98"/>
                </w:rPr>
                <w:t>Form 10-K</w:t>
              </w:r>
            </w:hyperlink>
          </w:p>
        </w:tc>
        <w:tc>
          <w:tcPr>
            <w:tcW w:w="3340" w:type="dxa"/>
            <w:vAlign w:val="bottom"/>
            <w:tcBorders>
              <w:top w:val="single" w:sz="8" w:color="0000EE"/>
            </w:tcBorders>
            <w:gridSpan w:val="24"/>
          </w:tcPr>
          <w:p>
            <w:pPr>
              <w:spacing w:after="0"/>
              <w:rPr>
                <w:sz w:val="15"/>
                <w:szCs w:val="15"/>
                <w:color w:val="auto"/>
              </w:rPr>
            </w:pPr>
          </w:p>
        </w:tc>
        <w:tc>
          <w:tcPr>
            <w:tcW w:w="380" w:type="dxa"/>
            <w:vAlign w:val="bottom"/>
            <w:gridSpan w:val="3"/>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00" w:type="dxa"/>
            <w:vAlign w:val="bottom"/>
            <w:gridSpan w:val="32"/>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Most recent stockholder advisory vote on executive</w:t>
              </w:r>
            </w:hyperlink>
          </w:p>
        </w:tc>
        <w:tc>
          <w:tcPr>
            <w:tcW w:w="20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4"/>
          </w:tcPr>
          <w:p>
            <w:pPr>
              <w:spacing w:after="0" w:line="182"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Notice regarding</w:t>
              </w:r>
            </w:hyperlink>
          </w:p>
        </w:tc>
        <w:tc>
          <w:tcPr>
            <w:tcW w:w="3720" w:type="dxa"/>
            <w:vAlign w:val="bottom"/>
            <w:gridSpan w:val="27"/>
          </w:tcPr>
          <w:p>
            <w:pPr>
              <w:ind w:left="160"/>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forward-looking statements</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2120" w:type="dxa"/>
            <w:vAlign w:val="bottom"/>
            <w:gridSpan w:val="1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28</w:t>
            </w:r>
          </w:p>
        </w:tc>
        <w:tc>
          <w:tcPr>
            <w:tcW w:w="280" w:type="dxa"/>
            <w:vAlign w:val="bottom"/>
            <w:vMerge w:val="restart"/>
          </w:tcPr>
          <w:p>
            <w:pPr>
              <w:spacing w:after="0" w:line="20" w:lineRule="exact"/>
              <w:rPr>
                <w:sz w:val="1"/>
                <w:szCs w:val="1"/>
                <w:color w:val="auto"/>
              </w:rPr>
            </w:pPr>
          </w:p>
        </w:tc>
        <w:tc>
          <w:tcPr>
            <w:tcW w:w="3180" w:type="dxa"/>
            <w:vAlign w:val="bottom"/>
            <w:tcBorders>
              <w:right w:val="single" w:sz="8" w:color="0000EE"/>
            </w:tcBorders>
            <w:gridSpan w:val="18"/>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4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20" w:type="dxa"/>
            <w:vAlign w:val="bottom"/>
            <w:gridSpan w:val="31"/>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compensation</w:t>
              </w:r>
            </w:hyperlink>
          </w:p>
        </w:tc>
        <w:tc>
          <w:tcPr>
            <w:tcW w:w="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940" w:type="dxa"/>
            <w:vAlign w:val="bottom"/>
            <w:gridSpan w:val="31"/>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Directions and other annual meeting information</w:t>
              </w:r>
            </w:hyperlink>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60" w:type="dxa"/>
            <w:vAlign w:val="bottom"/>
            <w:gridSpan w:val="6"/>
            <w:vMerge w:val="restart"/>
          </w:tcPr>
          <w:p>
            <w:pPr>
              <w:spacing w:after="0" w:line="20" w:lineRule="exact"/>
              <w:rPr>
                <w:sz w:val="1"/>
                <w:szCs w:val="1"/>
                <w:color w:val="auto"/>
              </w:rPr>
            </w:pPr>
          </w:p>
        </w:tc>
        <w:tc>
          <w:tcPr>
            <w:tcW w:w="2120" w:type="dxa"/>
            <w:vAlign w:val="bottom"/>
            <w:gridSpan w:val="14"/>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gridSpan w:val="4"/>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29</w:t>
            </w:r>
          </w:p>
        </w:tc>
        <w:tc>
          <w:tcPr>
            <w:tcW w:w="280" w:type="dxa"/>
            <w:vAlign w:val="bottom"/>
            <w:vMerge w:val="restart"/>
          </w:tcPr>
          <w:p>
            <w:pPr>
              <w:spacing w:after="0" w:line="20" w:lineRule="exact"/>
              <w:rPr>
                <w:sz w:val="1"/>
                <w:szCs w:val="1"/>
                <w:color w:val="auto"/>
              </w:rPr>
            </w:pPr>
          </w:p>
        </w:tc>
        <w:tc>
          <w:tcPr>
            <w:tcW w:w="3180" w:type="dxa"/>
            <w:vAlign w:val="bottom"/>
            <w:tcBorders>
              <w:right w:val="single" w:sz="8" w:color="0000EE"/>
            </w:tcBorders>
            <w:gridSpan w:val="18"/>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100" w:type="dxa"/>
            <w:vAlign w:val="bottom"/>
            <w:gridSpan w:val="9"/>
            <w:vMerge w:val="restart"/>
          </w:tcPr>
          <w:p>
            <w:pPr>
              <w:spacing w:after="0" w:line="20" w:lineRule="exact"/>
              <w:rPr>
                <w:sz w:val="1"/>
                <w:szCs w:val="1"/>
                <w:color w:val="auto"/>
              </w:rPr>
            </w:pPr>
          </w:p>
        </w:tc>
        <w:tc>
          <w:tcPr>
            <w:tcW w:w="4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A-</w:t>
            </w: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spacing w:after="0" w:line="182"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Benefits</w:t>
              </w:r>
            </w:hyperlink>
          </w:p>
        </w:tc>
        <w:tc>
          <w:tcPr>
            <w:tcW w:w="640" w:type="dxa"/>
            <w:vAlign w:val="bottom"/>
            <w:gridSpan w:val="6"/>
          </w:tcPr>
          <w:p>
            <w:pPr>
              <w:spacing w:after="0"/>
              <w:rPr>
                <w:sz w:val="15"/>
                <w:szCs w:val="15"/>
                <w:color w:val="auto"/>
              </w:rPr>
            </w:pPr>
          </w:p>
        </w:tc>
        <w:tc>
          <w:tcPr>
            <w:tcW w:w="260" w:type="dxa"/>
            <w:vAlign w:val="bottom"/>
            <w:gridSpan w:val="6"/>
            <w:vMerge w:val="continue"/>
          </w:tcPr>
          <w:p>
            <w:pPr>
              <w:spacing w:after="0"/>
              <w:rPr>
                <w:sz w:val="15"/>
                <w:szCs w:val="15"/>
                <w:color w:val="auto"/>
              </w:rPr>
            </w:pPr>
          </w:p>
        </w:tc>
        <w:tc>
          <w:tcPr>
            <w:tcW w:w="2120" w:type="dxa"/>
            <w:vAlign w:val="bottom"/>
            <w:gridSpan w:val="14"/>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gridSpan w:val="4"/>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3840" w:type="dxa"/>
            <w:vAlign w:val="bottom"/>
            <w:gridSpan w:val="22"/>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Appendix A (Non-GAAP reconciliations)</w:t>
              </w:r>
            </w:hyperlink>
          </w:p>
        </w:tc>
        <w:tc>
          <w:tcPr>
            <w:tcW w:w="1100" w:type="dxa"/>
            <w:vAlign w:val="bottom"/>
            <w:gridSpan w:val="9"/>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2120" w:type="dxa"/>
            <w:vAlign w:val="bottom"/>
            <w:gridSpan w:val="1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50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22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00" w:type="dxa"/>
            <w:vAlign w:val="bottom"/>
            <w:gridSpan w:val="34"/>
          </w:tcPr>
          <w:p>
            <w:pPr>
              <w:spacing w:after="0" w:line="163" w:lineRule="exact"/>
              <w:rPr>
                <w:rFonts w:ascii="Arial" w:cs="Arial" w:eastAsia="Arial" w:hAnsi="Arial"/>
                <w:sz w:val="18"/>
                <w:szCs w:val="18"/>
                <w:color w:val="0000EE"/>
              </w:rPr>
            </w:pPr>
            <w:hyperlink w:anchor="page32">
              <w:r>
                <w:rPr>
                  <w:rFonts w:ascii="Arial" w:cs="Arial" w:eastAsia="Arial" w:hAnsi="Arial"/>
                  <w:sz w:val="18"/>
                  <w:szCs w:val="18"/>
                  <w:color w:val="0000EE"/>
                </w:rPr>
                <w:t>Compensation following employment termination or</w:t>
              </w:r>
            </w:hyperlink>
          </w:p>
        </w:tc>
        <w:tc>
          <w:tcPr>
            <w:tcW w:w="500" w:type="dxa"/>
            <w:vAlign w:val="bottom"/>
            <w:vMerge w:val="restart"/>
          </w:tcPr>
          <w:p>
            <w:pPr>
              <w:jc w:val="right"/>
              <w:ind w:right="1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38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change in control</w:t>
              </w:r>
            </w:hyperlink>
          </w:p>
        </w:tc>
        <w:tc>
          <w:tcPr>
            <w:tcW w:w="2560" w:type="dxa"/>
            <w:vAlign w:val="bottom"/>
            <w:tcBorders>
              <w:top w:val="single" w:sz="8" w:color="0000EE"/>
            </w:tcBorders>
            <w:gridSpan w:val="19"/>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14"/>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Stock ownership</w:t>
              </w:r>
            </w:hyperlink>
          </w:p>
        </w:tc>
        <w:tc>
          <w:tcPr>
            <w:tcW w:w="2740" w:type="dxa"/>
            <w:vAlign w:val="bottom"/>
            <w:gridSpan w:val="20"/>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guidelines and policy against</w:t>
              </w:r>
            </w:hyperlink>
          </w:p>
        </w:tc>
        <w:tc>
          <w:tcPr>
            <w:tcW w:w="500" w:type="dxa"/>
            <w:vAlign w:val="bottom"/>
            <w:vMerge w:val="restart"/>
          </w:tcPr>
          <w:p>
            <w:pPr>
              <w:jc w:val="right"/>
              <w:ind w:right="1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5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hedging</w:t>
              </w:r>
            </w:hyperlink>
          </w:p>
        </w:tc>
        <w:tc>
          <w:tcPr>
            <w:tcW w:w="220" w:type="dxa"/>
            <w:vAlign w:val="bottom"/>
          </w:tcPr>
          <w:p>
            <w:pPr>
              <w:spacing w:after="0"/>
              <w:rPr>
                <w:sz w:val="15"/>
                <w:szCs w:val="15"/>
                <w:color w:val="auto"/>
              </w:rPr>
            </w:pPr>
          </w:p>
        </w:tc>
        <w:tc>
          <w:tcPr>
            <w:tcW w:w="400" w:type="dxa"/>
            <w:vAlign w:val="bottom"/>
            <w:gridSpan w:val="5"/>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80" w:type="dxa"/>
            <w:vAlign w:val="bottom"/>
            <w:gridSpan w:val="26"/>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4120" w:type="dxa"/>
            <w:vAlign w:val="bottom"/>
            <w:gridSpan w:val="33"/>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Consideration of tax and accounting treatment of</w:t>
              </w:r>
            </w:hyperlink>
          </w:p>
        </w:tc>
        <w:tc>
          <w:tcPr>
            <w:tcW w:w="500" w:type="dxa"/>
            <w:vAlign w:val="bottom"/>
            <w:vMerge w:val="restart"/>
          </w:tcPr>
          <w:p>
            <w:pPr>
              <w:jc w:val="right"/>
              <w:ind w:right="1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72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compensation</w:t>
              </w:r>
            </w:hyperlink>
          </w:p>
        </w:tc>
        <w:tc>
          <w:tcPr>
            <w:tcW w:w="400" w:type="dxa"/>
            <w:vAlign w:val="bottom"/>
            <w:gridSpan w:val="5"/>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160" w:type="dxa"/>
            <w:vAlign w:val="bottom"/>
          </w:tcPr>
          <w:p>
            <w:pPr>
              <w:spacing w:after="0"/>
              <w:rPr>
                <w:sz w:val="20"/>
                <w:szCs w:val="20"/>
                <w:color w:val="auto"/>
              </w:rPr>
            </w:pPr>
            <w:r>
              <w:rPr>
                <w:rFonts w:ascii="Arial" w:cs="Arial" w:eastAsia="Arial" w:hAnsi="Arial"/>
                <w:sz w:val="13"/>
                <w:szCs w:val="13"/>
                <w:color w:val="666666"/>
              </w:rPr>
              <w:t>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9"/>
          </w:tcPr>
          <w:p>
            <w:pPr>
              <w:jc w:val="right"/>
              <w:spacing w:after="0"/>
              <w:rPr>
                <w:sz w:val="20"/>
                <w:szCs w:val="20"/>
                <w:color w:val="auto"/>
              </w:rPr>
            </w:pPr>
            <w:r>
              <w:rPr>
                <w:rFonts w:ascii="Arial" w:cs="Arial" w:eastAsia="Arial" w:hAnsi="Arial"/>
                <w:sz w:val="13"/>
                <w:szCs w:val="13"/>
                <w:color w:val="666666"/>
              </w:rPr>
              <w:t>TEXAS INSTRUMENTS</w:t>
            </w:r>
          </w:p>
        </w:tc>
        <w:tc>
          <w:tcPr>
            <w:tcW w:w="5220" w:type="dxa"/>
            <w:vAlign w:val="bottom"/>
            <w:gridSpan w:val="32"/>
          </w:tcPr>
          <w:p>
            <w:pPr>
              <w:ind w:left="80"/>
              <w:spacing w:after="0"/>
              <w:rPr>
                <w:sz w:val="20"/>
                <w:szCs w:val="20"/>
                <w:color w:val="auto"/>
              </w:rPr>
            </w:pPr>
            <w:r>
              <w:rPr>
                <w:rFonts w:ascii="Arial" w:cs="Arial" w:eastAsia="Arial" w:hAnsi="Arial"/>
                <w:sz w:val="13"/>
                <w:szCs w:val="13"/>
                <w:color w:val="666666"/>
              </w:rPr>
              <w:t>•  2019 PROXY STATEMENT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5"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PROXY STATEMENT – MARCH 12, 2019</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12500 TI BOULEVARD, DALLAS, TX 75243</w:t>
      </w:r>
    </w:p>
    <w:p>
      <w:pPr>
        <w:ind w:left="200"/>
        <w:spacing w:after="0"/>
        <w:rPr>
          <w:sz w:val="20"/>
          <w:szCs w:val="20"/>
          <w:color w:val="auto"/>
        </w:rPr>
      </w:pPr>
      <w:r>
        <w:rPr>
          <w:rFonts w:ascii="Arial" w:cs="Arial" w:eastAsia="Arial" w:hAnsi="Arial"/>
          <w:sz w:val="18"/>
          <w:szCs w:val="18"/>
          <w:color w:val="auto"/>
        </w:rPr>
        <w:t>MAILING ADDRESS: P.O. BOX 660199, DALLAS, TX 75266-0199</w:t>
      </w:r>
    </w:p>
    <w:p>
      <w:pPr>
        <w:spacing w:after="0" w:line="3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Voting procedures, quorum and attendance requirements</w:t>
      </w:r>
    </w:p>
    <w:p>
      <w:pPr>
        <w:spacing w:after="0" w:line="220"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color w:val="auto"/>
        </w:rPr>
        <w:t>TI’s board of directors requests your proxy for the annual meeting of stockholders on April 25, 2019.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12, 2019.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quorum of stockholders is necessary to hold a valid meeting. If at least a majority of the shares of TI common stock issued</w:t>
      </w:r>
    </w:p>
    <w:p>
      <w:pPr>
        <w:spacing w:after="0" w:line="18"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176" w:lineRule="exact"/>
        <w:rPr>
          <w:sz w:val="20"/>
          <w:szCs w:val="20"/>
          <w:color w:val="auto"/>
        </w:rPr>
      </w:pPr>
    </w:p>
    <w:p>
      <w:pPr>
        <w:ind w:left="200" w:right="220"/>
        <w:spacing w:after="0" w:line="276" w:lineRule="auto"/>
        <w:rPr>
          <w:sz w:val="20"/>
          <w:szCs w:val="20"/>
          <w:color w:val="auto"/>
        </w:rPr>
      </w:pPr>
      <w:r>
        <w:rPr>
          <w:rFonts w:ascii="Arial" w:cs="Arial" w:eastAsia="Arial" w:hAnsi="Arial"/>
          <w:sz w:val="18"/>
          <w:szCs w:val="18"/>
          <w:color w:val="auto"/>
        </w:rPr>
        <w:t>Shown below is a list of the matters to be considered at the meeting (each of which is discussed elsewhere in this proxy statement), and the vote required for election or approval, as the case may be.</w:t>
      </w:r>
    </w:p>
    <w:p>
      <w:pPr>
        <w:spacing w:after="0" w:line="180" w:lineRule="exact"/>
        <w:rPr>
          <w:sz w:val="20"/>
          <w:szCs w:val="20"/>
          <w:color w:val="auto"/>
        </w:rPr>
      </w:pPr>
    </w:p>
    <w:p>
      <w:pPr>
        <w:ind w:left="320"/>
        <w:spacing w:after="0"/>
        <w:tabs>
          <w:tab w:leader="none" w:pos="4500" w:val="left"/>
          <w:tab w:leader="none" w:pos="8120" w:val="left"/>
        </w:tabs>
        <w:rPr>
          <w:sz w:val="20"/>
          <w:szCs w:val="20"/>
          <w:color w:val="auto"/>
        </w:rPr>
      </w:pPr>
      <w:r>
        <w:rPr>
          <w:rFonts w:ascii="Arial" w:cs="Arial" w:eastAsia="Arial" w:hAnsi="Arial"/>
          <w:sz w:val="14"/>
          <w:szCs w:val="14"/>
          <w:b w:val="1"/>
          <w:bCs w:val="1"/>
          <w:color w:val="auto"/>
        </w:rPr>
        <w:t>Matter</w:t>
      </w:r>
      <w:r>
        <w:rPr>
          <w:sz w:val="20"/>
          <w:szCs w:val="20"/>
          <w:color w:val="auto"/>
        </w:rPr>
        <w:tab/>
      </w:r>
      <w:r>
        <w:rPr>
          <w:rFonts w:ascii="Arial" w:cs="Arial" w:eastAsia="Arial" w:hAnsi="Arial"/>
          <w:sz w:val="14"/>
          <w:szCs w:val="14"/>
          <w:b w:val="1"/>
          <w:bCs w:val="1"/>
          <w:color w:val="auto"/>
        </w:rPr>
        <w:t>Required Vote for Election or Approval</w:t>
      </w:r>
      <w:r>
        <w:rPr>
          <w:sz w:val="20"/>
          <w:szCs w:val="20"/>
          <w:color w:val="auto"/>
        </w:rPr>
        <w:tab/>
      </w:r>
      <w:r>
        <w:rPr>
          <w:rFonts w:ascii="Arial" w:cs="Arial" w:eastAsia="Arial" w:hAnsi="Arial"/>
          <w:sz w:val="14"/>
          <w:szCs w:val="14"/>
          <w:b w:val="1"/>
          <w:bCs w:val="1"/>
          <w:color w:val="auto"/>
        </w:rPr>
        <w:t>Impact of Abstentions or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10160</wp:posOffset>
            </wp:positionV>
            <wp:extent cx="6997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5" w:right="419" w:bottom="1440" w:gutter="0" w:footer="0" w:header="0"/>
        </w:sectPr>
      </w:pPr>
    </w:p>
    <w:p>
      <w:pPr>
        <w:spacing w:after="0" w:line="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Election of directors.</w:t>
      </w:r>
    </w:p>
    <w:p>
      <w:pPr>
        <w:spacing w:after="0" w:line="200" w:lineRule="exact"/>
        <w:rPr>
          <w:sz w:val="20"/>
          <w:szCs w:val="20"/>
          <w:color w:val="auto"/>
        </w:rPr>
      </w:pPr>
    </w:p>
    <w:p>
      <w:pPr>
        <w:spacing w:after="0" w:line="381" w:lineRule="exact"/>
        <w:rPr>
          <w:sz w:val="20"/>
          <w:szCs w:val="20"/>
          <w:color w:val="auto"/>
        </w:rPr>
      </w:pPr>
    </w:p>
    <w:p>
      <w:pPr>
        <w:jc w:val="both"/>
        <w:ind w:left="300" w:right="920" w:hanging="9"/>
        <w:spacing w:after="0" w:line="276" w:lineRule="auto"/>
        <w:rPr>
          <w:sz w:val="20"/>
          <w:szCs w:val="20"/>
          <w:color w:val="auto"/>
        </w:rPr>
      </w:pPr>
      <w:r>
        <w:rPr>
          <w:rFonts w:ascii="Arial" w:cs="Arial" w:eastAsia="Arial" w:hAnsi="Arial"/>
          <w:sz w:val="18"/>
          <w:szCs w:val="18"/>
          <w:color w:val="auto"/>
        </w:rPr>
        <w:t>Advisory vote to approve named executive officer compensation.</w:t>
      </w:r>
    </w:p>
    <w:p>
      <w:pPr>
        <w:spacing w:after="0" w:line="132" w:lineRule="exact"/>
        <w:rPr>
          <w:sz w:val="20"/>
          <w:szCs w:val="20"/>
          <w:color w:val="auto"/>
        </w:rPr>
      </w:pPr>
    </w:p>
    <w:p>
      <w:pPr>
        <w:ind w:left="300" w:right="900"/>
        <w:spacing w:after="0" w:line="255" w:lineRule="auto"/>
        <w:rPr>
          <w:sz w:val="20"/>
          <w:szCs w:val="20"/>
          <w:color w:val="auto"/>
        </w:rPr>
      </w:pPr>
      <w:r>
        <w:rPr>
          <w:rFonts w:ascii="Arial" w:cs="Arial" w:eastAsia="Arial" w:hAnsi="Arial"/>
          <w:sz w:val="18"/>
          <w:szCs w:val="18"/>
          <w:color w:val="auto"/>
        </w:rPr>
        <w:t>Proposal to ratify appointment of independent registered public accounting firm.</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Majority of votes present in person or by proxy at the meeting and entitled to be cast in the election with respect to</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 nominee must be cast for that nominee. Majority of votes present in person or by proxy at the meeting must be cast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-382905</wp:posOffset>
            </wp:positionV>
            <wp:extent cx="6997700"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386080"/>
                    </a:xfrm>
                    <a:prstGeom prst="rect">
                      <a:avLst/>
                    </a:prstGeom>
                    <a:noFill/>
                  </pic:spPr>
                </pic:pic>
              </a:graphicData>
            </a:graphic>
          </wp:anchor>
        </w:drawing>
      </w:r>
    </w:p>
    <w:p>
      <w:pPr>
        <w:jc w:val="both"/>
        <w:ind w:right="60"/>
        <w:spacing w:after="0" w:line="242"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200"/>
        <w:spacing w:after="0" w:line="264" w:lineRule="auto"/>
        <w:rPr>
          <w:sz w:val="20"/>
          <w:szCs w:val="20"/>
          <w:color w:val="auto"/>
        </w:rPr>
      </w:pPr>
      <w:r>
        <w:rPr>
          <w:rFonts w:ascii="Arial" w:cs="Arial" w:eastAsia="Arial" w:hAnsi="Arial"/>
          <w:sz w:val="17"/>
          <w:szCs w:val="17"/>
          <w:color w:val="auto"/>
        </w:rPr>
        <w:t>Abstentions have the same effect as votes against. Broker non-votes are not counted as votes for or against.</w:t>
      </w:r>
    </w:p>
    <w:p>
      <w:pPr>
        <w:spacing w:after="0" w:line="14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3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Abstentions have the same effect as votes against. (Brokers are permitted to exercise their discretion and vote without specific instruction on this matter. Accordingly, there are no broker non-votes.)</w:t>
      </w:r>
    </w:p>
    <w:p>
      <w:pPr>
        <w:spacing w:after="0" w:line="1" w:lineRule="exact"/>
        <w:rPr>
          <w:sz w:val="20"/>
          <w:szCs w:val="20"/>
          <w:color w:val="auto"/>
        </w:rPr>
      </w:pPr>
    </w:p>
    <w:p>
      <w:pPr>
        <w:sectPr>
          <w:pgSz w:w="11900" w:h="16838" w:orient="portrait"/>
          <w:cols w:equalWidth="0" w:num="3">
            <w:col w:w="3800" w:space="720"/>
            <w:col w:w="3320" w:space="300"/>
            <w:col w:w="3100"/>
          </w:cols>
          <w:pgMar w:left="240" w:top="455" w:right="419" w:bottom="1440" w:gutter="0" w:footer="0" w:header="0"/>
          <w:type w:val="continuous"/>
        </w:sectPr>
      </w:pPr>
    </w:p>
    <w:tbl>
      <w:tblPr>
        <w:tblLayout w:type="fixed"/>
        <w:tblInd w:w="220" w:type="dxa"/>
        <w:tblCellMar>
          <w:top w:w="0" w:type="dxa"/>
          <w:left w:w="0" w:type="dxa"/>
          <w:bottom w:w="0" w:type="dxa"/>
          <w:right w:w="0" w:type="dxa"/>
        </w:tblCellMar>
      </w:tblPr>
      <w:tr>
        <w:trPr>
          <w:trHeight w:val="186"/>
        </w:trPr>
        <w:tc>
          <w:tcPr>
            <w:tcW w:w="3500" w:type="dxa"/>
            <w:vAlign w:val="bottom"/>
            <w:shd w:val="clear" w:color="auto" w:fill="E5E5E5"/>
          </w:tcPr>
          <w:p>
            <w:pPr>
              <w:ind w:left="80"/>
              <w:spacing w:after="0" w:line="187" w:lineRule="exact"/>
              <w:rPr>
                <w:sz w:val="20"/>
                <w:szCs w:val="20"/>
                <w:color w:val="auto"/>
              </w:rPr>
            </w:pPr>
            <w:r>
              <w:rPr>
                <w:rFonts w:ascii="Arial" w:cs="Arial" w:eastAsia="Arial" w:hAnsi="Arial"/>
                <w:sz w:val="18"/>
                <w:szCs w:val="18"/>
                <w:color w:val="auto"/>
              </w:rPr>
              <w:t>Any other matter that may properly be</w:t>
            </w:r>
          </w:p>
        </w:tc>
        <w:tc>
          <w:tcPr>
            <w:tcW w:w="4240" w:type="dxa"/>
            <w:vAlign w:val="bottom"/>
            <w:shd w:val="clear" w:color="auto" w:fill="E5E5E5"/>
          </w:tcPr>
          <w:p>
            <w:pPr>
              <w:ind w:left="800"/>
              <w:spacing w:after="0" w:line="187" w:lineRule="exact"/>
              <w:rPr>
                <w:sz w:val="20"/>
                <w:szCs w:val="20"/>
                <w:color w:val="auto"/>
              </w:rPr>
            </w:pPr>
            <w:r>
              <w:rPr>
                <w:rFonts w:ascii="Arial" w:cs="Arial" w:eastAsia="Arial" w:hAnsi="Arial"/>
                <w:sz w:val="18"/>
                <w:szCs w:val="18"/>
                <w:color w:val="auto"/>
              </w:rPr>
              <w:t>Majority of votes present in person or by</w:t>
            </w:r>
          </w:p>
        </w:tc>
        <w:tc>
          <w:tcPr>
            <w:tcW w:w="3280" w:type="dxa"/>
            <w:vAlign w:val="bottom"/>
            <w:shd w:val="clear" w:color="auto" w:fill="E5E5E5"/>
          </w:tcPr>
          <w:p>
            <w:pPr>
              <w:ind w:left="180"/>
              <w:spacing w:after="0" w:line="187" w:lineRule="exact"/>
              <w:rPr>
                <w:sz w:val="20"/>
                <w:szCs w:val="20"/>
                <w:color w:val="auto"/>
              </w:rPr>
            </w:pPr>
            <w:r>
              <w:rPr>
                <w:rFonts w:ascii="Arial" w:cs="Arial" w:eastAsia="Arial" w:hAnsi="Arial"/>
                <w:sz w:val="18"/>
                <w:szCs w:val="18"/>
                <w:color w:val="auto"/>
              </w:rPr>
              <w:t>Abstentions and broker non-votes</w:t>
            </w:r>
          </w:p>
        </w:tc>
      </w:tr>
      <w:tr>
        <w:trPr>
          <w:trHeight w:val="203"/>
        </w:trPr>
        <w:tc>
          <w:tcPr>
            <w:tcW w:w="35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submitted at the meeting.</w:t>
            </w:r>
          </w:p>
        </w:tc>
        <w:tc>
          <w:tcPr>
            <w:tcW w:w="4240" w:type="dxa"/>
            <w:vAlign w:val="bottom"/>
            <w:shd w:val="clear" w:color="auto" w:fill="E5E5E5"/>
          </w:tcPr>
          <w:p>
            <w:pPr>
              <w:ind w:left="800"/>
              <w:spacing w:after="0" w:line="202" w:lineRule="exact"/>
              <w:rPr>
                <w:sz w:val="20"/>
                <w:szCs w:val="20"/>
                <w:color w:val="auto"/>
              </w:rPr>
            </w:pPr>
            <w:r>
              <w:rPr>
                <w:rFonts w:ascii="Arial" w:cs="Arial" w:eastAsia="Arial" w:hAnsi="Arial"/>
                <w:sz w:val="18"/>
                <w:szCs w:val="18"/>
                <w:color w:val="auto"/>
              </w:rPr>
              <w:t>proxy at the meeting must be cast for the</w:t>
            </w:r>
          </w:p>
        </w:tc>
        <w:tc>
          <w:tcPr>
            <w:tcW w:w="32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have the same effect as votes against.</w:t>
            </w:r>
          </w:p>
        </w:tc>
      </w:tr>
      <w:tr>
        <w:trPr>
          <w:trHeight w:val="225"/>
        </w:trPr>
        <w:tc>
          <w:tcPr>
            <w:tcW w:w="3500" w:type="dxa"/>
            <w:vAlign w:val="bottom"/>
            <w:shd w:val="clear" w:color="auto" w:fill="E5E5E5"/>
          </w:tcPr>
          <w:p>
            <w:pPr>
              <w:spacing w:after="0"/>
              <w:rPr>
                <w:sz w:val="19"/>
                <w:szCs w:val="19"/>
                <w:color w:val="auto"/>
              </w:rPr>
            </w:pPr>
          </w:p>
        </w:tc>
        <w:tc>
          <w:tcPr>
            <w:tcW w:w="4240" w:type="dxa"/>
            <w:vAlign w:val="bottom"/>
            <w:shd w:val="clear" w:color="auto" w:fill="E5E5E5"/>
          </w:tcPr>
          <w:p>
            <w:pPr>
              <w:ind w:left="800"/>
              <w:spacing w:after="0"/>
              <w:rPr>
                <w:sz w:val="20"/>
                <w:szCs w:val="20"/>
                <w:color w:val="auto"/>
              </w:rPr>
            </w:pPr>
            <w:r>
              <w:rPr>
                <w:rFonts w:ascii="Arial" w:cs="Arial" w:eastAsia="Arial" w:hAnsi="Arial"/>
                <w:sz w:val="18"/>
                <w:szCs w:val="18"/>
                <w:color w:val="auto"/>
              </w:rPr>
              <w:t>proposal.</w:t>
            </w:r>
          </w:p>
        </w:tc>
        <w:tc>
          <w:tcPr>
            <w:tcW w:w="3280" w:type="dxa"/>
            <w:vAlign w:val="bottom"/>
            <w:shd w:val="clear" w:color="auto" w:fill="E5E5E5"/>
          </w:tcPr>
          <w:p>
            <w:pPr>
              <w:spacing w:after="0"/>
              <w:rPr>
                <w:sz w:val="19"/>
                <w:szCs w:val="19"/>
                <w:color w:val="auto"/>
              </w:rPr>
            </w:pPr>
          </w:p>
        </w:tc>
      </w:tr>
      <w:tr>
        <w:trPr>
          <w:trHeight w:val="297"/>
        </w:trPr>
        <w:tc>
          <w:tcPr>
            <w:tcW w:w="3500" w:type="dxa"/>
            <w:vAlign w:val="bottom"/>
          </w:tcPr>
          <w:p>
            <w:pPr>
              <w:spacing w:after="0"/>
              <w:rPr>
                <w:sz w:val="24"/>
                <w:szCs w:val="24"/>
                <w:color w:val="auto"/>
              </w:rPr>
            </w:pPr>
          </w:p>
        </w:tc>
        <w:tc>
          <w:tcPr>
            <w:tcW w:w="4240" w:type="dxa"/>
            <w:vAlign w:val="bottom"/>
          </w:tcPr>
          <w:p>
            <w:pPr>
              <w:ind w:left="400"/>
              <w:spacing w:after="0"/>
              <w:rPr>
                <w:sz w:val="20"/>
                <w:szCs w:val="20"/>
                <w:color w:val="auto"/>
              </w:rPr>
            </w:pPr>
            <w:r>
              <w:rPr>
                <w:rFonts w:ascii="Arial" w:cs="Arial" w:eastAsia="Arial" w:hAnsi="Arial"/>
                <w:sz w:val="13"/>
                <w:szCs w:val="13"/>
                <w:color w:val="666666"/>
              </w:rPr>
              <w:t>TEXAS INSTRUMENTS  •  2019 PROXY STATEMENT</w:t>
            </w:r>
          </w:p>
        </w:tc>
        <w:tc>
          <w:tcPr>
            <w:tcW w:w="3280" w:type="dxa"/>
            <w:vAlign w:val="bottom"/>
          </w:tcPr>
          <w:p>
            <w:pPr>
              <w:jc w:val="right"/>
              <w:spacing w:after="0"/>
              <w:rPr>
                <w:sz w:val="20"/>
                <w:szCs w:val="20"/>
                <w:color w:val="auto"/>
              </w:rPr>
            </w:pPr>
            <w:r>
              <w:rPr>
                <w:rFonts w:ascii="Arial" w:cs="Arial" w:eastAsia="Arial" w:hAnsi="Arial"/>
                <w:sz w:val="13"/>
                <w:szCs w:val="13"/>
                <w:color w:val="666666"/>
              </w:rPr>
              <w:t>3</w:t>
            </w:r>
          </w:p>
        </w:tc>
      </w:tr>
    </w:tbl>
    <w:p>
      <w:pPr>
        <w:sectPr>
          <w:pgSz w:w="11900" w:h="16838" w:orient="portrait"/>
          <w:cols w:equalWidth="0" w:num="1">
            <w:col w:w="11240"/>
          </w:cols>
          <w:pgMar w:left="240" w:top="455" w:right="41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Attendance requirements</w:t>
      </w:r>
    </w:p>
    <w:p>
      <w:pPr>
        <w:spacing w:after="0" w:line="211" w:lineRule="exact"/>
        <w:rPr>
          <w:sz w:val="20"/>
          <w:szCs w:val="20"/>
          <w:color w:val="auto"/>
        </w:rPr>
      </w:pPr>
    </w:p>
    <w:p>
      <w:pPr>
        <w:ind w:left="200"/>
        <w:spacing w:after="0" w:line="276" w:lineRule="auto"/>
        <w:rPr>
          <w:sz w:val="20"/>
          <w:szCs w:val="20"/>
          <w:color w:val="auto"/>
        </w:rPr>
      </w:pPr>
      <w:r>
        <w:rPr>
          <w:rFonts w:ascii="Arial" w:cs="Arial" w:eastAsia="Arial" w:hAnsi="Arial"/>
          <w:sz w:val="18"/>
          <w:szCs w:val="18"/>
          <w:color w:val="auto"/>
        </w:rPr>
        <w:t>Attendance at the meeting is limited to stockholders or their legal proxy holders. Each attendee must present a government-issued photo ID and an advance registration form.</w:t>
      </w:r>
    </w:p>
    <w:p>
      <w:pPr>
        <w:spacing w:after="0" w:line="145" w:lineRule="exact"/>
        <w:rPr>
          <w:sz w:val="20"/>
          <w:szCs w:val="20"/>
          <w:color w:val="auto"/>
        </w:rPr>
      </w:pPr>
    </w:p>
    <w:p>
      <w:pPr>
        <w:ind w:left="200" w:right="100"/>
        <w:spacing w:after="0" w:line="276" w:lineRule="auto"/>
        <w:rPr>
          <w:sz w:val="20"/>
          <w:szCs w:val="20"/>
          <w:color w:val="auto"/>
        </w:rPr>
      </w:pPr>
      <w:r>
        <w:rPr>
          <w:rFonts w:ascii="Arial" w:cs="Arial" w:eastAsia="Arial" w:hAnsi="Arial"/>
          <w:sz w:val="18"/>
          <w:szCs w:val="18"/>
          <w:color w:val="auto"/>
        </w:rPr>
        <w:t>If you plan to attend the annual meeting in person, you must print your own advance registration form and bring it to the meeting to gain access.</w:t>
      </w:r>
    </w:p>
    <w:p>
      <w:pPr>
        <w:spacing w:after="0" w:line="172" w:lineRule="exact"/>
        <w:rPr>
          <w:sz w:val="20"/>
          <w:szCs w:val="20"/>
          <w:color w:val="auto"/>
        </w:rPr>
      </w:pPr>
    </w:p>
    <w:p>
      <w:pPr>
        <w:ind w:left="960" w:right="320" w:hanging="540"/>
        <w:spacing w:after="0" w:line="24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registration forms can be printed by clicking on the “Register for Meeting” button found at www.proxyvote.com and following the instructions provided. You will need the 16-digit control number included on your notice, proxy card or voting instruction form. You must request your advance registration form by 11:59 p.m. April 24, 2019.</w:t>
      </w:r>
    </w:p>
    <w:p>
      <w:pPr>
        <w:spacing w:after="0" w:line="1" w:lineRule="exact"/>
        <w:rPr>
          <w:rFonts w:ascii="Arial" w:cs="Arial" w:eastAsia="Arial" w:hAnsi="Arial"/>
          <w:sz w:val="18"/>
          <w:szCs w:val="18"/>
          <w:color w:val="auto"/>
        </w:rPr>
      </w:pPr>
    </w:p>
    <w:p>
      <w:pPr>
        <w:ind w:left="960" w:right="40" w:hanging="540"/>
        <w:spacing w:after="0" w:line="23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are unable to print your advance registration form, please call Stockholder Meeting Registration Phone Support (toll free) at 1-844-318-0137 or (international toll call) at 1-925-331-6070 for assistance.</w:t>
      </w:r>
    </w:p>
    <w:p>
      <w:pPr>
        <w:spacing w:after="0" w:line="1" w:lineRule="exact"/>
        <w:rPr>
          <w:rFonts w:ascii="Arial" w:cs="Arial" w:eastAsia="Arial" w:hAnsi="Arial"/>
          <w:sz w:val="18"/>
          <w:szCs w:val="18"/>
          <w:color w:val="auto"/>
        </w:rPr>
      </w:pPr>
    </w:p>
    <w:p>
      <w:pPr>
        <w:ind w:left="960" w:right="500" w:hanging="540"/>
        <w:spacing w:after="0" w:line="242"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the day of the meeting, you will be required to present valid government-issued photo ID, such as a driver’s license or passport, with your advance registration form. You may be denied entrance if the required identification and form are not presented.</w:t>
      </w:r>
    </w:p>
    <w:p>
      <w:pPr>
        <w:spacing w:after="0" w:line="176" w:lineRule="exact"/>
        <w:rPr>
          <w:sz w:val="20"/>
          <w:szCs w:val="20"/>
          <w:color w:val="auto"/>
        </w:rPr>
      </w:pPr>
    </w:p>
    <w:p>
      <w:pPr>
        <w:ind w:left="200" w:right="380"/>
        <w:spacing w:after="0" w:line="276" w:lineRule="auto"/>
        <w:rPr>
          <w:sz w:val="20"/>
          <w:szCs w:val="20"/>
          <w:color w:val="auto"/>
        </w:rPr>
      </w:pPr>
      <w:r>
        <w:rPr>
          <w:rFonts w:ascii="Arial" w:cs="Arial" w:eastAsia="Arial" w:hAnsi="Arial"/>
          <w:sz w:val="18"/>
          <w:szCs w:val="18"/>
          <w:color w:val="auto"/>
        </w:rPr>
        <w:t>Guest advance registration forms are not available. Exceptions may be granted to stockholders who require a companion in order to facilitate their own attendance (for example, due to a physical disability) by contacting Investor Relations.</w:t>
      </w:r>
    </w:p>
    <w:p>
      <w:pPr>
        <w:spacing w:after="0" w:line="145"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Additionally, if you plan to attend as proxy for a stockholder of record, you must present a valid legal proxy from the stockholder of record to you. If you plan to attend as proxy for a street name stockholder, you must present a valid legal proxy from the stockholder of record (i.e., the bank, broker or other holder of record) to the street name stockholder that is assignable and a valid legal proxy from the street name stockholder to you. Stockholders may appoint only one proxy holder to attend on their behalf.</w:t>
      </w:r>
    </w:p>
    <w:p>
      <w:pPr>
        <w:spacing w:after="0" w:line="104"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080"/>
          </w:cols>
          <w:pgMar w:left="240" w:top="455" w:right="5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Election of directors</w:t>
      </w:r>
    </w:p>
    <w:p>
      <w:pPr>
        <w:spacing w:after="0" w:line="220" w:lineRule="exact"/>
        <w:rPr>
          <w:sz w:val="20"/>
          <w:szCs w:val="20"/>
          <w:color w:val="auto"/>
        </w:rPr>
      </w:pPr>
    </w:p>
    <w:p>
      <w:pPr>
        <w:jc w:val="both"/>
        <w:ind w:left="200" w:right="40"/>
        <w:spacing w:after="0" w:line="255"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Mark A. Blinn, Todd M. Bluedorn, Janet F. Clark, Carrie S. Cox, Martin S. Craighead, Jean M. Hobby, Ronald Kirk, Pamela H. Patsley, Robert E. Sanchez and Richard K. Templeton.</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you return a proxy that is not otherwise marked, your shares will be voted FOR each of the nominees.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Director nominees, qualifications and experience</w:t>
      </w:r>
    </w:p>
    <w:p>
      <w:pPr>
        <w:spacing w:after="0" w:line="211" w:lineRule="exact"/>
        <w:rPr>
          <w:sz w:val="20"/>
          <w:szCs w:val="20"/>
          <w:color w:val="auto"/>
        </w:rPr>
      </w:pPr>
    </w:p>
    <w:p>
      <w:pPr>
        <w:ind w:left="200" w:right="100"/>
        <w:spacing w:after="0" w:line="276" w:lineRule="auto"/>
        <w:rPr>
          <w:sz w:val="20"/>
          <w:szCs w:val="20"/>
          <w:color w:val="auto"/>
        </w:rPr>
      </w:pPr>
      <w:r>
        <w:rPr>
          <w:rFonts w:ascii="Arial" w:cs="Arial" w:eastAsia="Arial" w:hAnsi="Arial"/>
          <w:sz w:val="18"/>
          <w:szCs w:val="18"/>
          <w:color w:val="auto"/>
        </w:rPr>
        <w:t>All of the nominees for directorship are current directors of the company. If any nominee becomes unable to serve before the meeting, the persons named as proxies may vote for a substitute or the number of directors will be reduced accordingly.</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Summary</w:t>
      </w:r>
    </w:p>
    <w:p>
      <w:pPr>
        <w:spacing w:after="0" w:line="212" w:lineRule="exact"/>
        <w:rPr>
          <w:sz w:val="20"/>
          <w:szCs w:val="20"/>
          <w:color w:val="auto"/>
        </w:rPr>
      </w:pPr>
    </w:p>
    <w:p>
      <w:pPr>
        <w:ind w:left="200" w:right="820"/>
        <w:spacing w:after="0" w:line="276" w:lineRule="auto"/>
        <w:rPr>
          <w:sz w:val="20"/>
          <w:szCs w:val="20"/>
          <w:color w:val="auto"/>
        </w:rPr>
      </w:pPr>
      <w:r>
        <w:rPr>
          <w:rFonts w:ascii="Arial" w:cs="Arial" w:eastAsia="Arial" w:hAnsi="Arial"/>
          <w:sz w:val="18"/>
          <w:szCs w:val="18"/>
          <w:color w:val="auto"/>
        </w:rPr>
        <w:t>This table provides a summary view of the qualifications, experience and demographics of each director nominee as of the proxy statement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6642735</wp:posOffset>
            </wp:positionH>
            <wp:positionV relativeFrom="paragraph">
              <wp:posOffset>123825</wp:posOffset>
            </wp:positionV>
            <wp:extent cx="94615" cy="831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831850"/>
                    </a:xfrm>
                    <a:prstGeom prst="rect">
                      <a:avLst/>
                    </a:prstGeom>
                    <a:noFill/>
                  </pic:spPr>
                </pic:pic>
              </a:graphicData>
            </a:graphic>
          </wp:anchor>
        </w:drawing>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337"/>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Qualifications and experience</w:t>
            </w:r>
          </w:p>
        </w:tc>
        <w:tc>
          <w:tcPr>
            <w:tcW w:w="420" w:type="dxa"/>
            <w:vAlign w:val="bottom"/>
            <w:shd w:val="clear" w:color="auto" w:fill="E5E5E5"/>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shd w:val="clear" w:color="auto" w:fill="E5E5E5"/>
          </w:tcPr>
          <w:p>
            <w:pPr>
              <w:spacing w:after="0"/>
              <w:rPr>
                <w:sz w:val="24"/>
                <w:szCs w:val="24"/>
                <w:color w:val="auto"/>
              </w:rPr>
            </w:pPr>
          </w:p>
        </w:tc>
        <w:tc>
          <w:tcPr>
            <w:tcW w:w="48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660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Independence</w:t>
            </w:r>
          </w:p>
        </w:tc>
        <w:tc>
          <w:tcPr>
            <w:tcW w:w="420" w:type="dxa"/>
            <w:vAlign w:val="bottom"/>
            <w:tcBorders>
              <w:top w:val="single" w:sz="8" w:color="auto"/>
            </w:tcBorders>
            <w:shd w:val="clear" w:color="auto" w:fill="E5E5E5"/>
          </w:tcPr>
          <w:p>
            <w:pPr>
              <w:jc w:val="center"/>
              <w:spacing w:after="0" w:line="18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tcBorders>
              <w:top w:val="single" w:sz="8" w:color="auto"/>
            </w:tcBorders>
            <w:shd w:val="clear" w:color="auto" w:fill="E5E5E5"/>
          </w:tcPr>
          <w:p>
            <w:pPr>
              <w:jc w:val="center"/>
              <w:spacing w:after="0" w:line="187"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tcBorders>
              <w:top w:val="single" w:sz="8" w:color="auto"/>
            </w:tcBorders>
            <w:shd w:val="clear" w:color="auto" w:fill="E5E5E5"/>
          </w:tcPr>
          <w:p>
            <w:pPr>
              <w:jc w:val="center"/>
              <w:spacing w:after="0" w:line="187" w:lineRule="exact"/>
              <w:rPr>
                <w:sz w:val="20"/>
                <w:szCs w:val="20"/>
                <w:color w:val="auto"/>
              </w:rPr>
            </w:pPr>
            <w:r>
              <w:rPr>
                <w:rFonts w:ascii="Times New Roman" w:cs="Times New Roman" w:eastAsia="Times New Roman" w:hAnsi="Times New Roman"/>
                <w:sz w:val="18"/>
                <w:szCs w:val="18"/>
                <w:color w:val="auto"/>
                <w:w w:val="91"/>
              </w:rPr>
              <w:t>●</w:t>
            </w:r>
          </w:p>
        </w:tc>
        <w:tc>
          <w:tcPr>
            <w:tcW w:w="42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E5E5E5"/>
          </w:tcPr>
          <w:p>
            <w:pPr>
              <w:jc w:val="center"/>
              <w:spacing w:after="0" w:line="187" w:lineRule="exact"/>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tcBorders>
              <w:top w:val="single" w:sz="8" w:color="auto"/>
            </w:tcBorders>
            <w:shd w:val="clear" w:color="auto" w:fill="E5E5E5"/>
          </w:tcPr>
          <w:p>
            <w:pPr>
              <w:jc w:val="center"/>
              <w:spacing w:after="0" w:line="187" w:lineRule="exact"/>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tcBorders>
              <w:top w:val="single" w:sz="8" w:color="auto"/>
            </w:tcBorders>
          </w:tcPr>
          <w:p>
            <w:pPr>
              <w:spacing w:after="0"/>
              <w:rPr>
                <w:sz w:val="16"/>
                <w:szCs w:val="16"/>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Multinational experience</w:t>
            </w:r>
          </w:p>
        </w:tc>
        <w:tc>
          <w:tcPr>
            <w:tcW w:w="4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Executive leadership (public or private)</w:t>
            </w:r>
          </w:p>
        </w:tc>
        <w:tc>
          <w:tcPr>
            <w:tcW w:w="4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Technology, research and development</w:t>
            </w:r>
          </w:p>
        </w:tc>
        <w:tc>
          <w:tcPr>
            <w:tcW w:w="4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4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20" w:type="dxa"/>
            <w:vAlign w:val="bottom"/>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End-market knowledge</w:t>
            </w:r>
          </w:p>
        </w:tc>
        <w:tc>
          <w:tcPr>
            <w:tcW w:w="4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tcPr>
          <w:p>
            <w:pPr>
              <w:spacing w:after="0"/>
              <w:rPr>
                <w:sz w:val="18"/>
                <w:szCs w:val="18"/>
                <w:color w:val="auto"/>
              </w:rPr>
            </w:pPr>
          </w:p>
        </w:tc>
        <w:tc>
          <w:tcPr>
            <w:tcW w:w="4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Regulatory, public policy or legal</w:t>
            </w:r>
          </w:p>
        </w:tc>
        <w:tc>
          <w:tcPr>
            <w:tcW w:w="4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shd w:val="clear" w:color="auto" w:fill="E5E5E5"/>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Other public board service</w:t>
            </w:r>
          </w:p>
        </w:tc>
        <w:tc>
          <w:tcPr>
            <w:tcW w:w="4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Financial acumen</w:t>
            </w:r>
          </w:p>
        </w:tc>
        <w:tc>
          <w:tcPr>
            <w:tcW w:w="4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39"/>
        </w:trPr>
        <w:tc>
          <w:tcPr>
            <w:tcW w:w="6620" w:type="dxa"/>
            <w:vAlign w:val="bottom"/>
            <w:gridSpan w:val="2"/>
          </w:tcPr>
          <w:p>
            <w:pPr>
              <w:spacing w:after="0"/>
              <w:rPr>
                <w:sz w:val="20"/>
                <w:szCs w:val="20"/>
                <w:color w:val="auto"/>
              </w:rPr>
            </w:pPr>
            <w:r>
              <w:rPr>
                <w:rFonts w:ascii="Arial" w:cs="Arial" w:eastAsia="Arial" w:hAnsi="Arial"/>
                <w:sz w:val="18"/>
                <w:szCs w:val="18"/>
                <w:color w:val="auto"/>
              </w:rPr>
              <w:t>Auditing/accounting</w:t>
            </w:r>
          </w:p>
        </w:tc>
        <w:tc>
          <w:tcPr>
            <w:tcW w:w="4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440" w:type="dxa"/>
            <w:vAlign w:val="bottom"/>
            <w:shd w:val="clear" w:color="auto" w:fill="E5E5E5"/>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spacing w:after="0"/>
              <w:rPr>
                <w:sz w:val="20"/>
                <w:szCs w:val="20"/>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480" w:type="dxa"/>
            <w:vAlign w:val="bottom"/>
          </w:tcPr>
          <w:p>
            <w:pPr>
              <w:spacing w:after="0"/>
              <w:rPr>
                <w:sz w:val="20"/>
                <w:szCs w:val="20"/>
                <w:color w:val="auto"/>
              </w:rPr>
            </w:pPr>
          </w:p>
        </w:tc>
      </w:tr>
      <w:tr>
        <w:trPr>
          <w:trHeight w:val="378"/>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Demographic background</w:t>
            </w:r>
          </w:p>
        </w:tc>
        <w:tc>
          <w:tcPr>
            <w:tcW w:w="420" w:type="dxa"/>
            <w:vAlign w:val="bottom"/>
            <w:shd w:val="clear" w:color="auto" w:fill="E5E5E5"/>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shd w:val="clear" w:color="auto" w:fill="E5E5E5"/>
          </w:tcPr>
          <w:p>
            <w:pPr>
              <w:spacing w:after="0"/>
              <w:rPr>
                <w:sz w:val="24"/>
                <w:szCs w:val="24"/>
                <w:color w:val="auto"/>
              </w:rPr>
            </w:pPr>
          </w:p>
        </w:tc>
        <w:tc>
          <w:tcPr>
            <w:tcW w:w="48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66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Tenure (Years)</w:t>
            </w:r>
          </w:p>
        </w:tc>
        <w:tc>
          <w:tcPr>
            <w:tcW w:w="420" w:type="dxa"/>
            <w:vAlign w:val="bottom"/>
            <w:tcBorders>
              <w:top w:val="single" w:sz="8" w:color="auto"/>
            </w:tcBorders>
            <w:shd w:val="clear" w:color="auto" w:fill="E5E5E5"/>
          </w:tcPr>
          <w:p>
            <w:pPr>
              <w:jc w:val="center"/>
              <w:spacing w:after="0" w:line="173" w:lineRule="exact"/>
              <w:rPr>
                <w:sz w:val="20"/>
                <w:szCs w:val="20"/>
                <w:color w:val="auto"/>
              </w:rPr>
            </w:pPr>
            <w:r>
              <w:rPr>
                <w:rFonts w:ascii="Arial" w:cs="Arial" w:eastAsia="Arial" w:hAnsi="Arial"/>
                <w:sz w:val="18"/>
                <w:szCs w:val="18"/>
                <w:color w:val="auto"/>
                <w:w w:val="99"/>
              </w:rPr>
              <w:t>6</w:t>
            </w:r>
          </w:p>
        </w:tc>
        <w:tc>
          <w:tcPr>
            <w:tcW w:w="4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2</w:t>
            </w:r>
          </w:p>
        </w:tc>
        <w:tc>
          <w:tcPr>
            <w:tcW w:w="440" w:type="dxa"/>
            <w:vAlign w:val="bottom"/>
            <w:tcBorders>
              <w:top w:val="single" w:sz="8" w:color="auto"/>
            </w:tcBorders>
            <w:shd w:val="clear" w:color="auto" w:fill="E5E5E5"/>
          </w:tcPr>
          <w:p>
            <w:pPr>
              <w:jc w:val="center"/>
              <w:spacing w:after="0" w:line="173" w:lineRule="exact"/>
              <w:rPr>
                <w:sz w:val="20"/>
                <w:szCs w:val="20"/>
                <w:color w:val="auto"/>
              </w:rPr>
            </w:pPr>
            <w:r>
              <w:rPr>
                <w:rFonts w:ascii="Arial" w:cs="Arial" w:eastAsia="Arial" w:hAnsi="Arial"/>
                <w:sz w:val="18"/>
                <w:szCs w:val="18"/>
                <w:color w:val="auto"/>
                <w:w w:val="99"/>
              </w:rPr>
              <w:t>4</w:t>
            </w:r>
          </w:p>
        </w:tc>
        <w:tc>
          <w:tcPr>
            <w:tcW w:w="4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15</w:t>
            </w:r>
          </w:p>
        </w:tc>
        <w:tc>
          <w:tcPr>
            <w:tcW w:w="440" w:type="dxa"/>
            <w:vAlign w:val="bottom"/>
            <w:tcBorders>
              <w:top w:val="single" w:sz="8" w:color="auto"/>
            </w:tcBorders>
            <w:shd w:val="clear" w:color="auto" w:fill="E5E5E5"/>
          </w:tcPr>
          <w:p>
            <w:pPr>
              <w:jc w:val="center"/>
              <w:spacing w:after="0" w:line="173" w:lineRule="exact"/>
              <w:rPr>
                <w:sz w:val="20"/>
                <w:szCs w:val="20"/>
                <w:color w:val="auto"/>
              </w:rPr>
            </w:pPr>
            <w:r>
              <w:rPr>
                <w:rFonts w:ascii="Arial" w:cs="Arial" w:eastAsia="Arial" w:hAnsi="Arial"/>
                <w:sz w:val="18"/>
                <w:szCs w:val="18"/>
                <w:color w:val="auto"/>
                <w:w w:val="99"/>
              </w:rPr>
              <w:t>1</w:t>
            </w:r>
          </w:p>
        </w:tc>
        <w:tc>
          <w:tcPr>
            <w:tcW w:w="4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3</w:t>
            </w:r>
          </w:p>
        </w:tc>
        <w:tc>
          <w:tcPr>
            <w:tcW w:w="440" w:type="dxa"/>
            <w:vAlign w:val="bottom"/>
            <w:tcBorders>
              <w:top w:val="single" w:sz="8" w:color="auto"/>
            </w:tcBorders>
            <w:shd w:val="clear" w:color="auto" w:fill="E5E5E5"/>
          </w:tcPr>
          <w:p>
            <w:pPr>
              <w:jc w:val="center"/>
              <w:spacing w:after="0" w:line="173" w:lineRule="exact"/>
              <w:rPr>
                <w:sz w:val="20"/>
                <w:szCs w:val="20"/>
                <w:color w:val="auto"/>
              </w:rPr>
            </w:pPr>
            <w:r>
              <w:rPr>
                <w:rFonts w:ascii="Arial" w:cs="Arial" w:eastAsia="Arial" w:hAnsi="Arial"/>
                <w:sz w:val="18"/>
                <w:szCs w:val="18"/>
                <w:color w:val="auto"/>
                <w:w w:val="99"/>
              </w:rPr>
              <w:t>6</w:t>
            </w:r>
          </w:p>
        </w:tc>
        <w:tc>
          <w:tcPr>
            <w:tcW w:w="4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15</w:t>
            </w:r>
          </w:p>
        </w:tc>
        <w:tc>
          <w:tcPr>
            <w:tcW w:w="480" w:type="dxa"/>
            <w:vAlign w:val="bottom"/>
            <w:tcBorders>
              <w:top w:val="single" w:sz="8" w:color="auto"/>
            </w:tcBorders>
            <w:shd w:val="clear" w:color="auto" w:fill="E5E5E5"/>
          </w:tcPr>
          <w:p>
            <w:pPr>
              <w:jc w:val="center"/>
              <w:spacing w:after="0" w:line="173" w:lineRule="exact"/>
              <w:rPr>
                <w:sz w:val="20"/>
                <w:szCs w:val="20"/>
                <w:color w:val="auto"/>
              </w:rPr>
            </w:pPr>
            <w:r>
              <w:rPr>
                <w:rFonts w:ascii="Arial" w:cs="Arial" w:eastAsia="Arial" w:hAnsi="Arial"/>
                <w:sz w:val="18"/>
                <w:szCs w:val="18"/>
                <w:color w:val="auto"/>
                <w:w w:val="99"/>
              </w:rPr>
              <w:t>8</w:t>
            </w:r>
          </w:p>
        </w:tc>
        <w:tc>
          <w:tcPr>
            <w:tcW w:w="4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16</w:t>
            </w: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Age (Years)</w:t>
            </w:r>
          </w:p>
        </w:tc>
        <w:tc>
          <w:tcPr>
            <w:tcW w:w="4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57</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55</w:t>
            </w:r>
          </w:p>
        </w:tc>
        <w:tc>
          <w:tcPr>
            <w:tcW w:w="44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64</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61</w:t>
            </w:r>
          </w:p>
        </w:tc>
        <w:tc>
          <w:tcPr>
            <w:tcW w:w="44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59</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58</w:t>
            </w:r>
          </w:p>
        </w:tc>
        <w:tc>
          <w:tcPr>
            <w:tcW w:w="44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64</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62</w:t>
            </w:r>
          </w:p>
        </w:tc>
        <w:tc>
          <w:tcPr>
            <w:tcW w:w="4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53</w:t>
            </w:r>
          </w:p>
        </w:tc>
        <w:tc>
          <w:tcPr>
            <w:tcW w:w="480" w:type="dxa"/>
            <w:vAlign w:val="bottom"/>
          </w:tcPr>
          <w:p>
            <w:pPr>
              <w:jc w:val="center"/>
              <w:spacing w:after="0" w:line="202" w:lineRule="exact"/>
              <w:rPr>
                <w:sz w:val="20"/>
                <w:szCs w:val="20"/>
                <w:color w:val="auto"/>
              </w:rPr>
            </w:pPr>
            <w:r>
              <w:rPr>
                <w:rFonts w:ascii="Arial" w:cs="Arial" w:eastAsia="Arial" w:hAnsi="Arial"/>
                <w:sz w:val="18"/>
                <w:szCs w:val="18"/>
                <w:color w:val="auto"/>
                <w:w w:val="99"/>
              </w:rPr>
              <w:t>60</w:t>
            </w: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Gender</w:t>
            </w:r>
          </w:p>
        </w:tc>
        <w:tc>
          <w:tcPr>
            <w:tcW w:w="42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M</w:t>
            </w:r>
          </w:p>
        </w:tc>
        <w:tc>
          <w:tcPr>
            <w:tcW w:w="440" w:type="dxa"/>
            <w:vAlign w:val="bottom"/>
          </w:tcPr>
          <w:p>
            <w:pPr>
              <w:ind w:left="160"/>
              <w:spacing w:after="0" w:line="202" w:lineRule="exact"/>
              <w:rPr>
                <w:sz w:val="20"/>
                <w:szCs w:val="20"/>
                <w:color w:val="auto"/>
              </w:rPr>
            </w:pPr>
            <w:r>
              <w:rPr>
                <w:rFonts w:ascii="Arial" w:cs="Arial" w:eastAsia="Arial" w:hAnsi="Arial"/>
                <w:sz w:val="18"/>
                <w:szCs w:val="18"/>
                <w:color w:val="auto"/>
              </w:rPr>
              <w:t>M</w:t>
            </w:r>
          </w:p>
        </w:tc>
        <w:tc>
          <w:tcPr>
            <w:tcW w:w="4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F</w:t>
            </w:r>
          </w:p>
        </w:tc>
        <w:tc>
          <w:tcPr>
            <w:tcW w:w="420" w:type="dxa"/>
            <w:vAlign w:val="bottom"/>
          </w:tcPr>
          <w:p>
            <w:pPr>
              <w:ind w:left="160"/>
              <w:spacing w:after="0" w:line="202" w:lineRule="exact"/>
              <w:rPr>
                <w:sz w:val="20"/>
                <w:szCs w:val="20"/>
                <w:color w:val="auto"/>
              </w:rPr>
            </w:pPr>
            <w:r>
              <w:rPr>
                <w:rFonts w:ascii="Arial" w:cs="Arial" w:eastAsia="Arial" w:hAnsi="Arial"/>
                <w:sz w:val="18"/>
                <w:szCs w:val="18"/>
                <w:color w:val="auto"/>
              </w:rPr>
              <w:t>F</w:t>
            </w:r>
          </w:p>
        </w:tc>
        <w:tc>
          <w:tcPr>
            <w:tcW w:w="4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M</w:t>
            </w:r>
          </w:p>
        </w:tc>
        <w:tc>
          <w:tcPr>
            <w:tcW w:w="420" w:type="dxa"/>
            <w:vAlign w:val="bottom"/>
          </w:tcPr>
          <w:p>
            <w:pPr>
              <w:ind w:left="160"/>
              <w:spacing w:after="0" w:line="202" w:lineRule="exact"/>
              <w:rPr>
                <w:sz w:val="20"/>
                <w:szCs w:val="20"/>
                <w:color w:val="auto"/>
              </w:rPr>
            </w:pPr>
            <w:r>
              <w:rPr>
                <w:rFonts w:ascii="Arial" w:cs="Arial" w:eastAsia="Arial" w:hAnsi="Arial"/>
                <w:sz w:val="18"/>
                <w:szCs w:val="18"/>
                <w:color w:val="auto"/>
              </w:rPr>
              <w:t>F</w:t>
            </w:r>
          </w:p>
        </w:tc>
        <w:tc>
          <w:tcPr>
            <w:tcW w:w="4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M</w:t>
            </w:r>
          </w:p>
        </w:tc>
        <w:tc>
          <w:tcPr>
            <w:tcW w:w="440" w:type="dxa"/>
            <w:vAlign w:val="bottom"/>
          </w:tcPr>
          <w:p>
            <w:pPr>
              <w:ind w:left="180"/>
              <w:spacing w:after="0" w:line="202" w:lineRule="exact"/>
              <w:rPr>
                <w:sz w:val="20"/>
                <w:szCs w:val="20"/>
                <w:color w:val="auto"/>
              </w:rPr>
            </w:pPr>
            <w:r>
              <w:rPr>
                <w:rFonts w:ascii="Arial" w:cs="Arial" w:eastAsia="Arial" w:hAnsi="Arial"/>
                <w:sz w:val="18"/>
                <w:szCs w:val="18"/>
                <w:color w:val="auto"/>
              </w:rPr>
              <w:t>F</w:t>
            </w:r>
          </w:p>
        </w:tc>
        <w:tc>
          <w:tcPr>
            <w:tcW w:w="4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M</w:t>
            </w:r>
          </w:p>
        </w:tc>
        <w:tc>
          <w:tcPr>
            <w:tcW w:w="480" w:type="dxa"/>
            <w:vAlign w:val="bottom"/>
          </w:tcPr>
          <w:p>
            <w:pPr>
              <w:ind w:left="180"/>
              <w:spacing w:after="0" w:line="202" w:lineRule="exact"/>
              <w:rPr>
                <w:sz w:val="20"/>
                <w:szCs w:val="20"/>
                <w:color w:val="auto"/>
              </w:rPr>
            </w:pPr>
            <w:r>
              <w:rPr>
                <w:rFonts w:ascii="Arial" w:cs="Arial" w:eastAsia="Arial" w:hAnsi="Arial"/>
                <w:sz w:val="18"/>
                <w:szCs w:val="18"/>
                <w:color w:val="auto"/>
              </w:rPr>
              <w:t>M</w:t>
            </w:r>
          </w:p>
        </w:tc>
      </w:tr>
      <w:tr>
        <w:trPr>
          <w:trHeight w:val="225"/>
        </w:trPr>
        <w:tc>
          <w:tcPr>
            <w:tcW w:w="6620" w:type="dxa"/>
            <w:vAlign w:val="bottom"/>
            <w:gridSpan w:val="2"/>
          </w:tcPr>
          <w:p>
            <w:pPr>
              <w:spacing w:after="0"/>
              <w:rPr>
                <w:sz w:val="20"/>
                <w:szCs w:val="20"/>
                <w:color w:val="auto"/>
              </w:rPr>
            </w:pPr>
            <w:r>
              <w:rPr>
                <w:rFonts w:ascii="Arial" w:cs="Arial" w:eastAsia="Arial" w:hAnsi="Arial"/>
                <w:sz w:val="18"/>
                <w:szCs w:val="18"/>
                <w:color w:val="auto"/>
              </w:rPr>
              <w:t>Race/Ethnicity *</w:t>
            </w:r>
          </w:p>
        </w:tc>
        <w:tc>
          <w:tcPr>
            <w:tcW w:w="420" w:type="dxa"/>
            <w:vAlign w:val="bottom"/>
            <w:shd w:val="clear" w:color="auto" w:fill="E5E5E5"/>
          </w:tcPr>
          <w:p>
            <w:pPr>
              <w:ind w:left="160"/>
              <w:spacing w:after="0"/>
              <w:rPr>
                <w:sz w:val="20"/>
                <w:szCs w:val="20"/>
                <w:color w:val="auto"/>
              </w:rPr>
            </w:pPr>
            <w:r>
              <w:rPr>
                <w:rFonts w:ascii="Arial" w:cs="Arial" w:eastAsia="Arial" w:hAnsi="Arial"/>
                <w:sz w:val="18"/>
                <w:szCs w:val="18"/>
                <w:color w:val="auto"/>
              </w:rPr>
              <w:t>C</w:t>
            </w:r>
          </w:p>
        </w:tc>
        <w:tc>
          <w:tcPr>
            <w:tcW w:w="440" w:type="dxa"/>
            <w:vAlign w:val="bottom"/>
          </w:tcPr>
          <w:p>
            <w:pPr>
              <w:ind w:left="160"/>
              <w:spacing w:after="0"/>
              <w:rPr>
                <w:sz w:val="20"/>
                <w:szCs w:val="20"/>
                <w:color w:val="auto"/>
              </w:rPr>
            </w:pPr>
            <w:r>
              <w:rPr>
                <w:rFonts w:ascii="Arial" w:cs="Arial" w:eastAsia="Arial" w:hAnsi="Arial"/>
                <w:sz w:val="18"/>
                <w:szCs w:val="18"/>
                <w:color w:val="auto"/>
              </w:rPr>
              <w:t>C</w:t>
            </w:r>
          </w:p>
        </w:tc>
        <w:tc>
          <w:tcPr>
            <w:tcW w:w="440" w:type="dxa"/>
            <w:vAlign w:val="bottom"/>
            <w:shd w:val="clear" w:color="auto" w:fill="E5E5E5"/>
          </w:tcPr>
          <w:p>
            <w:pPr>
              <w:ind w:left="160"/>
              <w:spacing w:after="0"/>
              <w:rPr>
                <w:sz w:val="20"/>
                <w:szCs w:val="20"/>
                <w:color w:val="auto"/>
              </w:rPr>
            </w:pPr>
            <w:r>
              <w:rPr>
                <w:rFonts w:ascii="Arial" w:cs="Arial" w:eastAsia="Arial" w:hAnsi="Arial"/>
                <w:sz w:val="18"/>
                <w:szCs w:val="18"/>
                <w:color w:val="auto"/>
              </w:rPr>
              <w:t>C</w:t>
            </w:r>
          </w:p>
        </w:tc>
        <w:tc>
          <w:tcPr>
            <w:tcW w:w="420" w:type="dxa"/>
            <w:vAlign w:val="bottom"/>
          </w:tcPr>
          <w:p>
            <w:pPr>
              <w:ind w:left="140"/>
              <w:spacing w:after="0"/>
              <w:rPr>
                <w:sz w:val="20"/>
                <w:szCs w:val="20"/>
                <w:color w:val="auto"/>
              </w:rPr>
            </w:pPr>
            <w:r>
              <w:rPr>
                <w:rFonts w:ascii="Arial" w:cs="Arial" w:eastAsia="Arial" w:hAnsi="Arial"/>
                <w:sz w:val="18"/>
                <w:szCs w:val="18"/>
                <w:color w:val="auto"/>
              </w:rPr>
              <w:t>C</w:t>
            </w:r>
          </w:p>
        </w:tc>
        <w:tc>
          <w:tcPr>
            <w:tcW w:w="440" w:type="dxa"/>
            <w:vAlign w:val="bottom"/>
            <w:shd w:val="clear" w:color="auto" w:fill="E5E5E5"/>
          </w:tcPr>
          <w:p>
            <w:pPr>
              <w:ind w:left="160"/>
              <w:spacing w:after="0"/>
              <w:rPr>
                <w:sz w:val="20"/>
                <w:szCs w:val="20"/>
                <w:color w:val="auto"/>
              </w:rPr>
            </w:pPr>
            <w:r>
              <w:rPr>
                <w:rFonts w:ascii="Arial" w:cs="Arial" w:eastAsia="Arial" w:hAnsi="Arial"/>
                <w:sz w:val="18"/>
                <w:szCs w:val="18"/>
                <w:color w:val="auto"/>
              </w:rPr>
              <w:t>C</w:t>
            </w:r>
          </w:p>
        </w:tc>
        <w:tc>
          <w:tcPr>
            <w:tcW w:w="420" w:type="dxa"/>
            <w:vAlign w:val="bottom"/>
          </w:tcPr>
          <w:p>
            <w:pPr>
              <w:ind w:left="160"/>
              <w:spacing w:after="0"/>
              <w:rPr>
                <w:sz w:val="20"/>
                <w:szCs w:val="20"/>
                <w:color w:val="auto"/>
              </w:rPr>
            </w:pPr>
            <w:r>
              <w:rPr>
                <w:rFonts w:ascii="Arial" w:cs="Arial" w:eastAsia="Arial" w:hAnsi="Arial"/>
                <w:sz w:val="18"/>
                <w:szCs w:val="18"/>
                <w:color w:val="auto"/>
              </w:rPr>
              <w:t>C</w:t>
            </w:r>
          </w:p>
        </w:tc>
        <w:tc>
          <w:tcPr>
            <w:tcW w:w="4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A</w:t>
            </w:r>
          </w:p>
        </w:tc>
        <w:tc>
          <w:tcPr>
            <w:tcW w:w="440" w:type="dxa"/>
            <w:vAlign w:val="bottom"/>
          </w:tcPr>
          <w:p>
            <w:pPr>
              <w:ind w:left="160"/>
              <w:spacing w:after="0"/>
              <w:rPr>
                <w:sz w:val="20"/>
                <w:szCs w:val="20"/>
                <w:color w:val="auto"/>
              </w:rPr>
            </w:pPr>
            <w:r>
              <w:rPr>
                <w:rFonts w:ascii="Arial" w:cs="Arial" w:eastAsia="Arial" w:hAnsi="Arial"/>
                <w:sz w:val="18"/>
                <w:szCs w:val="18"/>
                <w:color w:val="auto"/>
              </w:rPr>
              <w:t>C</w:t>
            </w:r>
          </w:p>
        </w:tc>
        <w:tc>
          <w:tcPr>
            <w:tcW w:w="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H</w:t>
            </w:r>
          </w:p>
        </w:tc>
        <w:tc>
          <w:tcPr>
            <w:tcW w:w="480" w:type="dxa"/>
            <w:vAlign w:val="bottom"/>
          </w:tcPr>
          <w:p>
            <w:pPr>
              <w:ind w:left="180"/>
              <w:spacing w:after="0"/>
              <w:rPr>
                <w:sz w:val="20"/>
                <w:szCs w:val="20"/>
                <w:color w:val="auto"/>
              </w:rPr>
            </w:pPr>
            <w:r>
              <w:rPr>
                <w:rFonts w:ascii="Arial" w:cs="Arial" w:eastAsia="Arial" w:hAnsi="Arial"/>
                <w:sz w:val="18"/>
                <w:szCs w:val="18"/>
                <w:color w:val="auto"/>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-2769235</wp:posOffset>
            </wp:positionV>
            <wp:extent cx="94615" cy="608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60896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-2760980</wp:posOffset>
            </wp:positionV>
            <wp:extent cx="94615" cy="600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60007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-2795270</wp:posOffset>
            </wp:positionV>
            <wp:extent cx="94615" cy="634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63436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-2597785</wp:posOffset>
            </wp:positionV>
            <wp:extent cx="94615" cy="43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43751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-2889250</wp:posOffset>
            </wp:positionV>
            <wp:extent cx="94615" cy="728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72898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-2666365</wp:posOffset>
            </wp:positionV>
            <wp:extent cx="94615" cy="506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50609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-2675255</wp:posOffset>
            </wp:positionV>
            <wp:extent cx="94615" cy="514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51435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-2769235</wp:posOffset>
            </wp:positionV>
            <wp:extent cx="94615" cy="6089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608965"/>
                    </a:xfrm>
                    <a:prstGeom prst="rect">
                      <a:avLst/>
                    </a:prstGeom>
                    <a:noFill/>
                  </pic:spPr>
                </pic:pic>
              </a:graphicData>
            </a:graphic>
          </wp:anchor>
        </w:drawing>
        <w:drawing>
          <wp:anchor simplePos="0" relativeHeight="251657728" behindDoc="1" locked="0" layoutInCell="0" allowOverlap="1">
            <wp:simplePos x="0" y="0"/>
            <wp:positionH relativeFrom="column">
              <wp:posOffset>6943090</wp:posOffset>
            </wp:positionH>
            <wp:positionV relativeFrom="paragraph">
              <wp:posOffset>-2889250</wp:posOffset>
            </wp:positionV>
            <wp:extent cx="94615" cy="728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728980"/>
                    </a:xfrm>
                    <a:prstGeom prst="rect">
                      <a:avLst/>
                    </a:prstGeom>
                    <a:noFill/>
                  </pic:spPr>
                </pic:pic>
              </a:graphicData>
            </a:graphic>
          </wp:anchor>
        </w:drawing>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A = African American/Black; C = Caucasian/White; H = Hispanic/Latino</w:t>
      </w:r>
    </w:p>
    <w:p>
      <w:pPr>
        <w:spacing w:after="0" w:line="212"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board actively seeks women and minority candidates for the pool from which board candidates are chosen. Maintaining a balance of tenure among the directors is also part of the board’s consideration. Longer-serving directors bring valuable experience with 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70.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pacing w:after="0" w:line="110"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5</w:t>
            </w:r>
          </w:p>
        </w:tc>
      </w:tr>
    </w:tbl>
    <w:p>
      <w:pPr>
        <w:sectPr>
          <w:pgSz w:w="11900" w:h="16838" w:orient="portrait"/>
          <w:cols w:equalWidth="0" w:num="1">
            <w:col w:w="11240"/>
          </w:cols>
          <w:pgMar w:left="240" w:top="455" w:right="4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Nominee criteria</w:t>
      </w:r>
    </w:p>
    <w:p>
      <w:pPr>
        <w:spacing w:after="0" w:line="212" w:lineRule="exact"/>
        <w:rPr>
          <w:sz w:val="20"/>
          <w:szCs w:val="20"/>
          <w:color w:val="auto"/>
        </w:rPr>
      </w:pPr>
    </w:p>
    <w:p>
      <w:pPr>
        <w:ind w:left="200" w:right="340"/>
        <w:spacing w:after="0" w:line="276" w:lineRule="auto"/>
        <w:rPr>
          <w:sz w:val="20"/>
          <w:szCs w:val="20"/>
          <w:color w:val="auto"/>
        </w:rPr>
      </w:pPr>
      <w:r>
        <w:rPr>
          <w:rFonts w:ascii="Arial" w:cs="Arial" w:eastAsia="Arial" w:hAnsi="Arial"/>
          <w:sz w:val="18"/>
          <w:szCs w:val="18"/>
          <w:color w:val="auto"/>
        </w:rPr>
        <w:t>In evaluating prospective nominees and as stated in our corporate governance guidelines, the Governance and Stockholder Relations (GSR) Committee considers the following criteria:</w:t>
      </w:r>
    </w:p>
    <w:p>
      <w:pPr>
        <w:spacing w:after="0" w:line="172" w:lineRule="exact"/>
        <w:rPr>
          <w:sz w:val="20"/>
          <w:szCs w:val="20"/>
          <w:color w:val="auto"/>
        </w:rPr>
      </w:pPr>
    </w:p>
    <w:p>
      <w:pPr>
        <w:ind w:left="960" w:hanging="54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spacing w:after="0" w:line="17"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Relevant commercial expertise.</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operations experience.</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acumen.</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experience.</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Standards of integrity and soundness of judgment.</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be expected to, represent the interests of any particular group).</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diversity (viewpoints, gender, ethnicity).</w:t>
      </w:r>
    </w:p>
    <w:p>
      <w:pPr>
        <w:ind w:left="960" w:right="500" w:hanging="540"/>
        <w:spacing w:after="0" w:line="25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Directors should not serve on the boards of more than four other public companies.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Nominee assessment</w:t>
      </w:r>
    </w:p>
    <w:p>
      <w:pPr>
        <w:spacing w:after="0" w:line="212" w:lineRule="exact"/>
        <w:rPr>
          <w:sz w:val="20"/>
          <w:szCs w:val="20"/>
          <w:color w:val="auto"/>
        </w:rPr>
      </w:pPr>
    </w:p>
    <w:p>
      <w:pPr>
        <w:ind w:left="200" w:right="200"/>
        <w:spacing w:after="0" w:line="243" w:lineRule="auto"/>
        <w:rPr>
          <w:sz w:val="20"/>
          <w:szCs w:val="20"/>
          <w:color w:val="auto"/>
        </w:rPr>
      </w:pPr>
      <w:r>
        <w:rPr>
          <w:rFonts w:ascii="Arial" w:cs="Arial" w:eastAsia="Arial" w:hAnsi="Arial"/>
          <w:sz w:val="18"/>
          <w:szCs w:val="18"/>
          <w:color w:val="auto"/>
        </w:rPr>
        <w:t>As it considered director nominees for the 2019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174" w:lineRule="exact"/>
        <w:rPr>
          <w:sz w:val="20"/>
          <w:szCs w:val="20"/>
          <w:color w:val="auto"/>
        </w:rPr>
      </w:pPr>
    </w:p>
    <w:p>
      <w:pPr>
        <w:ind w:left="200" w:right="20"/>
        <w:spacing w:after="0" w:line="243" w:lineRule="auto"/>
        <w:rPr>
          <w:sz w:val="20"/>
          <w:szCs w:val="20"/>
          <w:color w:val="auto"/>
        </w:rPr>
      </w:pPr>
      <w:r>
        <w:rPr>
          <w:rFonts w:ascii="Arial" w:cs="Arial" w:eastAsia="Arial" w:hAnsi="Arial"/>
          <w:sz w:val="18"/>
          <w:szCs w:val="18"/>
          <w:color w:val="auto"/>
        </w:rPr>
        <w:t>As described below, each of our director nominees has achieved an extremely high level of success in his or her career, whether at multi-billion dollar, multinational corporate enterprises or significant governmental organizations. In these positions, each has been directly involved in the challenges relating to setting the strategic direction and managing the financial performance, personnel and processes of large, complex organizations. Each has had exposure to effective leaders and has developed the ability to judge leadership qualities. Nine of the director nominees have experience in serving on the board of directors of at least one other major corporation, and one has served in high political office, all of which provides additional relevant experience on which each nominee can draw.</w:t>
      </w:r>
    </w:p>
    <w:p>
      <w:pPr>
        <w:spacing w:after="0" w:line="174"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concluding that each nominee should serve as a director, the board relied on the specific experiences and attributes listed below and on the direct personal knowledge, born of previous service on the board, that each of the nominees brings insight to board deliberations as well as a willingness to ask challenging questions.</w:t>
      </w:r>
    </w:p>
    <w:p>
      <w:pPr>
        <w:spacing w:after="0" w:line="164"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color w:val="auto"/>
        </w:rPr>
        <w:t>All nominees for directorship are currently directors of the company, including Mr. Craighead, who was elected to the board effective July 1, 2018. He is the only director nominee at the 2019 annual meeting of stockholders who is standing for election by the stockholders for the first time. A search firm retained by the company to assist the GSR Committee in identifying and evaluating potential nominees initially identified Mr. Craighead as a potential director candidate. The search firm conducted research to identify a number of potential candidates, based on the qualifications and skills the GSR Committee determined that candidates should possess. It then conducted further research on the candidates in whom the GSR Committee had the most interest. Following this process, Mr. Craighead was unanimously elected to the company’s board of directors.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believes its current size is within the desired range as stated in the board’s corporate governance guidelines.</w:t>
      </w:r>
    </w:p>
    <w:p>
      <w:pPr>
        <w:spacing w:after="0" w:line="145"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00"/>
          </w:cols>
          <w:pgMar w:left="24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Director nominees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 A. Blinn</w:t>
      </w:r>
    </w:p>
    <w:p>
      <w:pPr>
        <w:spacing w:after="0" w:line="77" w:lineRule="exact"/>
        <w:rPr>
          <w:sz w:val="20"/>
          <w:szCs w:val="20"/>
          <w:color w:val="auto"/>
        </w:rPr>
      </w:pPr>
    </w:p>
    <w:p>
      <w:pPr>
        <w:ind w:left="2920" w:right="220" w:hanging="258"/>
        <w:spacing w:after="0" w:line="241" w:lineRule="auto"/>
        <w:tabs>
          <w:tab w:leader="none" w:pos="28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Blinn was CEO and a director of Flowserve Corporation (2009-2017), where he gained first-hand experience managing a large, multinational corporation operating in global industrial markets, with ultimate management responsibility for the organization’s financial performance and significant capital and R&amp;D investments.</w:t>
      </w:r>
    </w:p>
    <w:p>
      <w:pPr>
        <w:ind w:left="2920" w:right="60" w:hanging="258"/>
        <w:spacing w:after="0" w:line="248" w:lineRule="auto"/>
        <w:tabs>
          <w:tab w:leader="none" w:pos="28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Mr. Blinn has developed a keen appreciation for audit- and financial control-related matters as Audit Committee chair at the company (April 21, 2017-present), chief financial officer of Flowserve Corporation (2004-2009), chief financial officer of FedEx Kinko’s Office and Print Services Inc. (2003-2004) and vice president and controller of Centex Corporation (2000-2002). Additionally, as an attorney, he formerly represented large financial institutions, foreign corporations and insurance companies.</w:t>
      </w:r>
    </w:p>
    <w:p>
      <w:pPr>
        <w:spacing w:after="0" w:line="2" w:lineRule="exact"/>
        <w:rPr>
          <w:rFonts w:ascii="Arial" w:cs="Arial" w:eastAsia="Arial" w:hAnsi="Arial"/>
          <w:sz w:val="17"/>
          <w:szCs w:val="17"/>
          <w:color w:val="auto"/>
        </w:rPr>
      </w:pPr>
    </w:p>
    <w:p>
      <w:pPr>
        <w:ind w:left="2920" w:right="300" w:hanging="258"/>
        <w:spacing w:after="0" w:line="251" w:lineRule="auto"/>
        <w:tabs>
          <w:tab w:leader="none" w:pos="28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Blinn is also a director of Kraton Corporation (2017-present) and Westinghouse Electric Company LLC (2018-present).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-1431290</wp:posOffset>
            </wp:positionV>
            <wp:extent cx="805815" cy="969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Todd M. Bluedorn</w:t>
      </w:r>
    </w:p>
    <w:p>
      <w:pPr>
        <w:spacing w:after="0" w:line="90" w:lineRule="exact"/>
        <w:rPr>
          <w:sz w:val="20"/>
          <w:szCs w:val="20"/>
          <w:color w:val="auto"/>
        </w:rPr>
      </w:pPr>
    </w:p>
    <w:p>
      <w:pPr>
        <w:ind w:left="2920" w:right="20" w:hanging="258"/>
        <w:spacing w:after="0" w:line="241" w:lineRule="auto"/>
        <w:tabs>
          <w:tab w:leader="none" w:pos="28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Bluedorn is chairman (2012-present), CEO and a director (2007-present) of Lennox International Inc., where he has gained first-hand experience managing a large, multinational corporation operating in global industrial markets, with ultimate management responsibility for the organization’s financial performance and significant capital and R&amp;D investments.</w:t>
      </w:r>
    </w:p>
    <w:p>
      <w:pPr>
        <w:ind w:left="2860" w:hanging="198"/>
        <w:spacing w:after="0"/>
        <w:tabs>
          <w:tab w:leader="none" w:pos="2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Bluedorn is also a director of Eaton Corporation plc (2010-present).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-644525</wp:posOffset>
            </wp:positionV>
            <wp:extent cx="805815" cy="9690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Janet F. Clark</w:t>
      </w:r>
    </w:p>
    <w:p>
      <w:pPr>
        <w:spacing w:after="0" w:line="90" w:lineRule="exact"/>
        <w:rPr>
          <w:sz w:val="20"/>
          <w:szCs w:val="20"/>
          <w:color w:val="auto"/>
        </w:rPr>
      </w:pPr>
    </w:p>
    <w:p>
      <w:pPr>
        <w:ind w:left="2920" w:right="160" w:hanging="258"/>
        <w:spacing w:after="0" w:line="243" w:lineRule="auto"/>
        <w:tabs>
          <w:tab w:leader="none" w:pos="28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Clark was executive vice president (2007-2013) and chief financial officer (2004-2013) of Marathon Oil Corporation, where she developed a keen appreciation for audit- and financial control-related matters.</w:t>
      </w:r>
    </w:p>
    <w:p>
      <w:pPr>
        <w:spacing w:after="0" w:line="1" w:lineRule="exact"/>
        <w:rPr>
          <w:rFonts w:ascii="Arial" w:cs="Arial" w:eastAsia="Arial" w:hAnsi="Arial"/>
          <w:sz w:val="18"/>
          <w:szCs w:val="18"/>
          <w:color w:val="auto"/>
        </w:rPr>
      </w:pPr>
    </w:p>
    <w:p>
      <w:pPr>
        <w:ind w:left="2920" w:right="20" w:hanging="258"/>
        <w:spacing w:after="0" w:line="239" w:lineRule="auto"/>
        <w:tabs>
          <w:tab w:leader="none" w:pos="28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Clark has helped oversee the strategy and operations of other large, multinational corporations, including one with a focus on technology, as a director of Goldman Sachs Private Middle Market Credit LLC (2016-2018), Goldman Sachs BDC, Inc. (2015-2018), EOG Resources, Inc. (2014-present), Exterran Holdings, Inc. and its predecessor company Universal Compression Holdings, Inc. (2003-2011) and Dell Inc. (2011-2013).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-1038860</wp:posOffset>
            </wp:positionV>
            <wp:extent cx="805815" cy="969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Carrie S. Cox</w:t>
      </w:r>
    </w:p>
    <w:p>
      <w:pPr>
        <w:spacing w:after="0" w:line="90" w:lineRule="exact"/>
        <w:rPr>
          <w:sz w:val="20"/>
          <w:szCs w:val="20"/>
          <w:color w:val="auto"/>
        </w:rPr>
      </w:pPr>
    </w:p>
    <w:p>
      <w:pPr>
        <w:ind w:left="2920" w:right="160" w:hanging="258"/>
        <w:spacing w:after="0" w:line="239" w:lineRule="auto"/>
        <w:tabs>
          <w:tab w:leader="none" w:pos="28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Ms. Cox has gained first-hand experience managing large, multinational organizations focused on medical-related markets, with responsibility for those organizations’ financial performance and significant capital and R&amp;D investments, as chairman (2013-present), CEO (2010-2018) and a director (2010-present) of Humacyte, Inc., executive vice president and president of Global Pharmaceuticals at Schering-Plough Corporation (2003-2009) and executive vice president and president of Global Prescription Business at Pharmacia Corporation (1997-2003).</w:t>
      </w:r>
    </w:p>
    <w:p>
      <w:pPr>
        <w:jc w:val="both"/>
        <w:ind w:left="2920" w:right="200" w:hanging="258"/>
        <w:spacing w:after="0" w:line="242" w:lineRule="auto"/>
        <w:tabs>
          <w:tab w:leader="none" w:pos="28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Ms. Cox is also a chairman of the board of Array BioPharma, Inc. (2018-present) and ElectroCore, Inc. (2018-present) and a director of Cardinal Health, Inc. (2009-present) and Celgene Corporation (2009-present).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-1168400</wp:posOffset>
            </wp:positionV>
            <wp:extent cx="805815" cy="969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Martin S. Craighead</w:t>
      </w:r>
    </w:p>
    <w:p>
      <w:pPr>
        <w:spacing w:after="0" w:line="90" w:lineRule="exact"/>
        <w:rPr>
          <w:sz w:val="20"/>
          <w:szCs w:val="20"/>
          <w:color w:val="auto"/>
        </w:rPr>
      </w:pPr>
    </w:p>
    <w:p>
      <w:pPr>
        <w:ind w:left="2920" w:right="220" w:hanging="258"/>
        <w:spacing w:after="0" w:line="241" w:lineRule="auto"/>
        <w:tabs>
          <w:tab w:leader="none" w:pos="28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Craighead has gained first-hand experience in managing a large multinational corporation, with ultimate management responsibility for the organization’s financial performance and significant capital investments, as vice chairman and director (2017-present) of Baker Hughes, a GE company and as chairman (2013-2017), director (2011-2017) and CEO (2012-2017) of Baker Hughes, Inc.</w:t>
      </w:r>
    </w:p>
    <w:p>
      <w:pPr>
        <w:ind w:left="2860" w:hanging="198"/>
        <w:spacing w:after="0"/>
        <w:tabs>
          <w:tab w:leader="none" w:pos="2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Craighead is also a director of PQ Corporation (2017-present).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-644525</wp:posOffset>
            </wp:positionV>
            <wp:extent cx="805815" cy="977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581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7</w:t>
            </w:r>
          </w:p>
        </w:tc>
      </w:tr>
    </w:tbl>
    <w:p>
      <w:pPr>
        <w:sectPr>
          <w:pgSz w:w="11900" w:h="16838" w:orient="portrait"/>
          <w:cols w:equalWidth="0" w:num="1">
            <w:col w:w="11220"/>
          </w:cols>
          <w:pgMar w:left="24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Jean M. Hobby</w:t>
      </w:r>
    </w:p>
    <w:p>
      <w:pPr>
        <w:spacing w:after="0" w:line="77" w:lineRule="exact"/>
        <w:rPr>
          <w:sz w:val="20"/>
          <w:szCs w:val="20"/>
          <w:color w:val="auto"/>
        </w:rPr>
      </w:pPr>
    </w:p>
    <w:p>
      <w:pPr>
        <w:ind w:left="2920" w:hanging="258"/>
        <w:spacing w:after="0" w:line="257" w:lineRule="auto"/>
        <w:tabs>
          <w:tab w:leader="none" w:pos="28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Ms. Hobby was global strategy officer (2013-2015), technology, media and telecom sector leader (2008-2013) and chief financial officer (2005-2008) at PricewaterhouseCoopers LLP, where she gained extensive audit knowledge and experience in audit- and financial control-related matters and technology.</w:t>
      </w:r>
    </w:p>
    <w:p>
      <w:pPr>
        <w:spacing w:after="0" w:line="1" w:lineRule="exact"/>
        <w:rPr>
          <w:rFonts w:ascii="Arial" w:cs="Arial" w:eastAsia="Arial" w:hAnsi="Arial"/>
          <w:sz w:val="17"/>
          <w:szCs w:val="17"/>
          <w:color w:val="auto"/>
        </w:rPr>
      </w:pPr>
    </w:p>
    <w:p>
      <w:pPr>
        <w:ind w:left="2920" w:right="240" w:hanging="258"/>
        <w:spacing w:after="0"/>
        <w:tabs>
          <w:tab w:leader="none" w:pos="28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Ms. Hobby has helped oversee the strategy and operations of other multinational corporations as a director of Hewlett Packard Enterprise Company (2019-present), Integer Holdings Corporation and its predecessor company Greatbatch, Inc. (2015-present), and CA, Inc. (February 1, 2018-November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-910590</wp:posOffset>
            </wp:positionV>
            <wp:extent cx="805815" cy="9690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Ronald Kirk</w:t>
      </w:r>
    </w:p>
    <w:p>
      <w:pPr>
        <w:spacing w:after="0" w:line="90" w:lineRule="exact"/>
        <w:rPr>
          <w:sz w:val="20"/>
          <w:szCs w:val="20"/>
          <w:color w:val="auto"/>
        </w:rPr>
      </w:pPr>
    </w:p>
    <w:p>
      <w:pPr>
        <w:ind w:left="2920" w:right="180" w:hanging="258"/>
        <w:spacing w:after="0" w:line="241" w:lineRule="auto"/>
        <w:tabs>
          <w:tab w:leader="none" w:pos="28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Kirk was U.S. Trade Representative (2009-2013), where he gained first-hand experience in managing a complex organization that operates on an international scale and developed insight into issues bearing on global economic activity, international trade policies and strategies and the workings of foreign governments.</w:t>
      </w:r>
    </w:p>
    <w:p>
      <w:pPr>
        <w:ind w:left="2920" w:right="120" w:hanging="258"/>
        <w:spacing w:after="0" w:line="234" w:lineRule="auto"/>
        <w:tabs>
          <w:tab w:leader="none" w:pos="28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Kirk has gained first-hand experience as an advisor to numerous multinational companies as Senior Of Counsel of Gibson, Dunn &amp; Crutcher LLP (2013-present), and as a partner of Vinson &amp; Elkins, LLP (2005-2009).</w:t>
      </w:r>
    </w:p>
    <w:p>
      <w:pPr>
        <w:spacing w:after="0" w:line="2" w:lineRule="exact"/>
        <w:rPr>
          <w:rFonts w:ascii="Arial" w:cs="Arial" w:eastAsia="Arial" w:hAnsi="Arial"/>
          <w:sz w:val="18"/>
          <w:szCs w:val="18"/>
          <w:color w:val="auto"/>
        </w:rPr>
      </w:pPr>
    </w:p>
    <w:p>
      <w:pPr>
        <w:ind w:left="2860" w:hanging="198"/>
        <w:spacing w:after="0" w:line="234" w:lineRule="auto"/>
        <w:tabs>
          <w:tab w:leader="none" w:pos="2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Kirk has helped oversee the strategy and operations of other large corporations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-1027430</wp:posOffset>
            </wp:positionV>
            <wp:extent cx="805815" cy="969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ind w:left="2920" w:right="860"/>
        <w:spacing w:after="0" w:line="251" w:lineRule="auto"/>
        <w:rPr>
          <w:sz w:val="20"/>
          <w:szCs w:val="20"/>
          <w:color w:val="auto"/>
        </w:rPr>
      </w:pPr>
      <w:r>
        <w:rPr>
          <w:rFonts w:ascii="Arial" w:cs="Arial" w:eastAsia="Arial" w:hAnsi="Arial"/>
          <w:sz w:val="18"/>
          <w:szCs w:val="18"/>
          <w:color w:val="auto"/>
        </w:rPr>
        <w:t>of Brinker International, Inc. (1997-2009), Dean Foods Company (1997-2009), and Macquarie Infrastructure Corporation (2016-present).</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Pamela H. Patsley</w:t>
      </w:r>
    </w:p>
    <w:p>
      <w:pPr>
        <w:spacing w:after="0" w:line="90" w:lineRule="exact"/>
        <w:rPr>
          <w:sz w:val="20"/>
          <w:szCs w:val="20"/>
          <w:color w:val="auto"/>
        </w:rPr>
      </w:pPr>
    </w:p>
    <w:p>
      <w:pPr>
        <w:ind w:left="2920" w:right="180" w:hanging="258"/>
        <w:spacing w:after="0" w:line="254" w:lineRule="auto"/>
        <w:tabs>
          <w:tab w:leader="none" w:pos="28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Ms. Patsley was executive chairman (2016-2018) and chairman and CEO (2009-2015) of MoneyGram International, Inc., senior executive vice president of First Data Corporation (2000-2007) and president and CEO of Paymentech, Inc. (1991-2000), where she gained first-hand experience managing large, multinational organizations, including the application of technology in the financial services sector, with ultimate management responsibility for financial performance and significant capital investments.</w:t>
      </w:r>
    </w:p>
    <w:p>
      <w:pPr>
        <w:jc w:val="both"/>
        <w:ind w:left="2920" w:right="140" w:hanging="258"/>
        <w:spacing w:after="0" w:line="234" w:lineRule="auto"/>
        <w:tabs>
          <w:tab w:leader="none" w:pos="28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Patsley has developed a keen appreciation for audit- and financial control-related matters as Audit Committee chair at the company (2006-2013), a member of the audit committee at Dr Pepper Snapple Group, Inc., chief financial officer of First USA, Inc. (1987-1994) and an auditor at KPMG Peat Marwick for almost six years before joining First USA.</w:t>
      </w:r>
    </w:p>
    <w:p>
      <w:pPr>
        <w:spacing w:after="0" w:line="3" w:lineRule="exact"/>
        <w:rPr>
          <w:rFonts w:ascii="Arial" w:cs="Arial" w:eastAsia="Arial" w:hAnsi="Arial"/>
          <w:sz w:val="18"/>
          <w:szCs w:val="18"/>
          <w:color w:val="auto"/>
        </w:rPr>
      </w:pPr>
    </w:p>
    <w:p>
      <w:pPr>
        <w:ind w:left="2920" w:right="80" w:hanging="258"/>
        <w:spacing w:after="0"/>
        <w:tabs>
          <w:tab w:leader="none" w:pos="28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Patsley has helped oversee the strategy and operations of other major multinational corporations as a director of ACI Worldwide, Inc. (2018-present), Keurig Dr Pepper, Inc. (2018-present), Dr Pepper Snapple Group, Inc. (2008- 2018), Hilton Grand Vacations, Inc. (January 2017-present) and Molson Coors Brewing Company (2005-2009).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-1682115</wp:posOffset>
            </wp:positionV>
            <wp:extent cx="805815" cy="9690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Robert E. Sanchez</w:t>
      </w:r>
    </w:p>
    <w:p>
      <w:pPr>
        <w:spacing w:after="0" w:line="90" w:lineRule="exact"/>
        <w:rPr>
          <w:sz w:val="20"/>
          <w:szCs w:val="20"/>
          <w:color w:val="auto"/>
        </w:rPr>
      </w:pPr>
    </w:p>
    <w:p>
      <w:pPr>
        <w:ind w:left="2920" w:right="200" w:hanging="258"/>
        <w:spacing w:after="0" w:line="239" w:lineRule="auto"/>
        <w:tabs>
          <w:tab w:leader="none" w:pos="28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Sanchez has gained first-hand experience in managing a large multinational, transportation-related organization, with responsibility for the organization’s financial performance and significant capital investments, as chairman and CEO (2013-present), president (2012-2014) and chief operating officer (2012) of Ryder System, Inc. and as president of its Global Fleet Management Solutions business segment (2010-2012).</w:t>
      </w:r>
    </w:p>
    <w:p>
      <w:pPr>
        <w:spacing w:after="0" w:line="4" w:lineRule="exact"/>
        <w:rPr>
          <w:rFonts w:ascii="Arial" w:cs="Arial" w:eastAsia="Arial" w:hAnsi="Arial"/>
          <w:sz w:val="18"/>
          <w:szCs w:val="18"/>
          <w:color w:val="auto"/>
        </w:rPr>
      </w:pPr>
    </w:p>
    <w:p>
      <w:pPr>
        <w:ind w:left="2860" w:hanging="198"/>
        <w:spacing w:after="0" w:line="234" w:lineRule="auto"/>
        <w:tabs>
          <w:tab w:leader="none" w:pos="2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Sanchez has developed a keen appreciation for audit- and financial control-related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-770255</wp:posOffset>
            </wp:positionV>
            <wp:extent cx="805815" cy="969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ind w:left="2920" w:right="40"/>
        <w:spacing w:after="0"/>
        <w:rPr>
          <w:sz w:val="20"/>
          <w:szCs w:val="20"/>
          <w:color w:val="auto"/>
        </w:rPr>
      </w:pPr>
      <w:r>
        <w:rPr>
          <w:rFonts w:ascii="Arial" w:cs="Arial" w:eastAsia="Arial" w:hAnsi="Arial"/>
          <w:sz w:val="18"/>
          <w:szCs w:val="18"/>
          <w:color w:val="auto"/>
        </w:rPr>
        <w:t>and gained first-hand experience with all technology-related functions of a large, multinational corporation focused on transportation and logistics as executive vice president and chief financial officer (2007-2010) and as senior vice president and chief information officer (2003-2005) of Ryder System, Inc.</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Richard K. Templeton</w:t>
      </w:r>
    </w:p>
    <w:p>
      <w:pPr>
        <w:spacing w:after="0" w:line="90" w:lineRule="exact"/>
        <w:rPr>
          <w:sz w:val="20"/>
          <w:szCs w:val="20"/>
          <w:color w:val="auto"/>
        </w:rPr>
      </w:pPr>
    </w:p>
    <w:p>
      <w:pPr>
        <w:ind w:left="2920" w:right="40" w:hanging="258"/>
        <w:spacing w:after="0" w:line="248" w:lineRule="auto"/>
        <w:tabs>
          <w:tab w:leader="none" w:pos="28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Templeton has developed a deep knowledge of all aspects of the company and of the semiconductor industry. He is a 38-year veteran of the industry and has served the last 23 years at a senior level at the company, including as chairman since 2008, CEO (2004-June 1, 2018 and July 17, 2018-present), president (2004-June 1, 2018 and July 17, 2018-present) and director since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-528320</wp:posOffset>
            </wp:positionV>
            <wp:extent cx="805815" cy="9690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4">
              <w:r>
                <w:rPr>
                  <w:rFonts w:ascii="Times New Roman" w:cs="Times New Roman" w:eastAsia="Times New Roman" w:hAnsi="Times New Roman"/>
                  <w:sz w:val="18"/>
                  <w:szCs w:val="18"/>
                  <w:b w:val="1"/>
                  <w:bCs w:val="1"/>
                  <w:color w:val="0000EE"/>
                  <w:w w:val="97"/>
                </w:rPr>
                <w:t>Table of Contents</w:t>
              </w:r>
            </w:hyperlink>
          </w:p>
        </w:tc>
        <w:tc>
          <w:tcPr>
            <w:tcW w:w="4560" w:type="dxa"/>
            <w:vAlign w:val="bottom"/>
            <w:gridSpan w:val="2"/>
          </w:tcPr>
          <w:p>
            <w:pPr>
              <w:spacing w:after="0"/>
              <w:rPr>
                <w:sz w:val="17"/>
                <w:szCs w:val="17"/>
                <w:color w:val="auto"/>
              </w:rPr>
            </w:pPr>
          </w:p>
        </w:tc>
        <w:tc>
          <w:tcPr>
            <w:tcW w:w="4640" w:type="dxa"/>
            <w:vAlign w:val="bottom"/>
          </w:tcPr>
          <w:p>
            <w:pPr>
              <w:spacing w:after="0"/>
              <w:rPr>
                <w:sz w:val="17"/>
                <w:szCs w:val="17"/>
                <w:color w:val="auto"/>
              </w:rPr>
            </w:pPr>
          </w:p>
        </w:tc>
      </w:tr>
      <w:tr>
        <w:trPr>
          <w:trHeight w:val="493"/>
        </w:trPr>
        <w:tc>
          <w:tcPr>
            <w:tcW w:w="20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Directors not standing for re-election</w:t>
            </w:r>
          </w:p>
        </w:tc>
        <w:tc>
          <w:tcPr>
            <w:tcW w:w="464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362"/>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560" w:type="dxa"/>
            <w:vAlign w:val="bottom"/>
            <w:gridSpan w:val="2"/>
          </w:tcPr>
          <w:p>
            <w:pPr>
              <w:ind w:left="700"/>
              <w:spacing w:after="0"/>
              <w:rPr>
                <w:sz w:val="20"/>
                <w:szCs w:val="20"/>
                <w:color w:val="auto"/>
              </w:rPr>
            </w:pPr>
            <w:r>
              <w:rPr>
                <w:rFonts w:ascii="Arial" w:cs="Arial" w:eastAsia="Arial" w:hAnsi="Arial"/>
                <w:sz w:val="18"/>
                <w:szCs w:val="18"/>
                <w:color w:val="auto"/>
              </w:rPr>
              <w:t>Ralph W. Babb, Jr.</w:t>
            </w:r>
          </w:p>
        </w:tc>
        <w:tc>
          <w:tcPr>
            <w:tcW w:w="4640" w:type="dxa"/>
            <w:vAlign w:val="bottom"/>
          </w:tcPr>
          <w:p>
            <w:pPr>
              <w:ind w:left="1800"/>
              <w:spacing w:after="0"/>
              <w:rPr>
                <w:sz w:val="20"/>
                <w:szCs w:val="20"/>
                <w:color w:val="auto"/>
              </w:rPr>
            </w:pPr>
            <w:r>
              <w:rPr>
                <w:rFonts w:ascii="Arial" w:cs="Arial" w:eastAsia="Arial" w:hAnsi="Arial"/>
                <w:sz w:val="18"/>
                <w:szCs w:val="18"/>
                <w:color w:val="auto"/>
              </w:rPr>
              <w:t>Daniel A. Carp</w:t>
            </w:r>
          </w:p>
        </w:tc>
      </w:tr>
      <w:tr>
        <w:trPr>
          <w:trHeight w:val="205"/>
        </w:trPr>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560" w:type="dxa"/>
            <w:vAlign w:val="bottom"/>
            <w:gridSpan w:val="2"/>
          </w:tcPr>
          <w:p>
            <w:pPr>
              <w:ind w:left="700"/>
              <w:spacing w:after="0" w:line="205" w:lineRule="exact"/>
              <w:rPr>
                <w:sz w:val="20"/>
                <w:szCs w:val="20"/>
                <w:color w:val="auto"/>
              </w:rPr>
            </w:pPr>
            <w:r>
              <w:rPr>
                <w:rFonts w:ascii="Arial" w:cs="Arial" w:eastAsia="Arial" w:hAnsi="Arial"/>
                <w:sz w:val="18"/>
                <w:szCs w:val="18"/>
                <w:color w:val="auto"/>
              </w:rPr>
              <w:t>Age 70</w:t>
            </w:r>
          </w:p>
        </w:tc>
        <w:tc>
          <w:tcPr>
            <w:tcW w:w="4640" w:type="dxa"/>
            <w:vAlign w:val="bottom"/>
          </w:tcPr>
          <w:p>
            <w:pPr>
              <w:ind w:left="1800"/>
              <w:spacing w:after="0" w:line="205" w:lineRule="exact"/>
              <w:rPr>
                <w:sz w:val="20"/>
                <w:szCs w:val="20"/>
                <w:color w:val="auto"/>
              </w:rPr>
            </w:pPr>
            <w:r>
              <w:rPr>
                <w:rFonts w:ascii="Arial" w:cs="Arial" w:eastAsia="Arial" w:hAnsi="Arial"/>
                <w:sz w:val="18"/>
                <w:szCs w:val="18"/>
                <w:color w:val="auto"/>
              </w:rPr>
              <w:t>Age 70</w:t>
            </w:r>
          </w:p>
        </w:tc>
      </w:tr>
      <w:tr>
        <w:trPr>
          <w:trHeight w:val="203"/>
        </w:trPr>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560" w:type="dxa"/>
            <w:vAlign w:val="bottom"/>
            <w:gridSpan w:val="2"/>
          </w:tcPr>
          <w:p>
            <w:pPr>
              <w:ind w:left="700"/>
              <w:spacing w:after="0" w:line="202" w:lineRule="exact"/>
              <w:rPr>
                <w:sz w:val="20"/>
                <w:szCs w:val="20"/>
                <w:color w:val="auto"/>
              </w:rPr>
            </w:pPr>
            <w:r>
              <w:rPr>
                <w:rFonts w:ascii="Arial" w:cs="Arial" w:eastAsia="Arial" w:hAnsi="Arial"/>
                <w:sz w:val="18"/>
                <w:szCs w:val="18"/>
                <w:i w:val="1"/>
                <w:iCs w:val="1"/>
                <w:color w:val="auto"/>
              </w:rPr>
              <w:t>Member, Governance and</w:t>
            </w:r>
          </w:p>
        </w:tc>
        <w:tc>
          <w:tcPr>
            <w:tcW w:w="4640" w:type="dxa"/>
            <w:vAlign w:val="bottom"/>
          </w:tcPr>
          <w:p>
            <w:pPr>
              <w:ind w:left="1800"/>
              <w:spacing w:after="0" w:line="202" w:lineRule="exact"/>
              <w:rPr>
                <w:sz w:val="20"/>
                <w:szCs w:val="20"/>
                <w:color w:val="auto"/>
              </w:rPr>
            </w:pPr>
            <w:r>
              <w:rPr>
                <w:rFonts w:ascii="Arial" w:cs="Arial" w:eastAsia="Arial" w:hAnsi="Arial"/>
                <w:sz w:val="18"/>
                <w:szCs w:val="18"/>
                <w:i w:val="1"/>
                <w:iCs w:val="1"/>
                <w:color w:val="auto"/>
                <w:w w:val="99"/>
              </w:rPr>
              <w:t>Member, Compensation Committee</w:t>
            </w:r>
          </w:p>
        </w:tc>
      </w:tr>
      <w:tr>
        <w:trPr>
          <w:trHeight w:val="203"/>
        </w:trPr>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560" w:type="dxa"/>
            <w:vAlign w:val="bottom"/>
            <w:gridSpan w:val="2"/>
          </w:tcPr>
          <w:p>
            <w:pPr>
              <w:ind w:left="700"/>
              <w:spacing w:after="0" w:line="202" w:lineRule="exact"/>
              <w:rPr>
                <w:sz w:val="20"/>
                <w:szCs w:val="20"/>
                <w:color w:val="auto"/>
              </w:rPr>
            </w:pPr>
            <w:r>
              <w:rPr>
                <w:rFonts w:ascii="Arial" w:cs="Arial" w:eastAsia="Arial" w:hAnsi="Arial"/>
                <w:sz w:val="18"/>
                <w:szCs w:val="18"/>
                <w:i w:val="1"/>
                <w:iCs w:val="1"/>
                <w:color w:val="auto"/>
              </w:rPr>
              <w:t>Stockholder Relations</w:t>
            </w:r>
          </w:p>
        </w:tc>
        <w:tc>
          <w:tcPr>
            <w:tcW w:w="4640" w:type="dxa"/>
            <w:vAlign w:val="bottom"/>
          </w:tcPr>
          <w:p>
            <w:pPr>
              <w:spacing w:after="0"/>
              <w:rPr>
                <w:sz w:val="17"/>
                <w:szCs w:val="17"/>
                <w:color w:val="auto"/>
              </w:rPr>
            </w:pPr>
          </w:p>
        </w:tc>
      </w:tr>
      <w:tr>
        <w:trPr>
          <w:trHeight w:val="241"/>
        </w:trPr>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560" w:type="dxa"/>
            <w:vAlign w:val="bottom"/>
            <w:gridSpan w:val="2"/>
          </w:tcPr>
          <w:p>
            <w:pPr>
              <w:ind w:left="700"/>
              <w:spacing w:after="0"/>
              <w:rPr>
                <w:sz w:val="20"/>
                <w:szCs w:val="20"/>
                <w:color w:val="auto"/>
              </w:rPr>
            </w:pPr>
            <w:r>
              <w:rPr>
                <w:rFonts w:ascii="Arial" w:cs="Arial" w:eastAsia="Arial" w:hAnsi="Arial"/>
                <w:sz w:val="18"/>
                <w:szCs w:val="18"/>
                <w:i w:val="1"/>
                <w:iCs w:val="1"/>
                <w:color w:val="auto"/>
              </w:rPr>
              <w:t>Committee</w:t>
            </w:r>
          </w:p>
        </w:tc>
        <w:tc>
          <w:tcPr>
            <w:tcW w:w="4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-653415</wp:posOffset>
            </wp:positionV>
            <wp:extent cx="805815" cy="9690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-653415</wp:posOffset>
            </wp:positionV>
            <wp:extent cx="805815" cy="969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right="60"/>
        <w:spacing w:after="0" w:line="276" w:lineRule="auto"/>
        <w:rPr>
          <w:sz w:val="20"/>
          <w:szCs w:val="20"/>
          <w:color w:val="auto"/>
        </w:rPr>
      </w:pPr>
      <w:r>
        <w:rPr>
          <w:rFonts w:ascii="Arial" w:cs="Arial" w:eastAsia="Arial" w:hAnsi="Arial"/>
          <w:sz w:val="18"/>
          <w:szCs w:val="18"/>
          <w:color w:val="auto"/>
        </w:rPr>
        <w:t>Messrs. Babb and Carp, highly valued directors since 2010 and 1997 respectively, have attained the age of 70 and are therefore ineligible under the company’s by-laws to stand for re-election at the 2019 annual meeting.</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Outside board memberships</w:t>
      </w:r>
    </w:p>
    <w:p>
      <w:pPr>
        <w:spacing w:after="0" w:line="212" w:lineRule="exact"/>
        <w:rPr>
          <w:sz w:val="20"/>
          <w:szCs w:val="20"/>
          <w:color w:val="auto"/>
        </w:rPr>
      </w:pPr>
    </w:p>
    <w:p>
      <w:pPr>
        <w:ind w:left="200" w:right="80"/>
        <w:spacing w:after="0" w:line="276" w:lineRule="auto"/>
        <w:rPr>
          <w:sz w:val="20"/>
          <w:szCs w:val="20"/>
          <w:color w:val="auto"/>
        </w:rPr>
      </w:pPr>
      <w:r>
        <w:rPr>
          <w:rFonts w:ascii="Arial" w:cs="Arial" w:eastAsia="Arial" w:hAnsi="Arial"/>
          <w:sz w:val="18"/>
          <w:szCs w:val="18"/>
          <w:color w:val="auto"/>
        </w:rPr>
        <w:t>In evaluating prospective nominees, the GSR Committee considers the number of other boards on which the individual serves as director, and in particular the board’s policy that directors should not serve on the boards of more than four other public companies.</w:t>
      </w:r>
    </w:p>
    <w:p>
      <w:pPr>
        <w:spacing w:after="0" w:line="145"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color w:val="auto"/>
        </w:rPr>
        <w:t>The board is sensitive to the fact that a director’s service in an executive role at another company can be time consuming. In this regard, the board reviewed Mr. Bluedorn’s outside directorships at Lennox International, Inc. and Eaton Corporation plc, and determined that they enhance the breadth and depth of experience on the board. Because of these directorships, Mr. Bluedorn brings to the company a unique combination of specialized knowledge and experience in the industrial market, an area in which the company has publicly disclosed its intent to focus R&amp;D investments. He also brings a familiarity with the challenges posed by complex international manufacturers. Additionally, Mr. Bluedorn has held senior management positions at United Technologies, such as leading its Otis Elevator and Carrier (HVAC) business, that provide the board with important perspective on the industrial market.</w:t>
      </w:r>
    </w:p>
    <w:p>
      <w:pPr>
        <w:spacing w:after="0" w:line="179" w:lineRule="exact"/>
        <w:rPr>
          <w:sz w:val="20"/>
          <w:szCs w:val="20"/>
          <w:color w:val="auto"/>
        </w:rPr>
      </w:pPr>
    </w:p>
    <w:p>
      <w:pPr>
        <w:ind w:left="200" w:right="800"/>
        <w:spacing w:after="0" w:line="255" w:lineRule="auto"/>
        <w:rPr>
          <w:sz w:val="20"/>
          <w:szCs w:val="20"/>
          <w:color w:val="auto"/>
        </w:rPr>
      </w:pPr>
      <w:r>
        <w:rPr>
          <w:rFonts w:ascii="Arial" w:cs="Arial" w:eastAsia="Arial" w:hAnsi="Arial"/>
          <w:sz w:val="17"/>
          <w:szCs w:val="17"/>
          <w:color w:val="auto"/>
        </w:rPr>
        <w:t>There is a strong consensus among the directors that Mr. Bluedorn is willing and able to devote the time required to perform board activities, and that his service with Lennox and Eaton will not interfere with his duties to the company and its shareholders. Mr. Bluedorn has served on the boards of Lennox and Eaton since 2007 and 2010, respectively, so his familiarity with his roles and responsibilities at those organizations enables him to devote the balance of his time to his service on the board. Also,</w:t>
      </w:r>
    </w:p>
    <w:p>
      <w:pPr>
        <w:spacing w:after="0" w:line="2" w:lineRule="exact"/>
        <w:rPr>
          <w:sz w:val="20"/>
          <w:szCs w:val="20"/>
          <w:color w:val="auto"/>
        </w:rPr>
      </w:pPr>
    </w:p>
    <w:p>
      <w:pPr>
        <w:ind w:left="200"/>
        <w:spacing w:after="0" w:line="242" w:lineRule="auto"/>
        <w:rPr>
          <w:sz w:val="20"/>
          <w:szCs w:val="20"/>
          <w:color w:val="auto"/>
        </w:rPr>
      </w:pPr>
      <w:r>
        <w:rPr>
          <w:rFonts w:ascii="Arial" w:cs="Arial" w:eastAsia="Arial" w:hAnsi="Arial"/>
          <w:sz w:val="18"/>
          <w:szCs w:val="18"/>
          <w:color w:val="auto"/>
        </w:rPr>
        <w:t>two of Mr. Bluedorn’s directorships (Lennox and TI) are located within ten miles of each other in the Dallas, Texas area, and Mr. Bluedorn’s exemplary attendance record at both Lennox and Eaton, as well as at the company, indicate his commitment to devoting sufficient time to board duties.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Director nomination process</w:t>
      </w:r>
    </w:p>
    <w:p>
      <w:pPr>
        <w:spacing w:after="0" w:line="211" w:lineRule="exact"/>
        <w:rPr>
          <w:sz w:val="20"/>
          <w:szCs w:val="20"/>
          <w:color w:val="auto"/>
        </w:rPr>
      </w:pPr>
    </w:p>
    <w:p>
      <w:pPr>
        <w:ind w:left="200" w:right="360"/>
        <w:spacing w:after="0" w:line="245"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GSR Committee, that is responsible for reviewing and recommending nominees to the board. The GSR Committee is comprised solely of independent directors as defined by the rules of the Nasdaq Stock Market (Nasdaq) and the board’s corporate governance guidelines. Our board of directors has adopted a written charter for the GSR Committee. It can be found on our website at www.ti.com/corporategovernance.</w:t>
      </w:r>
    </w:p>
    <w:p>
      <w:pPr>
        <w:spacing w:after="0" w:line="172"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It is a long-standing policy of the board to consider prospective board nominees recommended by stockholders. A stockholder who wishes to recommend a prospective board nominee for the GSR Committee’s consideration can write to the Secretary of the GSR Committee, Texas Instruments Incorporated, P.O. Box 655936, MS 8658, Dallas, TX 75265-5936. The GSR Committee will evaluate the stockholder’s prospective board nominee in the same manner as it evaluates other nominees.</w:t>
      </w:r>
    </w:p>
    <w:p>
      <w:pPr>
        <w:spacing w:after="0" w:line="171"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Under the company’s by-laws, a stockholder, or a group of up to 20 stockholders, owning at least 3 percent of the company’s outstanding common stock continuously for at least three years, may nominate and include in the company’s proxy materials director nominees constituting up to the greater of two individuals or 20 percent of the board of directors, provided that the stockholder(s) and the nominee(s) satisfy the requirements specified in the by-laws, which can be found on our website at www.ti.com/corporategovernance.</w:t>
      </w:r>
    </w:p>
    <w:p>
      <w:pPr>
        <w:spacing w:after="0" w:line="171" w:lineRule="exact"/>
        <w:rPr>
          <w:sz w:val="20"/>
          <w:szCs w:val="20"/>
          <w:color w:val="auto"/>
        </w:rPr>
      </w:pPr>
    </w:p>
    <w:p>
      <w:pPr>
        <w:ind w:left="200" w:right="280"/>
        <w:spacing w:after="0" w:line="276" w:lineRule="auto"/>
        <w:rPr>
          <w:sz w:val="20"/>
          <w:szCs w:val="20"/>
          <w:color w:val="auto"/>
        </w:rPr>
      </w:pPr>
      <w:r>
        <w:rPr>
          <w:rFonts w:ascii="Arial" w:cs="Arial" w:eastAsia="Arial" w:hAnsi="Arial"/>
          <w:sz w:val="18"/>
          <w:szCs w:val="18"/>
          <w:color w:val="auto"/>
        </w:rPr>
        <w:t>The company’s by-laws also allow stockholders to nominate directors without involving the GSR Committee or including the nominee in the company’s proxy materials. To do so, stockholders must comply with the requirements set forth in the by-laws.</w:t>
      </w:r>
    </w:p>
    <w:p>
      <w:pPr>
        <w:spacing w:after="0" w:line="79"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9</w:t>
            </w:r>
          </w:p>
        </w:tc>
      </w:tr>
    </w:tbl>
    <w:p>
      <w:pPr>
        <w:sectPr>
          <w:pgSz w:w="11900" w:h="16838" w:orient="portrait"/>
          <w:cols w:equalWidth="0" w:num="1">
            <w:col w:w="11220"/>
          </w:cols>
          <w:pgMar w:left="240" w:top="446"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Communications with the board</w:t>
      </w:r>
    </w:p>
    <w:p>
      <w:pPr>
        <w:spacing w:after="0" w:line="211"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Stockholders and others who wish to communicate with the board, a board committee or an individual director may write to them at: P.O. Box 655936, MS 8658, Dallas, TX 75265-5936. All communications sent to this address will be shared with the board, committee or individual director as applicable.</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Corporate governance</w:t>
      </w:r>
    </w:p>
    <w:p>
      <w:pPr>
        <w:spacing w:after="0" w:line="211"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color w:val="auto"/>
        </w:rPr>
        <w:t>The board has a long-standing commitment to responsible and effective corporate governance. We annually conduct extensive governance reviews and engage in investor outreach specific to governance and executive compensation matters. The board’s corporate governance guidelines (which include the director independence standards), the charters of each of the board’s committees, TI’s code of conduct, our code of ethics for our CEO and senior financial officers and our by-laws are available on our website at www.ti.com/corporategovernance. Stockholders may request copies of these documents free of charge by writing to Texas Instruments Incorporated, P.O. Box 660199, MS 8657, Dallas, TX 75266-0199, Attn: Investor Relations.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Annual meeting attendance</w:t>
      </w:r>
    </w:p>
    <w:p>
      <w:pPr>
        <w:spacing w:after="0" w:line="21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It is a policy of the board to encourage directors to attend each annual meeting of stockholders. Such attendance allows for direct interaction between stockholders and board members. In 2018, all directors then in office and standing for re-election attended TI’s annual meeting of stockholders.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Director independence</w:t>
      </w:r>
    </w:p>
    <w:p>
      <w:pPr>
        <w:spacing w:after="0" w:line="211" w:lineRule="exact"/>
        <w:rPr>
          <w:sz w:val="20"/>
          <w:szCs w:val="20"/>
          <w:color w:val="auto"/>
        </w:rPr>
      </w:pPr>
    </w:p>
    <w:p>
      <w:pPr>
        <w:ind w:left="200" w:right="520"/>
        <w:spacing w:after="0" w:line="248" w:lineRule="auto"/>
        <w:rPr>
          <w:sz w:val="20"/>
          <w:szCs w:val="20"/>
          <w:color w:val="auto"/>
        </w:rPr>
      </w:pPr>
      <w:r>
        <w:rPr>
          <w:rFonts w:ascii="Arial" w:cs="Arial" w:eastAsia="Arial" w:hAnsi="Arial"/>
          <w:sz w:val="18"/>
          <w:szCs w:val="18"/>
          <w:color w:val="auto"/>
        </w:rPr>
        <w:t>The board has determined that each of our directors is independent except for Mr. Templeton.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198"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spacing w:after="0" w:line="17" w:lineRule="exact"/>
        <w:rPr>
          <w:rFonts w:ascii="Arial" w:cs="Arial" w:eastAsia="Arial" w:hAnsi="Arial"/>
          <w:sz w:val="18"/>
          <w:szCs w:val="18"/>
          <w:color w:val="auto"/>
        </w:rPr>
      </w:pPr>
    </w:p>
    <w:p>
      <w:pPr>
        <w:ind w:left="1060" w:hanging="424"/>
        <w:spacing w:after="0" w:line="234" w:lineRule="auto"/>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w:t>
      </w:r>
    </w:p>
    <w:p>
      <w:pPr>
        <w:ind w:left="1060" w:right="60" w:hanging="424"/>
        <w:spacing w:after="0" w:line="234" w:lineRule="auto"/>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family member of the director is (a) a current partner of the company’s independent auditors or (b) currently employed by the company’s independent auditors and personally works on the company’s audit;</w:t>
      </w:r>
    </w:p>
    <w:p>
      <w:pPr>
        <w:spacing w:after="0" w:line="1" w:lineRule="exact"/>
        <w:rPr>
          <w:rFonts w:ascii="Arial" w:cs="Arial" w:eastAsia="Arial" w:hAnsi="Arial"/>
          <w:sz w:val="18"/>
          <w:szCs w:val="18"/>
          <w:color w:val="auto"/>
        </w:rPr>
      </w:pPr>
    </w:p>
    <w:p>
      <w:pPr>
        <w:ind w:left="1060" w:right="80" w:hanging="424"/>
        <w:spacing w:after="0" w:line="234" w:lineRule="auto"/>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5" w:lineRule="exact"/>
        <w:rPr>
          <w:rFonts w:ascii="Arial" w:cs="Arial" w:eastAsia="Arial" w:hAnsi="Arial"/>
          <w:sz w:val="18"/>
          <w:szCs w:val="18"/>
          <w:color w:val="auto"/>
        </w:rPr>
      </w:pPr>
    </w:p>
    <w:p>
      <w:pPr>
        <w:ind w:left="1060" w:right="80" w:hanging="424"/>
        <w:spacing w:after="0" w:line="234" w:lineRule="auto"/>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(a) made payments to, or received payments from, the company for property or services,</w:t>
      </w:r>
    </w:p>
    <w:p>
      <w:pPr>
        <w:spacing w:after="0" w:line="2" w:lineRule="exact"/>
        <w:rPr>
          <w:rFonts w:ascii="Arial" w:cs="Arial" w:eastAsia="Arial" w:hAnsi="Arial"/>
          <w:sz w:val="18"/>
          <w:szCs w:val="18"/>
          <w:color w:val="auto"/>
        </w:rPr>
      </w:pPr>
    </w:p>
    <w:p>
      <w:pPr>
        <w:ind w:left="1060" w:firstLine="8"/>
        <w:spacing w:after="0"/>
        <w:tabs>
          <w:tab w:leader="none" w:pos="1330" w:val="left"/>
        </w:tabs>
        <w:numPr>
          <w:ilvl w:val="2"/>
          <w:numId w:val="20"/>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203"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spacing w:after="0" w:line="17" w:lineRule="exact"/>
        <w:rPr>
          <w:rFonts w:ascii="Arial" w:cs="Arial" w:eastAsia="Arial" w:hAnsi="Arial"/>
          <w:sz w:val="18"/>
          <w:szCs w:val="18"/>
          <w:color w:val="auto"/>
        </w:rPr>
      </w:pPr>
    </w:p>
    <w:p>
      <w:pPr>
        <w:ind w:left="1060" w:right="340" w:hanging="424"/>
        <w:spacing w:after="0" w:line="234" w:lineRule="auto"/>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provided the interim employment did not last longer than one year);</w:t>
      </w:r>
    </w:p>
    <w:p>
      <w:pPr>
        <w:spacing w:after="0" w:line="1" w:lineRule="exact"/>
        <w:rPr>
          <w:rFonts w:ascii="Arial" w:cs="Arial" w:eastAsia="Arial" w:hAnsi="Arial"/>
          <w:sz w:val="18"/>
          <w:szCs w:val="18"/>
          <w:color w:val="auto"/>
        </w:rPr>
      </w:pPr>
    </w:p>
    <w:p>
      <w:pPr>
        <w:ind w:left="1060" w:hanging="424"/>
        <w:spacing w:after="0" w:line="234" w:lineRule="auto"/>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He or she received more than $120,000 during any twelve-month period in compensation from the company (other than</w:t>
      </w:r>
    </w:p>
    <w:p>
      <w:pPr>
        <w:ind w:left="1060" w:right="280" w:firstLine="8"/>
        <w:spacing w:after="0" w:line="234" w:lineRule="auto"/>
        <w:tabs>
          <w:tab w:leader="none" w:pos="1330" w:val="left"/>
        </w:tabs>
        <w:numPr>
          <w:ilvl w:val="2"/>
          <w:numId w:val="21"/>
        </w:numPr>
        <w:rPr>
          <w:rFonts w:ascii="Arial" w:cs="Arial" w:eastAsia="Arial" w:hAnsi="Arial"/>
          <w:sz w:val="18"/>
          <w:szCs w:val="18"/>
          <w:color w:val="auto"/>
        </w:rPr>
      </w:pPr>
      <w:r>
        <w:rPr>
          <w:rFonts w:ascii="Arial" w:cs="Arial" w:eastAsia="Arial" w:hAnsi="Arial"/>
          <w:sz w:val="18"/>
          <w:szCs w:val="18"/>
          <w:color w:val="auto"/>
        </w:rPr>
        <w:t>compensation for board or board committee service, (b) compensation received for former service lasting no longer than one year as an interim chairman of the board, chief executive officer or other executive officer and (c) benefits under a tax-qualified retirement plan, or non-discretionary compensation);</w:t>
      </w:r>
    </w:p>
    <w:p>
      <w:pPr>
        <w:spacing w:after="0" w:line="2" w:lineRule="exact"/>
        <w:rPr>
          <w:rFonts w:ascii="Arial" w:cs="Arial" w:eastAsia="Arial" w:hAnsi="Arial"/>
          <w:sz w:val="18"/>
          <w:szCs w:val="18"/>
          <w:color w:val="auto"/>
        </w:rPr>
      </w:pPr>
    </w:p>
    <w:p>
      <w:pPr>
        <w:ind w:left="1060" w:hanging="424"/>
        <w:spacing w:after="0"/>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family member of the director was employed as an executive officer by the company;</w:t>
      </w:r>
    </w:p>
    <w:p>
      <w:pPr>
        <w:spacing w:after="0" w:line="123"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180"/>
          </w:cols>
          <w:pgMar w:left="240" w:top="455"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60" w:right="640" w:hanging="424"/>
        <w:spacing w:after="0" w:line="247" w:lineRule="auto"/>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family member of the director received more than $120,000 during any twelve-month period in compensation from the company (excluding compensation as a non-executive officer employee of the company);</w:t>
      </w:r>
    </w:p>
    <w:p>
      <w:pPr>
        <w:spacing w:after="0" w:line="1" w:lineRule="exact"/>
        <w:rPr>
          <w:rFonts w:ascii="Arial" w:cs="Arial" w:eastAsia="Arial" w:hAnsi="Arial"/>
          <w:sz w:val="18"/>
          <w:szCs w:val="18"/>
          <w:color w:val="auto"/>
        </w:rPr>
      </w:pPr>
    </w:p>
    <w:p>
      <w:pPr>
        <w:ind w:left="1060" w:right="240" w:hanging="424"/>
        <w:spacing w:after="0" w:line="234" w:lineRule="auto"/>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1060" w:right="600" w:hanging="424"/>
        <w:spacing w:after="0" w:line="234" w:lineRule="auto"/>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family member of the director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1060" w:right="100" w:hanging="424"/>
        <w:spacing w:after="0" w:line="234" w:lineRule="auto"/>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He or she was an executive officer of another entity at which any of the company’s current executive officers at any time during the past three years served on that entity’s compensation committee; or</w:t>
      </w:r>
    </w:p>
    <w:p>
      <w:pPr>
        <w:spacing w:after="0" w:line="1" w:lineRule="exact"/>
        <w:rPr>
          <w:rFonts w:ascii="Arial" w:cs="Arial" w:eastAsia="Arial" w:hAnsi="Arial"/>
          <w:sz w:val="18"/>
          <w:szCs w:val="18"/>
          <w:color w:val="auto"/>
        </w:rPr>
      </w:pPr>
    </w:p>
    <w:p>
      <w:pPr>
        <w:ind w:left="1060" w:right="480" w:hanging="424"/>
        <w:spacing w:after="0" w:line="251" w:lineRule="auto"/>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family member of the director was an executive officer of another entity at which any of the company’s current executive officers at any time during the past three years served on that entity’s compensation committee.</w:t>
      </w:r>
    </w:p>
    <w:p>
      <w:pPr>
        <w:spacing w:after="0" w:line="193" w:lineRule="exact"/>
        <w:rPr>
          <w:rFonts w:ascii="Arial" w:cs="Arial" w:eastAsia="Arial" w:hAnsi="Arial"/>
          <w:sz w:val="18"/>
          <w:szCs w:val="18"/>
          <w:color w:val="auto"/>
        </w:rPr>
      </w:pPr>
    </w:p>
    <w:p>
      <w:pPr>
        <w:ind w:left="640" w:right="100" w:hanging="436"/>
        <w:spacing w:after="0" w:line="24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199" w:lineRule="exact"/>
        <w:rPr>
          <w:rFonts w:ascii="Arial" w:cs="Arial" w:eastAsia="Arial" w:hAnsi="Arial"/>
          <w:sz w:val="18"/>
          <w:szCs w:val="18"/>
          <w:color w:val="auto"/>
        </w:rPr>
      </w:pPr>
    </w:p>
    <w:p>
      <w:pPr>
        <w:ind w:left="640" w:right="160" w:hanging="436"/>
        <w:spacing w:after="0" w:line="243"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1" w:lineRule="exact"/>
        <w:rPr>
          <w:rFonts w:ascii="Arial" w:cs="Arial" w:eastAsia="Arial" w:hAnsi="Arial"/>
          <w:sz w:val="18"/>
          <w:szCs w:val="18"/>
          <w:color w:val="auto"/>
        </w:rPr>
      </w:pPr>
    </w:p>
    <w:p>
      <w:pPr>
        <w:ind w:left="1060" w:right="80" w:hanging="424"/>
        <w:spacing w:after="0" w:line="234" w:lineRule="auto"/>
        <w:tabs>
          <w:tab w:leader="none" w:pos="10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source of compensation of the director, including any consulting, advisory or compensatory fee paid by the company to the director; and</w:t>
      </w:r>
    </w:p>
    <w:p>
      <w:pPr>
        <w:spacing w:after="0" w:line="1" w:lineRule="exact"/>
        <w:rPr>
          <w:rFonts w:ascii="Arial" w:cs="Arial" w:eastAsia="Arial" w:hAnsi="Arial"/>
          <w:sz w:val="18"/>
          <w:szCs w:val="18"/>
          <w:color w:val="auto"/>
        </w:rPr>
      </w:pPr>
    </w:p>
    <w:p>
      <w:pPr>
        <w:ind w:left="1060" w:hanging="424"/>
        <w:spacing w:after="0"/>
        <w:tabs>
          <w:tab w:leader="none" w:pos="10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Whether the director is affiliated with the company, a subsidiary of the company or an affiliate of a subsidiary of the company.</w:t>
      </w:r>
    </w:p>
    <w:p>
      <w:pPr>
        <w:spacing w:after="0" w:line="216" w:lineRule="exact"/>
        <w:rPr>
          <w:rFonts w:ascii="Arial" w:cs="Arial" w:eastAsia="Arial" w:hAnsi="Arial"/>
          <w:sz w:val="18"/>
          <w:szCs w:val="18"/>
          <w:color w:val="auto"/>
        </w:rPr>
      </w:pPr>
    </w:p>
    <w:p>
      <w:pPr>
        <w:ind w:left="640" w:right="80" w:hanging="436"/>
        <w:spacing w:after="0" w:line="25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purposes of these independence determinations, “company” and “family member” will have the same meaning as under Nasdaq rules.</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organization</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and committee meetings</w:t>
      </w:r>
    </w:p>
    <w:p>
      <w:pPr>
        <w:spacing w:after="0" w:line="211" w:lineRule="exact"/>
        <w:rPr>
          <w:sz w:val="20"/>
          <w:szCs w:val="20"/>
          <w:color w:val="auto"/>
        </w:rPr>
      </w:pPr>
    </w:p>
    <w:p>
      <w:pPr>
        <w:jc w:val="both"/>
        <w:ind w:left="200" w:right="340"/>
        <w:spacing w:after="0" w:line="255" w:lineRule="auto"/>
        <w:rPr>
          <w:sz w:val="20"/>
          <w:szCs w:val="20"/>
          <w:color w:val="auto"/>
        </w:rPr>
      </w:pPr>
      <w:r>
        <w:rPr>
          <w:rFonts w:ascii="Arial" w:cs="Arial" w:eastAsia="Arial" w:hAnsi="Arial"/>
          <w:sz w:val="18"/>
          <w:szCs w:val="18"/>
          <w:color w:val="auto"/>
        </w:rPr>
        <w:t>During 2018, the board held ten meetings. The board has three standing committees described below. The standing committees of the board collectively held 21 meetings in 2018. Each director attended at least 89 percent of the board and relevant committee meetings combined. Overall attendance at board and committee meetings was approximately 97 percent.</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00" w:type="dxa"/>
            <w:vAlign w:val="bottom"/>
          </w:tcPr>
          <w:p>
            <w:pPr>
              <w:jc w:val="center"/>
              <w:ind w:right="619"/>
              <w:spacing w:after="0"/>
              <w:rPr>
                <w:sz w:val="20"/>
                <w:szCs w:val="20"/>
                <w:color w:val="auto"/>
              </w:rPr>
            </w:pPr>
            <w:r>
              <w:rPr>
                <w:rFonts w:ascii="Arial" w:cs="Arial" w:eastAsia="Arial" w:hAnsi="Arial"/>
                <w:sz w:val="14"/>
                <w:szCs w:val="14"/>
                <w:b w:val="1"/>
                <w:bCs w:val="1"/>
                <w:color w:val="auto"/>
              </w:rPr>
              <w:t>Audit</w:t>
            </w:r>
          </w:p>
        </w:tc>
        <w:tc>
          <w:tcPr>
            <w:tcW w:w="1440" w:type="dxa"/>
            <w:vAlign w:val="bottom"/>
          </w:tcPr>
          <w:p>
            <w:pPr>
              <w:jc w:val="center"/>
              <w:ind w:right="357"/>
              <w:spacing w:after="0"/>
              <w:rPr>
                <w:sz w:val="20"/>
                <w:szCs w:val="20"/>
                <w:color w:val="auto"/>
              </w:rPr>
            </w:pPr>
            <w:r>
              <w:rPr>
                <w:rFonts w:ascii="Arial" w:cs="Arial" w:eastAsia="Arial" w:hAnsi="Arial"/>
                <w:sz w:val="14"/>
                <w:szCs w:val="14"/>
                <w:b w:val="1"/>
                <w:bCs w:val="1"/>
                <w:color w:val="auto"/>
              </w:rPr>
              <w:t>Compensation</w:t>
            </w:r>
          </w:p>
        </w:tc>
        <w:tc>
          <w:tcPr>
            <w:tcW w:w="2460" w:type="dxa"/>
            <w:vAlign w:val="bottom"/>
          </w:tcPr>
          <w:p>
            <w:pPr>
              <w:jc w:val="center"/>
              <w:ind w:left="339"/>
              <w:spacing w:after="0"/>
              <w:rPr>
                <w:sz w:val="20"/>
                <w:szCs w:val="20"/>
                <w:color w:val="auto"/>
              </w:rPr>
            </w:pPr>
            <w:r>
              <w:rPr>
                <w:rFonts w:ascii="Arial" w:cs="Arial" w:eastAsia="Arial" w:hAnsi="Arial"/>
                <w:sz w:val="14"/>
                <w:szCs w:val="14"/>
                <w:b w:val="1"/>
                <w:bCs w:val="1"/>
                <w:color w:val="auto"/>
              </w:rPr>
              <w:t>Governance and Stockholder</w:t>
            </w:r>
          </w:p>
        </w:tc>
      </w:tr>
      <w:tr>
        <w:trPr>
          <w:trHeight w:val="177"/>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800" w:type="dxa"/>
            <w:vAlign w:val="bottom"/>
          </w:tcPr>
          <w:p>
            <w:pPr>
              <w:jc w:val="center"/>
              <w:ind w:right="619"/>
              <w:spacing w:after="0"/>
              <w:rPr>
                <w:sz w:val="20"/>
                <w:szCs w:val="20"/>
                <w:color w:val="auto"/>
              </w:rPr>
            </w:pPr>
            <w:r>
              <w:rPr>
                <w:rFonts w:ascii="Arial" w:cs="Arial" w:eastAsia="Arial" w:hAnsi="Arial"/>
                <w:sz w:val="14"/>
                <w:szCs w:val="14"/>
                <w:b w:val="1"/>
                <w:bCs w:val="1"/>
                <w:color w:val="auto"/>
              </w:rPr>
              <w:t>Committee</w:t>
            </w:r>
          </w:p>
        </w:tc>
        <w:tc>
          <w:tcPr>
            <w:tcW w:w="1440" w:type="dxa"/>
            <w:vAlign w:val="bottom"/>
          </w:tcPr>
          <w:p>
            <w:pPr>
              <w:jc w:val="center"/>
              <w:ind w:right="357"/>
              <w:spacing w:after="0"/>
              <w:rPr>
                <w:sz w:val="20"/>
                <w:szCs w:val="20"/>
                <w:color w:val="auto"/>
              </w:rPr>
            </w:pPr>
            <w:r>
              <w:rPr>
                <w:rFonts w:ascii="Arial" w:cs="Arial" w:eastAsia="Arial" w:hAnsi="Arial"/>
                <w:sz w:val="14"/>
                <w:szCs w:val="14"/>
                <w:b w:val="1"/>
                <w:bCs w:val="1"/>
                <w:color w:val="auto"/>
              </w:rPr>
              <w:t>Committee</w:t>
            </w:r>
          </w:p>
        </w:tc>
        <w:tc>
          <w:tcPr>
            <w:tcW w:w="2460" w:type="dxa"/>
            <w:vAlign w:val="bottom"/>
          </w:tcPr>
          <w:p>
            <w:pPr>
              <w:jc w:val="center"/>
              <w:ind w:left="339"/>
              <w:spacing w:after="0"/>
              <w:rPr>
                <w:sz w:val="20"/>
                <w:szCs w:val="20"/>
                <w:color w:val="auto"/>
              </w:rPr>
            </w:pPr>
            <w:r>
              <w:rPr>
                <w:rFonts w:ascii="Arial" w:cs="Arial" w:eastAsia="Arial" w:hAnsi="Arial"/>
                <w:sz w:val="14"/>
                <w:szCs w:val="14"/>
                <w:b w:val="1"/>
                <w:bCs w:val="1"/>
                <w:color w:val="auto"/>
              </w:rPr>
              <w:t>Relations Committee</w:t>
            </w:r>
          </w:p>
        </w:tc>
      </w:tr>
      <w:tr>
        <w:trPr>
          <w:trHeight w:val="196"/>
        </w:trPr>
        <w:tc>
          <w:tcPr>
            <w:tcW w:w="20" w:type="dxa"/>
            <w:vAlign w:val="bottom"/>
          </w:tcPr>
          <w:p>
            <w:pPr>
              <w:spacing w:after="0"/>
              <w:rPr>
                <w:sz w:val="17"/>
                <w:szCs w:val="17"/>
                <w:color w:val="auto"/>
              </w:rPr>
            </w:pPr>
          </w:p>
        </w:tc>
        <w:tc>
          <w:tcPr>
            <w:tcW w:w="5320" w:type="dxa"/>
            <w:vAlign w:val="bottom"/>
            <w:tcBorders>
              <w:top w:val="single" w:sz="8" w:color="auto"/>
            </w:tcBorders>
            <w:shd w:val="clear" w:color="auto" w:fill="E5E5E5"/>
          </w:tcPr>
          <w:p>
            <w:pPr>
              <w:ind w:left="80"/>
              <w:spacing w:after="0" w:line="196" w:lineRule="exact"/>
              <w:rPr>
                <w:sz w:val="20"/>
                <w:szCs w:val="20"/>
                <w:color w:val="auto"/>
              </w:rPr>
            </w:pPr>
            <w:r>
              <w:rPr>
                <w:rFonts w:ascii="Arial" w:cs="Arial" w:eastAsia="Arial" w:hAnsi="Arial"/>
                <w:sz w:val="18"/>
                <w:szCs w:val="18"/>
                <w:color w:val="auto"/>
              </w:rPr>
              <w:t>R. W. Babb, Jr.</w:t>
            </w:r>
          </w:p>
        </w:tc>
        <w:tc>
          <w:tcPr>
            <w:tcW w:w="1800" w:type="dxa"/>
            <w:vAlign w:val="bottom"/>
            <w:tcBorders>
              <w:top w:val="single" w:sz="8" w:color="auto"/>
            </w:tcBorders>
            <w:shd w:val="clear" w:color="auto" w:fill="E5E5E5"/>
          </w:tcPr>
          <w:p>
            <w:pPr>
              <w:spacing w:after="0"/>
              <w:rPr>
                <w:sz w:val="17"/>
                <w:szCs w:val="17"/>
                <w:color w:val="auto"/>
              </w:rPr>
            </w:pPr>
          </w:p>
        </w:tc>
        <w:tc>
          <w:tcPr>
            <w:tcW w:w="1440" w:type="dxa"/>
            <w:vAlign w:val="bottom"/>
            <w:tcBorders>
              <w:top w:val="single" w:sz="8" w:color="auto"/>
            </w:tcBorders>
            <w:shd w:val="clear" w:color="auto" w:fill="E5E5E5"/>
          </w:tcPr>
          <w:p>
            <w:pPr>
              <w:spacing w:after="0"/>
              <w:rPr>
                <w:sz w:val="17"/>
                <w:szCs w:val="17"/>
                <w:color w:val="auto"/>
              </w:rPr>
            </w:pPr>
          </w:p>
        </w:tc>
        <w:tc>
          <w:tcPr>
            <w:tcW w:w="2460" w:type="dxa"/>
            <w:vAlign w:val="bottom"/>
            <w:tcBorders>
              <w:top w:val="single" w:sz="8" w:color="auto"/>
            </w:tcBorders>
            <w:shd w:val="clear" w:color="auto" w:fill="E5E5E5"/>
          </w:tcPr>
          <w:p>
            <w:pPr>
              <w:jc w:val="center"/>
              <w:ind w:left="319"/>
              <w:spacing w:after="0" w:line="196" w:lineRule="exact"/>
              <w:rPr>
                <w:sz w:val="20"/>
                <w:szCs w:val="20"/>
                <w:color w:val="auto"/>
              </w:rPr>
            </w:pPr>
            <w:r>
              <w:rPr>
                <w:rFonts w:ascii="Arial" w:cs="Arial" w:eastAsia="Arial" w:hAnsi="Arial"/>
                <w:sz w:val="18"/>
                <w:szCs w:val="18"/>
                <w:color w:val="auto"/>
                <w:w w:val="94"/>
              </w:rPr>
              <w:t>•</w:t>
            </w:r>
          </w:p>
        </w:tc>
      </w:tr>
      <w:tr>
        <w:trPr>
          <w:trHeight w:val="203"/>
        </w:trPr>
        <w:tc>
          <w:tcPr>
            <w:tcW w:w="20" w:type="dxa"/>
            <w:vAlign w:val="bottom"/>
          </w:tcPr>
          <w:p>
            <w:pPr>
              <w:spacing w:after="0"/>
              <w:rPr>
                <w:sz w:val="17"/>
                <w:szCs w:val="17"/>
                <w:color w:val="auto"/>
              </w:rPr>
            </w:pPr>
          </w:p>
        </w:tc>
        <w:tc>
          <w:tcPr>
            <w:tcW w:w="5320" w:type="dxa"/>
            <w:vAlign w:val="bottom"/>
          </w:tcPr>
          <w:p>
            <w:pPr>
              <w:ind w:left="80"/>
              <w:spacing w:after="0" w:line="202" w:lineRule="exact"/>
              <w:rPr>
                <w:sz w:val="20"/>
                <w:szCs w:val="20"/>
                <w:color w:val="auto"/>
              </w:rPr>
            </w:pPr>
            <w:r>
              <w:rPr>
                <w:rFonts w:ascii="Arial" w:cs="Arial" w:eastAsia="Arial" w:hAnsi="Arial"/>
                <w:sz w:val="18"/>
                <w:szCs w:val="18"/>
                <w:color w:val="auto"/>
              </w:rPr>
              <w:t>M. A. Blinn *</w:t>
            </w:r>
          </w:p>
        </w:tc>
        <w:tc>
          <w:tcPr>
            <w:tcW w:w="1800" w:type="dxa"/>
            <w:vAlign w:val="bottom"/>
          </w:tcPr>
          <w:p>
            <w:pPr>
              <w:jc w:val="center"/>
              <w:ind w:right="619"/>
              <w:spacing w:after="0" w:line="202" w:lineRule="exact"/>
              <w:rPr>
                <w:sz w:val="20"/>
                <w:szCs w:val="20"/>
                <w:color w:val="auto"/>
              </w:rPr>
            </w:pPr>
            <w:r>
              <w:rPr>
                <w:rFonts w:ascii="Arial" w:cs="Arial" w:eastAsia="Arial" w:hAnsi="Arial"/>
                <w:sz w:val="18"/>
                <w:szCs w:val="18"/>
                <w:color w:val="auto"/>
                <w:w w:val="97"/>
              </w:rPr>
              <w:t>Chair</w:t>
            </w:r>
          </w:p>
        </w:tc>
        <w:tc>
          <w:tcPr>
            <w:tcW w:w="14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T. M. Bluedorn</w:t>
            </w:r>
          </w:p>
        </w:tc>
        <w:tc>
          <w:tcPr>
            <w:tcW w:w="1800" w:type="dxa"/>
            <w:vAlign w:val="bottom"/>
            <w:shd w:val="clear" w:color="auto" w:fill="E5E5E5"/>
          </w:tcPr>
          <w:p>
            <w:pPr>
              <w:jc w:val="center"/>
              <w:ind w:right="619"/>
              <w:spacing w:after="0" w:line="202" w:lineRule="exact"/>
              <w:rPr>
                <w:sz w:val="20"/>
                <w:szCs w:val="20"/>
                <w:color w:val="auto"/>
              </w:rPr>
            </w:pPr>
            <w:r>
              <w:rPr>
                <w:rFonts w:ascii="Arial" w:cs="Arial" w:eastAsia="Arial" w:hAnsi="Arial"/>
                <w:sz w:val="18"/>
                <w:szCs w:val="18"/>
                <w:color w:val="auto"/>
                <w:w w:val="94"/>
              </w:rPr>
              <w:t>•</w:t>
            </w:r>
          </w:p>
        </w:tc>
        <w:tc>
          <w:tcPr>
            <w:tcW w:w="1440" w:type="dxa"/>
            <w:vAlign w:val="bottom"/>
            <w:shd w:val="clear" w:color="auto" w:fill="E5E5E5"/>
          </w:tcPr>
          <w:p>
            <w:pPr>
              <w:spacing w:after="0"/>
              <w:rPr>
                <w:sz w:val="17"/>
                <w:szCs w:val="17"/>
                <w:color w:val="auto"/>
              </w:rPr>
            </w:pPr>
          </w:p>
        </w:tc>
        <w:tc>
          <w:tcPr>
            <w:tcW w:w="246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80"/>
              <w:spacing w:after="0" w:line="202" w:lineRule="exact"/>
              <w:rPr>
                <w:sz w:val="20"/>
                <w:szCs w:val="20"/>
                <w:color w:val="auto"/>
              </w:rPr>
            </w:pPr>
            <w:r>
              <w:rPr>
                <w:rFonts w:ascii="Arial" w:cs="Arial" w:eastAsia="Arial" w:hAnsi="Arial"/>
                <w:sz w:val="18"/>
                <w:szCs w:val="18"/>
                <w:color w:val="auto"/>
              </w:rPr>
              <w:t>D. A. Carp</w:t>
            </w:r>
          </w:p>
        </w:tc>
        <w:tc>
          <w:tcPr>
            <w:tcW w:w="1800" w:type="dxa"/>
            <w:vAlign w:val="bottom"/>
          </w:tcPr>
          <w:p>
            <w:pPr>
              <w:spacing w:after="0"/>
              <w:rPr>
                <w:sz w:val="17"/>
                <w:szCs w:val="17"/>
                <w:color w:val="auto"/>
              </w:rPr>
            </w:pPr>
          </w:p>
        </w:tc>
        <w:tc>
          <w:tcPr>
            <w:tcW w:w="1440" w:type="dxa"/>
            <w:vAlign w:val="bottom"/>
          </w:tcPr>
          <w:p>
            <w:pPr>
              <w:jc w:val="center"/>
              <w:ind w:right="357"/>
              <w:spacing w:after="0" w:line="202" w:lineRule="exact"/>
              <w:rPr>
                <w:sz w:val="20"/>
                <w:szCs w:val="20"/>
                <w:color w:val="auto"/>
              </w:rPr>
            </w:pPr>
            <w:r>
              <w:rPr>
                <w:rFonts w:ascii="Arial" w:cs="Arial" w:eastAsia="Arial" w:hAnsi="Arial"/>
                <w:sz w:val="18"/>
                <w:szCs w:val="18"/>
                <w:color w:val="auto"/>
              </w:rPr>
              <w:t>•</w:t>
            </w:r>
          </w:p>
        </w:tc>
        <w:tc>
          <w:tcPr>
            <w:tcW w:w="24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J. F. Clark</w:t>
            </w:r>
          </w:p>
        </w:tc>
        <w:tc>
          <w:tcPr>
            <w:tcW w:w="1800" w:type="dxa"/>
            <w:vAlign w:val="bottom"/>
            <w:shd w:val="clear" w:color="auto" w:fill="E5E5E5"/>
          </w:tcPr>
          <w:p>
            <w:pPr>
              <w:spacing w:after="0"/>
              <w:rPr>
                <w:sz w:val="17"/>
                <w:szCs w:val="17"/>
                <w:color w:val="auto"/>
              </w:rPr>
            </w:pPr>
          </w:p>
        </w:tc>
        <w:tc>
          <w:tcPr>
            <w:tcW w:w="1440" w:type="dxa"/>
            <w:vAlign w:val="bottom"/>
            <w:shd w:val="clear" w:color="auto" w:fill="E5E5E5"/>
          </w:tcPr>
          <w:p>
            <w:pPr>
              <w:spacing w:after="0"/>
              <w:rPr>
                <w:sz w:val="17"/>
                <w:szCs w:val="17"/>
                <w:color w:val="auto"/>
              </w:rPr>
            </w:pPr>
          </w:p>
        </w:tc>
        <w:tc>
          <w:tcPr>
            <w:tcW w:w="2460" w:type="dxa"/>
            <w:vAlign w:val="bottom"/>
            <w:shd w:val="clear" w:color="auto" w:fill="E5E5E5"/>
          </w:tcPr>
          <w:p>
            <w:pPr>
              <w:jc w:val="center"/>
              <w:ind w:left="319"/>
              <w:spacing w:after="0" w:line="202" w:lineRule="exact"/>
              <w:rPr>
                <w:sz w:val="20"/>
                <w:szCs w:val="20"/>
                <w:color w:val="auto"/>
              </w:rPr>
            </w:pPr>
            <w:r>
              <w:rPr>
                <w:rFonts w:ascii="Arial" w:cs="Arial" w:eastAsia="Arial" w:hAnsi="Arial"/>
                <w:sz w:val="18"/>
                <w:szCs w:val="18"/>
                <w:color w:val="auto"/>
                <w:w w:val="94"/>
              </w:rPr>
              <w:t>•</w:t>
            </w:r>
          </w:p>
        </w:tc>
      </w:tr>
      <w:tr>
        <w:trPr>
          <w:trHeight w:val="203"/>
        </w:trPr>
        <w:tc>
          <w:tcPr>
            <w:tcW w:w="20" w:type="dxa"/>
            <w:vAlign w:val="bottom"/>
          </w:tcPr>
          <w:p>
            <w:pPr>
              <w:spacing w:after="0"/>
              <w:rPr>
                <w:sz w:val="17"/>
                <w:szCs w:val="17"/>
                <w:color w:val="auto"/>
              </w:rPr>
            </w:pPr>
          </w:p>
        </w:tc>
        <w:tc>
          <w:tcPr>
            <w:tcW w:w="5320" w:type="dxa"/>
            <w:vAlign w:val="bottom"/>
          </w:tcPr>
          <w:p>
            <w:pPr>
              <w:ind w:left="80"/>
              <w:spacing w:after="0" w:line="202" w:lineRule="exact"/>
              <w:rPr>
                <w:sz w:val="20"/>
                <w:szCs w:val="20"/>
                <w:color w:val="auto"/>
              </w:rPr>
            </w:pPr>
            <w:r>
              <w:rPr>
                <w:rFonts w:ascii="Arial" w:cs="Arial" w:eastAsia="Arial" w:hAnsi="Arial"/>
                <w:sz w:val="18"/>
                <w:szCs w:val="18"/>
                <w:color w:val="auto"/>
              </w:rPr>
              <w:t>C. S. Cox</w:t>
            </w:r>
          </w:p>
        </w:tc>
        <w:tc>
          <w:tcPr>
            <w:tcW w:w="1800" w:type="dxa"/>
            <w:vAlign w:val="bottom"/>
          </w:tcPr>
          <w:p>
            <w:pPr>
              <w:spacing w:after="0"/>
              <w:rPr>
                <w:sz w:val="17"/>
                <w:szCs w:val="17"/>
                <w:color w:val="auto"/>
              </w:rPr>
            </w:pPr>
          </w:p>
        </w:tc>
        <w:tc>
          <w:tcPr>
            <w:tcW w:w="1440" w:type="dxa"/>
            <w:vAlign w:val="bottom"/>
          </w:tcPr>
          <w:p>
            <w:pPr>
              <w:jc w:val="center"/>
              <w:ind w:right="357"/>
              <w:spacing w:after="0" w:line="202" w:lineRule="exact"/>
              <w:rPr>
                <w:sz w:val="20"/>
                <w:szCs w:val="20"/>
                <w:color w:val="auto"/>
              </w:rPr>
            </w:pPr>
            <w:r>
              <w:rPr>
                <w:rFonts w:ascii="Arial" w:cs="Arial" w:eastAsia="Arial" w:hAnsi="Arial"/>
                <w:sz w:val="18"/>
                <w:szCs w:val="18"/>
                <w:color w:val="auto"/>
              </w:rPr>
              <w:t>•</w:t>
            </w:r>
          </w:p>
        </w:tc>
        <w:tc>
          <w:tcPr>
            <w:tcW w:w="24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M. S. Craighead</w:t>
            </w:r>
          </w:p>
        </w:tc>
        <w:tc>
          <w:tcPr>
            <w:tcW w:w="1800" w:type="dxa"/>
            <w:vAlign w:val="bottom"/>
            <w:shd w:val="clear" w:color="auto" w:fill="E5E5E5"/>
          </w:tcPr>
          <w:p>
            <w:pPr>
              <w:jc w:val="center"/>
              <w:ind w:right="619"/>
              <w:spacing w:after="0" w:line="202" w:lineRule="exact"/>
              <w:rPr>
                <w:sz w:val="20"/>
                <w:szCs w:val="20"/>
                <w:color w:val="auto"/>
              </w:rPr>
            </w:pPr>
            <w:r>
              <w:rPr>
                <w:rFonts w:ascii="Arial" w:cs="Arial" w:eastAsia="Arial" w:hAnsi="Arial"/>
                <w:sz w:val="18"/>
                <w:szCs w:val="18"/>
                <w:color w:val="auto"/>
                <w:w w:val="94"/>
              </w:rPr>
              <w:t>•</w:t>
            </w:r>
          </w:p>
        </w:tc>
        <w:tc>
          <w:tcPr>
            <w:tcW w:w="1440" w:type="dxa"/>
            <w:vAlign w:val="bottom"/>
            <w:shd w:val="clear" w:color="auto" w:fill="E5E5E5"/>
          </w:tcPr>
          <w:p>
            <w:pPr>
              <w:spacing w:after="0"/>
              <w:rPr>
                <w:sz w:val="17"/>
                <w:szCs w:val="17"/>
                <w:color w:val="auto"/>
              </w:rPr>
            </w:pPr>
          </w:p>
        </w:tc>
        <w:tc>
          <w:tcPr>
            <w:tcW w:w="246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80"/>
              <w:spacing w:after="0" w:line="202" w:lineRule="exact"/>
              <w:rPr>
                <w:sz w:val="20"/>
                <w:szCs w:val="20"/>
                <w:color w:val="auto"/>
              </w:rPr>
            </w:pPr>
            <w:r>
              <w:rPr>
                <w:rFonts w:ascii="Arial" w:cs="Arial" w:eastAsia="Arial" w:hAnsi="Arial"/>
                <w:sz w:val="18"/>
                <w:szCs w:val="18"/>
                <w:color w:val="auto"/>
              </w:rPr>
              <w:t>J. M. Hobby</w:t>
            </w:r>
          </w:p>
        </w:tc>
        <w:tc>
          <w:tcPr>
            <w:tcW w:w="1800" w:type="dxa"/>
            <w:vAlign w:val="bottom"/>
          </w:tcPr>
          <w:p>
            <w:pPr>
              <w:jc w:val="center"/>
              <w:ind w:right="619"/>
              <w:spacing w:after="0" w:line="202" w:lineRule="exact"/>
              <w:rPr>
                <w:sz w:val="20"/>
                <w:szCs w:val="20"/>
                <w:color w:val="auto"/>
              </w:rPr>
            </w:pPr>
            <w:r>
              <w:rPr>
                <w:rFonts w:ascii="Arial" w:cs="Arial" w:eastAsia="Arial" w:hAnsi="Arial"/>
                <w:sz w:val="18"/>
                <w:szCs w:val="18"/>
                <w:color w:val="auto"/>
                <w:w w:val="94"/>
              </w:rPr>
              <w:t>•</w:t>
            </w:r>
          </w:p>
        </w:tc>
        <w:tc>
          <w:tcPr>
            <w:tcW w:w="14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R. Kirk</w:t>
            </w:r>
          </w:p>
        </w:tc>
        <w:tc>
          <w:tcPr>
            <w:tcW w:w="1800" w:type="dxa"/>
            <w:vAlign w:val="bottom"/>
            <w:shd w:val="clear" w:color="auto" w:fill="E5E5E5"/>
          </w:tcPr>
          <w:p>
            <w:pPr>
              <w:spacing w:after="0"/>
              <w:rPr>
                <w:sz w:val="17"/>
                <w:szCs w:val="17"/>
                <w:color w:val="auto"/>
              </w:rPr>
            </w:pPr>
          </w:p>
        </w:tc>
        <w:tc>
          <w:tcPr>
            <w:tcW w:w="1440" w:type="dxa"/>
            <w:vAlign w:val="bottom"/>
            <w:shd w:val="clear" w:color="auto" w:fill="E5E5E5"/>
          </w:tcPr>
          <w:p>
            <w:pPr>
              <w:spacing w:after="0"/>
              <w:rPr>
                <w:sz w:val="17"/>
                <w:szCs w:val="17"/>
                <w:color w:val="auto"/>
              </w:rPr>
            </w:pPr>
          </w:p>
        </w:tc>
        <w:tc>
          <w:tcPr>
            <w:tcW w:w="2460" w:type="dxa"/>
            <w:vAlign w:val="bottom"/>
            <w:shd w:val="clear" w:color="auto" w:fill="E5E5E5"/>
          </w:tcPr>
          <w:p>
            <w:pPr>
              <w:jc w:val="center"/>
              <w:ind w:left="339"/>
              <w:spacing w:after="0" w:line="202" w:lineRule="exact"/>
              <w:rPr>
                <w:sz w:val="20"/>
                <w:szCs w:val="20"/>
                <w:color w:val="auto"/>
              </w:rPr>
            </w:pPr>
            <w:r>
              <w:rPr>
                <w:rFonts w:ascii="Arial" w:cs="Arial" w:eastAsia="Arial" w:hAnsi="Arial"/>
                <w:sz w:val="18"/>
                <w:szCs w:val="18"/>
                <w:color w:val="auto"/>
              </w:rPr>
              <w:t>Chair</w:t>
            </w:r>
          </w:p>
        </w:tc>
      </w:tr>
      <w:tr>
        <w:trPr>
          <w:trHeight w:val="203"/>
        </w:trPr>
        <w:tc>
          <w:tcPr>
            <w:tcW w:w="20" w:type="dxa"/>
            <w:vAlign w:val="bottom"/>
          </w:tcPr>
          <w:p>
            <w:pPr>
              <w:spacing w:after="0"/>
              <w:rPr>
                <w:sz w:val="17"/>
                <w:szCs w:val="17"/>
                <w:color w:val="auto"/>
              </w:rPr>
            </w:pPr>
          </w:p>
        </w:tc>
        <w:tc>
          <w:tcPr>
            <w:tcW w:w="5320" w:type="dxa"/>
            <w:vAlign w:val="bottom"/>
          </w:tcPr>
          <w:p>
            <w:pPr>
              <w:ind w:left="80"/>
              <w:spacing w:after="0" w:line="202" w:lineRule="exact"/>
              <w:rPr>
                <w:sz w:val="20"/>
                <w:szCs w:val="20"/>
                <w:color w:val="auto"/>
              </w:rPr>
            </w:pPr>
            <w:r>
              <w:rPr>
                <w:rFonts w:ascii="Arial" w:cs="Arial" w:eastAsia="Arial" w:hAnsi="Arial"/>
                <w:sz w:val="18"/>
                <w:szCs w:val="18"/>
                <w:color w:val="auto"/>
              </w:rPr>
              <w:t>P. H. Patsley</w:t>
            </w:r>
          </w:p>
        </w:tc>
        <w:tc>
          <w:tcPr>
            <w:tcW w:w="1800" w:type="dxa"/>
            <w:vAlign w:val="bottom"/>
          </w:tcPr>
          <w:p>
            <w:pPr>
              <w:spacing w:after="0"/>
              <w:rPr>
                <w:sz w:val="17"/>
                <w:szCs w:val="17"/>
                <w:color w:val="auto"/>
              </w:rPr>
            </w:pPr>
          </w:p>
        </w:tc>
        <w:tc>
          <w:tcPr>
            <w:tcW w:w="1440" w:type="dxa"/>
            <w:vAlign w:val="bottom"/>
          </w:tcPr>
          <w:p>
            <w:pPr>
              <w:jc w:val="center"/>
              <w:ind w:right="357"/>
              <w:spacing w:after="0" w:line="202" w:lineRule="exact"/>
              <w:rPr>
                <w:sz w:val="20"/>
                <w:szCs w:val="20"/>
                <w:color w:val="auto"/>
              </w:rPr>
            </w:pPr>
            <w:r>
              <w:rPr>
                <w:rFonts w:ascii="Arial" w:cs="Arial" w:eastAsia="Arial" w:hAnsi="Arial"/>
                <w:sz w:val="18"/>
                <w:szCs w:val="18"/>
                <w:color w:val="auto"/>
              </w:rPr>
              <w:t>Chair</w:t>
            </w:r>
          </w:p>
        </w:tc>
        <w:tc>
          <w:tcPr>
            <w:tcW w:w="24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R. E. Sanchez</w:t>
            </w:r>
          </w:p>
        </w:tc>
        <w:tc>
          <w:tcPr>
            <w:tcW w:w="1800" w:type="dxa"/>
            <w:vAlign w:val="bottom"/>
            <w:shd w:val="clear" w:color="auto" w:fill="E5E5E5"/>
          </w:tcPr>
          <w:p>
            <w:pPr>
              <w:spacing w:after="0"/>
              <w:rPr>
                <w:sz w:val="17"/>
                <w:szCs w:val="17"/>
                <w:color w:val="auto"/>
              </w:rPr>
            </w:pPr>
          </w:p>
        </w:tc>
        <w:tc>
          <w:tcPr>
            <w:tcW w:w="1440" w:type="dxa"/>
            <w:vAlign w:val="bottom"/>
            <w:shd w:val="clear" w:color="auto" w:fill="E5E5E5"/>
          </w:tcPr>
          <w:p>
            <w:pPr>
              <w:spacing w:after="0"/>
              <w:rPr>
                <w:sz w:val="17"/>
                <w:szCs w:val="17"/>
                <w:color w:val="auto"/>
              </w:rPr>
            </w:pPr>
          </w:p>
        </w:tc>
        <w:tc>
          <w:tcPr>
            <w:tcW w:w="2460" w:type="dxa"/>
            <w:vAlign w:val="bottom"/>
            <w:shd w:val="clear" w:color="auto" w:fill="E5E5E5"/>
          </w:tcPr>
          <w:p>
            <w:pPr>
              <w:jc w:val="center"/>
              <w:ind w:left="319"/>
              <w:spacing w:after="0" w:line="202" w:lineRule="exact"/>
              <w:rPr>
                <w:sz w:val="20"/>
                <w:szCs w:val="20"/>
                <w:color w:val="auto"/>
              </w:rPr>
            </w:pPr>
            <w:r>
              <w:rPr>
                <w:rFonts w:ascii="Arial" w:cs="Arial" w:eastAsia="Arial" w:hAnsi="Arial"/>
                <w:sz w:val="18"/>
                <w:szCs w:val="18"/>
                <w:color w:val="auto"/>
                <w:w w:val="94"/>
              </w:rPr>
              <w:t>•</w:t>
            </w:r>
          </w:p>
        </w:tc>
      </w:tr>
      <w:tr>
        <w:trPr>
          <w:trHeight w:val="243"/>
        </w:trPr>
        <w:tc>
          <w:tcPr>
            <w:tcW w:w="20" w:type="dxa"/>
            <w:vAlign w:val="bottom"/>
          </w:tcPr>
          <w:p>
            <w:pPr>
              <w:spacing w:after="0"/>
              <w:rPr>
                <w:sz w:val="21"/>
                <w:szCs w:val="21"/>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R. K. Templeton</w:t>
            </w:r>
          </w:p>
        </w:tc>
        <w:tc>
          <w:tcPr>
            <w:tcW w:w="1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301"/>
        </w:trPr>
        <w:tc>
          <w:tcPr>
            <w:tcW w:w="5340" w:type="dxa"/>
            <w:vAlign w:val="bottom"/>
            <w:gridSpan w:val="2"/>
          </w:tcPr>
          <w:p>
            <w:pPr>
              <w:spacing w:after="0"/>
              <w:rPr>
                <w:sz w:val="20"/>
                <w:szCs w:val="20"/>
                <w:color w:val="auto"/>
              </w:rPr>
            </w:pPr>
            <w:r>
              <w:rPr>
                <w:rFonts w:ascii="Arial" w:cs="Arial" w:eastAsia="Arial" w:hAnsi="Arial"/>
                <w:sz w:val="18"/>
                <w:szCs w:val="18"/>
                <w:color w:val="auto"/>
              </w:rPr>
              <w:t>*  Lead director</w:t>
            </w: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5320" w:type="dxa"/>
            <w:vAlign w:val="bottom"/>
          </w:tcPr>
          <w:p>
            <w:pPr>
              <w:ind w:left="3900"/>
              <w:spacing w:after="0"/>
              <w:rPr>
                <w:sz w:val="20"/>
                <w:szCs w:val="20"/>
                <w:color w:val="auto"/>
              </w:rPr>
            </w:pPr>
            <w:r>
              <w:rPr>
                <w:rFonts w:ascii="Arial" w:cs="Arial" w:eastAsia="Arial" w:hAnsi="Arial"/>
                <w:sz w:val="13"/>
                <w:szCs w:val="13"/>
                <w:color w:val="666666"/>
                <w:w w:val="99"/>
              </w:rPr>
              <w:t>TEXAS INSTRUMENTS</w:t>
            </w:r>
          </w:p>
        </w:tc>
        <w:tc>
          <w:tcPr>
            <w:tcW w:w="1800" w:type="dxa"/>
            <w:vAlign w:val="bottom"/>
          </w:tcPr>
          <w:p>
            <w:pPr>
              <w:ind w:left="80"/>
              <w:spacing w:after="0"/>
              <w:rPr>
                <w:sz w:val="20"/>
                <w:szCs w:val="20"/>
                <w:color w:val="auto"/>
              </w:rPr>
            </w:pPr>
            <w:r>
              <w:rPr>
                <w:rFonts w:ascii="Arial" w:cs="Arial" w:eastAsia="Arial" w:hAnsi="Arial"/>
                <w:sz w:val="13"/>
                <w:szCs w:val="13"/>
                <w:color w:val="666666"/>
                <w:w w:val="98"/>
              </w:rPr>
              <w:t>•  2019 PROXY STATEMENT</w:t>
            </w:r>
          </w:p>
        </w:tc>
        <w:tc>
          <w:tcPr>
            <w:tcW w:w="144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3"/>
                <w:szCs w:val="13"/>
                <w:color w:val="666666"/>
              </w:rPr>
              <w:t>11</w:t>
            </w:r>
          </w:p>
        </w:tc>
      </w:tr>
    </w:tbl>
    <w:p>
      <w:pPr>
        <w:sectPr>
          <w:pgSz w:w="11900" w:h="16838" w:orient="portrait"/>
          <w:cols w:equalWidth="0" w:num="1">
            <w:col w:w="11240"/>
          </w:cols>
          <w:pgMar w:left="240" w:top="455" w:right="4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Committees of the board</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Audit Committee</w:t>
      </w:r>
    </w:p>
    <w:p>
      <w:pPr>
        <w:spacing w:after="0" w:line="212"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From April 21, 2017, to April 25, 2018, the committee members were Mr. Blinn (chair), Mr. Bluedorn, Ms. Clark and Ms. Hobby. Since April 26, 2018, the committee members have been Mr. Blinn (chair), Mr. Bluedorn and Ms. Hobby, with Mr. Craighead joining the committee on July 1, 2018. The Audit Committee is generally responsible for:</w:t>
      </w:r>
    </w:p>
    <w:p>
      <w:pPr>
        <w:spacing w:after="0" w:line="200" w:lineRule="exact"/>
        <w:rPr>
          <w:sz w:val="20"/>
          <w:szCs w:val="20"/>
          <w:color w:val="auto"/>
        </w:rPr>
      </w:pPr>
    </w:p>
    <w:p>
      <w:pPr>
        <w:ind w:left="960" w:hanging="54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w:t>
      </w:r>
    </w:p>
    <w:p>
      <w:pPr>
        <w:spacing w:after="0" w:line="17" w:lineRule="exact"/>
        <w:rPr>
          <w:rFonts w:ascii="Arial" w:cs="Arial" w:eastAsia="Arial" w:hAnsi="Arial"/>
          <w:sz w:val="18"/>
          <w:szCs w:val="18"/>
          <w:color w:val="auto"/>
        </w:rPr>
      </w:pPr>
    </w:p>
    <w:p>
      <w:pPr>
        <w:ind w:left="118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The annual report of TI’s independent registered public accounting firm related to quality control.</w:t>
      </w:r>
    </w:p>
    <w:p>
      <w:pPr>
        <w:ind w:left="1180" w:right="58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TI’s annual and quarterly reports to the SEC, including the financial statements and the “Management’s Discussion and Analysis” portion of those reports, and recommending appropriate action to the board.</w:t>
      </w:r>
    </w:p>
    <w:p>
      <w:pPr>
        <w:spacing w:after="0" w:line="1" w:lineRule="exact"/>
        <w:rPr>
          <w:rFonts w:ascii="Times New Roman" w:cs="Times New Roman" w:eastAsia="Times New Roman" w:hAnsi="Times New Roman"/>
          <w:sz w:val="15"/>
          <w:szCs w:val="15"/>
          <w:color w:val="auto"/>
        </w:rPr>
      </w:pPr>
    </w:p>
    <w:p>
      <w:pPr>
        <w:ind w:left="118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TI’s audit plans.</w:t>
      </w:r>
    </w:p>
    <w:p>
      <w:pPr>
        <w:ind w:left="1180" w:right="54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Before issuance TI’s news releases regarding annual and interim financial results and discussing with management any related earnings guidance that may be provided to analysts and rating agencies.</w:t>
      </w:r>
    </w:p>
    <w:p>
      <w:pPr>
        <w:spacing w:after="0" w:line="1" w:lineRule="exact"/>
        <w:rPr>
          <w:rFonts w:ascii="Times New Roman" w:cs="Times New Roman" w:eastAsia="Times New Roman" w:hAnsi="Times New Roman"/>
          <w:sz w:val="15"/>
          <w:szCs w:val="15"/>
          <w:color w:val="auto"/>
        </w:rPr>
      </w:pPr>
    </w:p>
    <w:p>
      <w:pPr>
        <w:ind w:left="118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Relationships between the independent registered public accounting firm and TI.</w:t>
      </w:r>
    </w:p>
    <w:p>
      <w:pPr>
        <w:ind w:left="1180" w:right="76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The adequacy of TI’s internal accounting controls and other factors affecting the integrity of TI’s financial reports, and discussing with management and with the independent registered public accounting firm.</w:t>
      </w:r>
    </w:p>
    <w:p>
      <w:pPr>
        <w:spacing w:after="0" w:line="1" w:lineRule="exact"/>
        <w:rPr>
          <w:rFonts w:ascii="Times New Roman" w:cs="Times New Roman" w:eastAsia="Times New Roman" w:hAnsi="Times New Roman"/>
          <w:sz w:val="15"/>
          <w:szCs w:val="15"/>
          <w:color w:val="auto"/>
        </w:rPr>
      </w:pPr>
    </w:p>
    <w:p>
      <w:pPr>
        <w:ind w:left="118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TI’s risk assessment and risk management policies.</w:t>
      </w:r>
    </w:p>
    <w:p>
      <w:pPr>
        <w:ind w:left="118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TI’s compliance and ethics program.</w:t>
      </w:r>
    </w:p>
    <w:p>
      <w:pPr>
        <w:ind w:left="1180" w:right="32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A report of compliance of management and operating personnel with TI’s code of conduct, including TI’s conflict of interest policy.</w:t>
      </w:r>
    </w:p>
    <w:p>
      <w:pPr>
        <w:spacing w:after="0" w:line="1" w:lineRule="exact"/>
        <w:rPr>
          <w:rFonts w:ascii="Times New Roman" w:cs="Times New Roman" w:eastAsia="Times New Roman" w:hAnsi="Times New Roman"/>
          <w:sz w:val="15"/>
          <w:szCs w:val="15"/>
          <w:color w:val="auto"/>
        </w:rPr>
      </w:pPr>
    </w:p>
    <w:p>
      <w:pPr>
        <w:ind w:left="118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TI’s non-employee-related insurance programs.</w:t>
      </w:r>
    </w:p>
    <w:p>
      <w:pPr>
        <w:ind w:left="118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Changes, if any, in major accounting policies of the company.</w:t>
      </w:r>
    </w:p>
    <w:p>
      <w:pPr>
        <w:ind w:left="118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Trends in accounting policy changes that are relevant to the company.</w:t>
      </w:r>
    </w:p>
    <w:p>
      <w:pPr>
        <w:ind w:left="1180" w:hanging="328"/>
        <w:spacing w:after="0" w:line="234" w:lineRule="auto"/>
        <w:tabs>
          <w:tab w:leader="none" w:pos="1180" w:val="left"/>
        </w:tabs>
        <w:numPr>
          <w:ilvl w:val="1"/>
          <w:numId w:val="25"/>
        </w:numPr>
        <w:rPr>
          <w:rFonts w:ascii="Times New Roman" w:cs="Times New Roman" w:eastAsia="Times New Roman" w:hAnsi="Times New Roman"/>
          <w:sz w:val="15"/>
          <w:szCs w:val="15"/>
          <w:color w:val="auto"/>
        </w:rPr>
      </w:pPr>
      <w:r>
        <w:rPr>
          <w:rFonts w:ascii="Arial" w:cs="Arial" w:eastAsia="Arial" w:hAnsi="Arial"/>
          <w:sz w:val="18"/>
          <w:szCs w:val="18"/>
          <w:color w:val="auto"/>
        </w:rPr>
        <w:t>The company’s policy regarding investments and financial derivative products.</w:t>
      </w:r>
    </w:p>
    <w:p>
      <w:pPr>
        <w:ind w:left="960" w:hanging="540"/>
        <w:spacing w:after="0" w:line="234"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Creating and periodically reviewing TI’s whistleblower policy.</w:t>
      </w:r>
    </w:p>
    <w:p>
      <w:pPr>
        <w:ind w:left="960" w:hanging="54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TI’s independent registered public accounting firm.</w:t>
      </w:r>
    </w:p>
    <w:p>
      <w:pPr>
        <w:spacing w:after="0" w:line="19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board has determined that all members of the Audit Committee are financially sophisticated, as the board has interpreted such qualifications in its business judgment. In addition, the board has designated Mr. Blinn as the audit committee financial expert as defined in the Securities Exchange Act of 1934, as amended.</w:t>
      </w:r>
    </w:p>
    <w:p>
      <w:pPr>
        <w:spacing w:after="0" w:line="164"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Audit Committee met eight times in 2018.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See page 44 for a report of the committee.</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Compensation Committee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members of the Compensation Committee are independent. From April 21, 2017, to April 25, 2018, the committee members were</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Mr. Sanchez (chair), Mr. Carp and Ms. Patsley. Since April 26, 2018, the committee members have been Ms. Patsley (chair), Mr. Carp and</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Ms. Cox. The committee is responsible for:</w:t>
      </w:r>
    </w:p>
    <w:p>
      <w:pPr>
        <w:spacing w:after="0" w:line="217" w:lineRule="exact"/>
        <w:rPr>
          <w:sz w:val="20"/>
          <w:szCs w:val="20"/>
          <w:color w:val="auto"/>
        </w:rPr>
      </w:pPr>
    </w:p>
    <w:p>
      <w:pPr>
        <w:ind w:left="960" w:hanging="54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the performance of the CEO and determining his compensation.</w:t>
      </w:r>
    </w:p>
    <w:p>
      <w:pPr>
        <w:spacing w:after="0" w:line="17"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Setting the compensation of the company’s other executive officers.</w:t>
      </w:r>
    </w:p>
    <w:p>
      <w:pPr>
        <w:ind w:left="960" w:hanging="540"/>
        <w:spacing w:after="0" w:line="234"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administration of employee benefit plans.</w:t>
      </w:r>
    </w:p>
    <w:p>
      <w:pPr>
        <w:ind w:left="960" w:hanging="540"/>
        <w:spacing w:after="0" w:line="234"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ind w:left="1180" w:right="160" w:hanging="328"/>
        <w:spacing w:after="0" w:line="242" w:lineRule="auto"/>
        <w:tabs>
          <w:tab w:leader="none" w:pos="1180" w:val="left"/>
        </w:tabs>
        <w:numPr>
          <w:ilvl w:val="1"/>
          <w:numId w:val="26"/>
        </w:numPr>
        <w:rPr>
          <w:rFonts w:ascii="Times New Roman" w:cs="Times New Roman" w:eastAsia="Times New Roman" w:hAnsi="Times New Roman"/>
          <w:sz w:val="15"/>
          <w:szCs w:val="15"/>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require board approval.</w:t>
      </w:r>
    </w:p>
    <w:p>
      <w:pPr>
        <w:spacing w:after="0" w:line="10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180" w:right="540" w:hanging="328"/>
        <w:spacing w:after="0" w:line="247" w:lineRule="auto"/>
        <w:tabs>
          <w:tab w:leader="none" w:pos="1180" w:val="left"/>
        </w:tabs>
        <w:numPr>
          <w:ilvl w:val="1"/>
          <w:numId w:val="27"/>
        </w:numPr>
        <w:rPr>
          <w:rFonts w:ascii="Times New Roman" w:cs="Times New Roman" w:eastAsia="Times New Roman" w:hAnsi="Times New Roman"/>
          <w:sz w:val="15"/>
          <w:szCs w:val="15"/>
          <w:color w:val="auto"/>
        </w:rPr>
      </w:pPr>
      <w:r>
        <w:rPr>
          <w:rFonts w:ascii="Arial" w:cs="Arial" w:eastAsia="Arial" w:hAnsi="Arial"/>
          <w:sz w:val="18"/>
          <w:szCs w:val="18"/>
          <w:color w:val="auto"/>
        </w:rPr>
        <w:t>Reservation of company stock for use as awards of grants under plans or as contributions or sales to any trustee of any employee benefit plan.</w:t>
      </w:r>
    </w:p>
    <w:p>
      <w:pPr>
        <w:spacing w:after="0" w:line="1" w:lineRule="exact"/>
        <w:rPr>
          <w:rFonts w:ascii="Times New Roman" w:cs="Times New Roman" w:eastAsia="Times New Roman" w:hAnsi="Times New Roman"/>
          <w:sz w:val="15"/>
          <w:szCs w:val="15"/>
          <w:color w:val="auto"/>
        </w:rPr>
      </w:pPr>
    </w:p>
    <w:p>
      <w:pPr>
        <w:ind w:left="960" w:right="220" w:hanging="540"/>
        <w:spacing w:after="0" w:line="23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w:t>
      </w:r>
    </w:p>
    <w:p>
      <w:pPr>
        <w:spacing w:after="0" w:line="1" w:lineRule="exact"/>
        <w:rPr>
          <w:rFonts w:ascii="Arial" w:cs="Arial" w:eastAsia="Arial" w:hAnsi="Arial"/>
          <w:sz w:val="18"/>
          <w:szCs w:val="18"/>
          <w:color w:val="auto"/>
        </w:rPr>
      </w:pPr>
    </w:p>
    <w:p>
      <w:pPr>
        <w:ind w:left="960" w:right="80" w:hanging="540"/>
        <w:spacing w:after="0" w:line="251"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Appointing, setting the compensation of, overseeing and considering the independence of any compensation consultant or other advisor.</w:t>
      </w:r>
    </w:p>
    <w:p>
      <w:pPr>
        <w:spacing w:after="0" w:line="166" w:lineRule="exact"/>
        <w:rPr>
          <w:sz w:val="20"/>
          <w:szCs w:val="20"/>
          <w:color w:val="auto"/>
        </w:rPr>
      </w:pPr>
    </w:p>
    <w:p>
      <w:pPr>
        <w:ind w:left="200" w:right="540"/>
        <w:spacing w:after="0" w:line="255" w:lineRule="auto"/>
        <w:rPr>
          <w:sz w:val="20"/>
          <w:szCs w:val="20"/>
          <w:color w:val="auto"/>
        </w:rPr>
      </w:pPr>
      <w:r>
        <w:rPr>
          <w:rFonts w:ascii="Arial" w:cs="Arial" w:eastAsia="Arial" w:hAnsi="Arial"/>
          <w:sz w:val="18"/>
          <w:szCs w:val="18"/>
          <w:color w:val="auto"/>
        </w:rPr>
        <w:t>The Compensation Committee met six times in 2018. The Compensation Committee holds regularly scheduled meetings, reports its activities to the board, and consults with the board before setting annual executive compensation. See page 31 for a report of the committee.</w:t>
      </w:r>
    </w:p>
    <w:p>
      <w:pPr>
        <w:spacing w:after="0" w:line="164"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2018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179" w:lineRule="exact"/>
        <w:rPr>
          <w:sz w:val="20"/>
          <w:szCs w:val="20"/>
          <w:color w:val="auto"/>
        </w:rPr>
      </w:pPr>
    </w:p>
    <w:p>
      <w:pPr>
        <w:ind w:left="200" w:right="920"/>
        <w:spacing w:after="0" w:line="248" w:lineRule="auto"/>
        <w:rPr>
          <w:sz w:val="20"/>
          <w:szCs w:val="20"/>
          <w:color w:val="auto"/>
        </w:rPr>
      </w:pPr>
      <w:r>
        <w:rPr>
          <w:rFonts w:ascii="Arial" w:cs="Arial" w:eastAsia="Arial" w:hAnsi="Arial"/>
          <w:sz w:val="18"/>
          <w:szCs w:val="18"/>
          <w:color w:val="auto"/>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2018, the committee determined that its compensation consultant was independent of the company and had no conflict of interest.</w:t>
      </w:r>
    </w:p>
    <w:p>
      <w:pPr>
        <w:spacing w:after="0" w:line="171"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71"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181" w:lineRule="exact"/>
        <w:rPr>
          <w:sz w:val="20"/>
          <w:szCs w:val="20"/>
          <w:color w:val="auto"/>
        </w:rPr>
      </w:pPr>
    </w:p>
    <w:p>
      <w:pPr>
        <w:ind w:left="200" w:right="440"/>
        <w:spacing w:after="0" w:line="248" w:lineRule="auto"/>
        <w:rPr>
          <w:sz w:val="20"/>
          <w:szCs w:val="20"/>
          <w:color w:val="auto"/>
        </w:rPr>
      </w:pPr>
      <w:r>
        <w:rPr>
          <w:rFonts w:ascii="Arial" w:cs="Arial" w:eastAsia="Arial" w:hAnsi="Arial"/>
          <w:sz w:val="18"/>
          <w:szCs w:val="18"/>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71" w:lineRule="exact"/>
        <w:rPr>
          <w:sz w:val="20"/>
          <w:szCs w:val="20"/>
          <w:color w:val="auto"/>
        </w:rPr>
      </w:pPr>
    </w:p>
    <w:p>
      <w:pPr>
        <w:ind w:left="200" w:right="180"/>
        <w:spacing w:after="0" w:line="268" w:lineRule="auto"/>
        <w:rPr>
          <w:sz w:val="20"/>
          <w:szCs w:val="20"/>
          <w:color w:val="auto"/>
        </w:rPr>
      </w:pPr>
      <w:r>
        <w:rPr>
          <w:rFonts w:ascii="Arial" w:cs="Arial" w:eastAsia="Arial" w:hAnsi="Arial"/>
          <w:sz w:val="17"/>
          <w:szCs w:val="17"/>
          <w:color w:val="auto"/>
        </w:rPr>
        <w:t>Pursuant to that authority, the Compensation Committee has delegated to a special committee established by the board the authority to, among other things, grant a limited number of stock options and restricted stock units (RSUs) under the company’s long-term incentive plans. The sole member of the special committee is Mr. Templeton. The special committee has no authority to grant, amend or terminate any form of compensation for TI’s executive officers. The Compensation Committee reviews all activity of the special committee.</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Governance and Stockholder Relations Committee</w:t>
      </w:r>
    </w:p>
    <w:p>
      <w:pPr>
        <w:spacing w:after="0" w:line="212"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auto"/>
        </w:rPr>
        <w:t>All members of the GSR Committee are independent. From April 21, 2017, to April 25, 2018, the committee members were Mr. Wayne R. Sanders (chair) (who retired from the board in April 2018), Mr. Babb, Ms. Cox and Mr. Kirk. Since April 26, 2018, the committee members have been Mr. Kirk (Chair), Mr. Babb, Ms. Clark and Mr. Sanchez. The GSR Committee is generally responsible for:</w:t>
      </w:r>
    </w:p>
    <w:p>
      <w:pPr>
        <w:spacing w:after="0" w:line="340"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13</w:t>
            </w:r>
          </w:p>
        </w:tc>
      </w:tr>
    </w:tbl>
    <w:p>
      <w:pPr>
        <w:sectPr>
          <w:pgSz w:w="11900" w:h="16838" w:orient="portrait"/>
          <w:cols w:equalWidth="0" w:num="1">
            <w:col w:w="11220"/>
          </w:cols>
          <w:pgMar w:left="24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60" w:hanging="54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17" w:lineRule="exact"/>
        <w:rPr>
          <w:rFonts w:ascii="Arial" w:cs="Arial" w:eastAsia="Arial" w:hAnsi="Arial"/>
          <w:sz w:val="18"/>
          <w:szCs w:val="18"/>
          <w:color w:val="auto"/>
        </w:rPr>
      </w:pP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The development and revision of our corporate governance principles.</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The size, composition and functioning of the board and board committees.</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Candidates to fill board positions.</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Nominees to be designated for election as directors.</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Compensation of board members.</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Organization and responsibilities of board committees.</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Succession planning by the company.</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Issues of potential conflicts of interest involving a board member raised under TI’s conflict of interest policy.</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Election of executive officers of the company.</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Topics affecting the relationship between the company and stockholders.</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Public issues likely to affect the company.</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Responses to proposals submitted by stockholders.</w:t>
      </w:r>
    </w:p>
    <w:p>
      <w:pPr>
        <w:ind w:left="96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Contribution policies of the company and the TI Foundation.</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Scope of activities of the company’s political action committee.</w:t>
      </w:r>
    </w:p>
    <w:p>
      <w:pPr>
        <w:ind w:left="1180" w:hanging="328"/>
        <w:spacing w:after="0" w:line="234" w:lineRule="auto"/>
        <w:tabs>
          <w:tab w:leader="none" w:pos="1180" w:val="left"/>
        </w:tabs>
        <w:numPr>
          <w:ilvl w:val="1"/>
          <w:numId w:val="28"/>
        </w:numPr>
        <w:rPr>
          <w:rFonts w:ascii="Times New Roman" w:cs="Times New Roman" w:eastAsia="Times New Roman" w:hAnsi="Times New Roman"/>
          <w:sz w:val="15"/>
          <w:szCs w:val="15"/>
          <w:color w:val="auto"/>
        </w:rPr>
      </w:pPr>
      <w:r>
        <w:rPr>
          <w:rFonts w:ascii="Arial" w:cs="Arial" w:eastAsia="Arial" w:hAnsi="Arial"/>
          <w:sz w:val="18"/>
          <w:szCs w:val="18"/>
          <w:color w:val="auto"/>
        </w:rPr>
        <w:t>Revisions to TI’s code of conduct.</w:t>
      </w:r>
    </w:p>
    <w:p>
      <w:pPr>
        <w:ind w:left="96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Electing officers of the company other than the executive officers.</w:t>
      </w:r>
    </w:p>
    <w:p>
      <w:pPr>
        <w:ind w:left="960" w:hanging="54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GSR Committee met seven times in 2018. The GSR Committee holds regularly scheduled meetings and reports its activities</w:t>
      </w:r>
    </w:p>
    <w:p>
      <w:pPr>
        <w:spacing w:after="0" w:line="18" w:lineRule="exact"/>
        <w:rPr>
          <w:sz w:val="20"/>
          <w:szCs w:val="20"/>
          <w:color w:val="auto"/>
        </w:rPr>
      </w:pPr>
    </w:p>
    <w:p>
      <w:pPr>
        <w:ind w:left="200" w:right="60"/>
        <w:spacing w:after="0" w:line="251" w:lineRule="auto"/>
        <w:rPr>
          <w:sz w:val="20"/>
          <w:szCs w:val="20"/>
          <w:color w:val="auto"/>
        </w:rPr>
      </w:pPr>
      <w:r>
        <w:rPr>
          <w:rFonts w:ascii="Arial" w:cs="Arial" w:eastAsia="Arial" w:hAnsi="Arial"/>
          <w:sz w:val="18"/>
          <w:szCs w:val="18"/>
          <w:color w:val="auto"/>
        </w:rPr>
        <w:t>to the board. See “Director nomination process” for a discussion of stockholder nominations and recommendations and “Communications with the board” for details on how to contact the board.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evaluation process</w:t>
      </w:r>
    </w:p>
    <w:p>
      <w:pPr>
        <w:spacing w:after="0" w:line="211"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The board recognizes that a robust and constructive evaluation process is an essential part of good corporate governance and board effectiveness. The board and committee annual evaluation processes are designed to assess board and committee effectiveness, as well as individual director performance and contribution levels. The results of the evaluations are part of the GSR Committee’s and the board’s consideration in connection with their review of director nominees to ensure the board continues to operate effectively.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Annually, each of our directors completes comprehensive board and committee questionnaires. Each committee oversees its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own evaluation process, and the GSR Committee also oversees the board evaluation process. The questionnaires, and ongoing feedback from individual directors, facilitate a candid assessment of: (i) the board and committees’ oversight of risk, strategy, and operations; (ii) the board’s culture, leadership structure, and mix of director skills, qualifications and experiences; and (iii) board and committee meeting mechanics. Our directors are willing to have honest and difficult conversations as needed during the evaluation and nomination process.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leadership structure</w:t>
      </w:r>
    </w:p>
    <w:p>
      <w:pPr>
        <w:spacing w:after="0" w:line="211" w:lineRule="exact"/>
        <w:rPr>
          <w:sz w:val="20"/>
          <w:szCs w:val="20"/>
          <w:color w:val="auto"/>
        </w:rPr>
      </w:pPr>
    </w:p>
    <w:p>
      <w:pPr>
        <w:ind w:left="200" w:right="40"/>
        <w:spacing w:after="0" w:line="262" w:lineRule="auto"/>
        <w:rPr>
          <w:sz w:val="20"/>
          <w:szCs w:val="20"/>
          <w:color w:val="auto"/>
        </w:rPr>
      </w:pPr>
      <w:r>
        <w:rPr>
          <w:rFonts w:ascii="Arial" w:cs="Arial" w:eastAsia="Arial" w:hAnsi="Arial"/>
          <w:sz w:val="17"/>
          <w:szCs w:val="17"/>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w:t>
      </w:r>
    </w:p>
    <w:p>
      <w:pPr>
        <w:ind w:left="200" w:firstLine="4"/>
        <w:spacing w:after="0" w:line="242" w:lineRule="auto"/>
        <w:tabs>
          <w:tab w:leader="none" w:pos="4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including on each board agenda an opportunity for the independent directors to comment on and influence the proposed strategic agenda for future meetings and (b) holding an executive session of the independent directors at each board meeting), allows it to maintain the active engagement of independent directors and appropriate oversight of management.</w:t>
      </w:r>
    </w:p>
    <w:p>
      <w:pPr>
        <w:spacing w:after="0" w:line="176" w:lineRule="exact"/>
        <w:rPr>
          <w:sz w:val="20"/>
          <w:szCs w:val="20"/>
          <w:color w:val="auto"/>
        </w:rPr>
      </w:pPr>
    </w:p>
    <w:p>
      <w:pPr>
        <w:ind w:left="200" w:right="460"/>
        <w:spacing w:after="0" w:line="276" w:lineRule="auto"/>
        <w:rPr>
          <w:sz w:val="20"/>
          <w:szCs w:val="20"/>
          <w:color w:val="auto"/>
        </w:rPr>
      </w:pPr>
      <w:r>
        <w:rPr>
          <w:rFonts w:ascii="Arial" w:cs="Arial" w:eastAsia="Arial" w:hAnsi="Arial"/>
          <w:sz w:val="18"/>
          <w:szCs w:val="18"/>
          <w:color w:val="auto"/>
        </w:rPr>
        <w:t>The lead director is elected by the independent directors annually. The independent directors have elected Mr. Blinn to serve as lead director. The duties of the lead director are to:</w:t>
      </w:r>
    </w:p>
    <w:p>
      <w:pPr>
        <w:spacing w:after="0" w:line="172" w:lineRule="exact"/>
        <w:rPr>
          <w:sz w:val="20"/>
          <w:szCs w:val="20"/>
          <w:color w:val="auto"/>
        </w:rPr>
      </w:pPr>
    </w:p>
    <w:p>
      <w:pPr>
        <w:ind w:left="960" w:right="540" w:hanging="540"/>
        <w:spacing w:after="0" w:line="24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ind w:left="960" w:hanging="540"/>
        <w:spacing w:after="0" w:line="234"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Approve information sent to the board;</w:t>
      </w:r>
    </w:p>
    <w:p>
      <w:pPr>
        <w:ind w:left="960" w:hanging="540"/>
        <w:spacing w:after="0" w:line="234"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ind w:left="960" w:hanging="540"/>
        <w:spacing w:after="0" w:line="234"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and</w:t>
      </w:r>
    </w:p>
    <w:p>
      <w:pPr>
        <w:ind w:left="960" w:hanging="54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366"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180"/>
          </w:cols>
          <w:pgMar w:left="24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the lead director has authority to call meetings of the independent directors.</w:t>
      </w:r>
    </w:p>
    <w:p>
      <w:pPr>
        <w:spacing w:after="0" w:line="212" w:lineRule="exact"/>
        <w:rPr>
          <w:sz w:val="20"/>
          <w:szCs w:val="20"/>
          <w:color w:val="auto"/>
        </w:rPr>
      </w:pPr>
    </w:p>
    <w:p>
      <w:pPr>
        <w:ind w:left="200" w:right="140"/>
        <w:spacing w:after="0" w:line="243" w:lineRule="auto"/>
        <w:rPr>
          <w:sz w:val="20"/>
          <w:szCs w:val="20"/>
          <w:color w:val="auto"/>
        </w:rPr>
      </w:pPr>
      <w:r>
        <w:rPr>
          <w:rFonts w:ascii="Arial" w:cs="Arial" w:eastAsia="Arial" w:hAnsi="Arial"/>
          <w:sz w:val="18"/>
          <w:szCs w:val="18"/>
          <w:color w:val="auto"/>
        </w:rPr>
        <w:t>The board, led by its GSR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corporation and its stockholders.</w:t>
      </w:r>
    </w:p>
    <w:p>
      <w:pPr>
        <w:spacing w:after="0" w:line="174"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now utilizing a lead director.</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Risk oversight by the board</w:t>
      </w:r>
    </w:p>
    <w:p>
      <w:pPr>
        <w:spacing w:after="0" w:line="211"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64"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R&amp;D and cybersecurity). Throughout the year the CEO discusses these risks with the board. Additionally, at least once each year, the company’s chief information officer reviews cybersecurity risks and the company’s approach to protecting the company’s data and systems infrastructure with the board. In the event of a material cybersecurity event, management would notify the board and, in compliance with our procedures, determine the timing and extent of the response and public disclosure, and whether and any future vulnerabilities are expected.</w:t>
      </w:r>
    </w:p>
    <w:p>
      <w:pPr>
        <w:spacing w:after="0" w:line="179" w:lineRule="exact"/>
        <w:rPr>
          <w:sz w:val="20"/>
          <w:szCs w:val="20"/>
          <w:color w:val="auto"/>
        </w:rPr>
      </w:pPr>
    </w:p>
    <w:p>
      <w:pPr>
        <w:ind w:left="200" w:right="60"/>
        <w:spacing w:after="0" w:line="243" w:lineRule="auto"/>
        <w:rPr>
          <w:sz w:val="20"/>
          <w:szCs w:val="20"/>
          <w:color w:val="auto"/>
        </w:rPr>
      </w:pPr>
      <w:r>
        <w:rPr>
          <w:rFonts w:ascii="Arial" w:cs="Arial" w:eastAsia="Arial" w:hAnsi="Arial"/>
          <w:sz w:val="18"/>
          <w:szCs w:val="18"/>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GSR Committee oversees compliance with governance-related laws and policies, including the company’s corporate governance guidelines.</w:t>
      </w:r>
    </w:p>
    <w:p>
      <w:pPr>
        <w:spacing w:after="0" w:line="174"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The Audit Committee oversees the company’s approach to risk management as a whole. The company’s CFO reviews the company’s risk management process with the Audit Committee at least annually. In addition, the company’s chief information officer reviews the company’s information technology systems with the Audit Committee periodically and includes a discussion of key cybersecurity risks as appropriate.</w:t>
      </w:r>
    </w:p>
    <w:p>
      <w:pPr>
        <w:spacing w:after="0" w:line="171" w:lineRule="exact"/>
        <w:rPr>
          <w:sz w:val="20"/>
          <w:szCs w:val="20"/>
          <w:color w:val="auto"/>
        </w:rPr>
      </w:pPr>
    </w:p>
    <w:p>
      <w:pPr>
        <w:ind w:left="200" w:right="40"/>
        <w:spacing w:after="0" w:line="245" w:lineRule="auto"/>
        <w:rPr>
          <w:sz w:val="20"/>
          <w:szCs w:val="20"/>
          <w:color w:val="auto"/>
        </w:rPr>
      </w:pPr>
      <w:r>
        <w:rPr>
          <w:rFonts w:ascii="Arial" w:cs="Arial" w:eastAsia="Arial" w:hAnsi="Arial"/>
          <w:sz w:val="18"/>
          <w:szCs w:val="18"/>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compensation</w:t>
      </w:r>
    </w:p>
    <w:p>
      <w:pPr>
        <w:spacing w:after="0" w:line="220" w:lineRule="exact"/>
        <w:rPr>
          <w:sz w:val="20"/>
          <w:szCs w:val="20"/>
          <w:color w:val="auto"/>
        </w:rPr>
      </w:pPr>
    </w:p>
    <w:p>
      <w:pPr>
        <w:ind w:left="200" w:right="40"/>
        <w:spacing w:after="0" w:line="245" w:lineRule="auto"/>
        <w:rPr>
          <w:sz w:val="20"/>
          <w:szCs w:val="20"/>
          <w:color w:val="auto"/>
        </w:rPr>
      </w:pPr>
      <w:r>
        <w:rPr>
          <w:rFonts w:ascii="Arial" w:cs="Arial" w:eastAsia="Arial" w:hAnsi="Arial"/>
          <w:sz w:val="18"/>
          <w:szCs w:val="18"/>
          <w:color w:val="auto"/>
        </w:rPr>
        <w:t>The GSR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349"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15</w:t>
            </w:r>
          </w:p>
        </w:tc>
      </w:tr>
    </w:tbl>
    <w:p>
      <w:pPr>
        <w:sectPr>
          <w:pgSz w:w="11900" w:h="16838" w:orient="portrait"/>
          <w:cols w:equalWidth="0" w:num="1">
            <w:col w:w="11220"/>
          </w:cols>
          <w:pgMar w:left="24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arrangements in 2018 for the non-employee directors were:</w:t>
      </w:r>
    </w:p>
    <w:p>
      <w:pPr>
        <w:spacing w:after="0" w:line="239" w:lineRule="exact"/>
        <w:rPr>
          <w:sz w:val="20"/>
          <w:szCs w:val="20"/>
          <w:color w:val="auto"/>
        </w:rPr>
      </w:pPr>
    </w:p>
    <w:p>
      <w:pPr>
        <w:ind w:left="960" w:hanging="54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retainer of $85,000 for board and committee service.</w:t>
      </w:r>
    </w:p>
    <w:p>
      <w:pPr>
        <w:spacing w:after="0" w:line="17"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annual retainer of $25,000 for service as the lead director.</w:t>
      </w:r>
    </w:p>
    <w:p>
      <w:pPr>
        <w:ind w:left="960" w:right="1060" w:hanging="540"/>
        <w:spacing w:after="0" w:line="234"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annual retainer of $30,000 for service as chair of the Audit Committee; $20,000 for service as chair of the Compensation Committee; and $15,000 for service as chair of the GSR Committee.</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grant of a 10-year option to purchase TI common stock pursuant to the terms of the Texas Instruments 2009 Director Compensation Plan (Director Plan), which was approved by stockholders in April 2009. The grant date value is $100,000,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7" w:lineRule="exact"/>
        <w:rPr>
          <w:rFonts w:ascii="Arial" w:cs="Arial" w:eastAsia="Arial" w:hAnsi="Arial"/>
          <w:sz w:val="18"/>
          <w:szCs w:val="18"/>
          <w:color w:val="auto"/>
        </w:rPr>
      </w:pPr>
    </w:p>
    <w:p>
      <w:pPr>
        <w:ind w:left="960" w:right="20" w:hanging="540"/>
        <w:spacing w:after="0" w:line="234"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6"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$1,000 per day compensation for other activities designated by the chairman.</w:t>
      </w:r>
    </w:p>
    <w:p>
      <w:pPr>
        <w:ind w:left="960" w:hanging="540"/>
        <w:spacing w:after="0" w:line="234"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one-time grant of 2,000 restricted stock units upon a director’s initial election to the board.</w:t>
      </w:r>
    </w:p>
    <w:p>
      <w:pPr>
        <w:ind w:left="960" w:hanging="54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one-time payment of $5,000 for service on a special committee.</w:t>
      </w:r>
    </w:p>
    <w:p>
      <w:pPr>
        <w:spacing w:after="0" w:line="19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The board has determined that annual grants of equity compensation to non-employee directors will be timed to occur in January when grants are made to our U.S. employees in connection with the annual compensation review process. See “Process for equity grants” for a discussion regarding the timing of equity compensation grants.</w:t>
      </w:r>
    </w:p>
    <w:p>
      <w:pPr>
        <w:spacing w:after="0" w:line="164" w:lineRule="exact"/>
        <w:rPr>
          <w:sz w:val="20"/>
          <w:szCs w:val="20"/>
          <w:color w:val="auto"/>
        </w:rPr>
      </w:pPr>
    </w:p>
    <w:p>
      <w:pPr>
        <w:ind w:left="200" w:right="340"/>
        <w:spacing w:after="0" w:line="255" w:lineRule="auto"/>
        <w:rPr>
          <w:sz w:val="20"/>
          <w:szCs w:val="20"/>
          <w:color w:val="auto"/>
        </w:rPr>
      </w:pPr>
      <w:r>
        <w:rPr>
          <w:rFonts w:ascii="Arial" w:cs="Arial" w:eastAsia="Arial" w:hAnsi="Arial"/>
          <w:sz w:val="18"/>
          <w:szCs w:val="18"/>
          <w:color w:val="auto"/>
        </w:rPr>
        <w:t>Directors are not paid a fee for meeting attendance, but we reimburse non-employee directors for their travel, lodging and related expenses incurred in connection with attending board, committee and stockholders meetings and other designated events. In addition, non-employee directors may travel on company aircraft to and from these meetings and other designated events.</w:t>
      </w:r>
    </w:p>
    <w:p>
      <w:pPr>
        <w:spacing w:after="0" w:line="164" w:lineRule="exact"/>
        <w:rPr>
          <w:sz w:val="20"/>
          <w:szCs w:val="20"/>
          <w:color w:val="auto"/>
        </w:rPr>
      </w:pPr>
    </w:p>
    <w:p>
      <w:pPr>
        <w:jc w:val="both"/>
        <w:ind w:left="200" w:right="180"/>
        <w:spacing w:after="0" w:line="245" w:lineRule="auto"/>
        <w:rPr>
          <w:sz w:val="20"/>
          <w:szCs w:val="20"/>
          <w:color w:val="auto"/>
        </w:rPr>
      </w:pPr>
      <w:r>
        <w:rPr>
          <w:rFonts w:ascii="Arial" w:cs="Arial" w:eastAsia="Arial" w:hAnsi="Arial"/>
          <w:sz w:val="18"/>
          <w:szCs w:val="18"/>
          <w:color w:val="auto"/>
        </w:rPr>
        <w:t>Under the Director Plan, some directors have chosen to defer all or part of their cash compensation until they leave the board (or certain other specified times). These deferred amounts are credited to either a cash account or stock unit account. Cash accounts earn interest from TI at a rate currently based on Moody’s Seasoned Aaa Corporate Bonds. For 2018, that rate was 3.62 percent.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172" w:lineRule="exact"/>
        <w:rPr>
          <w:sz w:val="20"/>
          <w:szCs w:val="20"/>
          <w:color w:val="auto"/>
        </w:rPr>
      </w:pPr>
    </w:p>
    <w:p>
      <w:pPr>
        <w:ind w:left="200" w:right="280"/>
        <w:spacing w:after="0" w:line="255" w:lineRule="auto"/>
        <w:rPr>
          <w:sz w:val="20"/>
          <w:szCs w:val="20"/>
          <w:color w:val="auto"/>
        </w:rPr>
      </w:pPr>
      <w:r>
        <w:rPr>
          <w:rFonts w:ascii="Arial" w:cs="Arial" w:eastAsia="Arial" w:hAnsi="Arial"/>
          <w:sz w:val="18"/>
          <w:szCs w:val="18"/>
          <w:color w:val="auto"/>
        </w:rPr>
        <w:t>We have arrangements with certain customers whereby our employees may purchase consumer products containing TI components at discounted pricing. In addition, the TI Foundation has an educational and cultural matching gift program. In both cases, directors are entitled to participate on the same terms and conditions available to employees.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145"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2018 director compensation</w:t>
      </w:r>
    </w:p>
    <w:p>
      <w:pPr>
        <w:spacing w:after="0" w:line="211" w:lineRule="exact"/>
        <w:rPr>
          <w:sz w:val="20"/>
          <w:szCs w:val="20"/>
          <w:color w:val="auto"/>
        </w:rPr>
      </w:pPr>
    </w:p>
    <w:p>
      <w:pPr>
        <w:ind w:left="200" w:right="180"/>
        <w:spacing w:after="0" w:line="276" w:lineRule="auto"/>
        <w:rPr>
          <w:sz w:val="20"/>
          <w:szCs w:val="20"/>
          <w:color w:val="auto"/>
        </w:rPr>
      </w:pPr>
      <w:r>
        <w:rPr>
          <w:rFonts w:ascii="Arial" w:cs="Arial" w:eastAsia="Arial" w:hAnsi="Arial"/>
          <w:sz w:val="18"/>
          <w:szCs w:val="18"/>
          <w:color w:val="auto"/>
        </w:rPr>
        <w:t>The following table shows the compensation of all persons who were non-employee members of the board during 2018 for services in all capacities to TI in 2018.</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gridSpan w:val="2"/>
          </w:tcPr>
          <w:p>
            <w:pPr>
              <w:ind w:left="540"/>
              <w:spacing w:after="0"/>
              <w:rPr>
                <w:sz w:val="20"/>
                <w:szCs w:val="20"/>
                <w:color w:val="auto"/>
              </w:rPr>
            </w:pPr>
            <w:r>
              <w:rPr>
                <w:rFonts w:ascii="Arial" w:cs="Arial" w:eastAsia="Arial" w:hAnsi="Arial"/>
                <w:sz w:val="14"/>
                <w:szCs w:val="14"/>
                <w:b w:val="1"/>
                <w:bCs w:val="1"/>
                <w:color w:val="auto"/>
              </w:rPr>
              <w:t>Fees Earned</w:t>
            </w:r>
          </w:p>
        </w:tc>
        <w:tc>
          <w:tcPr>
            <w:tcW w:w="320" w:type="dxa"/>
            <w:vAlign w:val="bottom"/>
          </w:tcPr>
          <w:p>
            <w:pPr>
              <w:spacing w:after="0"/>
              <w:rPr>
                <w:sz w:val="14"/>
                <w:szCs w:val="14"/>
                <w:color w:val="auto"/>
              </w:rPr>
            </w:pPr>
          </w:p>
        </w:tc>
        <w:tc>
          <w:tcPr>
            <w:tcW w:w="920" w:type="dxa"/>
            <w:vAlign w:val="bottom"/>
          </w:tcPr>
          <w:p>
            <w:pPr>
              <w:jc w:val="center"/>
              <w:ind w:right="234"/>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4"/>
                <w:szCs w:val="14"/>
                <w:color w:val="auto"/>
              </w:rPr>
            </w:pPr>
          </w:p>
        </w:tc>
        <w:tc>
          <w:tcPr>
            <w:tcW w:w="840" w:type="dxa"/>
            <w:vAlign w:val="bottom"/>
          </w:tcPr>
          <w:p>
            <w:pPr>
              <w:jc w:val="center"/>
              <w:ind w:right="214"/>
              <w:spacing w:after="0"/>
              <w:rPr>
                <w:sz w:val="20"/>
                <w:szCs w:val="20"/>
                <w:color w:val="auto"/>
              </w:rPr>
            </w:pPr>
            <w:r>
              <w:rPr>
                <w:rFonts w:ascii="Arial" w:cs="Arial" w:eastAsia="Arial" w:hAnsi="Arial"/>
                <w:sz w:val="14"/>
                <w:szCs w:val="14"/>
                <w:b w:val="1"/>
                <w:bCs w:val="1"/>
                <w:color w:val="auto"/>
              </w:rPr>
              <w:t>Option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34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or Paid in</w:t>
            </w:r>
          </w:p>
        </w:tc>
        <w:tc>
          <w:tcPr>
            <w:tcW w:w="320" w:type="dxa"/>
            <w:vAlign w:val="bottom"/>
          </w:tcPr>
          <w:p>
            <w:pPr>
              <w:spacing w:after="0"/>
              <w:rPr>
                <w:sz w:val="14"/>
                <w:szCs w:val="14"/>
                <w:color w:val="auto"/>
              </w:rPr>
            </w:pPr>
          </w:p>
        </w:tc>
        <w:tc>
          <w:tcPr>
            <w:tcW w:w="920" w:type="dxa"/>
            <w:vAlign w:val="bottom"/>
          </w:tcPr>
          <w:p>
            <w:pPr>
              <w:jc w:val="center"/>
              <w:ind w:right="234"/>
              <w:spacing w:after="0"/>
              <w:rPr>
                <w:sz w:val="20"/>
                <w:szCs w:val="20"/>
                <w:color w:val="auto"/>
              </w:rPr>
            </w:pPr>
            <w:r>
              <w:rPr>
                <w:rFonts w:ascii="Arial" w:cs="Arial" w:eastAsia="Arial" w:hAnsi="Arial"/>
                <w:sz w:val="14"/>
                <w:szCs w:val="14"/>
                <w:b w:val="1"/>
                <w:bCs w:val="1"/>
                <w:color w:val="auto"/>
              </w:rPr>
              <w:t>Awards</w:t>
            </w:r>
          </w:p>
        </w:tc>
        <w:tc>
          <w:tcPr>
            <w:tcW w:w="300" w:type="dxa"/>
            <w:vAlign w:val="bottom"/>
          </w:tcPr>
          <w:p>
            <w:pPr>
              <w:spacing w:after="0"/>
              <w:rPr>
                <w:sz w:val="14"/>
                <w:szCs w:val="14"/>
                <w:color w:val="auto"/>
              </w:rPr>
            </w:pPr>
          </w:p>
        </w:tc>
        <w:tc>
          <w:tcPr>
            <w:tcW w:w="840" w:type="dxa"/>
            <w:vAlign w:val="bottom"/>
          </w:tcPr>
          <w:p>
            <w:pPr>
              <w:jc w:val="center"/>
              <w:ind w:right="234"/>
              <w:spacing w:after="0"/>
              <w:rPr>
                <w:sz w:val="20"/>
                <w:szCs w:val="20"/>
                <w:color w:val="auto"/>
              </w:rPr>
            </w:pPr>
            <w:r>
              <w:rPr>
                <w:rFonts w:ascii="Arial" w:cs="Arial" w:eastAsia="Arial" w:hAnsi="Arial"/>
                <w:sz w:val="14"/>
                <w:szCs w:val="14"/>
                <w:b w:val="1"/>
                <w:bCs w:val="1"/>
                <w:color w:val="auto"/>
              </w:rPr>
              <w:t>Awards</w:t>
            </w:r>
          </w:p>
        </w:tc>
        <w:tc>
          <w:tcPr>
            <w:tcW w:w="1380" w:type="dxa"/>
            <w:vAlign w:val="bottom"/>
          </w:tcPr>
          <w:p>
            <w:pPr>
              <w:jc w:val="right"/>
              <w:ind w:right="114"/>
              <w:spacing w:after="0"/>
              <w:rPr>
                <w:sz w:val="20"/>
                <w:szCs w:val="20"/>
                <w:color w:val="auto"/>
              </w:rPr>
            </w:pPr>
            <w:r>
              <w:rPr>
                <w:rFonts w:ascii="Arial" w:cs="Arial" w:eastAsia="Arial" w:hAnsi="Arial"/>
                <w:sz w:val="14"/>
                <w:szCs w:val="14"/>
                <w:b w:val="1"/>
                <w:bCs w:val="1"/>
                <w:color w:val="auto"/>
              </w:rPr>
              <w:t>Compensation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Name (1)</w:t>
            </w:r>
          </w:p>
        </w:tc>
        <w:tc>
          <w:tcPr>
            <w:tcW w:w="1580" w:type="dxa"/>
            <w:vAlign w:val="bottom"/>
            <w:gridSpan w:val="2"/>
          </w:tcPr>
          <w:p>
            <w:pPr>
              <w:ind w:left="580"/>
              <w:spacing w:after="0"/>
              <w:rPr>
                <w:sz w:val="20"/>
                <w:szCs w:val="20"/>
                <w:color w:val="auto"/>
              </w:rPr>
            </w:pPr>
            <w:r>
              <w:rPr>
                <w:rFonts w:ascii="Arial" w:cs="Arial" w:eastAsia="Arial" w:hAnsi="Arial"/>
                <w:sz w:val="14"/>
                <w:szCs w:val="14"/>
                <w:b w:val="1"/>
                <w:bCs w:val="1"/>
                <w:color w:val="auto"/>
              </w:rPr>
              <w:t>Cash ($) (2)</w:t>
            </w:r>
          </w:p>
        </w:tc>
        <w:tc>
          <w:tcPr>
            <w:tcW w:w="320" w:type="dxa"/>
            <w:vAlign w:val="bottom"/>
          </w:tcPr>
          <w:p>
            <w:pPr>
              <w:spacing w:after="0"/>
              <w:rPr>
                <w:sz w:val="16"/>
                <w:szCs w:val="16"/>
                <w:color w:val="auto"/>
              </w:rPr>
            </w:pPr>
          </w:p>
        </w:tc>
        <w:tc>
          <w:tcPr>
            <w:tcW w:w="920" w:type="dxa"/>
            <w:vAlign w:val="bottom"/>
          </w:tcPr>
          <w:p>
            <w:pPr>
              <w:jc w:val="center"/>
              <w:ind w:right="234"/>
              <w:spacing w:after="0"/>
              <w:rPr>
                <w:sz w:val="20"/>
                <w:szCs w:val="20"/>
                <w:color w:val="auto"/>
              </w:rPr>
            </w:pPr>
            <w:r>
              <w:rPr>
                <w:rFonts w:ascii="Arial" w:cs="Arial" w:eastAsia="Arial" w:hAnsi="Arial"/>
                <w:sz w:val="14"/>
                <w:szCs w:val="14"/>
                <w:b w:val="1"/>
                <w:bCs w:val="1"/>
                <w:color w:val="auto"/>
              </w:rPr>
              <w:t>($) (3)</w:t>
            </w:r>
          </w:p>
        </w:tc>
        <w:tc>
          <w:tcPr>
            <w:tcW w:w="300" w:type="dxa"/>
            <w:vAlign w:val="bottom"/>
          </w:tcPr>
          <w:p>
            <w:pPr>
              <w:spacing w:after="0"/>
              <w:rPr>
                <w:sz w:val="16"/>
                <w:szCs w:val="16"/>
                <w:color w:val="auto"/>
              </w:rPr>
            </w:pPr>
          </w:p>
        </w:tc>
        <w:tc>
          <w:tcPr>
            <w:tcW w:w="840" w:type="dxa"/>
            <w:vAlign w:val="bottom"/>
          </w:tcPr>
          <w:p>
            <w:pPr>
              <w:jc w:val="center"/>
              <w:ind w:right="234"/>
              <w:spacing w:after="0"/>
              <w:rPr>
                <w:sz w:val="20"/>
                <w:szCs w:val="20"/>
                <w:color w:val="auto"/>
              </w:rPr>
            </w:pPr>
            <w:r>
              <w:rPr>
                <w:rFonts w:ascii="Arial" w:cs="Arial" w:eastAsia="Arial" w:hAnsi="Arial"/>
                <w:sz w:val="14"/>
                <w:szCs w:val="14"/>
                <w:b w:val="1"/>
                <w:bCs w:val="1"/>
                <w:color w:val="auto"/>
              </w:rPr>
              <w:t>($) (4)</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Earnings (5)</w:t>
            </w:r>
          </w:p>
        </w:tc>
        <w:tc>
          <w:tcPr>
            <w:tcW w:w="340" w:type="dxa"/>
            <w:vAlign w:val="bottom"/>
          </w:tcPr>
          <w:p>
            <w:pPr>
              <w:spacing w:after="0"/>
              <w:rPr>
                <w:sz w:val="16"/>
                <w:szCs w:val="16"/>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 (6)</w:t>
            </w:r>
          </w:p>
        </w:tc>
        <w:tc>
          <w:tcPr>
            <w:tcW w:w="320" w:type="dxa"/>
            <w:vAlign w:val="bottom"/>
          </w:tcPr>
          <w:p>
            <w:pPr>
              <w:spacing w:after="0"/>
              <w:rPr>
                <w:sz w:val="16"/>
                <w:szCs w:val="16"/>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b w:val="1"/>
                <w:bCs w:val="1"/>
                <w:color w:val="auto"/>
              </w:rPr>
              <w:t>Total ($)</w:t>
            </w:r>
          </w:p>
        </w:tc>
      </w:tr>
      <w:tr>
        <w:trPr>
          <w:trHeight w:val="196"/>
        </w:trPr>
        <w:tc>
          <w:tcPr>
            <w:tcW w:w="20" w:type="dxa"/>
            <w:vAlign w:val="bottom"/>
          </w:tcPr>
          <w:p>
            <w:pPr>
              <w:spacing w:after="0"/>
              <w:rPr>
                <w:sz w:val="17"/>
                <w:szCs w:val="17"/>
                <w:color w:val="auto"/>
              </w:rPr>
            </w:pPr>
          </w:p>
        </w:tc>
        <w:tc>
          <w:tcPr>
            <w:tcW w:w="182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R. W. Babb, Jr.</w:t>
            </w:r>
          </w:p>
        </w:tc>
        <w:tc>
          <w:tcPr>
            <w:tcW w:w="640" w:type="dxa"/>
            <w:vAlign w:val="bottom"/>
            <w:tcBorders>
              <w:top w:val="single" w:sz="8" w:color="auto"/>
            </w:tcBorders>
            <w:shd w:val="clear" w:color="auto" w:fill="E5E5E5"/>
          </w:tcPr>
          <w:p>
            <w:pPr>
              <w:ind w:left="54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E5E5"/>
          </w:tcPr>
          <w:p>
            <w:pPr>
              <w:jc w:val="right"/>
              <w:ind w:right="91"/>
              <w:spacing w:after="0" w:line="196" w:lineRule="exact"/>
              <w:rPr>
                <w:sz w:val="20"/>
                <w:szCs w:val="20"/>
                <w:color w:val="auto"/>
              </w:rPr>
            </w:pPr>
            <w:r>
              <w:rPr>
                <w:rFonts w:ascii="Arial" w:cs="Arial" w:eastAsia="Arial" w:hAnsi="Arial"/>
                <w:sz w:val="18"/>
                <w:szCs w:val="18"/>
                <w:color w:val="auto"/>
              </w:rPr>
              <w:t>85,000</w:t>
            </w:r>
          </w:p>
        </w:tc>
        <w:tc>
          <w:tcPr>
            <w:tcW w:w="32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94"/>
              <w:spacing w:after="0" w:line="196" w:lineRule="exact"/>
              <w:rPr>
                <w:sz w:val="20"/>
                <w:szCs w:val="20"/>
                <w:color w:val="auto"/>
              </w:rPr>
            </w:pPr>
            <w:r>
              <w:rPr>
                <w:rFonts w:ascii="Arial" w:cs="Arial" w:eastAsia="Arial" w:hAnsi="Arial"/>
                <w:sz w:val="18"/>
                <w:szCs w:val="18"/>
                <w:color w:val="auto"/>
              </w:rPr>
              <w:t>99,906</w:t>
            </w:r>
          </w:p>
        </w:tc>
        <w:tc>
          <w:tcPr>
            <w:tcW w:w="30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114"/>
              <w:spacing w:after="0" w:line="196" w:lineRule="exact"/>
              <w:rPr>
                <w:sz w:val="20"/>
                <w:szCs w:val="20"/>
                <w:color w:val="auto"/>
              </w:rPr>
            </w:pPr>
            <w:r>
              <w:rPr>
                <w:rFonts w:ascii="Arial" w:cs="Arial" w:eastAsia="Arial" w:hAnsi="Arial"/>
                <w:sz w:val="18"/>
                <w:szCs w:val="18"/>
                <w:color w:val="auto"/>
              </w:rPr>
              <w:t>99,984</w:t>
            </w:r>
          </w:p>
        </w:tc>
        <w:tc>
          <w:tcPr>
            <w:tcW w:w="1380" w:type="dxa"/>
            <w:vAlign w:val="bottom"/>
            <w:tcBorders>
              <w:top w:val="single" w:sz="8" w:color="auto"/>
            </w:tcBorders>
            <w:shd w:val="clear" w:color="auto" w:fill="E5E5E5"/>
          </w:tcPr>
          <w:p>
            <w:pPr>
              <w:jc w:val="right"/>
              <w:ind w:right="114"/>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E5E5E5"/>
          </w:tcPr>
          <w:p>
            <w:pPr>
              <w:jc w:val="right"/>
              <w:ind w:right="97"/>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E5E5E5"/>
          </w:tcPr>
          <w:p>
            <w:pPr>
              <w:ind w:left="18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E5E5E5"/>
          </w:tcPr>
          <w:p>
            <w:pPr>
              <w:jc w:val="right"/>
              <w:ind w:right="93"/>
              <w:spacing w:after="0" w:line="196" w:lineRule="exact"/>
              <w:rPr>
                <w:sz w:val="20"/>
                <w:szCs w:val="20"/>
                <w:color w:val="auto"/>
              </w:rPr>
            </w:pPr>
            <w:r>
              <w:rPr>
                <w:rFonts w:ascii="Arial" w:cs="Arial" w:eastAsia="Arial" w:hAnsi="Arial"/>
                <w:sz w:val="18"/>
                <w:szCs w:val="18"/>
                <w:color w:val="auto"/>
              </w:rPr>
              <w:t>30,040</w:t>
            </w:r>
          </w:p>
        </w:tc>
        <w:tc>
          <w:tcPr>
            <w:tcW w:w="32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314,930</w:t>
            </w:r>
          </w:p>
        </w:tc>
      </w:tr>
      <w:tr>
        <w:trPr>
          <w:trHeight w:val="203"/>
        </w:trPr>
        <w:tc>
          <w:tcPr>
            <w:tcW w:w="20" w:type="dxa"/>
            <w:vAlign w:val="bottom"/>
          </w:tcPr>
          <w:p>
            <w:pPr>
              <w:spacing w:after="0"/>
              <w:rPr>
                <w:sz w:val="17"/>
                <w:szCs w:val="17"/>
                <w:color w:val="auto"/>
              </w:rPr>
            </w:pPr>
          </w:p>
        </w:tc>
        <w:tc>
          <w:tcPr>
            <w:tcW w:w="182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640" w:type="dxa"/>
            <w:vAlign w:val="bottom"/>
          </w:tcPr>
          <w:p>
            <w:pPr>
              <w:ind w:left="5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136,667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99,906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336,597</w:t>
            </w:r>
          </w:p>
        </w:tc>
      </w:tr>
      <w:tr>
        <w:trPr>
          <w:trHeight w:val="203"/>
        </w:trPr>
        <w:tc>
          <w:tcPr>
            <w:tcW w:w="20" w:type="dxa"/>
            <w:vAlign w:val="bottom"/>
          </w:tcPr>
          <w:p>
            <w:pPr>
              <w:spacing w:after="0"/>
              <w:rPr>
                <w:sz w:val="17"/>
                <w:szCs w:val="17"/>
                <w:color w:val="auto"/>
              </w:rPr>
            </w:pPr>
          </w:p>
        </w:tc>
        <w:tc>
          <w:tcPr>
            <w:tcW w:w="1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 M. Bluedorn</w:t>
            </w:r>
          </w:p>
        </w:tc>
        <w:tc>
          <w:tcPr>
            <w:tcW w:w="640" w:type="dxa"/>
            <w:vAlign w:val="bottom"/>
            <w:shd w:val="clear" w:color="auto" w:fill="E5E5E5"/>
          </w:tcPr>
          <w:p>
            <w:pPr>
              <w:ind w:left="5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91"/>
              <w:spacing w:after="0" w:line="202" w:lineRule="exact"/>
              <w:rPr>
                <w:sz w:val="20"/>
                <w:szCs w:val="20"/>
                <w:color w:val="auto"/>
              </w:rPr>
            </w:pPr>
            <w:r>
              <w:rPr>
                <w:rFonts w:ascii="Arial" w:cs="Arial" w:eastAsia="Arial" w:hAnsi="Arial"/>
                <w:sz w:val="18"/>
                <w:szCs w:val="18"/>
                <w:color w:val="auto"/>
              </w:rPr>
              <w:t>85,000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99,906</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284,930</w:t>
            </w:r>
          </w:p>
        </w:tc>
      </w:tr>
      <w:tr>
        <w:trPr>
          <w:trHeight w:val="203"/>
        </w:trPr>
        <w:tc>
          <w:tcPr>
            <w:tcW w:w="20" w:type="dxa"/>
            <w:vAlign w:val="bottom"/>
          </w:tcPr>
          <w:p>
            <w:pPr>
              <w:spacing w:after="0"/>
              <w:rPr>
                <w:sz w:val="17"/>
                <w:szCs w:val="17"/>
                <w:color w:val="auto"/>
              </w:rPr>
            </w:pPr>
          </w:p>
        </w:tc>
        <w:tc>
          <w:tcPr>
            <w:tcW w:w="1820" w:type="dxa"/>
            <w:vAlign w:val="bottom"/>
          </w:tcPr>
          <w:p>
            <w:pPr>
              <w:spacing w:after="0" w:line="202" w:lineRule="exact"/>
              <w:rPr>
                <w:sz w:val="20"/>
                <w:szCs w:val="20"/>
                <w:color w:val="auto"/>
              </w:rPr>
            </w:pPr>
            <w:r>
              <w:rPr>
                <w:rFonts w:ascii="Arial" w:cs="Arial" w:eastAsia="Arial" w:hAnsi="Arial"/>
                <w:sz w:val="18"/>
                <w:szCs w:val="18"/>
                <w:color w:val="auto"/>
              </w:rPr>
              <w:t>D. A. Carp</w:t>
            </w:r>
          </w:p>
        </w:tc>
        <w:tc>
          <w:tcPr>
            <w:tcW w:w="640" w:type="dxa"/>
            <w:vAlign w:val="bottom"/>
          </w:tcPr>
          <w:p>
            <w:pPr>
              <w:ind w:left="5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85,000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99,906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915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285,805</w:t>
            </w:r>
          </w:p>
        </w:tc>
      </w:tr>
      <w:tr>
        <w:trPr>
          <w:trHeight w:val="203"/>
        </w:trPr>
        <w:tc>
          <w:tcPr>
            <w:tcW w:w="20" w:type="dxa"/>
            <w:vAlign w:val="bottom"/>
          </w:tcPr>
          <w:p>
            <w:pPr>
              <w:spacing w:after="0"/>
              <w:rPr>
                <w:sz w:val="17"/>
                <w:szCs w:val="17"/>
                <w:color w:val="auto"/>
              </w:rPr>
            </w:pPr>
          </w:p>
        </w:tc>
        <w:tc>
          <w:tcPr>
            <w:tcW w:w="1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 F. Clark</w:t>
            </w:r>
          </w:p>
        </w:tc>
        <w:tc>
          <w:tcPr>
            <w:tcW w:w="640" w:type="dxa"/>
            <w:vAlign w:val="bottom"/>
            <w:shd w:val="clear" w:color="auto" w:fill="E5E5E5"/>
          </w:tcPr>
          <w:p>
            <w:pPr>
              <w:ind w:left="5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91"/>
              <w:spacing w:after="0" w:line="202" w:lineRule="exact"/>
              <w:rPr>
                <w:sz w:val="20"/>
                <w:szCs w:val="20"/>
                <w:color w:val="auto"/>
              </w:rPr>
            </w:pPr>
            <w:r>
              <w:rPr>
                <w:rFonts w:ascii="Arial" w:cs="Arial" w:eastAsia="Arial" w:hAnsi="Arial"/>
                <w:sz w:val="18"/>
                <w:szCs w:val="18"/>
                <w:color w:val="auto"/>
              </w:rPr>
              <w:t>85,000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99,906</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30,040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314,930</w:t>
            </w:r>
          </w:p>
        </w:tc>
      </w:tr>
      <w:tr>
        <w:trPr>
          <w:trHeight w:val="203"/>
        </w:trPr>
        <w:tc>
          <w:tcPr>
            <w:tcW w:w="20" w:type="dxa"/>
            <w:vAlign w:val="bottom"/>
          </w:tcPr>
          <w:p>
            <w:pPr>
              <w:spacing w:after="0"/>
              <w:rPr>
                <w:sz w:val="17"/>
                <w:szCs w:val="17"/>
                <w:color w:val="auto"/>
              </w:rPr>
            </w:pPr>
          </w:p>
        </w:tc>
        <w:tc>
          <w:tcPr>
            <w:tcW w:w="182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640" w:type="dxa"/>
            <w:vAlign w:val="bottom"/>
          </w:tcPr>
          <w:p>
            <w:pPr>
              <w:ind w:left="5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85,000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99,906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$ 2,850</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12,540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300,280</w:t>
            </w:r>
          </w:p>
        </w:tc>
      </w:tr>
      <w:tr>
        <w:trPr>
          <w:trHeight w:val="203"/>
        </w:trPr>
        <w:tc>
          <w:tcPr>
            <w:tcW w:w="20" w:type="dxa"/>
            <w:vAlign w:val="bottom"/>
          </w:tcPr>
          <w:p>
            <w:pPr>
              <w:spacing w:after="0"/>
              <w:rPr>
                <w:sz w:val="17"/>
                <w:szCs w:val="17"/>
                <w:color w:val="auto"/>
              </w:rPr>
            </w:pPr>
          </w:p>
        </w:tc>
        <w:tc>
          <w:tcPr>
            <w:tcW w:w="1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 S. Craighead</w:t>
            </w:r>
          </w:p>
        </w:tc>
        <w:tc>
          <w:tcPr>
            <w:tcW w:w="640" w:type="dxa"/>
            <w:vAlign w:val="bottom"/>
            <w:shd w:val="clear" w:color="auto" w:fill="E5E5E5"/>
          </w:tcPr>
          <w:p>
            <w:pPr>
              <w:ind w:left="5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91"/>
              <w:spacing w:after="0" w:line="202" w:lineRule="exact"/>
              <w:rPr>
                <w:sz w:val="20"/>
                <w:szCs w:val="20"/>
                <w:color w:val="auto"/>
              </w:rPr>
            </w:pPr>
            <w:r>
              <w:rPr>
                <w:rFonts w:ascii="Arial" w:cs="Arial" w:eastAsia="Arial" w:hAnsi="Arial"/>
                <w:sz w:val="18"/>
                <w:szCs w:val="18"/>
                <w:color w:val="auto"/>
              </w:rPr>
              <w:t>42,500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220,500</w:t>
            </w: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2,540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265,540</w:t>
            </w:r>
          </w:p>
        </w:tc>
      </w:tr>
      <w:tr>
        <w:trPr>
          <w:trHeight w:val="203"/>
        </w:trPr>
        <w:tc>
          <w:tcPr>
            <w:tcW w:w="20" w:type="dxa"/>
            <w:vAlign w:val="bottom"/>
          </w:tcPr>
          <w:p>
            <w:pPr>
              <w:spacing w:after="0"/>
              <w:rPr>
                <w:sz w:val="17"/>
                <w:szCs w:val="17"/>
                <w:color w:val="auto"/>
              </w:rPr>
            </w:pPr>
          </w:p>
        </w:tc>
        <w:tc>
          <w:tcPr>
            <w:tcW w:w="182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640" w:type="dxa"/>
            <w:vAlign w:val="bottom"/>
          </w:tcPr>
          <w:p>
            <w:pPr>
              <w:ind w:left="5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85,000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99,906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20,040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304,930</w:t>
            </w:r>
          </w:p>
        </w:tc>
      </w:tr>
      <w:tr>
        <w:trPr>
          <w:trHeight w:val="203"/>
        </w:trPr>
        <w:tc>
          <w:tcPr>
            <w:tcW w:w="20" w:type="dxa"/>
            <w:vAlign w:val="bottom"/>
          </w:tcPr>
          <w:p>
            <w:pPr>
              <w:spacing w:after="0"/>
              <w:rPr>
                <w:sz w:val="17"/>
                <w:szCs w:val="17"/>
                <w:color w:val="auto"/>
              </w:rPr>
            </w:pPr>
          </w:p>
        </w:tc>
        <w:tc>
          <w:tcPr>
            <w:tcW w:w="1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Kirk</w:t>
            </w:r>
          </w:p>
        </w:tc>
        <w:tc>
          <w:tcPr>
            <w:tcW w:w="640" w:type="dxa"/>
            <w:vAlign w:val="bottom"/>
            <w:shd w:val="clear" w:color="auto" w:fill="E5E5E5"/>
          </w:tcPr>
          <w:p>
            <w:pPr>
              <w:ind w:left="5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91"/>
              <w:spacing w:after="0" w:line="202" w:lineRule="exact"/>
              <w:rPr>
                <w:sz w:val="20"/>
                <w:szCs w:val="20"/>
                <w:color w:val="auto"/>
              </w:rPr>
            </w:pPr>
            <w:r>
              <w:rPr>
                <w:rFonts w:ascii="Arial" w:cs="Arial" w:eastAsia="Arial" w:hAnsi="Arial"/>
                <w:sz w:val="18"/>
                <w:szCs w:val="18"/>
                <w:color w:val="auto"/>
              </w:rPr>
              <w:t>100,000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99,906</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4,499</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304,389</w:t>
            </w:r>
          </w:p>
        </w:tc>
      </w:tr>
      <w:tr>
        <w:trPr>
          <w:trHeight w:val="203"/>
        </w:trPr>
        <w:tc>
          <w:tcPr>
            <w:tcW w:w="20" w:type="dxa"/>
            <w:vAlign w:val="bottom"/>
          </w:tcPr>
          <w:p>
            <w:pPr>
              <w:spacing w:after="0"/>
              <w:rPr>
                <w:sz w:val="17"/>
                <w:szCs w:val="17"/>
                <w:color w:val="auto"/>
              </w:rPr>
            </w:pPr>
          </w:p>
        </w:tc>
        <w:tc>
          <w:tcPr>
            <w:tcW w:w="182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640" w:type="dxa"/>
            <w:vAlign w:val="bottom"/>
          </w:tcPr>
          <w:p>
            <w:pPr>
              <w:ind w:left="5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103,333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99,906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27,540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330,763</w:t>
            </w:r>
          </w:p>
        </w:tc>
      </w:tr>
      <w:tr>
        <w:trPr>
          <w:trHeight w:val="203"/>
        </w:trPr>
        <w:tc>
          <w:tcPr>
            <w:tcW w:w="20" w:type="dxa"/>
            <w:vAlign w:val="bottom"/>
          </w:tcPr>
          <w:p>
            <w:pPr>
              <w:spacing w:after="0"/>
              <w:rPr>
                <w:sz w:val="17"/>
                <w:szCs w:val="17"/>
                <w:color w:val="auto"/>
              </w:rPr>
            </w:pPr>
          </w:p>
        </w:tc>
        <w:tc>
          <w:tcPr>
            <w:tcW w:w="1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E. Sanchez</w:t>
            </w:r>
          </w:p>
        </w:tc>
        <w:tc>
          <w:tcPr>
            <w:tcW w:w="640" w:type="dxa"/>
            <w:vAlign w:val="bottom"/>
            <w:shd w:val="clear" w:color="auto" w:fill="E5E5E5"/>
          </w:tcPr>
          <w:p>
            <w:pPr>
              <w:ind w:left="5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91"/>
              <w:spacing w:after="0" w:line="202" w:lineRule="exact"/>
              <w:rPr>
                <w:sz w:val="20"/>
                <w:szCs w:val="20"/>
                <w:color w:val="auto"/>
              </w:rPr>
            </w:pPr>
            <w:r>
              <w:rPr>
                <w:rFonts w:ascii="Arial" w:cs="Arial" w:eastAsia="Arial" w:hAnsi="Arial"/>
                <w:sz w:val="18"/>
                <w:szCs w:val="18"/>
                <w:color w:val="auto"/>
              </w:rPr>
              <w:t>91,667</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99,906</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10,040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301,597</w:t>
            </w:r>
          </w:p>
        </w:tc>
      </w:tr>
      <w:tr>
        <w:trPr>
          <w:trHeight w:val="243"/>
        </w:trPr>
        <w:tc>
          <w:tcPr>
            <w:tcW w:w="20" w:type="dxa"/>
            <w:vAlign w:val="bottom"/>
          </w:tcPr>
          <w:p>
            <w:pPr>
              <w:spacing w:after="0"/>
              <w:rPr>
                <w:sz w:val="21"/>
                <w:szCs w:val="21"/>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W. R. Sanders</w:t>
            </w:r>
          </w:p>
        </w:tc>
        <w:tc>
          <w:tcPr>
            <w:tcW w:w="640" w:type="dxa"/>
            <w:vAlign w:val="bottom"/>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41,668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99,906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99,984</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915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242,473</w:t>
            </w:r>
          </w:p>
        </w:tc>
      </w:tr>
    </w:tbl>
    <w:p>
      <w:pPr>
        <w:spacing w:after="0" w:line="58" w:lineRule="exact"/>
        <w:rPr>
          <w:sz w:val="20"/>
          <w:szCs w:val="20"/>
          <w:color w:val="auto"/>
        </w:rPr>
      </w:pPr>
    </w:p>
    <w:p>
      <w:pPr>
        <w:jc w:val="both"/>
        <w:ind w:left="640" w:right="280" w:hanging="436"/>
        <w:spacing w:after="0" w:line="306"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Mr. Craighead was elected to the board effective July 1, 2018. Mr. Sanders, an independent director, reached the age of 70 by the date of the 2018 annual meeting and therefore was ineligible under the company’s by-laws to stand for re-election at the meeting.</w:t>
      </w:r>
    </w:p>
    <w:p>
      <w:pPr>
        <w:spacing w:after="0" w:line="28" w:lineRule="exact"/>
        <w:rPr>
          <w:rFonts w:ascii="Arial" w:cs="Arial" w:eastAsia="Arial" w:hAnsi="Arial"/>
          <w:sz w:val="17"/>
          <w:szCs w:val="17"/>
          <w:color w:val="auto"/>
        </w:rPr>
      </w:pPr>
    </w:p>
    <w:p>
      <w:pPr>
        <w:ind w:left="640" w:right="740" w:hanging="436"/>
        <w:spacing w:after="0" w:line="27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amounts deferred at the director’s election. The amounts shown for Messrs. Blinn and Kirk and Ms. Patsley include a one-time fee for service on a special committee.</w:t>
      </w:r>
    </w:p>
    <w:p>
      <w:pPr>
        <w:spacing w:after="0" w:line="50" w:lineRule="exact"/>
        <w:rPr>
          <w:rFonts w:ascii="Arial" w:cs="Arial" w:eastAsia="Arial" w:hAnsi="Arial"/>
          <w:sz w:val="18"/>
          <w:szCs w:val="18"/>
          <w:color w:val="auto"/>
        </w:rPr>
      </w:pPr>
    </w:p>
    <w:p>
      <w:pPr>
        <w:ind w:left="640" w:right="6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units granted in 2018 calculated in accordance with Financial Accounting Standards Board Accounting Standards Codification™ Topic 718, Compensation-Stock Compensation (ASC 718). The discussion of the assumptions used for purposes of calculating the grant date fair value appears in Note 3 to the financial statements contained in Item 8 (“Note 3 to the 2018 financial statements”) in TI’s annual report on Form 10-K for the year ended December 31, 2018. 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see the discussion on pages 35-36.</w:t>
      </w:r>
    </w:p>
    <w:p>
      <w:pPr>
        <w:spacing w:after="0" w:line="72" w:lineRule="exact"/>
        <w:rPr>
          <w:rFonts w:ascii="Arial" w:cs="Arial" w:eastAsia="Arial" w:hAnsi="Arial"/>
          <w:sz w:val="18"/>
          <w:szCs w:val="18"/>
          <w:color w:val="auto"/>
        </w:rPr>
      </w:pPr>
    </w:p>
    <w:p>
      <w:pPr>
        <w:jc w:val="both"/>
        <w:ind w:left="640" w:right="180"/>
        <w:spacing w:after="0" w:line="255" w:lineRule="auto"/>
        <w:rPr>
          <w:rFonts w:ascii="Arial" w:cs="Arial" w:eastAsia="Arial" w:hAnsi="Arial"/>
          <w:sz w:val="18"/>
          <w:szCs w:val="18"/>
          <w:color w:val="auto"/>
        </w:rPr>
      </w:pPr>
      <w:r>
        <w:rPr>
          <w:rFonts w:ascii="Arial" w:cs="Arial" w:eastAsia="Arial" w:hAnsi="Arial"/>
          <w:sz w:val="18"/>
          <w:szCs w:val="18"/>
          <w:color w:val="auto"/>
        </w:rPr>
        <w:t>The table below shows the aggregate number of shares underlying outstanding restricted stock units held by the named individuals as of December 31, 2018. The value shown for Mr. Craighead represents the one-time restricted stock unit grant he received upon his initial election to the board.</w:t>
      </w:r>
    </w:p>
    <w:p>
      <w:pPr>
        <w:spacing w:after="0" w:line="199"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82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rPr>
              <w:t>Restricted</w:t>
            </w:r>
          </w:p>
        </w:tc>
      </w:tr>
      <w:tr>
        <w:trPr>
          <w:trHeight w:val="162"/>
        </w:trPr>
        <w:tc>
          <w:tcPr>
            <w:tcW w:w="7320" w:type="dxa"/>
            <w:vAlign w:val="bottom"/>
          </w:tcPr>
          <w:p>
            <w:pPr>
              <w:spacing w:after="0"/>
              <w:rPr>
                <w:sz w:val="14"/>
                <w:szCs w:val="14"/>
                <w:color w:val="auto"/>
              </w:rPr>
            </w:pPr>
          </w:p>
        </w:tc>
        <w:tc>
          <w:tcPr>
            <w:tcW w:w="282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rPr>
              <w:t>Stock Units</w:t>
            </w:r>
          </w:p>
        </w:tc>
      </w:tr>
      <w:tr>
        <w:trPr>
          <w:trHeight w:val="177"/>
        </w:trPr>
        <w:tc>
          <w:tcPr>
            <w:tcW w:w="73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2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732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R. W. Babb, Jr.</w:t>
            </w:r>
          </w:p>
        </w:tc>
        <w:tc>
          <w:tcPr>
            <w:tcW w:w="194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19,203</w:t>
            </w:r>
          </w:p>
        </w:tc>
        <w:tc>
          <w:tcPr>
            <w:tcW w:w="880" w:type="dxa"/>
            <w:vAlign w:val="bottom"/>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10,178</w:t>
            </w:r>
          </w:p>
        </w:tc>
        <w:tc>
          <w:tcPr>
            <w:tcW w:w="880" w:type="dxa"/>
            <w:vAlign w:val="bottom"/>
          </w:tcPr>
          <w:p>
            <w:pPr>
              <w:spacing w:after="0"/>
              <w:rPr>
                <w:sz w:val="17"/>
                <w:szCs w:val="17"/>
                <w:color w:val="auto"/>
              </w:rPr>
            </w:pP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 M. Bluedorn</w:t>
            </w:r>
          </w:p>
        </w:tc>
        <w:tc>
          <w:tcPr>
            <w:tcW w:w="1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2,907</w:t>
            </w:r>
          </w:p>
        </w:tc>
        <w:tc>
          <w:tcPr>
            <w:tcW w:w="880" w:type="dxa"/>
            <w:vAlign w:val="bottom"/>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D. A. Carp</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35,867</w:t>
            </w:r>
          </w:p>
        </w:tc>
        <w:tc>
          <w:tcPr>
            <w:tcW w:w="880" w:type="dxa"/>
            <w:vAlign w:val="bottom"/>
          </w:tcPr>
          <w:p>
            <w:pPr>
              <w:spacing w:after="0"/>
              <w:rPr>
                <w:sz w:val="17"/>
                <w:szCs w:val="17"/>
                <w:color w:val="auto"/>
              </w:rPr>
            </w:pP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 F. Clark</w:t>
            </w:r>
          </w:p>
        </w:tc>
        <w:tc>
          <w:tcPr>
            <w:tcW w:w="1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6,057</w:t>
            </w:r>
          </w:p>
        </w:tc>
        <w:tc>
          <w:tcPr>
            <w:tcW w:w="880" w:type="dxa"/>
            <w:vAlign w:val="bottom"/>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29,203</w:t>
            </w:r>
          </w:p>
        </w:tc>
        <w:tc>
          <w:tcPr>
            <w:tcW w:w="880" w:type="dxa"/>
            <w:vAlign w:val="bottom"/>
          </w:tcPr>
          <w:p>
            <w:pPr>
              <w:spacing w:after="0"/>
              <w:rPr>
                <w:sz w:val="17"/>
                <w:szCs w:val="17"/>
                <w:color w:val="auto"/>
              </w:rPr>
            </w:pP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 S. Craighead</w:t>
            </w:r>
          </w:p>
        </w:tc>
        <w:tc>
          <w:tcPr>
            <w:tcW w:w="1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2,000</w:t>
            </w:r>
          </w:p>
        </w:tc>
        <w:tc>
          <w:tcPr>
            <w:tcW w:w="880" w:type="dxa"/>
            <w:vAlign w:val="bottom"/>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4,168</w:t>
            </w:r>
          </w:p>
        </w:tc>
        <w:tc>
          <w:tcPr>
            <w:tcW w:w="880" w:type="dxa"/>
            <w:vAlign w:val="bottom"/>
          </w:tcPr>
          <w:p>
            <w:pPr>
              <w:spacing w:after="0"/>
              <w:rPr>
                <w:sz w:val="17"/>
                <w:szCs w:val="17"/>
                <w:color w:val="auto"/>
              </w:rPr>
            </w:pP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Kirk</w:t>
            </w:r>
          </w:p>
        </w:tc>
        <w:tc>
          <w:tcPr>
            <w:tcW w:w="1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5,910</w:t>
            </w:r>
          </w:p>
        </w:tc>
        <w:tc>
          <w:tcPr>
            <w:tcW w:w="880" w:type="dxa"/>
            <w:vAlign w:val="bottom"/>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7,910</w:t>
            </w:r>
          </w:p>
        </w:tc>
        <w:tc>
          <w:tcPr>
            <w:tcW w:w="880" w:type="dxa"/>
            <w:vAlign w:val="bottom"/>
          </w:tcPr>
          <w:p>
            <w:pPr>
              <w:spacing w:after="0"/>
              <w:rPr>
                <w:sz w:val="17"/>
                <w:szCs w:val="17"/>
                <w:color w:val="auto"/>
              </w:rPr>
            </w:pP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E. Sanchez</w:t>
            </w:r>
          </w:p>
        </w:tc>
        <w:tc>
          <w:tcPr>
            <w:tcW w:w="1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5,910</w:t>
            </w:r>
          </w:p>
        </w:tc>
        <w:tc>
          <w:tcPr>
            <w:tcW w:w="880" w:type="dxa"/>
            <w:vAlign w:val="bottom"/>
          </w:tcPr>
          <w:p>
            <w:pPr>
              <w:spacing w:after="0"/>
              <w:rPr>
                <w:sz w:val="17"/>
                <w:szCs w:val="17"/>
                <w:color w:val="auto"/>
              </w:rPr>
            </w:pP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W. R. Sanders</w:t>
            </w:r>
          </w:p>
        </w:tc>
        <w:tc>
          <w:tcPr>
            <w:tcW w:w="1940" w:type="dxa"/>
            <w:vAlign w:val="bottom"/>
          </w:tcPr>
          <w:p>
            <w:pPr>
              <w:jc w:val="right"/>
              <w:spacing w:after="0"/>
              <w:rPr>
                <w:sz w:val="20"/>
                <w:szCs w:val="20"/>
                <w:color w:val="auto"/>
              </w:rPr>
            </w:pPr>
            <w:r>
              <w:rPr>
                <w:rFonts w:ascii="Arial" w:cs="Arial" w:eastAsia="Arial" w:hAnsi="Arial"/>
                <w:sz w:val="18"/>
                <w:szCs w:val="18"/>
                <w:color w:val="auto"/>
              </w:rPr>
              <w:t>5,910</w:t>
            </w:r>
          </w:p>
        </w:tc>
        <w:tc>
          <w:tcPr>
            <w:tcW w:w="880" w:type="dxa"/>
            <w:vAlign w:val="bottom"/>
          </w:tcPr>
          <w:p>
            <w:pPr>
              <w:spacing w:after="0"/>
              <w:rPr>
                <w:sz w:val="21"/>
                <w:szCs w:val="21"/>
                <w:color w:val="auto"/>
              </w:rPr>
            </w:pPr>
          </w:p>
        </w:tc>
      </w:tr>
      <w:tr>
        <w:trPr>
          <w:trHeight w:val="256"/>
        </w:trPr>
        <w:tc>
          <w:tcPr>
            <w:tcW w:w="7320" w:type="dxa"/>
            <w:vAlign w:val="bottom"/>
          </w:tcPr>
          <w:p>
            <w:pPr>
              <w:ind w:left="3040"/>
              <w:spacing w:after="0"/>
              <w:rPr>
                <w:sz w:val="20"/>
                <w:szCs w:val="20"/>
                <w:color w:val="auto"/>
              </w:rPr>
            </w:pPr>
            <w:r>
              <w:rPr>
                <w:rFonts w:ascii="Arial" w:cs="Arial" w:eastAsia="Arial" w:hAnsi="Arial"/>
                <w:sz w:val="13"/>
                <w:szCs w:val="13"/>
                <w:color w:val="666666"/>
              </w:rPr>
              <w:t>TEXAS INSTRUMENTS  •  2019 PROXY STATEMENT</w:t>
            </w:r>
          </w:p>
        </w:tc>
        <w:tc>
          <w:tcPr>
            <w:tcW w:w="2820" w:type="dxa"/>
            <w:vAlign w:val="bottom"/>
            <w:gridSpan w:val="2"/>
          </w:tcPr>
          <w:p>
            <w:pPr>
              <w:jc w:val="right"/>
              <w:spacing w:after="0"/>
              <w:rPr>
                <w:sz w:val="20"/>
                <w:szCs w:val="20"/>
                <w:color w:val="auto"/>
              </w:rPr>
            </w:pPr>
            <w:r>
              <w:rPr>
                <w:rFonts w:ascii="Arial" w:cs="Arial" w:eastAsia="Arial" w:hAnsi="Arial"/>
                <w:sz w:val="13"/>
                <w:szCs w:val="13"/>
                <w:color w:val="666666"/>
              </w:rPr>
              <w:t>17</w:t>
            </w:r>
          </w:p>
        </w:tc>
      </w:tr>
    </w:tbl>
    <w:p>
      <w:pPr>
        <w:sectPr>
          <w:pgSz w:w="11900" w:h="16838" w:orient="portrait"/>
          <w:cols w:equalWidth="0" w:num="1">
            <w:col w:w="11240"/>
          </w:cols>
          <w:pgMar w:left="240" w:top="455" w:right="4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640" w:right="200" w:hanging="436"/>
        <w:spacing w:after="0" w:line="248"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granted in 2018 calculated in accordance with ASC 718. The discussion of the assumptions used for purposes of calculating the grant date fair value appears in Note 3 to the 2018 financial statements. The terms of these options are as set forth on page 35. The table below shows the aggregate number of shares underlying outstanding stock options held by the named individuals as of December 31, 2018.</w:t>
      </w:r>
    </w:p>
    <w:p>
      <w:pPr>
        <w:spacing w:after="0" w:line="205"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4380" w:type="dxa"/>
            <w:vAlign w:val="bottom"/>
          </w:tcPr>
          <w:p>
            <w:pPr>
              <w:jc w:val="right"/>
              <w:ind w:right="73"/>
              <w:spacing w:after="0"/>
              <w:rPr>
                <w:sz w:val="20"/>
                <w:szCs w:val="20"/>
                <w:color w:val="auto"/>
              </w:rPr>
            </w:pPr>
            <w:r>
              <w:rPr>
                <w:rFonts w:ascii="Arial" w:cs="Arial" w:eastAsia="Arial" w:hAnsi="Arial"/>
                <w:sz w:val="14"/>
                <w:szCs w:val="14"/>
                <w:b w:val="1"/>
                <w:bCs w:val="1"/>
                <w:color w:val="auto"/>
              </w:rPr>
              <w:t>Options</w:t>
            </w:r>
          </w:p>
        </w:tc>
      </w:tr>
      <w:tr>
        <w:trPr>
          <w:trHeight w:val="191"/>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48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 W. Babb, Jr.</w:t>
            </w:r>
          </w:p>
        </w:tc>
        <w:tc>
          <w:tcPr>
            <w:tcW w:w="43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30,900</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4380" w:type="dxa"/>
            <w:vAlign w:val="bottom"/>
          </w:tcPr>
          <w:p>
            <w:pPr>
              <w:jc w:val="right"/>
              <w:spacing w:after="0" w:line="202" w:lineRule="exact"/>
              <w:rPr>
                <w:sz w:val="20"/>
                <w:szCs w:val="20"/>
                <w:color w:val="auto"/>
              </w:rPr>
            </w:pPr>
            <w:r>
              <w:rPr>
                <w:rFonts w:ascii="Arial" w:cs="Arial" w:eastAsia="Arial" w:hAnsi="Arial"/>
                <w:sz w:val="18"/>
                <w:szCs w:val="18"/>
                <w:color w:val="auto"/>
              </w:rPr>
              <w:t>16,485</w:t>
            </w:r>
          </w:p>
        </w:tc>
      </w:tr>
      <w:tr>
        <w:trPr>
          <w:trHeight w:val="203"/>
        </w:trPr>
        <w:tc>
          <w:tcPr>
            <w:tcW w:w="4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 M. Bluedorn</w:t>
            </w:r>
          </w:p>
        </w:tc>
        <w:tc>
          <w:tcPr>
            <w:tcW w:w="4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4,306</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D. A. Carp</w:t>
            </w:r>
          </w:p>
        </w:tc>
        <w:tc>
          <w:tcPr>
            <w:tcW w:w="4380" w:type="dxa"/>
            <w:vAlign w:val="bottom"/>
          </w:tcPr>
          <w:p>
            <w:pPr>
              <w:jc w:val="right"/>
              <w:spacing w:after="0" w:line="202" w:lineRule="exact"/>
              <w:rPr>
                <w:sz w:val="20"/>
                <w:szCs w:val="20"/>
                <w:color w:val="auto"/>
              </w:rPr>
            </w:pPr>
            <w:r>
              <w:rPr>
                <w:rFonts w:ascii="Arial" w:cs="Arial" w:eastAsia="Arial" w:hAnsi="Arial"/>
                <w:sz w:val="18"/>
                <w:szCs w:val="18"/>
                <w:color w:val="auto"/>
              </w:rPr>
              <w:t>57,948</w:t>
            </w:r>
          </w:p>
        </w:tc>
      </w:tr>
      <w:tr>
        <w:trPr>
          <w:trHeight w:val="203"/>
        </w:trPr>
        <w:tc>
          <w:tcPr>
            <w:tcW w:w="4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 F. Clark</w:t>
            </w:r>
          </w:p>
        </w:tc>
        <w:tc>
          <w:tcPr>
            <w:tcW w:w="4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20,361</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4380" w:type="dxa"/>
            <w:vAlign w:val="bottom"/>
          </w:tcPr>
          <w:p>
            <w:pPr>
              <w:jc w:val="right"/>
              <w:spacing w:after="0" w:line="202" w:lineRule="exact"/>
              <w:rPr>
                <w:sz w:val="20"/>
                <w:szCs w:val="20"/>
                <w:color w:val="auto"/>
              </w:rPr>
            </w:pPr>
            <w:r>
              <w:rPr>
                <w:rFonts w:ascii="Arial" w:cs="Arial" w:eastAsia="Arial" w:hAnsi="Arial"/>
                <w:sz w:val="18"/>
                <w:szCs w:val="18"/>
                <w:color w:val="auto"/>
              </w:rPr>
              <w:t>87,106</w:t>
            </w:r>
          </w:p>
        </w:tc>
      </w:tr>
      <w:tr>
        <w:trPr>
          <w:trHeight w:val="203"/>
        </w:trPr>
        <w:tc>
          <w:tcPr>
            <w:tcW w:w="4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 S. Craighead</w:t>
            </w:r>
          </w:p>
        </w:tc>
        <w:tc>
          <w:tcPr>
            <w:tcW w:w="4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4380" w:type="dxa"/>
            <w:vAlign w:val="bottom"/>
          </w:tcPr>
          <w:p>
            <w:pPr>
              <w:jc w:val="right"/>
              <w:spacing w:after="0" w:line="202" w:lineRule="exact"/>
              <w:rPr>
                <w:sz w:val="20"/>
                <w:szCs w:val="20"/>
                <w:color w:val="auto"/>
              </w:rPr>
            </w:pPr>
            <w:r>
              <w:rPr>
                <w:rFonts w:ascii="Arial" w:cs="Arial" w:eastAsia="Arial" w:hAnsi="Arial"/>
                <w:sz w:val="18"/>
                <w:szCs w:val="18"/>
                <w:color w:val="auto"/>
              </w:rPr>
              <w:t>10,371</w:t>
            </w:r>
          </w:p>
        </w:tc>
      </w:tr>
      <w:tr>
        <w:trPr>
          <w:trHeight w:val="203"/>
        </w:trPr>
        <w:tc>
          <w:tcPr>
            <w:tcW w:w="4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Kirk</w:t>
            </w:r>
          </w:p>
        </w:tc>
        <w:tc>
          <w:tcPr>
            <w:tcW w:w="4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43,199</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4380" w:type="dxa"/>
            <w:vAlign w:val="bottom"/>
          </w:tcPr>
          <w:p>
            <w:pPr>
              <w:jc w:val="right"/>
              <w:spacing w:after="0" w:line="202" w:lineRule="exact"/>
              <w:rPr>
                <w:sz w:val="20"/>
                <w:szCs w:val="20"/>
                <w:color w:val="auto"/>
              </w:rPr>
            </w:pPr>
            <w:r>
              <w:rPr>
                <w:rFonts w:ascii="Arial" w:cs="Arial" w:eastAsia="Arial" w:hAnsi="Arial"/>
                <w:sz w:val="18"/>
                <w:szCs w:val="18"/>
                <w:color w:val="auto"/>
              </w:rPr>
              <w:t>87,106</w:t>
            </w:r>
          </w:p>
        </w:tc>
      </w:tr>
      <w:tr>
        <w:trPr>
          <w:trHeight w:val="203"/>
        </w:trPr>
        <w:tc>
          <w:tcPr>
            <w:tcW w:w="4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E. Sanchez</w:t>
            </w:r>
          </w:p>
        </w:tc>
        <w:tc>
          <w:tcPr>
            <w:tcW w:w="4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43,199</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W. R. Sanders</w:t>
            </w:r>
          </w:p>
        </w:tc>
        <w:tc>
          <w:tcPr>
            <w:tcW w:w="4380" w:type="dxa"/>
            <w:vAlign w:val="bottom"/>
          </w:tcPr>
          <w:p>
            <w:pPr>
              <w:jc w:val="right"/>
              <w:spacing w:after="0"/>
              <w:rPr>
                <w:sz w:val="20"/>
                <w:szCs w:val="20"/>
                <w:color w:val="auto"/>
              </w:rPr>
            </w:pPr>
            <w:r>
              <w:rPr>
                <w:rFonts w:ascii="Arial" w:cs="Arial" w:eastAsia="Arial" w:hAnsi="Arial"/>
                <w:sz w:val="18"/>
                <w:szCs w:val="18"/>
                <w:color w:val="auto"/>
              </w:rPr>
              <w:t>43,199</w:t>
            </w:r>
          </w:p>
        </w:tc>
      </w:tr>
    </w:tbl>
    <w:p>
      <w:pPr>
        <w:spacing w:after="0" w:line="58" w:lineRule="exact"/>
        <w:rPr>
          <w:sz w:val="20"/>
          <w:szCs w:val="20"/>
          <w:color w:val="auto"/>
        </w:rPr>
      </w:pPr>
    </w:p>
    <w:p>
      <w:pPr>
        <w:ind w:left="640" w:right="160" w:hanging="436"/>
        <w:spacing w:after="0" w:line="245"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rules require the disclosure of earnings on deferred compensation to the extent that the interest rate exceeds a specified rate (Federal Rate), which is 120 percent of the applicable federal long-term interest rate with compounding. Under the terms of the Director Plan, deferred compensation cash amounts earn interest at a rate based on Moody’s Seasoned Aaa Corporate Bonds. For 2018, this interest rate exceeded the Federal Rate by 0.54 percentage points. Shown is the amount of interest earned on the directors’ deferred compensation accounts that was in excess of the Federal Rate.</w:t>
      </w:r>
    </w:p>
    <w:p>
      <w:pPr>
        <w:spacing w:after="0" w:line="77" w:lineRule="exact"/>
        <w:rPr>
          <w:rFonts w:ascii="Arial" w:cs="Arial" w:eastAsia="Arial" w:hAnsi="Arial"/>
          <w:sz w:val="18"/>
          <w:szCs w:val="18"/>
          <w:color w:val="auto"/>
        </w:rPr>
      </w:pPr>
    </w:p>
    <w:p>
      <w:pPr>
        <w:ind w:left="640" w:right="60" w:hanging="436"/>
        <w:spacing w:after="0" w:line="239"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(a) the annual cost ($40 per director) of premiums for travel and accident insurance policies, (b) contributions under the TI Foundation matching gift program of $30,000 for Mr. Babb, $30,000 for Ms. Clark, $12,500 for Ms. Cox, $2,500 for Mr. Craighead, $20,000 for Ms. Hobby, $4,459 for Mr. Kirk, $27,500 for Ms. Patsley and $10,000 for Mr. Sanchez and (c) for Messrs. Carp and Sanders, third-party administration fees for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directors who participate. The cost attributable to each of Messrs. Carp and Sanders for their participation in this program was $875.</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compensation</w:t>
      </w:r>
    </w:p>
    <w:p>
      <w:pPr>
        <w:spacing w:after="0" w:line="220" w:lineRule="exact"/>
        <w:rPr>
          <w:sz w:val="20"/>
          <w:szCs w:val="20"/>
          <w:color w:val="auto"/>
        </w:rPr>
      </w:pPr>
    </w:p>
    <w:p>
      <w:pPr>
        <w:ind w:left="200" w:right="340"/>
        <w:spacing w:after="0" w:line="276" w:lineRule="auto"/>
        <w:rPr>
          <w:sz w:val="20"/>
          <w:szCs w:val="20"/>
          <w:color w:val="auto"/>
        </w:rPr>
      </w:pPr>
      <w:r>
        <w:rPr>
          <w:rFonts w:ascii="Arial" w:cs="Arial" w:eastAsia="Arial" w:hAnsi="Arial"/>
          <w:sz w:val="18"/>
          <w:szCs w:val="18"/>
          <w:color w:val="auto"/>
        </w:rPr>
        <w:t>We are providing shareholders the opportunity to cast advisory votes on named executive officer compensation as required by Section 14A of the Securities Exchange Act.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Proposal regarding advisory approval of the company’s executive compensation</w:t>
      </w:r>
    </w:p>
    <w:p>
      <w:pPr>
        <w:spacing w:after="0" w:line="211" w:lineRule="exact"/>
        <w:rPr>
          <w:sz w:val="20"/>
          <w:szCs w:val="20"/>
          <w:color w:val="auto"/>
        </w:rPr>
      </w:pPr>
    </w:p>
    <w:p>
      <w:pPr>
        <w:ind w:left="200" w:right="220"/>
        <w:spacing w:after="0" w:line="276" w:lineRule="auto"/>
        <w:rPr>
          <w:sz w:val="20"/>
          <w:szCs w:val="20"/>
          <w:color w:val="auto"/>
        </w:rPr>
      </w:pPr>
      <w:r>
        <w:rPr>
          <w:rFonts w:ascii="Arial" w:cs="Arial" w:eastAsia="Arial" w:hAnsi="Arial"/>
          <w:sz w:val="18"/>
          <w:szCs w:val="18"/>
          <w:color w:val="auto"/>
        </w:rPr>
        <w:t>The “named executive officers” are each person who served as the chief executive officer during 2018, the chief financial officer and the three other most highly compensated executive officers, as named in the compensation tables on pages 31-43.</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ask shareholders to approve the following resolution:</w:t>
      </w:r>
    </w:p>
    <w:p>
      <w:pPr>
        <w:spacing w:after="0" w:line="212"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19-43 of this proxy statement, is hereby approved.</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encourage shareholders to review the Compensation Discussion and Analysis section of the proxy statement, which follows.</w:t>
      </w:r>
    </w:p>
    <w:p>
      <w:pPr>
        <w:spacing w:after="0" w:line="18" w:lineRule="exact"/>
        <w:rPr>
          <w:sz w:val="20"/>
          <w:szCs w:val="20"/>
          <w:color w:val="auto"/>
        </w:rPr>
      </w:pPr>
    </w:p>
    <w:p>
      <w:pPr>
        <w:jc w:val="both"/>
        <w:ind w:left="200" w:right="20"/>
        <w:spacing w:after="0" w:line="242" w:lineRule="auto"/>
        <w:rPr>
          <w:sz w:val="20"/>
          <w:szCs w:val="20"/>
          <w:color w:val="auto"/>
        </w:rPr>
      </w:pPr>
      <w:r>
        <w:rPr>
          <w:rFonts w:ascii="Arial" w:cs="Arial" w:eastAsia="Arial" w:hAnsi="Arial"/>
          <w:sz w:val="18"/>
          <w:szCs w:val="18"/>
          <w:color w:val="auto"/>
        </w:rPr>
        <w:t>It discusses our executive compensation policies and programs and explains the compensation decisions relating to the named executive officers for 2018. We believe that the policies and programs serve the interests of our shareholders and that the compensation received by the named executive officers is commensurate with the performance and strategic position of the company.</w:t>
      </w:r>
    </w:p>
    <w:p>
      <w:pPr>
        <w:spacing w:after="0" w:line="10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520"/>
        <w:spacing w:after="0" w:line="276" w:lineRule="auto"/>
        <w:rPr>
          <w:sz w:val="20"/>
          <w:szCs w:val="20"/>
          <w:color w:val="auto"/>
        </w:rPr>
      </w:pPr>
      <w:r>
        <w:rPr>
          <w:rFonts w:ascii="Arial" w:cs="Arial" w:eastAsia="Arial" w:hAnsi="Arial"/>
          <w:sz w:val="18"/>
          <w:szCs w:val="18"/>
          <w:color w:val="auto"/>
        </w:rPr>
        <w:t>Although the outcome of this annual vote is not binding on the company or the board, the Compensation Committee of the board will consider it when setting future compensation for the executive officers.</w:t>
      </w:r>
    </w:p>
    <w:p>
      <w:pPr>
        <w:spacing w:after="0" w:line="143" w:lineRule="exact"/>
        <w:rPr>
          <w:sz w:val="20"/>
          <w:szCs w:val="20"/>
          <w:color w:val="auto"/>
        </w:rPr>
      </w:pPr>
    </w:p>
    <w:p>
      <w:pPr>
        <w:ind w:left="200" w:right="180"/>
        <w:spacing w:after="0" w:line="288" w:lineRule="auto"/>
        <w:rPr>
          <w:sz w:val="20"/>
          <w:szCs w:val="20"/>
          <w:color w:val="auto"/>
        </w:rPr>
      </w:pPr>
      <w:r>
        <w:rPr>
          <w:rFonts w:ascii="Arial" w:cs="Arial" w:eastAsia="Arial" w:hAnsi="Arial"/>
          <w:sz w:val="18"/>
          <w:szCs w:val="18"/>
          <w:b w:val="1"/>
          <w:bCs w:val="1"/>
          <w:color w:val="auto"/>
        </w:rPr>
        <w:t>The board of directors recommends a vote FOR the annual resolution approving the named executive officer compensation for 2018, as disclosed in this proxy statement.</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section describes TI’s compensation program for executive officers. It will provide insight into the following:</w:t>
      </w:r>
    </w:p>
    <w:p>
      <w:pPr>
        <w:spacing w:after="0" w:line="239" w:lineRule="exact"/>
        <w:rPr>
          <w:sz w:val="20"/>
          <w:szCs w:val="20"/>
          <w:color w:val="auto"/>
        </w:rPr>
      </w:pPr>
    </w:p>
    <w:p>
      <w:pPr>
        <w:ind w:left="960" w:hanging="54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elements of the 2018 compensation program, why we selected them and how they relate to one another; and</w:t>
      </w:r>
    </w:p>
    <w:p>
      <w:pPr>
        <w:spacing w:after="0" w:line="17" w:lineRule="exact"/>
        <w:rPr>
          <w:rFonts w:ascii="Arial" w:cs="Arial" w:eastAsia="Arial" w:hAnsi="Arial"/>
          <w:sz w:val="18"/>
          <w:szCs w:val="18"/>
          <w:color w:val="auto"/>
        </w:rPr>
      </w:pPr>
    </w:p>
    <w:p>
      <w:pPr>
        <w:ind w:left="960" w:hanging="54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How we determined the amount of compensation for 2018.</w:t>
      </w:r>
    </w:p>
    <w:p>
      <w:pPr>
        <w:spacing w:after="0" w:line="190" w:lineRule="exact"/>
        <w:rPr>
          <w:sz w:val="20"/>
          <w:szCs w:val="20"/>
          <w:color w:val="auto"/>
        </w:rPr>
      </w:pPr>
    </w:p>
    <w:p>
      <w:pPr>
        <w:ind w:left="200" w:right="80"/>
        <w:spacing w:after="0" w:line="248" w:lineRule="auto"/>
        <w:rPr>
          <w:sz w:val="20"/>
          <w:szCs w:val="20"/>
          <w:color w:val="auto"/>
        </w:rPr>
      </w:pPr>
      <w:r>
        <w:rPr>
          <w:rFonts w:ascii="Arial" w:cs="Arial" w:eastAsia="Arial" w:hAnsi="Arial"/>
          <w:sz w:val="18"/>
          <w:szCs w:val="18"/>
          <w:color w:val="auto"/>
        </w:rPr>
        <w:t>The executive officers of TI have the broadest job responsibilities and policy-making authority in the company. We hold them accountable for the company’s performance and for maintaining a culture of strong ethics and compliance. Details of compensation for both individuals who served as our CEO during 2018, our CFO and the three other highest paid individuals who were executive officers in 2018 (collectively called the “named executive officers”) can be found in the tables following the Compensation Committee report.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Executive summary</w:t>
      </w:r>
    </w:p>
    <w:p>
      <w:pPr>
        <w:spacing w:after="0" w:line="237" w:lineRule="exact"/>
        <w:rPr>
          <w:sz w:val="20"/>
          <w:szCs w:val="20"/>
          <w:color w:val="auto"/>
        </w:rPr>
      </w:pPr>
    </w:p>
    <w:p>
      <w:pPr>
        <w:ind w:left="960" w:right="20" w:hanging="540"/>
        <w:spacing w:after="0" w:line="239" w:lineRule="auto"/>
        <w:tabs>
          <w:tab w:leader="none" w:pos="9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2" w:lineRule="exact"/>
        <w:rPr>
          <w:rFonts w:ascii="Arial" w:cs="Arial" w:eastAsia="Arial" w:hAnsi="Arial"/>
          <w:sz w:val="18"/>
          <w:szCs w:val="18"/>
          <w:b w:val="1"/>
          <w:bCs w:val="1"/>
          <w:color w:val="auto"/>
        </w:rPr>
      </w:pPr>
    </w:p>
    <w:p>
      <w:pPr>
        <w:ind w:left="960" w:hanging="540"/>
        <w:spacing w:after="0" w:line="234" w:lineRule="auto"/>
        <w:tabs>
          <w:tab w:leader="none" w:pos="9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2018 compensation decisions for Mr. Templeton, the current CEO:</w:t>
      </w:r>
    </w:p>
    <w:p>
      <w:pPr>
        <w:ind w:left="1180" w:hanging="328"/>
        <w:spacing w:after="0" w:line="234" w:lineRule="auto"/>
        <w:tabs>
          <w:tab w:leader="none" w:pos="1180" w:val="left"/>
        </w:tabs>
        <w:numPr>
          <w:ilvl w:val="1"/>
          <w:numId w:val="36"/>
        </w:numPr>
        <w:rPr>
          <w:rFonts w:ascii="Times New Roman" w:cs="Times New Roman" w:eastAsia="Times New Roman" w:hAnsi="Times New Roman"/>
          <w:sz w:val="15"/>
          <w:szCs w:val="15"/>
          <w:color w:val="auto"/>
        </w:rPr>
      </w:pPr>
      <w:r>
        <w:rPr>
          <w:rFonts w:ascii="Arial" w:cs="Arial" w:eastAsia="Arial" w:hAnsi="Arial"/>
          <w:sz w:val="18"/>
          <w:szCs w:val="18"/>
          <w:color w:val="auto"/>
        </w:rPr>
        <w:t>Base salary was increased by 5.0 percent over 2017.</w:t>
      </w:r>
    </w:p>
    <w:p>
      <w:pPr>
        <w:ind w:left="1180" w:right="360" w:hanging="328"/>
        <w:spacing w:after="0" w:line="234" w:lineRule="auto"/>
        <w:tabs>
          <w:tab w:leader="none" w:pos="1180" w:val="left"/>
        </w:tabs>
        <w:numPr>
          <w:ilvl w:val="1"/>
          <w:numId w:val="36"/>
        </w:numPr>
        <w:rPr>
          <w:rFonts w:ascii="Times New Roman" w:cs="Times New Roman" w:eastAsia="Times New Roman" w:hAnsi="Times New Roman"/>
          <w:sz w:val="15"/>
          <w:szCs w:val="15"/>
          <w:color w:val="auto"/>
        </w:rPr>
      </w:pPr>
      <w:r>
        <w:rPr>
          <w:rFonts w:ascii="Arial" w:cs="Arial" w:eastAsia="Arial" w:hAnsi="Arial"/>
          <w:sz w:val="18"/>
          <w:szCs w:val="18"/>
          <w:color w:val="auto"/>
        </w:rPr>
        <w:t>The grant date fair value of equity compensation awarded in 2018 increased by 9 percent from 2017, reflecting an effort to align with the projected market range for similarly situated CEOs in our comparator group.</w:t>
      </w:r>
    </w:p>
    <w:p>
      <w:pPr>
        <w:spacing w:after="0" w:line="1" w:lineRule="exact"/>
        <w:rPr>
          <w:rFonts w:ascii="Times New Roman" w:cs="Times New Roman" w:eastAsia="Times New Roman" w:hAnsi="Times New Roman"/>
          <w:sz w:val="15"/>
          <w:szCs w:val="15"/>
          <w:color w:val="auto"/>
        </w:rPr>
      </w:pPr>
    </w:p>
    <w:p>
      <w:pPr>
        <w:ind w:left="1180" w:hanging="328"/>
        <w:spacing w:after="0"/>
        <w:tabs>
          <w:tab w:leader="none" w:pos="1180" w:val="left"/>
        </w:tabs>
        <w:numPr>
          <w:ilvl w:val="1"/>
          <w:numId w:val="36"/>
        </w:numPr>
        <w:rPr>
          <w:rFonts w:ascii="Times New Roman" w:cs="Times New Roman" w:eastAsia="Times New Roman" w:hAnsi="Times New Roman"/>
          <w:sz w:val="15"/>
          <w:szCs w:val="15"/>
          <w:color w:val="auto"/>
        </w:rPr>
      </w:pPr>
      <w:r>
        <w:rPr>
          <w:rFonts w:ascii="Arial" w:cs="Arial" w:eastAsia="Arial" w:hAnsi="Arial"/>
          <w:sz w:val="18"/>
          <w:szCs w:val="18"/>
          <w:color w:val="auto"/>
        </w:rPr>
        <w:t>The bonus decision was based primarily on the following performance results in 2018:</w:t>
      </w:r>
    </w:p>
    <w:p>
      <w:pPr>
        <w:spacing w:after="0" w:line="220" w:lineRule="exact"/>
        <w:rPr>
          <w:sz w:val="20"/>
          <w:szCs w:val="20"/>
          <w:color w:val="auto"/>
        </w:rPr>
      </w:pPr>
    </w:p>
    <w:tbl>
      <w:tblPr>
        <w:tblLayout w:type="fixed"/>
        <w:tblInd w:w="230" w:type="dxa"/>
        <w:tblCellMar>
          <w:top w:w="0" w:type="dxa"/>
          <w:left w:w="0" w:type="dxa"/>
          <w:bottom w:w="0" w:type="dxa"/>
          <w:right w:w="0" w:type="dxa"/>
        </w:tblCellMar>
      </w:tblPr>
      <w:tr>
        <w:trPr>
          <w:trHeight w:val="256"/>
        </w:trPr>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2740" w:type="dxa"/>
            <w:vAlign w:val="bottom"/>
            <w:tcBorders>
              <w:top w:val="single" w:sz="8" w:color="auto"/>
              <w:right w:val="single" w:sz="8" w:color="auto"/>
            </w:tcBorders>
            <w:vMerge w:val="restart"/>
            <w:shd w:val="clear" w:color="auto" w:fill="E5E5E5"/>
          </w:tcPr>
          <w:p>
            <w:pPr>
              <w:ind w:left="300"/>
              <w:spacing w:after="0"/>
              <w:rPr>
                <w:sz w:val="20"/>
                <w:szCs w:val="20"/>
                <w:color w:val="auto"/>
              </w:rPr>
            </w:pPr>
            <w:r>
              <w:rPr>
                <w:rFonts w:ascii="Arial" w:cs="Arial" w:eastAsia="Arial" w:hAnsi="Arial"/>
                <w:sz w:val="18"/>
                <w:szCs w:val="18"/>
                <w:color w:val="auto"/>
              </w:rPr>
              <w:t>2018 Absolute Performance</w:t>
            </w:r>
          </w:p>
        </w:tc>
        <w:tc>
          <w:tcPr>
            <w:tcW w:w="2920" w:type="dxa"/>
            <w:vAlign w:val="bottom"/>
            <w:tcBorders>
              <w:top w:val="single" w:sz="8" w:color="auto"/>
              <w:right w:val="single" w:sz="8" w:color="auto"/>
            </w:tcBorders>
            <w:gridSpan w:val="2"/>
            <w:shd w:val="clear" w:color="auto" w:fill="E5E5E5"/>
          </w:tcPr>
          <w:p>
            <w:pPr>
              <w:ind w:left="400"/>
              <w:spacing w:after="0"/>
              <w:rPr>
                <w:sz w:val="20"/>
                <w:szCs w:val="20"/>
                <w:color w:val="auto"/>
              </w:rPr>
            </w:pPr>
            <w:r>
              <w:rPr>
                <w:rFonts w:ascii="Arial" w:cs="Arial" w:eastAsia="Arial" w:hAnsi="Arial"/>
                <w:sz w:val="18"/>
                <w:szCs w:val="18"/>
                <w:color w:val="auto"/>
              </w:rPr>
              <w:t xml:space="preserve">2018 Relative Performance </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178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2740" w:type="dxa"/>
            <w:vAlign w:val="bottom"/>
            <w:tcBorders>
              <w:bottom w:val="single" w:sz="8" w:color="auto"/>
              <w:right w:val="single" w:sz="8" w:color="auto"/>
            </w:tcBorders>
            <w:vMerge w:val="continue"/>
            <w:shd w:val="clear" w:color="auto" w:fill="E5E5E5"/>
          </w:tcPr>
          <w:p>
            <w:pPr>
              <w:spacing w:after="0"/>
              <w:rPr>
                <w:sz w:val="15"/>
                <w:szCs w:val="15"/>
                <w:color w:val="auto"/>
              </w:rPr>
            </w:pPr>
          </w:p>
        </w:tc>
        <w:tc>
          <w:tcPr>
            <w:tcW w:w="1140" w:type="dxa"/>
            <w:vAlign w:val="bottom"/>
            <w:tcBorders>
              <w:bottom w:val="single" w:sz="8" w:color="auto"/>
              <w:right w:val="single" w:sz="8" w:color="E5E5E5"/>
            </w:tcBorders>
            <w:shd w:val="clear" w:color="auto" w:fill="E5E5E5"/>
          </w:tcPr>
          <w:p>
            <w:pPr>
              <w:spacing w:after="0"/>
              <w:rPr>
                <w:sz w:val="15"/>
                <w:szCs w:val="15"/>
                <w:color w:val="auto"/>
              </w:rPr>
            </w:pPr>
          </w:p>
        </w:tc>
        <w:tc>
          <w:tcPr>
            <w:tcW w:w="1780" w:type="dxa"/>
            <w:vAlign w:val="bottom"/>
            <w:tcBorders>
              <w:bottom w:val="single" w:sz="8" w:color="auto"/>
              <w:right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80" w:type="dxa"/>
            <w:vAlign w:val="bottom"/>
            <w:tcBorders>
              <w:left w:val="single" w:sz="8" w:color="auto"/>
              <w:bottom w:val="single" w:sz="8" w:color="auto"/>
              <w:right w:val="single" w:sz="8" w:color="auto"/>
            </w:tcBorders>
            <w:gridSpan w:val="3"/>
            <w:shd w:val="clear" w:color="auto" w:fill="E5E5E5"/>
          </w:tcPr>
          <w:p>
            <w:pPr>
              <w:ind w:left="320"/>
              <w:spacing w:after="0"/>
              <w:rPr>
                <w:sz w:val="20"/>
                <w:szCs w:val="20"/>
                <w:color w:val="auto"/>
              </w:rPr>
            </w:pPr>
            <w:r>
              <w:rPr>
                <w:rFonts w:ascii="Arial" w:cs="Arial" w:eastAsia="Arial" w:hAnsi="Arial"/>
                <w:sz w:val="18"/>
                <w:szCs w:val="18"/>
                <w:color w:val="auto"/>
              </w:rPr>
              <w:t>Revenue Growth: Total TI</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5.5%</w:t>
            </w:r>
          </w:p>
        </w:tc>
        <w:tc>
          <w:tcPr>
            <w:tcW w:w="2920" w:type="dxa"/>
            <w:vAlign w:val="bottom"/>
            <w:tcBorders>
              <w:bottom w:val="single" w:sz="8" w:color="auto"/>
              <w:right w:val="single" w:sz="8" w:color="auto"/>
            </w:tcBorders>
            <w:gridSpan w:val="2"/>
          </w:tcPr>
          <w:p>
            <w:pPr>
              <w:ind w:left="920"/>
              <w:spacing w:after="0"/>
              <w:rPr>
                <w:sz w:val="20"/>
                <w:szCs w:val="20"/>
                <w:color w:val="auto"/>
              </w:rPr>
            </w:pPr>
            <w:r>
              <w:rPr>
                <w:rFonts w:ascii="Arial" w:cs="Arial" w:eastAsia="Arial" w:hAnsi="Arial"/>
                <w:sz w:val="18"/>
                <w:szCs w:val="18"/>
                <w:color w:val="auto"/>
              </w:rPr>
              <w:t>Below median</w:t>
            </w:r>
          </w:p>
        </w:tc>
        <w:tc>
          <w:tcPr>
            <w:tcW w:w="0" w:type="dxa"/>
            <w:vAlign w:val="bottom"/>
          </w:tcPr>
          <w:p>
            <w:pPr>
              <w:spacing w:after="0"/>
              <w:rPr>
                <w:sz w:val="1"/>
                <w:szCs w:val="1"/>
                <w:color w:val="auto"/>
              </w:rPr>
            </w:pPr>
          </w:p>
        </w:tc>
      </w:tr>
      <w:tr>
        <w:trPr>
          <w:trHeight w:val="250"/>
        </w:trPr>
        <w:tc>
          <w:tcPr>
            <w:tcW w:w="5380" w:type="dxa"/>
            <w:vAlign w:val="bottom"/>
            <w:tcBorders>
              <w:left w:val="single" w:sz="8" w:color="auto"/>
              <w:bottom w:val="single" w:sz="8" w:color="auto"/>
              <w:right w:val="single" w:sz="8" w:color="auto"/>
            </w:tcBorders>
            <w:gridSpan w:val="3"/>
            <w:shd w:val="clear" w:color="auto" w:fill="E5E5E5"/>
          </w:tcPr>
          <w:p>
            <w:pPr>
              <w:ind w:left="320"/>
              <w:spacing w:after="0"/>
              <w:rPr>
                <w:sz w:val="20"/>
                <w:szCs w:val="20"/>
                <w:color w:val="auto"/>
              </w:rPr>
            </w:pPr>
            <w:r>
              <w:rPr>
                <w:rFonts w:ascii="Arial" w:cs="Arial" w:eastAsia="Arial" w:hAnsi="Arial"/>
                <w:sz w:val="18"/>
                <w:szCs w:val="18"/>
                <w:color w:val="auto"/>
              </w:rPr>
              <w:t>Profit from Operations as a % of Revenue (PFO%)</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42.5%</w:t>
            </w:r>
          </w:p>
        </w:tc>
        <w:tc>
          <w:tcPr>
            <w:tcW w:w="2920" w:type="dxa"/>
            <w:vAlign w:val="bottom"/>
            <w:tcBorders>
              <w:bottom w:val="single" w:sz="8" w:color="auto"/>
              <w:right w:val="single" w:sz="8" w:color="auto"/>
            </w:tcBorders>
            <w:gridSpan w:val="2"/>
          </w:tcPr>
          <w:p>
            <w:pPr>
              <w:ind w:left="920"/>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250"/>
        </w:trPr>
        <w:tc>
          <w:tcPr>
            <w:tcW w:w="5380" w:type="dxa"/>
            <w:vAlign w:val="bottom"/>
            <w:tcBorders>
              <w:left w:val="single" w:sz="8" w:color="auto"/>
              <w:bottom w:val="single" w:sz="8" w:color="auto"/>
              <w:right w:val="single" w:sz="8" w:color="auto"/>
            </w:tcBorders>
            <w:gridSpan w:val="3"/>
            <w:shd w:val="clear" w:color="auto" w:fill="E5E5E5"/>
          </w:tcPr>
          <w:p>
            <w:pPr>
              <w:ind w:left="320"/>
              <w:spacing w:after="0"/>
              <w:rPr>
                <w:sz w:val="20"/>
                <w:szCs w:val="20"/>
                <w:color w:val="auto"/>
              </w:rPr>
            </w:pPr>
            <w:r>
              <w:rPr>
                <w:rFonts w:ascii="Arial" w:cs="Arial" w:eastAsia="Arial" w:hAnsi="Arial"/>
                <w:sz w:val="18"/>
                <w:szCs w:val="18"/>
                <w:color w:val="auto"/>
              </w:rPr>
              <w:t>Total Shareholder Return (TSR)</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-7.2%</w:t>
            </w:r>
          </w:p>
        </w:tc>
        <w:tc>
          <w:tcPr>
            <w:tcW w:w="2920" w:type="dxa"/>
            <w:vAlign w:val="bottom"/>
            <w:tcBorders>
              <w:bottom w:val="single" w:sz="8" w:color="auto"/>
              <w:right w:val="single" w:sz="8" w:color="auto"/>
            </w:tcBorders>
            <w:gridSpan w:val="2"/>
          </w:tcPr>
          <w:p>
            <w:pPr>
              <w:ind w:left="920"/>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780" w:type="dxa"/>
            <w:vAlign w:val="bottom"/>
            <w:tcBorders>
              <w:right w:val="single" w:sz="8" w:color="auto"/>
            </w:tcBorders>
          </w:tcPr>
          <w:p>
            <w:pPr>
              <w:spacing w:after="0"/>
              <w:rPr>
                <w:sz w:val="23"/>
                <w:szCs w:val="23"/>
                <w:color w:val="auto"/>
              </w:rPr>
            </w:pPr>
          </w:p>
        </w:tc>
        <w:tc>
          <w:tcPr>
            <w:tcW w:w="3520" w:type="dxa"/>
            <w:vAlign w:val="bottom"/>
            <w:tcBorders>
              <w:right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Year-on-Year Change in CEO Bonus</w:t>
            </w:r>
          </w:p>
        </w:tc>
        <w:tc>
          <w:tcPr>
            <w:tcW w:w="80" w:type="dxa"/>
            <w:vAlign w:val="bottom"/>
          </w:tcPr>
          <w:p>
            <w:pPr>
              <w:spacing w:after="0"/>
              <w:rPr>
                <w:sz w:val="23"/>
                <w:szCs w:val="23"/>
                <w:color w:val="auto"/>
              </w:rPr>
            </w:pPr>
          </w:p>
        </w:tc>
        <w:tc>
          <w:tcPr>
            <w:tcW w:w="2740" w:type="dxa"/>
            <w:vAlign w:val="bottom"/>
            <w:vMerge w:val="restart"/>
          </w:tcPr>
          <w:p>
            <w:pPr>
              <w:ind w:left="1680"/>
              <w:spacing w:after="0"/>
              <w:rPr>
                <w:sz w:val="20"/>
                <w:szCs w:val="20"/>
                <w:color w:val="auto"/>
              </w:rPr>
            </w:pPr>
            <w:r>
              <w:rPr>
                <w:rFonts w:ascii="Arial" w:cs="Arial" w:eastAsia="Arial" w:hAnsi="Arial"/>
                <w:sz w:val="18"/>
                <w:szCs w:val="18"/>
                <w:color w:val="auto"/>
              </w:rPr>
              <w:t>5% change</w:t>
            </w:r>
          </w:p>
        </w:tc>
        <w:tc>
          <w:tcPr>
            <w:tcW w:w="1140" w:type="dxa"/>
            <w:vAlign w:val="bottom"/>
            <w:tcBorders>
              <w:right w:val="single" w:sz="8" w:color="auto"/>
            </w:tcBorders>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7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vMerge w:val="restart"/>
            <w:shd w:val="clear" w:color="auto" w:fill="E5E5E5"/>
          </w:tcPr>
          <w:p>
            <w:pPr>
              <w:ind w:left="280"/>
              <w:spacing w:after="0"/>
              <w:rPr>
                <w:sz w:val="20"/>
                <w:szCs w:val="20"/>
                <w:color w:val="auto"/>
              </w:rPr>
            </w:pPr>
            <w:r>
              <w:rPr>
                <w:rFonts w:ascii="Arial" w:cs="Arial" w:eastAsia="Arial" w:hAnsi="Arial"/>
                <w:sz w:val="18"/>
                <w:szCs w:val="18"/>
                <w:color w:val="auto"/>
              </w:rPr>
              <w:t>(2018 bonus compared with 2017)</w:t>
            </w:r>
          </w:p>
        </w:tc>
        <w:tc>
          <w:tcPr>
            <w:tcW w:w="8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78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shd w:val="clear" w:color="auto" w:fill="E5E5E5"/>
          </w:tcPr>
          <w:p>
            <w:pPr>
              <w:spacing w:after="0"/>
              <w:rPr>
                <w:sz w:val="8"/>
                <w:szCs w:val="8"/>
                <w:color w:val="auto"/>
              </w:rPr>
            </w:pPr>
          </w:p>
        </w:tc>
        <w:tc>
          <w:tcPr>
            <w:tcW w:w="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780" w:type="dxa"/>
            <w:vAlign w:val="bottom"/>
            <w:tcBorders>
              <w:right w:val="single" w:sz="8" w:color="auto"/>
            </w:tcBorders>
          </w:tcPr>
          <w:p>
            <w:pPr>
              <w:spacing w:after="0"/>
              <w:rPr>
                <w:sz w:val="9"/>
                <w:szCs w:val="9"/>
                <w:color w:val="auto"/>
              </w:rPr>
            </w:pPr>
          </w:p>
        </w:tc>
        <w:tc>
          <w:tcPr>
            <w:tcW w:w="3520" w:type="dxa"/>
            <w:vAlign w:val="bottom"/>
            <w:tcBorders>
              <w:bottom w:val="single" w:sz="8" w:color="auto"/>
              <w:right w:val="single" w:sz="8" w:color="auto"/>
            </w:tcBorders>
            <w:shd w:val="clear" w:color="auto" w:fill="E5E5E5"/>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180" w:right="80" w:hanging="328"/>
        <w:spacing w:after="0" w:line="248" w:lineRule="auto"/>
        <w:tabs>
          <w:tab w:leader="none" w:pos="11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Relative to semiconductor competitors as outlined under “Comparator group;” includes estimates and projections of certain competitors’ financial results. See “Analysis of compensation determinations – Bonus – Assessment of 2018 performance” for details of the Compensation Committee’s assessment of TI’s performance. (It is important to note that the median growth rate of competitor companies includes the effect of acquisitions, whereas TI’s growth rate is entirely organic.)</w:t>
      </w:r>
    </w:p>
    <w:p>
      <w:pPr>
        <w:spacing w:after="0" w:line="197" w:lineRule="exact"/>
        <w:rPr>
          <w:rFonts w:ascii="Arial" w:cs="Arial" w:eastAsia="Arial" w:hAnsi="Arial"/>
          <w:sz w:val="18"/>
          <w:szCs w:val="18"/>
          <w:color w:val="auto"/>
        </w:rPr>
      </w:pPr>
    </w:p>
    <w:p>
      <w:pPr>
        <w:ind w:left="960" w:right="80" w:hanging="540"/>
        <w:spacing w:after="0" w:line="262" w:lineRule="auto"/>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executive compensation program is designed to encourage executive officers to pursue strategies that serve the interests of the company and shareholders, and not to promote excessive risk-taking by our executives. It is built on a foundation of sound</w:t>
      </w:r>
    </w:p>
    <w:p>
      <w:pPr>
        <w:ind w:left="960"/>
        <w:spacing w:after="0" w:line="235" w:lineRule="auto"/>
        <w:rPr>
          <w:sz w:val="20"/>
          <w:szCs w:val="20"/>
          <w:color w:val="auto"/>
        </w:rPr>
      </w:pPr>
      <w:r>
        <w:rPr>
          <w:rFonts w:ascii="Arial" w:cs="Arial" w:eastAsia="Arial" w:hAnsi="Arial"/>
          <w:sz w:val="18"/>
          <w:szCs w:val="18"/>
          <w:color w:val="auto"/>
        </w:rPr>
        <w:t>corporate governance and includes:</w:t>
      </w:r>
    </w:p>
    <w:p>
      <w:pPr>
        <w:ind w:left="1180" w:right="220" w:hanging="328"/>
        <w:spacing w:after="0" w:line="251" w:lineRule="auto"/>
        <w:tabs>
          <w:tab w:leader="none" w:pos="1180" w:val="left"/>
        </w:tabs>
        <w:numPr>
          <w:ilvl w:val="0"/>
          <w:numId w:val="38"/>
        </w:numPr>
        <w:rPr>
          <w:rFonts w:ascii="Times New Roman" w:cs="Times New Roman" w:eastAsia="Times New Roman" w:hAnsi="Times New Roman"/>
          <w:sz w:val="15"/>
          <w:szCs w:val="15"/>
          <w:color w:val="auto"/>
        </w:rPr>
      </w:pPr>
      <w:r>
        <w:rPr>
          <w:rFonts w:ascii="Arial" w:cs="Arial" w:eastAsia="Arial" w:hAnsi="Arial"/>
          <w:sz w:val="18"/>
          <w:szCs w:val="18"/>
          <w:color w:val="auto"/>
        </w:rPr>
        <w:t>Executive officers do not have employment contracts and are not guaranteed salary increases, bonus amounts or awards of equity compensation.</w:t>
      </w:r>
    </w:p>
    <w:p>
      <w:pPr>
        <w:spacing w:after="0" w:line="100"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19</w:t>
            </w:r>
          </w:p>
        </w:tc>
      </w:tr>
    </w:tbl>
    <w:p>
      <w:pPr>
        <w:sectPr>
          <w:pgSz w:w="11900" w:h="16838" w:orient="portrait"/>
          <w:cols w:equalWidth="0" w:num="1">
            <w:col w:w="11240"/>
          </w:cols>
          <w:pgMar w:left="240" w:top="455" w:right="4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180" w:right="220" w:hanging="328"/>
        <w:spacing w:after="0" w:line="243" w:lineRule="auto"/>
        <w:tabs>
          <w:tab w:leader="none" w:pos="1180" w:val="left"/>
        </w:tabs>
        <w:numPr>
          <w:ilvl w:val="0"/>
          <w:numId w:val="39"/>
        </w:numPr>
        <w:rPr>
          <w:rFonts w:ascii="Times New Roman" w:cs="Times New Roman" w:eastAsia="Times New Roman" w:hAnsi="Times New Roman"/>
          <w:sz w:val="15"/>
          <w:szCs w:val="15"/>
          <w:color w:val="auto"/>
        </w:rPr>
      </w:pPr>
      <w:r>
        <w:rPr>
          <w:rFonts w:ascii="Arial" w:cs="Arial" w:eastAsia="Arial" w:hAnsi="Arial"/>
          <w:sz w:val="18"/>
          <w:szCs w:val="18"/>
          <w:color w:val="auto"/>
        </w:rPr>
        <w:t>We have never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w:t>
      </w:r>
    </w:p>
    <w:p>
      <w:pPr>
        <w:spacing w:after="0" w:line="1" w:lineRule="exact"/>
        <w:rPr>
          <w:rFonts w:ascii="Times New Roman" w:cs="Times New Roman" w:eastAsia="Times New Roman" w:hAnsi="Times New Roman"/>
          <w:sz w:val="15"/>
          <w:szCs w:val="15"/>
          <w:color w:val="auto"/>
        </w:rPr>
      </w:pPr>
    </w:p>
    <w:p>
      <w:pPr>
        <w:ind w:left="1180" w:hanging="328"/>
        <w:spacing w:after="0" w:line="234" w:lineRule="auto"/>
        <w:tabs>
          <w:tab w:leader="none" w:pos="1180" w:val="left"/>
        </w:tabs>
        <w:numPr>
          <w:ilvl w:val="0"/>
          <w:numId w:val="39"/>
        </w:numPr>
        <w:rPr>
          <w:rFonts w:ascii="Times New Roman" w:cs="Times New Roman" w:eastAsia="Times New Roman" w:hAnsi="Times New Roman"/>
          <w:sz w:val="15"/>
          <w:szCs w:val="15"/>
          <w:color w:val="auto"/>
        </w:rPr>
      </w:pPr>
      <w:r>
        <w:rPr>
          <w:rFonts w:ascii="Arial" w:cs="Arial" w:eastAsia="Arial" w:hAnsi="Arial"/>
          <w:sz w:val="18"/>
          <w:szCs w:val="18"/>
          <w:color w:val="auto"/>
        </w:rPr>
        <w:t>Bonus and equity compensation awards are subject to clawback as described under “Recoupment policy” below.</w:t>
      </w:r>
    </w:p>
    <w:p>
      <w:pPr>
        <w:ind w:left="1180" w:hanging="328"/>
        <w:spacing w:after="0" w:line="234" w:lineRule="auto"/>
        <w:tabs>
          <w:tab w:leader="none" w:pos="1180" w:val="left"/>
        </w:tabs>
        <w:numPr>
          <w:ilvl w:val="0"/>
          <w:numId w:val="39"/>
        </w:numPr>
        <w:rPr>
          <w:rFonts w:ascii="Times New Roman" w:cs="Times New Roman" w:eastAsia="Times New Roman" w:hAnsi="Times New Roman"/>
          <w:sz w:val="15"/>
          <w:szCs w:val="15"/>
          <w:color w:val="auto"/>
        </w:rPr>
      </w:pPr>
      <w:r>
        <w:rPr>
          <w:rFonts w:ascii="Arial" w:cs="Arial" w:eastAsia="Arial" w:hAnsi="Arial"/>
          <w:sz w:val="18"/>
          <w:szCs w:val="18"/>
          <w:color w:val="auto"/>
        </w:rPr>
        <w:t>We do not provide excessive perquisites. We provide no tax gross-ups for perquisites.</w:t>
      </w:r>
    </w:p>
    <w:p>
      <w:pPr>
        <w:ind w:left="1180" w:hanging="328"/>
        <w:spacing w:after="0" w:line="234" w:lineRule="auto"/>
        <w:tabs>
          <w:tab w:leader="none" w:pos="1180" w:val="left"/>
        </w:tabs>
        <w:numPr>
          <w:ilvl w:val="0"/>
          <w:numId w:val="39"/>
        </w:numPr>
        <w:rPr>
          <w:rFonts w:ascii="Times New Roman" w:cs="Times New Roman" w:eastAsia="Times New Roman" w:hAnsi="Times New Roman"/>
          <w:sz w:val="15"/>
          <w:szCs w:val="15"/>
          <w:color w:val="auto"/>
        </w:rPr>
      </w:pPr>
      <w:r>
        <w:rPr>
          <w:rFonts w:ascii="Arial" w:cs="Arial" w:eastAsia="Arial" w:hAnsi="Arial"/>
          <w:sz w:val="18"/>
          <w:szCs w:val="18"/>
          <w:color w:val="auto"/>
        </w:rPr>
        <w:t>We do not guarantee a return or provide above-market returns on compensation that has been deferred.</w:t>
      </w:r>
    </w:p>
    <w:p>
      <w:pPr>
        <w:ind w:left="1180" w:right="300" w:hanging="328"/>
        <w:spacing w:after="0" w:line="251" w:lineRule="auto"/>
        <w:tabs>
          <w:tab w:leader="none" w:pos="1180" w:val="left"/>
        </w:tabs>
        <w:numPr>
          <w:ilvl w:val="0"/>
          <w:numId w:val="39"/>
        </w:numPr>
        <w:rPr>
          <w:rFonts w:ascii="Times New Roman" w:cs="Times New Roman" w:eastAsia="Times New Roman" w:hAnsi="Times New Roman"/>
          <w:sz w:val="15"/>
          <w:szCs w:val="15"/>
          <w:color w:val="auto"/>
        </w:rPr>
      </w:pPr>
      <w:r>
        <w:rPr>
          <w:rFonts w:ascii="Arial" w:cs="Arial" w:eastAsia="Arial" w:hAnsi="Arial"/>
          <w:sz w:val="18"/>
          <w:szCs w:val="18"/>
          <w:color w:val="auto"/>
        </w:rPr>
        <w:t>Pension benefits are calculated on salary and bonus only; the proceeds earned on equity or other performance awards are not part of the pension calculation.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Detailed discussion</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philosophy and elements</w:t>
      </w:r>
    </w:p>
    <w:p>
      <w:pPr>
        <w:spacing w:after="0" w:line="102"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primary elements of our executive compensation program are as follows: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Near-term compensation, paid in cash</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Base Salary</w:t>
      </w:r>
    </w:p>
    <w:p>
      <w:pPr>
        <w:spacing w:after="0" w:line="16"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Purpose</w:t>
            </w:r>
          </w:p>
        </w:tc>
        <w:tc>
          <w:tcPr>
            <w:tcW w:w="98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Basic, least variable form of compensation, designed to provide a stable source of income.</w:t>
            </w:r>
          </w:p>
        </w:tc>
      </w:tr>
      <w:tr>
        <w:trPr>
          <w:trHeight w:val="349"/>
        </w:trPr>
        <w:tc>
          <w:tcPr>
            <w:tcW w:w="1200" w:type="dxa"/>
            <w:vAlign w:val="bottom"/>
          </w:tcPr>
          <w:p>
            <w:pPr>
              <w:spacing w:after="0"/>
              <w:rPr>
                <w:sz w:val="20"/>
                <w:szCs w:val="20"/>
                <w:color w:val="auto"/>
              </w:rPr>
            </w:pPr>
            <w:r>
              <w:rPr>
                <w:rFonts w:ascii="Arial" w:cs="Arial" w:eastAsia="Arial" w:hAnsi="Arial"/>
                <w:sz w:val="18"/>
                <w:szCs w:val="18"/>
                <w:color w:val="auto"/>
              </w:rPr>
              <w:t>Strategy</w:t>
            </w:r>
          </w:p>
        </w:tc>
        <w:tc>
          <w:tcPr>
            <w:tcW w:w="9840" w:type="dxa"/>
            <w:vAlign w:val="bottom"/>
          </w:tcPr>
          <w:p>
            <w:pPr>
              <w:ind w:left="240"/>
              <w:spacing w:after="0"/>
              <w:rPr>
                <w:sz w:val="20"/>
                <w:szCs w:val="20"/>
                <w:color w:val="auto"/>
              </w:rPr>
            </w:pPr>
            <w:r>
              <w:rPr>
                <w:rFonts w:ascii="Arial" w:cs="Arial" w:eastAsia="Arial" w:hAnsi="Arial"/>
                <w:sz w:val="18"/>
                <w:szCs w:val="18"/>
                <w:color w:val="auto"/>
              </w:rPr>
              <w:t>Generally, target market median, giving appropriate consideration to job scope and tenure, to attract and retain highly</w:t>
            </w:r>
          </w:p>
        </w:tc>
      </w:tr>
      <w:tr>
        <w:trPr>
          <w:trHeight w:val="243"/>
        </w:trPr>
        <w:tc>
          <w:tcPr>
            <w:tcW w:w="1200" w:type="dxa"/>
            <w:vAlign w:val="bottom"/>
          </w:tcPr>
          <w:p>
            <w:pPr>
              <w:spacing w:after="0"/>
              <w:rPr>
                <w:sz w:val="21"/>
                <w:szCs w:val="21"/>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qualified executives.</w:t>
            </w:r>
          </w:p>
        </w:tc>
      </w:tr>
      <w:tr>
        <w:trPr>
          <w:trHeight w:val="419"/>
        </w:trPr>
        <w:tc>
          <w:tcPr>
            <w:tcW w:w="1200" w:type="dxa"/>
            <w:vAlign w:val="bottom"/>
          </w:tcPr>
          <w:p>
            <w:pPr>
              <w:spacing w:after="0"/>
              <w:rPr>
                <w:sz w:val="20"/>
                <w:szCs w:val="20"/>
                <w:color w:val="auto"/>
              </w:rPr>
            </w:pPr>
            <w:r>
              <w:rPr>
                <w:rFonts w:ascii="Arial" w:cs="Arial" w:eastAsia="Arial" w:hAnsi="Arial"/>
                <w:sz w:val="18"/>
                <w:szCs w:val="18"/>
                <w:color w:val="auto"/>
              </w:rPr>
              <w:t>Terms</w:t>
            </w:r>
          </w:p>
        </w:tc>
        <w:tc>
          <w:tcPr>
            <w:tcW w:w="9840" w:type="dxa"/>
            <w:vAlign w:val="bottom"/>
          </w:tcPr>
          <w:p>
            <w:pPr>
              <w:ind w:left="240"/>
              <w:spacing w:after="0"/>
              <w:rPr>
                <w:sz w:val="20"/>
                <w:szCs w:val="20"/>
                <w:color w:val="auto"/>
              </w:rPr>
            </w:pPr>
            <w:r>
              <w:rPr>
                <w:rFonts w:ascii="Arial" w:cs="Arial" w:eastAsia="Arial" w:hAnsi="Arial"/>
                <w:sz w:val="18"/>
                <w:szCs w:val="18"/>
                <w:color w:val="auto"/>
              </w:rPr>
              <w:t>Paid twice monthly.</w:t>
            </w:r>
          </w:p>
        </w:tc>
      </w:tr>
      <w:tr>
        <w:trPr>
          <w:trHeight w:val="388"/>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Profit Sharing</w:t>
            </w:r>
          </w:p>
        </w:tc>
        <w:tc>
          <w:tcPr>
            <w:tcW w:w="9840" w:type="dxa"/>
            <w:vAlign w:val="bottom"/>
            <w:tcBorders>
              <w:bottom w:val="single" w:sz="8" w:color="auto"/>
            </w:tcBorders>
          </w:tcPr>
          <w:p>
            <w:pPr>
              <w:spacing w:after="0"/>
              <w:rPr>
                <w:sz w:val="24"/>
                <w:szCs w:val="24"/>
                <w:color w:val="auto"/>
              </w:rPr>
            </w:pPr>
          </w:p>
        </w:tc>
      </w:tr>
      <w:tr>
        <w:trPr>
          <w:trHeight w:val="173"/>
        </w:trPr>
        <w:tc>
          <w:tcPr>
            <w:tcW w:w="1200" w:type="dxa"/>
            <w:vAlign w:val="bottom"/>
          </w:tcPr>
          <w:p>
            <w:pPr>
              <w:spacing w:after="0" w:line="173" w:lineRule="exact"/>
              <w:rPr>
                <w:sz w:val="20"/>
                <w:szCs w:val="20"/>
                <w:color w:val="auto"/>
              </w:rPr>
            </w:pPr>
            <w:r>
              <w:rPr>
                <w:rFonts w:ascii="Arial" w:cs="Arial" w:eastAsia="Arial" w:hAnsi="Arial"/>
                <w:sz w:val="18"/>
                <w:szCs w:val="18"/>
                <w:color w:val="auto"/>
              </w:rPr>
              <w:t>Purpose</w:t>
            </w:r>
          </w:p>
        </w:tc>
        <w:tc>
          <w:tcPr>
            <w:tcW w:w="9840" w:type="dxa"/>
            <w:vAlign w:val="bottom"/>
          </w:tcPr>
          <w:p>
            <w:pPr>
              <w:ind w:left="240"/>
              <w:spacing w:after="0" w:line="173" w:lineRule="exact"/>
              <w:rPr>
                <w:sz w:val="20"/>
                <w:szCs w:val="20"/>
                <w:color w:val="auto"/>
              </w:rPr>
            </w:pPr>
            <w:r>
              <w:rPr>
                <w:rFonts w:ascii="Arial" w:cs="Arial" w:eastAsia="Arial" w:hAnsi="Arial"/>
                <w:sz w:val="18"/>
                <w:szCs w:val="18"/>
                <w:color w:val="auto"/>
              </w:rPr>
              <w:t>Broad-based program designed to emphasize that each employee contributes to the company’s profitability and can</w:t>
            </w:r>
          </w:p>
        </w:tc>
      </w:tr>
      <w:tr>
        <w:trPr>
          <w:trHeight w:val="243"/>
        </w:trPr>
        <w:tc>
          <w:tcPr>
            <w:tcW w:w="1200" w:type="dxa"/>
            <w:vAlign w:val="bottom"/>
          </w:tcPr>
          <w:p>
            <w:pPr>
              <w:spacing w:after="0"/>
              <w:rPr>
                <w:sz w:val="21"/>
                <w:szCs w:val="21"/>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share in it.</w:t>
            </w:r>
          </w:p>
        </w:tc>
      </w:tr>
      <w:tr>
        <w:trPr>
          <w:trHeight w:val="378"/>
        </w:trPr>
        <w:tc>
          <w:tcPr>
            <w:tcW w:w="1200" w:type="dxa"/>
            <w:vAlign w:val="bottom"/>
          </w:tcPr>
          <w:p>
            <w:pPr>
              <w:spacing w:after="0"/>
              <w:rPr>
                <w:sz w:val="20"/>
                <w:szCs w:val="20"/>
                <w:color w:val="auto"/>
              </w:rPr>
            </w:pPr>
            <w:r>
              <w:rPr>
                <w:rFonts w:ascii="Arial" w:cs="Arial" w:eastAsia="Arial" w:hAnsi="Arial"/>
                <w:sz w:val="18"/>
                <w:szCs w:val="18"/>
                <w:color w:val="auto"/>
              </w:rPr>
              <w:t>Strategy</w:t>
            </w:r>
          </w:p>
        </w:tc>
        <w:tc>
          <w:tcPr>
            <w:tcW w:w="9840" w:type="dxa"/>
            <w:vAlign w:val="bottom"/>
          </w:tcPr>
          <w:p>
            <w:pPr>
              <w:ind w:left="240"/>
              <w:spacing w:after="0"/>
              <w:rPr>
                <w:sz w:val="20"/>
                <w:szCs w:val="20"/>
                <w:color w:val="auto"/>
              </w:rPr>
            </w:pPr>
            <w:r>
              <w:rPr>
                <w:rFonts w:ascii="Arial" w:cs="Arial" w:eastAsia="Arial" w:hAnsi="Arial"/>
                <w:sz w:val="18"/>
                <w:szCs w:val="18"/>
                <w:color w:val="auto"/>
              </w:rPr>
              <w:t>Pay according to a formula that focuses employees on a company goal, and at a level that will affect behavior. Profit</w:t>
            </w:r>
          </w:p>
        </w:tc>
      </w:tr>
      <w:tr>
        <w:trPr>
          <w:trHeight w:val="243"/>
        </w:trPr>
        <w:tc>
          <w:tcPr>
            <w:tcW w:w="1200" w:type="dxa"/>
            <w:vAlign w:val="bottom"/>
          </w:tcPr>
          <w:p>
            <w:pPr>
              <w:spacing w:after="0"/>
              <w:rPr>
                <w:sz w:val="21"/>
                <w:szCs w:val="21"/>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sharing is paid in addition to any performance bonus awarded for the year.</w:t>
            </w:r>
          </w:p>
        </w:tc>
      </w:tr>
      <w:tr>
        <w:trPr>
          <w:trHeight w:val="405"/>
        </w:trPr>
        <w:tc>
          <w:tcPr>
            <w:tcW w:w="1200" w:type="dxa"/>
            <w:vAlign w:val="bottom"/>
          </w:tcPr>
          <w:p>
            <w:pPr>
              <w:spacing w:after="0"/>
              <w:rPr>
                <w:sz w:val="24"/>
                <w:szCs w:val="24"/>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For the last 14 years, the formula has been based on company-level annual operating profit margin. The formula was</w:t>
            </w:r>
          </w:p>
        </w:tc>
      </w:tr>
      <w:tr>
        <w:trPr>
          <w:trHeight w:val="243"/>
        </w:trPr>
        <w:tc>
          <w:tcPr>
            <w:tcW w:w="1200" w:type="dxa"/>
            <w:vAlign w:val="bottom"/>
          </w:tcPr>
          <w:p>
            <w:pPr>
              <w:spacing w:after="0"/>
              <w:rPr>
                <w:sz w:val="21"/>
                <w:szCs w:val="21"/>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set by the TI board. The committee’s practice has been not to adjust amounts earned under the formula.</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Terms</w:t>
            </w:r>
          </w:p>
        </w:tc>
        <w:tc>
          <w:tcPr>
            <w:tcW w:w="9840" w:type="dxa"/>
            <w:vAlign w:val="bottom"/>
          </w:tcPr>
          <w:p>
            <w:pPr>
              <w:ind w:left="240"/>
              <w:spacing w:after="0"/>
              <w:rPr>
                <w:sz w:val="20"/>
                <w:szCs w:val="20"/>
                <w:color w:val="auto"/>
              </w:rPr>
            </w:pPr>
            <w:r>
              <w:rPr>
                <w:rFonts w:ascii="Arial" w:cs="Arial" w:eastAsia="Arial" w:hAnsi="Arial"/>
                <w:sz w:val="18"/>
                <w:szCs w:val="18"/>
                <w:color w:val="auto"/>
              </w:rPr>
              <w:t>Payable in a single cash payment shortly after the end of the performance year.</w:t>
            </w:r>
          </w:p>
        </w:tc>
      </w:tr>
      <w:tr>
        <w:trPr>
          <w:trHeight w:val="446"/>
        </w:trPr>
        <w:tc>
          <w:tcPr>
            <w:tcW w:w="1200" w:type="dxa"/>
            <w:vAlign w:val="bottom"/>
          </w:tcPr>
          <w:p>
            <w:pPr>
              <w:spacing w:after="0"/>
              <w:rPr>
                <w:sz w:val="24"/>
                <w:szCs w:val="24"/>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As in recent years, the formula for 2018 was:</w:t>
            </w:r>
          </w:p>
        </w:tc>
      </w:tr>
    </w:tbl>
    <w:p>
      <w:pPr>
        <w:spacing w:after="0" w:line="203" w:lineRule="exact"/>
        <w:rPr>
          <w:sz w:val="20"/>
          <w:szCs w:val="20"/>
          <w:color w:val="auto"/>
        </w:rPr>
      </w:pPr>
    </w:p>
    <w:p>
      <w:pPr>
        <w:ind w:left="2100" w:hanging="208"/>
        <w:spacing w:after="0"/>
        <w:tabs>
          <w:tab w:leader="none" w:pos="2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Below 10% company-level annual operating profit as a percentage of revenue (“Margin”): no profit sharing</w:t>
      </w:r>
    </w:p>
    <w:p>
      <w:pPr>
        <w:spacing w:after="0" w:line="17" w:lineRule="exact"/>
        <w:rPr>
          <w:rFonts w:ascii="Arial" w:cs="Arial" w:eastAsia="Arial" w:hAnsi="Arial"/>
          <w:sz w:val="18"/>
          <w:szCs w:val="18"/>
          <w:color w:val="auto"/>
        </w:rPr>
      </w:pPr>
    </w:p>
    <w:p>
      <w:pPr>
        <w:ind w:left="2080" w:hanging="188"/>
        <w:spacing w:after="0" w:line="234" w:lineRule="auto"/>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10% Margin: profit sharing = 2% of base salary</w:t>
      </w:r>
    </w:p>
    <w:p>
      <w:pPr>
        <w:ind w:left="2140" w:right="280" w:hanging="248"/>
        <w:spacing w:after="0" w:line="242" w:lineRule="auto"/>
        <w:tabs>
          <w:tab w:leader="none" w:pos="20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203" w:lineRule="exact"/>
        <w:rPr>
          <w:sz w:val="20"/>
          <w:szCs w:val="20"/>
          <w:color w:val="auto"/>
        </w:rPr>
      </w:pPr>
    </w:p>
    <w:p>
      <w:pPr>
        <w:ind w:left="1640" w:right="300"/>
        <w:spacing w:after="0" w:line="276" w:lineRule="auto"/>
        <w:rPr>
          <w:sz w:val="20"/>
          <w:szCs w:val="20"/>
          <w:color w:val="auto"/>
        </w:rPr>
      </w:pPr>
      <w:r>
        <w:rPr>
          <w:rFonts w:ascii="Arial" w:cs="Arial" w:eastAsia="Arial" w:hAnsi="Arial"/>
          <w:sz w:val="18"/>
          <w:szCs w:val="18"/>
          <w:color w:val="auto"/>
        </w:rPr>
        <w:t>In 2018, TI delivered Margin of 42.5 percent. As a result, all eligible employees, including executive officers, received profit sharing of 20 percent of base salary.</w:t>
      </w:r>
    </w:p>
    <w:p>
      <w:pPr>
        <w:spacing w:after="0" w:line="92"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40"/>
          </w:cols>
          <w:pgMar w:left="240" w:top="455" w:right="4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Performance Bonus</w:t>
      </w:r>
    </w:p>
    <w:p>
      <w:pPr>
        <w:spacing w:after="0" w:line="1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106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Purpose</w:t>
            </w:r>
          </w:p>
        </w:tc>
        <w:tc>
          <w:tcPr>
            <w:tcW w:w="9980" w:type="dxa"/>
            <w:vAlign w:val="bottom"/>
            <w:tcBorders>
              <w:top w:val="single" w:sz="8" w:color="auto"/>
            </w:tcBorders>
            <w:gridSpan w:val="2"/>
          </w:tcPr>
          <w:p>
            <w:pPr>
              <w:ind w:left="380"/>
              <w:spacing w:after="0" w:line="173" w:lineRule="exact"/>
              <w:rPr>
                <w:sz w:val="20"/>
                <w:szCs w:val="20"/>
                <w:color w:val="auto"/>
              </w:rPr>
            </w:pPr>
            <w:r>
              <w:rPr>
                <w:rFonts w:ascii="Arial" w:cs="Arial" w:eastAsia="Arial" w:hAnsi="Arial"/>
                <w:sz w:val="18"/>
                <w:szCs w:val="18"/>
                <w:color w:val="auto"/>
              </w:rPr>
              <w:t>To motivate executives and reward them according to the company’s relative and absolute performance and the</w:t>
            </w:r>
          </w:p>
        </w:tc>
      </w:tr>
      <w:tr>
        <w:trPr>
          <w:trHeight w:val="243"/>
        </w:trPr>
        <w:tc>
          <w:tcPr>
            <w:tcW w:w="1060" w:type="dxa"/>
            <w:vAlign w:val="bottom"/>
          </w:tcPr>
          <w:p>
            <w:pPr>
              <w:spacing w:after="0"/>
              <w:rPr>
                <w:sz w:val="21"/>
                <w:szCs w:val="21"/>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executive’s individual performance.</w:t>
            </w:r>
          </w:p>
        </w:tc>
      </w:tr>
      <w:tr>
        <w:trPr>
          <w:trHeight w:val="378"/>
        </w:trPr>
        <w:tc>
          <w:tcPr>
            <w:tcW w:w="1060" w:type="dxa"/>
            <w:vAlign w:val="bottom"/>
          </w:tcPr>
          <w:p>
            <w:pPr>
              <w:spacing w:after="0"/>
              <w:rPr>
                <w:sz w:val="20"/>
                <w:szCs w:val="20"/>
                <w:color w:val="auto"/>
              </w:rPr>
            </w:pPr>
            <w:r>
              <w:rPr>
                <w:rFonts w:ascii="Arial" w:cs="Arial" w:eastAsia="Arial" w:hAnsi="Arial"/>
                <w:sz w:val="18"/>
                <w:szCs w:val="18"/>
                <w:color w:val="auto"/>
              </w:rPr>
              <w:t>Strategy</w:t>
            </w: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Determined primarily on the basis of one-year and three-year company performance on certain measures (revenue</w:t>
            </w:r>
          </w:p>
        </w:tc>
      </w:tr>
      <w:tr>
        <w:trPr>
          <w:trHeight w:val="203"/>
        </w:trPr>
        <w:tc>
          <w:tcPr>
            <w:tcW w:w="1060" w:type="dxa"/>
            <w:vAlign w:val="bottom"/>
          </w:tcPr>
          <w:p>
            <w:pPr>
              <w:spacing w:after="0"/>
              <w:rPr>
                <w:sz w:val="17"/>
                <w:szCs w:val="17"/>
                <w:color w:val="auto"/>
              </w:rPr>
            </w:pPr>
          </w:p>
        </w:tc>
        <w:tc>
          <w:tcPr>
            <w:tcW w:w="9980" w:type="dxa"/>
            <w:vAlign w:val="bottom"/>
            <w:gridSpan w:val="2"/>
          </w:tcPr>
          <w:p>
            <w:pPr>
              <w:ind w:left="380"/>
              <w:spacing w:after="0" w:line="203" w:lineRule="exact"/>
              <w:rPr>
                <w:sz w:val="20"/>
                <w:szCs w:val="20"/>
                <w:color w:val="auto"/>
              </w:rPr>
            </w:pPr>
            <w:r>
              <w:rPr>
                <w:rFonts w:ascii="Arial" w:cs="Arial" w:eastAsia="Arial" w:hAnsi="Arial"/>
                <w:sz w:val="18"/>
                <w:szCs w:val="18"/>
                <w:color w:val="auto"/>
              </w:rPr>
              <w:t>growth percent, operating margin and total shareholder return</w:t>
            </w:r>
            <w:r>
              <w:rPr>
                <w:rFonts w:ascii="Arial" w:cs="Arial" w:eastAsia="Arial" w:hAnsi="Arial"/>
                <w:sz w:val="15"/>
                <w:szCs w:val="15"/>
                <w:color w:val="auto"/>
              </w:rPr>
              <w:t>1</w:t>
            </w:r>
            <w:r>
              <w:rPr>
                <w:rFonts w:ascii="Arial" w:cs="Arial" w:eastAsia="Arial" w:hAnsi="Arial"/>
                <w:sz w:val="18"/>
                <w:szCs w:val="18"/>
                <w:color w:val="auto"/>
              </w:rPr>
              <w:t>) as compared with competitors and on our strategic</w:t>
            </w:r>
          </w:p>
        </w:tc>
      </w:tr>
      <w:tr>
        <w:trPr>
          <w:trHeight w:val="203"/>
        </w:trPr>
        <w:tc>
          <w:tcPr>
            <w:tcW w:w="1060" w:type="dxa"/>
            <w:vAlign w:val="bottom"/>
          </w:tcPr>
          <w:p>
            <w:pPr>
              <w:spacing w:after="0"/>
              <w:rPr>
                <w:sz w:val="17"/>
                <w:szCs w:val="17"/>
                <w:color w:val="auto"/>
              </w:rPr>
            </w:pPr>
          </w:p>
        </w:tc>
        <w:tc>
          <w:tcPr>
            <w:tcW w:w="99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progress in key markets and with customers. These factors have been chosen to reflect our near-term financial</w:t>
            </w:r>
          </w:p>
        </w:tc>
      </w:tr>
      <w:tr>
        <w:trPr>
          <w:trHeight w:val="243"/>
        </w:trPr>
        <w:tc>
          <w:tcPr>
            <w:tcW w:w="1060" w:type="dxa"/>
            <w:vAlign w:val="bottom"/>
          </w:tcPr>
          <w:p>
            <w:pPr>
              <w:spacing w:after="0"/>
              <w:rPr>
                <w:sz w:val="21"/>
                <w:szCs w:val="21"/>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performance as well as our progress in building long-term shareholder value.</w:t>
            </w:r>
          </w:p>
        </w:tc>
      </w:tr>
      <w:tr>
        <w:trPr>
          <w:trHeight w:val="405"/>
        </w:trPr>
        <w:tc>
          <w:tcPr>
            <w:tcW w:w="1060" w:type="dxa"/>
            <w:vAlign w:val="bottom"/>
          </w:tcPr>
          <w:p>
            <w:pPr>
              <w:spacing w:after="0"/>
              <w:rPr>
                <w:sz w:val="24"/>
                <w:szCs w:val="24"/>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The committee aims to pay total cash compensation (base salary, profit sharing and bonus) appropriately above median</w:t>
            </w:r>
          </w:p>
        </w:tc>
      </w:tr>
      <w:tr>
        <w:trPr>
          <w:trHeight w:val="203"/>
        </w:trPr>
        <w:tc>
          <w:tcPr>
            <w:tcW w:w="1060" w:type="dxa"/>
            <w:vAlign w:val="bottom"/>
          </w:tcPr>
          <w:p>
            <w:pPr>
              <w:spacing w:after="0"/>
              <w:rPr>
                <w:sz w:val="17"/>
                <w:szCs w:val="17"/>
                <w:color w:val="auto"/>
              </w:rPr>
            </w:pPr>
          </w:p>
        </w:tc>
        <w:tc>
          <w:tcPr>
            <w:tcW w:w="99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if company performance is above that of competitors, and pay total cash compensation appropriately below the median</w:t>
            </w:r>
          </w:p>
        </w:tc>
      </w:tr>
      <w:tr>
        <w:trPr>
          <w:trHeight w:val="243"/>
        </w:trPr>
        <w:tc>
          <w:tcPr>
            <w:tcW w:w="1060" w:type="dxa"/>
            <w:vAlign w:val="bottom"/>
          </w:tcPr>
          <w:p>
            <w:pPr>
              <w:spacing w:after="0"/>
              <w:rPr>
                <w:sz w:val="21"/>
                <w:szCs w:val="21"/>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if company performance is below competitors.</w:t>
            </w:r>
          </w:p>
        </w:tc>
      </w:tr>
      <w:tr>
        <w:trPr>
          <w:trHeight w:val="405"/>
        </w:trPr>
        <w:tc>
          <w:tcPr>
            <w:tcW w:w="1060" w:type="dxa"/>
            <w:vAlign w:val="bottom"/>
          </w:tcPr>
          <w:p>
            <w:pPr>
              <w:spacing w:after="0"/>
              <w:rPr>
                <w:sz w:val="24"/>
                <w:szCs w:val="24"/>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The committee does not rely on formulas or performance targets or thresholds. Instead, it uses its judgment based on its</w:t>
            </w:r>
          </w:p>
        </w:tc>
      </w:tr>
      <w:tr>
        <w:trPr>
          <w:trHeight w:val="243"/>
        </w:trPr>
        <w:tc>
          <w:tcPr>
            <w:tcW w:w="1060" w:type="dxa"/>
            <w:vAlign w:val="bottom"/>
          </w:tcPr>
          <w:p>
            <w:pPr>
              <w:spacing w:after="0"/>
              <w:rPr>
                <w:sz w:val="21"/>
                <w:szCs w:val="21"/>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assessment of the factors described above.</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Terms</w:t>
            </w: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Determined by the committee and paid in a single payment after the performance year.</w:t>
            </w:r>
          </w:p>
        </w:tc>
      </w:tr>
      <w:tr>
        <w:trPr>
          <w:trHeight w:val="374"/>
        </w:trPr>
        <w:tc>
          <w:tcPr>
            <w:tcW w:w="11040" w:type="dxa"/>
            <w:vAlign w:val="bottom"/>
            <w:gridSpan w:val="3"/>
          </w:tcPr>
          <w:p>
            <w:pPr>
              <w:spacing w:after="0"/>
              <w:rPr>
                <w:sz w:val="20"/>
                <w:szCs w:val="20"/>
                <w:color w:val="auto"/>
              </w:rPr>
            </w:pPr>
            <w:r>
              <w:rPr>
                <w:rFonts w:ascii="Arial" w:cs="Arial" w:eastAsia="Arial" w:hAnsi="Arial"/>
                <w:sz w:val="18"/>
                <w:szCs w:val="18"/>
                <w:i w:val="1"/>
                <w:iCs w:val="1"/>
                <w:color w:val="auto"/>
              </w:rPr>
              <w:t>Long-term compensation, awarded in equity</w:t>
            </w:r>
          </w:p>
        </w:tc>
      </w:tr>
      <w:tr>
        <w:trPr>
          <w:trHeight w:val="412"/>
        </w:trPr>
        <w:tc>
          <w:tcPr>
            <w:tcW w:w="3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Stock Options and Restricted Stock Units</w:t>
            </w:r>
          </w:p>
        </w:tc>
        <w:tc>
          <w:tcPr>
            <w:tcW w:w="7540" w:type="dxa"/>
            <w:vAlign w:val="bottom"/>
            <w:tcBorders>
              <w:bottom w:val="single" w:sz="8" w:color="auto"/>
            </w:tcBorders>
          </w:tcPr>
          <w:p>
            <w:pPr>
              <w:spacing w:after="0"/>
              <w:rPr>
                <w:sz w:val="24"/>
                <w:szCs w:val="24"/>
                <w:color w:val="auto"/>
              </w:rPr>
            </w:pPr>
          </w:p>
        </w:tc>
      </w:tr>
      <w:tr>
        <w:trPr>
          <w:trHeight w:val="173"/>
        </w:trPr>
        <w:tc>
          <w:tcPr>
            <w:tcW w:w="1060" w:type="dxa"/>
            <w:vAlign w:val="bottom"/>
          </w:tcPr>
          <w:p>
            <w:pPr>
              <w:spacing w:after="0" w:line="173" w:lineRule="exact"/>
              <w:rPr>
                <w:sz w:val="20"/>
                <w:szCs w:val="20"/>
                <w:color w:val="auto"/>
              </w:rPr>
            </w:pPr>
            <w:r>
              <w:rPr>
                <w:rFonts w:ascii="Arial" w:cs="Arial" w:eastAsia="Arial" w:hAnsi="Arial"/>
                <w:sz w:val="18"/>
                <w:szCs w:val="18"/>
                <w:color w:val="auto"/>
              </w:rPr>
              <w:t>Purpose</w:t>
            </w:r>
          </w:p>
        </w:tc>
        <w:tc>
          <w:tcPr>
            <w:tcW w:w="9980" w:type="dxa"/>
            <w:vAlign w:val="bottom"/>
            <w:gridSpan w:val="2"/>
          </w:tcPr>
          <w:p>
            <w:pPr>
              <w:ind w:left="380"/>
              <w:spacing w:after="0" w:line="173" w:lineRule="exact"/>
              <w:rPr>
                <w:sz w:val="20"/>
                <w:szCs w:val="20"/>
                <w:color w:val="auto"/>
              </w:rPr>
            </w:pPr>
            <w:r>
              <w:rPr>
                <w:rFonts w:ascii="Arial" w:cs="Arial" w:eastAsia="Arial" w:hAnsi="Arial"/>
                <w:sz w:val="18"/>
                <w:szCs w:val="18"/>
                <w:color w:val="auto"/>
              </w:rPr>
              <w:t>Alignment with shareholders; long-term focus; balance retention, particularly with respect to restricted stock units, and</w:t>
            </w:r>
          </w:p>
        </w:tc>
      </w:tr>
      <w:tr>
        <w:trPr>
          <w:trHeight w:val="243"/>
        </w:trPr>
        <w:tc>
          <w:tcPr>
            <w:tcW w:w="1060" w:type="dxa"/>
            <w:vAlign w:val="bottom"/>
          </w:tcPr>
          <w:p>
            <w:pPr>
              <w:spacing w:after="0"/>
              <w:rPr>
                <w:sz w:val="21"/>
                <w:szCs w:val="21"/>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performance.</w:t>
            </w:r>
          </w:p>
        </w:tc>
      </w:tr>
      <w:tr>
        <w:trPr>
          <w:trHeight w:val="378"/>
        </w:trPr>
        <w:tc>
          <w:tcPr>
            <w:tcW w:w="1060" w:type="dxa"/>
            <w:vAlign w:val="bottom"/>
          </w:tcPr>
          <w:p>
            <w:pPr>
              <w:spacing w:after="0"/>
              <w:rPr>
                <w:sz w:val="20"/>
                <w:szCs w:val="20"/>
                <w:color w:val="auto"/>
              </w:rPr>
            </w:pPr>
            <w:r>
              <w:rPr>
                <w:rFonts w:ascii="Arial" w:cs="Arial" w:eastAsia="Arial" w:hAnsi="Arial"/>
                <w:sz w:val="18"/>
                <w:szCs w:val="18"/>
                <w:color w:val="auto"/>
              </w:rPr>
              <w:t>Strategy</w:t>
            </w: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We grant a combination of non-qualified stock options and restricted stock units, generally targeted at the median level</w:t>
            </w:r>
          </w:p>
        </w:tc>
      </w:tr>
      <w:tr>
        <w:trPr>
          <w:trHeight w:val="243"/>
        </w:trPr>
        <w:tc>
          <w:tcPr>
            <w:tcW w:w="1060" w:type="dxa"/>
            <w:vAlign w:val="bottom"/>
          </w:tcPr>
          <w:p>
            <w:pPr>
              <w:spacing w:after="0"/>
              <w:rPr>
                <w:sz w:val="21"/>
                <w:szCs w:val="21"/>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of equity compensation awarded to executives in similar positions within the Comparator Group.</w:t>
            </w:r>
          </w:p>
        </w:tc>
      </w:tr>
      <w:tr>
        <w:trPr>
          <w:trHeight w:val="378"/>
        </w:trPr>
        <w:tc>
          <w:tcPr>
            <w:tcW w:w="1060" w:type="dxa"/>
            <w:vAlign w:val="bottom"/>
          </w:tcPr>
          <w:p>
            <w:pPr>
              <w:spacing w:after="0"/>
              <w:rPr>
                <w:sz w:val="20"/>
                <w:szCs w:val="20"/>
                <w:color w:val="auto"/>
              </w:rPr>
            </w:pPr>
            <w:r>
              <w:rPr>
                <w:rFonts w:ascii="Arial" w:cs="Arial" w:eastAsia="Arial" w:hAnsi="Arial"/>
                <w:sz w:val="18"/>
                <w:szCs w:val="18"/>
                <w:color w:val="auto"/>
              </w:rPr>
              <w:t>Terms</w:t>
            </w: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The terms and conditions of stock options and restricted stock units are summarized under “Outstanding equity awards</w:t>
            </w:r>
          </w:p>
        </w:tc>
      </w:tr>
      <w:tr>
        <w:trPr>
          <w:trHeight w:val="243"/>
        </w:trPr>
        <w:tc>
          <w:tcPr>
            <w:tcW w:w="1060" w:type="dxa"/>
            <w:vAlign w:val="bottom"/>
          </w:tcPr>
          <w:p>
            <w:pPr>
              <w:spacing w:after="0"/>
              <w:rPr>
                <w:sz w:val="21"/>
                <w:szCs w:val="21"/>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at fiscal year-end 2018.” The committee’s grant procedures are described under “Process for equity grants.”</w:t>
            </w:r>
          </w:p>
        </w:tc>
      </w:tr>
    </w:tbl>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Comparator group</w:t>
      </w:r>
    </w:p>
    <w:p>
      <w:pPr>
        <w:spacing w:after="0" w:line="102"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The Compensation Committee considers the market level of compensation when setting the salary, bonuses and equity compensation of the executive officers.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committee sets the Comparator Group and reviews it annually. In general, the Comparator Group companies (i) are U.S.-based,</w:t>
      </w:r>
    </w:p>
    <w:p>
      <w:pPr>
        <w:spacing w:after="0" w:line="18" w:lineRule="exact"/>
        <w:rPr>
          <w:sz w:val="20"/>
          <w:szCs w:val="20"/>
          <w:color w:val="auto"/>
        </w:rPr>
      </w:pPr>
    </w:p>
    <w:p>
      <w:pPr>
        <w:ind w:left="200" w:right="20" w:firstLine="4"/>
        <w:spacing w:after="0" w:line="242" w:lineRule="auto"/>
        <w:tabs>
          <w:tab w:leader="none" w:pos="4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engage in the semiconductor business, other electronics or information technology activities or use sophisticated manufacturing processes, (iii) have executive positions comparable in complexity to those of TI and (iv) use forms of executive compensation comparable to TI’s.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Shown in the table below is the Comparator Group used for the compensation decisions for 2018.</w:t>
      </w:r>
    </w:p>
    <w:p>
      <w:pPr>
        <w:spacing w:after="0" w:line="293" w:lineRule="exact"/>
        <w:rPr>
          <w:sz w:val="20"/>
          <w:szCs w:val="20"/>
          <w:color w:val="auto"/>
        </w:rPr>
      </w:pPr>
    </w:p>
    <w:p>
      <w:pPr>
        <w:ind w:left="560"/>
        <w:spacing w:after="0"/>
        <w:tabs>
          <w:tab w:leader="none" w:pos="4300" w:val="left"/>
        </w:tabs>
        <w:rPr>
          <w:sz w:val="20"/>
          <w:szCs w:val="20"/>
          <w:color w:val="auto"/>
        </w:rPr>
      </w:pPr>
      <w:r>
        <w:rPr>
          <w:rFonts w:ascii="Arial" w:cs="Arial" w:eastAsia="Arial" w:hAnsi="Arial"/>
          <w:sz w:val="18"/>
          <w:szCs w:val="18"/>
          <w:color w:val="auto"/>
        </w:rPr>
        <w:t>3M Company</w:t>
      </w:r>
      <w:r>
        <w:rPr>
          <w:sz w:val="20"/>
          <w:szCs w:val="20"/>
          <w:color w:val="auto"/>
        </w:rPr>
        <w:tab/>
      </w:r>
      <w:r>
        <w:rPr>
          <w:rFonts w:ascii="Arial" w:cs="Arial" w:eastAsia="Arial" w:hAnsi="Arial"/>
          <w:sz w:val="17"/>
          <w:szCs w:val="17"/>
          <w:color w:val="auto"/>
        </w:rPr>
        <w:t>Honeywell International Inc.</w:t>
      </w:r>
    </w:p>
    <w:p>
      <w:pPr>
        <w:spacing w:after="0" w:line="13" w:lineRule="exact"/>
        <w:rPr>
          <w:sz w:val="20"/>
          <w:szCs w:val="20"/>
          <w:color w:val="auto"/>
        </w:rPr>
      </w:pPr>
    </w:p>
    <w:p>
      <w:pPr>
        <w:ind w:left="560"/>
        <w:spacing w:after="0"/>
        <w:tabs>
          <w:tab w:leader="none" w:pos="4300" w:val="left"/>
        </w:tabs>
        <w:rPr>
          <w:sz w:val="20"/>
          <w:szCs w:val="20"/>
          <w:color w:val="auto"/>
        </w:rPr>
      </w:pPr>
      <w:r>
        <w:rPr>
          <w:rFonts w:ascii="Arial" w:cs="Arial" w:eastAsia="Arial" w:hAnsi="Arial"/>
          <w:sz w:val="18"/>
          <w:szCs w:val="18"/>
          <w:color w:val="auto"/>
        </w:rPr>
        <w:t>Accenture plc</w:t>
      </w:r>
      <w:r>
        <w:rPr>
          <w:sz w:val="20"/>
          <w:szCs w:val="20"/>
          <w:color w:val="auto"/>
        </w:rPr>
        <w:tab/>
      </w:r>
      <w:r>
        <w:rPr>
          <w:rFonts w:ascii="Arial" w:cs="Arial" w:eastAsia="Arial" w:hAnsi="Arial"/>
          <w:sz w:val="17"/>
          <w:szCs w:val="17"/>
          <w:color w:val="auto"/>
        </w:rPr>
        <w:t>Intel Corporation</w:t>
      </w:r>
    </w:p>
    <w:p>
      <w:pPr>
        <w:ind w:left="560"/>
        <w:spacing w:after="0"/>
        <w:tabs>
          <w:tab w:leader="none" w:pos="4300" w:val="left"/>
        </w:tabs>
        <w:rPr>
          <w:sz w:val="20"/>
          <w:szCs w:val="20"/>
          <w:color w:val="auto"/>
        </w:rPr>
      </w:pPr>
      <w:r>
        <w:rPr>
          <w:rFonts w:ascii="Arial" w:cs="Arial" w:eastAsia="Arial" w:hAnsi="Arial"/>
          <w:sz w:val="18"/>
          <w:szCs w:val="18"/>
          <w:color w:val="auto"/>
        </w:rPr>
        <w:t>Analog Devices, Inc.</w:t>
      </w:r>
      <w:r>
        <w:rPr>
          <w:sz w:val="20"/>
          <w:szCs w:val="20"/>
          <w:color w:val="auto"/>
        </w:rPr>
        <w:tab/>
      </w:r>
      <w:r>
        <w:rPr>
          <w:rFonts w:ascii="Arial" w:cs="Arial" w:eastAsia="Arial" w:hAnsi="Arial"/>
          <w:sz w:val="17"/>
          <w:szCs w:val="17"/>
          <w:color w:val="auto"/>
        </w:rPr>
        <w:t>Medtronic Public Limited Company</w:t>
      </w:r>
    </w:p>
    <w:p>
      <w:pPr>
        <w:ind w:left="560"/>
        <w:spacing w:after="0"/>
        <w:tabs>
          <w:tab w:leader="none" w:pos="4300" w:val="left"/>
        </w:tabs>
        <w:rPr>
          <w:sz w:val="20"/>
          <w:szCs w:val="20"/>
          <w:color w:val="auto"/>
        </w:rPr>
      </w:pPr>
      <w:r>
        <w:rPr>
          <w:rFonts w:ascii="Arial" w:cs="Arial" w:eastAsia="Arial" w:hAnsi="Arial"/>
          <w:sz w:val="18"/>
          <w:szCs w:val="18"/>
          <w:color w:val="auto"/>
        </w:rPr>
        <w:t>Applied Materials, Inc.</w:t>
      </w:r>
      <w:r>
        <w:rPr>
          <w:sz w:val="20"/>
          <w:szCs w:val="20"/>
          <w:color w:val="auto"/>
        </w:rPr>
        <w:tab/>
      </w:r>
      <w:r>
        <w:rPr>
          <w:rFonts w:ascii="Arial" w:cs="Arial" w:eastAsia="Arial" w:hAnsi="Arial"/>
          <w:sz w:val="17"/>
          <w:szCs w:val="17"/>
          <w:color w:val="auto"/>
        </w:rPr>
        <w:t>Motorola Solutions, Inc.</w:t>
      </w:r>
    </w:p>
    <w:p>
      <w:pPr>
        <w:ind w:left="560"/>
        <w:spacing w:after="0"/>
        <w:tabs>
          <w:tab w:leader="none" w:pos="4300" w:val="left"/>
        </w:tabs>
        <w:rPr>
          <w:sz w:val="20"/>
          <w:szCs w:val="20"/>
          <w:color w:val="auto"/>
        </w:rPr>
      </w:pPr>
      <w:r>
        <w:rPr>
          <w:rFonts w:ascii="Arial" w:cs="Arial" w:eastAsia="Arial" w:hAnsi="Arial"/>
          <w:sz w:val="18"/>
          <w:szCs w:val="18"/>
          <w:color w:val="auto"/>
        </w:rPr>
        <w:t>Broadcom Inc.*</w:t>
      </w:r>
      <w:r>
        <w:rPr>
          <w:sz w:val="20"/>
          <w:szCs w:val="20"/>
          <w:color w:val="auto"/>
        </w:rPr>
        <w:tab/>
      </w:r>
      <w:r>
        <w:rPr>
          <w:rFonts w:ascii="Arial" w:cs="Arial" w:eastAsia="Arial" w:hAnsi="Arial"/>
          <w:sz w:val="17"/>
          <w:szCs w:val="17"/>
          <w:color w:val="auto"/>
        </w:rPr>
        <w:t>QUALCOMM Incorporated</w:t>
      </w:r>
    </w:p>
    <w:p>
      <w:pPr>
        <w:ind w:left="560"/>
        <w:spacing w:after="0"/>
        <w:tabs>
          <w:tab w:leader="none" w:pos="4300" w:val="left"/>
        </w:tabs>
        <w:rPr>
          <w:sz w:val="20"/>
          <w:szCs w:val="20"/>
          <w:color w:val="auto"/>
        </w:rPr>
      </w:pPr>
      <w:r>
        <w:rPr>
          <w:rFonts w:ascii="Arial" w:cs="Arial" w:eastAsia="Arial" w:hAnsi="Arial"/>
          <w:sz w:val="18"/>
          <w:szCs w:val="18"/>
          <w:color w:val="auto"/>
        </w:rPr>
        <w:t>Cisco Systems, Inc.</w:t>
      </w:r>
      <w:r>
        <w:rPr>
          <w:sz w:val="20"/>
          <w:szCs w:val="20"/>
          <w:color w:val="auto"/>
        </w:rPr>
        <w:tab/>
      </w:r>
      <w:r>
        <w:rPr>
          <w:rFonts w:ascii="Arial" w:cs="Arial" w:eastAsia="Arial" w:hAnsi="Arial"/>
          <w:sz w:val="17"/>
          <w:szCs w:val="17"/>
          <w:color w:val="auto"/>
        </w:rPr>
        <w:t>TE Connectivity Ltd.</w:t>
      </w:r>
    </w:p>
    <w:p>
      <w:pPr>
        <w:ind w:left="560"/>
        <w:spacing w:after="0"/>
        <w:tabs>
          <w:tab w:leader="none" w:pos="4300" w:val="left"/>
        </w:tabs>
        <w:rPr>
          <w:sz w:val="20"/>
          <w:szCs w:val="20"/>
          <w:color w:val="auto"/>
        </w:rPr>
      </w:pPr>
      <w:r>
        <w:rPr>
          <w:rFonts w:ascii="Arial" w:cs="Arial" w:eastAsia="Arial" w:hAnsi="Arial"/>
          <w:sz w:val="18"/>
          <w:szCs w:val="18"/>
          <w:color w:val="auto"/>
        </w:rPr>
        <w:t>Corning Incorporated</w:t>
      </w:r>
      <w:r>
        <w:rPr>
          <w:sz w:val="20"/>
          <w:szCs w:val="20"/>
          <w:color w:val="auto"/>
        </w:rPr>
        <w:tab/>
      </w:r>
      <w:r>
        <w:rPr>
          <w:rFonts w:ascii="Arial" w:cs="Arial" w:eastAsia="Arial" w:hAnsi="Arial"/>
          <w:sz w:val="17"/>
          <w:szCs w:val="17"/>
          <w:color w:val="auto"/>
        </w:rPr>
        <w:t>Thermo Fisher Scientific Inc.</w:t>
      </w:r>
    </w:p>
    <w:p>
      <w:pPr>
        <w:ind w:left="560"/>
        <w:spacing w:after="0"/>
        <w:tabs>
          <w:tab w:leader="none" w:pos="4300" w:val="left"/>
        </w:tabs>
        <w:rPr>
          <w:sz w:val="20"/>
          <w:szCs w:val="20"/>
          <w:color w:val="auto"/>
        </w:rPr>
      </w:pPr>
      <w:r>
        <w:rPr>
          <w:rFonts w:ascii="Arial" w:cs="Arial" w:eastAsia="Arial" w:hAnsi="Arial"/>
          <w:sz w:val="18"/>
          <w:szCs w:val="18"/>
          <w:color w:val="auto"/>
        </w:rPr>
        <w:t>DXC Technology Company</w:t>
      </w:r>
      <w:r>
        <w:rPr>
          <w:sz w:val="20"/>
          <w:szCs w:val="20"/>
          <w:color w:val="auto"/>
        </w:rPr>
        <w:tab/>
      </w:r>
      <w:r>
        <w:rPr>
          <w:rFonts w:ascii="Arial" w:cs="Arial" w:eastAsia="Arial" w:hAnsi="Arial"/>
          <w:sz w:val="17"/>
          <w:szCs w:val="17"/>
          <w:color w:val="auto"/>
        </w:rPr>
        <w:t>Western Digital Corporation</w:t>
      </w:r>
    </w:p>
    <w:p>
      <w:pPr>
        <w:ind w:left="560"/>
        <w:spacing w:after="0"/>
        <w:rPr>
          <w:sz w:val="20"/>
          <w:szCs w:val="20"/>
          <w:color w:val="auto"/>
        </w:rPr>
      </w:pPr>
      <w:r>
        <w:rPr>
          <w:rFonts w:ascii="Arial" w:cs="Arial" w:eastAsia="Arial" w:hAnsi="Arial"/>
          <w:sz w:val="18"/>
          <w:szCs w:val="18"/>
          <w:color w:val="auto"/>
        </w:rPr>
        <w:t>Emerson Electric Co.</w:t>
      </w:r>
    </w:p>
    <w:p>
      <w:pPr>
        <w:spacing w:after="0" w:line="365" w:lineRule="exact"/>
        <w:rPr>
          <w:sz w:val="20"/>
          <w:szCs w:val="20"/>
          <w:color w:val="auto"/>
        </w:rPr>
      </w:pPr>
    </w:p>
    <w:p>
      <w:pPr>
        <w:ind w:left="860" w:hanging="224"/>
        <w:spacing w:after="0"/>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formerly Broadcom Limited</w:t>
      </w:r>
    </w:p>
    <w:p>
      <w:pPr>
        <w:spacing w:after="0" w:line="184" w:lineRule="exact"/>
        <w:rPr>
          <w:rFonts w:ascii="Arial" w:cs="Arial" w:eastAsia="Arial" w:hAnsi="Arial"/>
          <w:sz w:val="18"/>
          <w:szCs w:val="18"/>
          <w:color w:val="auto"/>
        </w:rPr>
      </w:pPr>
    </w:p>
    <w:p>
      <w:pPr>
        <w:ind w:left="420" w:right="40" w:hanging="216"/>
        <w:spacing w:after="0" w:line="256" w:lineRule="auto"/>
        <w:rPr>
          <w:rFonts w:ascii="Arial" w:cs="Arial" w:eastAsia="Arial" w:hAnsi="Arial"/>
          <w:sz w:val="18"/>
          <w:szCs w:val="18"/>
          <w:color w:val="auto"/>
        </w:rPr>
      </w:pPr>
      <w:r>
        <w:rPr>
          <w:rFonts w:ascii="Arial" w:cs="Arial" w:eastAsia="Arial" w:hAnsi="Arial"/>
          <w:sz w:val="15"/>
          <w:szCs w:val="15"/>
          <w:color w:val="auto"/>
        </w:rPr>
        <w:t xml:space="preserve">1 </w:t>
      </w:r>
      <w:r>
        <w:rPr>
          <w:rFonts w:ascii="Arial" w:cs="Arial" w:eastAsia="Arial" w:hAnsi="Arial"/>
          <w:sz w:val="18"/>
          <w:szCs w:val="18"/>
          <w:color w:val="auto"/>
        </w:rPr>
        <w:t>Total shareholder return refers to the percentage change in the value of a shareholder’s investment in a company over the relevant time</w:t>
      </w:r>
      <w:r>
        <w:rPr>
          <w:rFonts w:ascii="Arial" w:cs="Arial" w:eastAsia="Arial" w:hAnsi="Arial"/>
          <w:sz w:val="15"/>
          <w:szCs w:val="15"/>
          <w:color w:val="auto"/>
        </w:rPr>
        <w:t xml:space="preserve"> </w:t>
      </w:r>
      <w:r>
        <w:rPr>
          <w:rFonts w:ascii="Arial" w:cs="Arial" w:eastAsia="Arial" w:hAnsi="Arial"/>
          <w:sz w:val="18"/>
          <w:szCs w:val="18"/>
          <w:color w:val="auto"/>
        </w:rPr>
        <w:t>period, as determined by dividends paid and the change in the company’s share price during the period. See notes to the performance summary table under “Analysis of compensation determinations –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-439420</wp:posOffset>
            </wp:positionV>
            <wp:extent cx="6946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ectPr>
          <w:pgSz w:w="11900" w:h="16838" w:orient="portrait"/>
          <w:cols w:equalWidth="0" w:num="1">
            <w:col w:w="11240"/>
          </w:cols>
          <w:pgMar w:left="240" w:top="455" w:right="419" w:bottom="1440" w:gutter="0" w:footer="0" w:header="0"/>
        </w:sectPr>
      </w:pPr>
    </w:p>
    <w:p>
      <w:pPr>
        <w:spacing w:after="0" w:line="95" w:lineRule="exact"/>
        <w:rPr>
          <w:sz w:val="20"/>
          <w:szCs w:val="20"/>
          <w:color w:val="auto"/>
        </w:rPr>
      </w:pPr>
    </w:p>
    <w:p>
      <w:pPr>
        <w:ind w:left="4120"/>
        <w:spacing w:after="0"/>
        <w:tabs>
          <w:tab w:leader="none" w:pos="5600" w:val="left"/>
          <w:tab w:leader="none" w:pos="5780" w:val="left"/>
          <w:tab w:leader="none" w:pos="11060" w:val="left"/>
        </w:tabs>
        <w:rPr>
          <w:sz w:val="20"/>
          <w:szCs w:val="20"/>
          <w:color w:val="auto"/>
        </w:rPr>
      </w:pPr>
      <w:r>
        <w:rPr>
          <w:rFonts w:ascii="Arial" w:cs="Arial" w:eastAsia="Arial" w:hAnsi="Arial"/>
          <w:sz w:val="13"/>
          <w:szCs w:val="13"/>
          <w:color w:val="666666"/>
        </w:rPr>
        <w:t>TEXAS INSTRUMENTS</w:t>
        <w:tab/>
        <w:t>•</w:t>
        <w:tab/>
        <w:t>2019 PROXY STATEMENT</w:t>
      </w:r>
      <w:r>
        <w:rPr>
          <w:sz w:val="20"/>
          <w:szCs w:val="20"/>
          <w:color w:val="auto"/>
        </w:rPr>
        <w:tab/>
      </w:r>
      <w:r>
        <w:rPr>
          <w:rFonts w:ascii="Arial" w:cs="Arial" w:eastAsia="Arial" w:hAnsi="Arial"/>
          <w:sz w:val="12"/>
          <w:szCs w:val="12"/>
          <w:color w:val="666666"/>
        </w:rPr>
        <w:t>21</w:t>
      </w:r>
    </w:p>
    <w:p>
      <w:pPr>
        <w:sectPr>
          <w:pgSz w:w="11900" w:h="16838" w:orient="portrait"/>
          <w:cols w:equalWidth="0" w:num="1">
            <w:col w:w="11240"/>
          </w:cols>
          <w:pgMar w:left="240" w:top="455" w:right="41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280"/>
        <w:spacing w:after="0" w:line="255" w:lineRule="auto"/>
        <w:rPr>
          <w:sz w:val="20"/>
          <w:szCs w:val="20"/>
          <w:color w:val="auto"/>
        </w:rPr>
      </w:pPr>
      <w:r>
        <w:rPr>
          <w:rFonts w:ascii="Arial" w:cs="Arial" w:eastAsia="Arial" w:hAnsi="Arial"/>
          <w:sz w:val="18"/>
          <w:szCs w:val="18"/>
          <w:color w:val="auto"/>
        </w:rPr>
        <w:t>The committee set the Comparator Group in July 2017 for the base salary and equity compensation decisions it made in 2018. For a discussion of the factors considered by the committee in setting the Comparator Group in July 2017, please see “Comparator group” on pages 20-21 of the company’s 2018 proxy statement.</w:t>
      </w:r>
    </w:p>
    <w:p>
      <w:pPr>
        <w:spacing w:after="0" w:line="164" w:lineRule="exact"/>
        <w:rPr>
          <w:sz w:val="20"/>
          <w:szCs w:val="20"/>
          <w:color w:val="auto"/>
        </w:rPr>
      </w:pPr>
    </w:p>
    <w:p>
      <w:pPr>
        <w:ind w:left="200" w:right="100"/>
        <w:spacing w:after="0" w:line="248" w:lineRule="auto"/>
        <w:rPr>
          <w:sz w:val="20"/>
          <w:szCs w:val="20"/>
          <w:color w:val="auto"/>
        </w:rPr>
      </w:pPr>
      <w:r>
        <w:rPr>
          <w:rFonts w:ascii="Arial" w:cs="Arial" w:eastAsia="Arial" w:hAnsi="Arial"/>
          <w:sz w:val="18"/>
          <w:szCs w:val="18"/>
          <w:color w:val="auto"/>
        </w:rPr>
        <w:t>In July 2018, the committee conducted its regular review of the Comparator Group in terms of industry, revenue and market capitalization. With the advice of its compensation consultant and to increase the group’s overall comparability to TI, the committee added Nvidia Corporation to the group. The committee used the new Comparator Group for the bonus decisions in January 2019 relating to 2018 performance. The table below compares the current Comparator Group to TI in terms of revenue and market capitalization.</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080" w:type="dxa"/>
            <w:vAlign w:val="bottom"/>
          </w:tcPr>
          <w:p>
            <w:pPr>
              <w:jc w:val="right"/>
              <w:ind w:right="332"/>
              <w:spacing w:after="0"/>
              <w:rPr>
                <w:sz w:val="20"/>
                <w:szCs w:val="20"/>
                <w:color w:val="auto"/>
              </w:rPr>
            </w:pPr>
            <w:r>
              <w:rPr>
                <w:rFonts w:ascii="Arial" w:cs="Arial" w:eastAsia="Arial" w:hAnsi="Arial"/>
                <w:sz w:val="14"/>
                <w:szCs w:val="14"/>
                <w:b w:val="1"/>
                <w:bCs w:val="1"/>
                <w:color w:val="auto"/>
              </w:rPr>
              <w:t>Revenue</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Market Cap</w:t>
            </w:r>
          </w:p>
        </w:tc>
      </w:tr>
      <w:tr>
        <w:trPr>
          <w:trHeight w:val="191"/>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4080" w:type="dxa"/>
            <w:vAlign w:val="bottom"/>
          </w:tcPr>
          <w:p>
            <w:pPr>
              <w:jc w:val="right"/>
              <w:ind w:right="252"/>
              <w:spacing w:after="0"/>
              <w:rPr>
                <w:sz w:val="20"/>
                <w:szCs w:val="20"/>
                <w:color w:val="auto"/>
              </w:rPr>
            </w:pPr>
            <w:r>
              <w:rPr>
                <w:rFonts w:ascii="Arial" w:cs="Arial" w:eastAsia="Arial" w:hAnsi="Arial"/>
                <w:sz w:val="14"/>
                <w:szCs w:val="14"/>
                <w:b w:val="1"/>
                <w:bCs w:val="1"/>
                <w:color w:val="auto"/>
              </w:rPr>
              <w:t>($ Billion) *</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 Billion) *</w:t>
            </w:r>
          </w:p>
        </w:tc>
      </w:tr>
      <w:tr>
        <w:trPr>
          <w:trHeight w:val="196"/>
        </w:trPr>
        <w:tc>
          <w:tcPr>
            <w:tcW w:w="20" w:type="dxa"/>
            <w:vAlign w:val="bottom"/>
          </w:tcPr>
          <w:p>
            <w:pPr>
              <w:spacing w:after="0"/>
              <w:rPr>
                <w:sz w:val="17"/>
                <w:szCs w:val="17"/>
                <w:color w:val="auto"/>
              </w:rPr>
            </w:pPr>
          </w:p>
        </w:tc>
        <w:tc>
          <w:tcPr>
            <w:tcW w:w="576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Intel Corporation</w:t>
            </w:r>
          </w:p>
        </w:tc>
        <w:tc>
          <w:tcPr>
            <w:tcW w:w="4080" w:type="dxa"/>
            <w:vAlign w:val="bottom"/>
            <w:tcBorders>
              <w:top w:val="single" w:sz="8" w:color="auto"/>
            </w:tcBorders>
            <w:shd w:val="clear" w:color="auto" w:fill="E5E5E5"/>
          </w:tcPr>
          <w:p>
            <w:pPr>
              <w:jc w:val="right"/>
              <w:ind w:right="352"/>
              <w:spacing w:after="0" w:line="196" w:lineRule="exact"/>
              <w:rPr>
                <w:sz w:val="20"/>
                <w:szCs w:val="20"/>
                <w:color w:val="auto"/>
              </w:rPr>
            </w:pPr>
            <w:r>
              <w:rPr>
                <w:rFonts w:ascii="Arial" w:cs="Arial" w:eastAsia="Arial" w:hAnsi="Arial"/>
                <w:sz w:val="18"/>
                <w:szCs w:val="18"/>
                <w:color w:val="auto"/>
              </w:rPr>
              <w:t>69.2</w:t>
            </w:r>
          </w:p>
        </w:tc>
        <w:tc>
          <w:tcPr>
            <w:tcW w:w="1180" w:type="dxa"/>
            <w:vAlign w:val="bottom"/>
            <w:tcBorders>
              <w:top w:val="single" w:sz="8" w:color="auto"/>
            </w:tcBorders>
            <w:shd w:val="clear" w:color="auto" w:fill="E5E5E5"/>
          </w:tcPr>
          <w:p>
            <w:pPr>
              <w:jc w:val="right"/>
              <w:ind w:right="72"/>
              <w:spacing w:after="0" w:line="196" w:lineRule="exact"/>
              <w:rPr>
                <w:sz w:val="20"/>
                <w:szCs w:val="20"/>
                <w:color w:val="auto"/>
              </w:rPr>
            </w:pPr>
            <w:r>
              <w:rPr>
                <w:rFonts w:ascii="Arial" w:cs="Arial" w:eastAsia="Arial" w:hAnsi="Arial"/>
                <w:sz w:val="18"/>
                <w:szCs w:val="18"/>
                <w:color w:val="auto"/>
              </w:rPr>
              <w:t>214.2</w:t>
            </w: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Cisco Systems, Inc.</w:t>
            </w:r>
          </w:p>
        </w:tc>
        <w:tc>
          <w:tcPr>
            <w:tcW w:w="40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50.3</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194.8</w:t>
            </w:r>
          </w:p>
        </w:tc>
      </w:tr>
      <w:tr>
        <w:trPr>
          <w:trHeight w:val="203"/>
        </w:trPr>
        <w:tc>
          <w:tcPr>
            <w:tcW w:w="20" w:type="dxa"/>
            <w:vAlign w:val="bottom"/>
          </w:tcPr>
          <w:p>
            <w:pPr>
              <w:spacing w:after="0"/>
              <w:rPr>
                <w:sz w:val="17"/>
                <w:szCs w:val="17"/>
                <w:color w:val="auto"/>
              </w:rPr>
            </w:pPr>
          </w:p>
        </w:tc>
        <w:tc>
          <w:tcPr>
            <w:tcW w:w="5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Honeywell International Inc.</w:t>
            </w:r>
          </w:p>
        </w:tc>
        <w:tc>
          <w:tcPr>
            <w:tcW w:w="408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42.9</w:t>
            </w:r>
          </w:p>
        </w:tc>
        <w:tc>
          <w:tcPr>
            <w:tcW w:w="11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98.1</w:t>
            </w: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Accenture plc</w:t>
            </w:r>
          </w:p>
        </w:tc>
        <w:tc>
          <w:tcPr>
            <w:tcW w:w="40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40.7</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93.9</w:t>
            </w:r>
          </w:p>
        </w:tc>
      </w:tr>
      <w:tr>
        <w:trPr>
          <w:trHeight w:val="203"/>
        </w:trPr>
        <w:tc>
          <w:tcPr>
            <w:tcW w:w="20" w:type="dxa"/>
            <w:vAlign w:val="bottom"/>
          </w:tcPr>
          <w:p>
            <w:pPr>
              <w:spacing w:after="0"/>
              <w:rPr>
                <w:sz w:val="17"/>
                <w:szCs w:val="17"/>
                <w:color w:val="auto"/>
              </w:rPr>
            </w:pPr>
          </w:p>
        </w:tc>
        <w:tc>
          <w:tcPr>
            <w:tcW w:w="5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3M Company</w:t>
            </w:r>
          </w:p>
        </w:tc>
        <w:tc>
          <w:tcPr>
            <w:tcW w:w="408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32.8</w:t>
            </w:r>
          </w:p>
        </w:tc>
        <w:tc>
          <w:tcPr>
            <w:tcW w:w="11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110.9</w:t>
            </w: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Medtronic Public Limited Company</w:t>
            </w:r>
          </w:p>
        </w:tc>
        <w:tc>
          <w:tcPr>
            <w:tcW w:w="40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30.4</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122.2</w:t>
            </w:r>
          </w:p>
        </w:tc>
      </w:tr>
      <w:tr>
        <w:trPr>
          <w:trHeight w:val="203"/>
        </w:trPr>
        <w:tc>
          <w:tcPr>
            <w:tcW w:w="20" w:type="dxa"/>
            <w:vAlign w:val="bottom"/>
          </w:tcPr>
          <w:p>
            <w:pPr>
              <w:spacing w:after="0"/>
              <w:rPr>
                <w:sz w:val="17"/>
                <w:szCs w:val="17"/>
                <w:color w:val="auto"/>
              </w:rPr>
            </w:pPr>
          </w:p>
        </w:tc>
        <w:tc>
          <w:tcPr>
            <w:tcW w:w="5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Thermo Fisher Scientific Inc.</w:t>
            </w:r>
          </w:p>
        </w:tc>
        <w:tc>
          <w:tcPr>
            <w:tcW w:w="408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23.9</w:t>
            </w:r>
          </w:p>
        </w:tc>
        <w:tc>
          <w:tcPr>
            <w:tcW w:w="11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90.1</w:t>
            </w: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DXC Technology Company</w:t>
            </w:r>
          </w:p>
        </w:tc>
        <w:tc>
          <w:tcPr>
            <w:tcW w:w="40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22.8</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14.9</w:t>
            </w:r>
          </w:p>
        </w:tc>
      </w:tr>
      <w:tr>
        <w:trPr>
          <w:trHeight w:val="203"/>
        </w:trPr>
        <w:tc>
          <w:tcPr>
            <w:tcW w:w="20" w:type="dxa"/>
            <w:vAlign w:val="bottom"/>
          </w:tcPr>
          <w:p>
            <w:pPr>
              <w:spacing w:after="0"/>
              <w:rPr>
                <w:sz w:val="17"/>
                <w:szCs w:val="17"/>
                <w:color w:val="auto"/>
              </w:rPr>
            </w:pPr>
          </w:p>
        </w:tc>
        <w:tc>
          <w:tcPr>
            <w:tcW w:w="5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QUALCOMM Incorporated</w:t>
            </w:r>
          </w:p>
        </w:tc>
        <w:tc>
          <w:tcPr>
            <w:tcW w:w="408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22.7</w:t>
            </w:r>
          </w:p>
        </w:tc>
        <w:tc>
          <w:tcPr>
            <w:tcW w:w="11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69.0</w:t>
            </w: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Broadcom Inc.</w:t>
            </w:r>
          </w:p>
        </w:tc>
        <w:tc>
          <w:tcPr>
            <w:tcW w:w="40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20.8</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103.6</w:t>
            </w:r>
          </w:p>
        </w:tc>
      </w:tr>
      <w:tr>
        <w:trPr>
          <w:trHeight w:val="203"/>
        </w:trPr>
        <w:tc>
          <w:tcPr>
            <w:tcW w:w="20" w:type="dxa"/>
            <w:vAlign w:val="bottom"/>
          </w:tcPr>
          <w:p>
            <w:pPr>
              <w:spacing w:after="0"/>
              <w:rPr>
                <w:sz w:val="17"/>
                <w:szCs w:val="17"/>
                <w:color w:val="auto"/>
              </w:rPr>
            </w:pPr>
          </w:p>
        </w:tc>
        <w:tc>
          <w:tcPr>
            <w:tcW w:w="5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Western Digital Corporation</w:t>
            </w:r>
          </w:p>
        </w:tc>
        <w:tc>
          <w:tcPr>
            <w:tcW w:w="408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20.5</w:t>
            </w:r>
          </w:p>
        </w:tc>
        <w:tc>
          <w:tcPr>
            <w:tcW w:w="11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10.7</w:t>
            </w: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Emerson Electric Co.</w:t>
            </w:r>
          </w:p>
        </w:tc>
        <w:tc>
          <w:tcPr>
            <w:tcW w:w="40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17.4</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37.4</w:t>
            </w:r>
          </w:p>
        </w:tc>
      </w:tr>
      <w:tr>
        <w:trPr>
          <w:trHeight w:val="203"/>
        </w:trPr>
        <w:tc>
          <w:tcPr>
            <w:tcW w:w="20" w:type="dxa"/>
            <w:vAlign w:val="bottom"/>
          </w:tcPr>
          <w:p>
            <w:pPr>
              <w:spacing w:after="0"/>
              <w:rPr>
                <w:sz w:val="17"/>
                <w:szCs w:val="17"/>
                <w:color w:val="auto"/>
              </w:rPr>
            </w:pPr>
          </w:p>
        </w:tc>
        <w:tc>
          <w:tcPr>
            <w:tcW w:w="5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Applied Materials, Inc.</w:t>
            </w:r>
          </w:p>
        </w:tc>
        <w:tc>
          <w:tcPr>
            <w:tcW w:w="408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17.3</w:t>
            </w:r>
          </w:p>
        </w:tc>
        <w:tc>
          <w:tcPr>
            <w:tcW w:w="11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31.4</w:t>
            </w: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TE Connectivity Ltd.</w:t>
            </w:r>
          </w:p>
        </w:tc>
        <w:tc>
          <w:tcPr>
            <w:tcW w:w="40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14.0</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25.9</w:t>
            </w:r>
          </w:p>
        </w:tc>
      </w:tr>
      <w:tr>
        <w:trPr>
          <w:trHeight w:val="203"/>
        </w:trPr>
        <w:tc>
          <w:tcPr>
            <w:tcW w:w="20" w:type="dxa"/>
            <w:vAlign w:val="bottom"/>
          </w:tcPr>
          <w:p>
            <w:pPr>
              <w:spacing w:after="0"/>
              <w:rPr>
                <w:sz w:val="17"/>
                <w:szCs w:val="17"/>
                <w:color w:val="auto"/>
              </w:rPr>
            </w:pPr>
          </w:p>
        </w:tc>
        <w:tc>
          <w:tcPr>
            <w:tcW w:w="5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Nvidia Corporation</w:t>
            </w:r>
          </w:p>
        </w:tc>
        <w:tc>
          <w:tcPr>
            <w:tcW w:w="408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12.4</w:t>
            </w:r>
          </w:p>
        </w:tc>
        <w:tc>
          <w:tcPr>
            <w:tcW w:w="11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81.4</w:t>
            </w: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Corning Incorporated</w:t>
            </w:r>
          </w:p>
        </w:tc>
        <w:tc>
          <w:tcPr>
            <w:tcW w:w="40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10.9</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24.2</w:t>
            </w:r>
          </w:p>
        </w:tc>
      </w:tr>
      <w:tr>
        <w:trPr>
          <w:trHeight w:val="203"/>
        </w:trPr>
        <w:tc>
          <w:tcPr>
            <w:tcW w:w="20" w:type="dxa"/>
            <w:vAlign w:val="bottom"/>
          </w:tcPr>
          <w:p>
            <w:pPr>
              <w:spacing w:after="0"/>
              <w:rPr>
                <w:sz w:val="17"/>
                <w:szCs w:val="17"/>
                <w:color w:val="auto"/>
              </w:rPr>
            </w:pPr>
          </w:p>
        </w:tc>
        <w:tc>
          <w:tcPr>
            <w:tcW w:w="5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Motorola Solutions, Inc.</w:t>
            </w:r>
          </w:p>
        </w:tc>
        <w:tc>
          <w:tcPr>
            <w:tcW w:w="408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7.0</w:t>
            </w:r>
          </w:p>
        </w:tc>
        <w:tc>
          <w:tcPr>
            <w:tcW w:w="11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18.8</w:t>
            </w:r>
          </w:p>
        </w:tc>
      </w:tr>
      <w:tr>
        <w:trPr>
          <w:trHeight w:val="243"/>
        </w:trPr>
        <w:tc>
          <w:tcPr>
            <w:tcW w:w="20" w:type="dxa"/>
            <w:vAlign w:val="bottom"/>
          </w:tcPr>
          <w:p>
            <w:pPr>
              <w:spacing w:after="0"/>
              <w:rPr>
                <w:sz w:val="21"/>
                <w:szCs w:val="21"/>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Analog Devices, Inc.</w:t>
            </w:r>
          </w:p>
        </w:tc>
        <w:tc>
          <w:tcPr>
            <w:tcW w:w="4080" w:type="dxa"/>
            <w:vAlign w:val="bottom"/>
          </w:tcPr>
          <w:p>
            <w:pPr>
              <w:jc w:val="right"/>
              <w:ind w:right="352"/>
              <w:spacing w:after="0"/>
              <w:rPr>
                <w:sz w:val="20"/>
                <w:szCs w:val="20"/>
                <w:color w:val="auto"/>
              </w:rPr>
            </w:pPr>
            <w:r>
              <w:rPr>
                <w:rFonts w:ascii="Arial" w:cs="Arial" w:eastAsia="Arial" w:hAnsi="Arial"/>
                <w:sz w:val="18"/>
                <w:szCs w:val="18"/>
                <w:color w:val="auto"/>
              </w:rPr>
              <w:t>6.2</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31.8</w:t>
            </w:r>
          </w:p>
        </w:tc>
      </w:tr>
      <w:tr>
        <w:trPr>
          <w:trHeight w:val="54"/>
        </w:trPr>
        <w:tc>
          <w:tcPr>
            <w:tcW w:w="5780" w:type="dxa"/>
            <w:vAlign w:val="bottom"/>
            <w:gridSpan w:val="2"/>
          </w:tcPr>
          <w:p>
            <w:pPr>
              <w:spacing w:after="0"/>
              <w:rPr>
                <w:sz w:val="4"/>
                <w:szCs w:val="4"/>
                <w:color w:val="auto"/>
              </w:rPr>
            </w:pPr>
          </w:p>
        </w:tc>
        <w:tc>
          <w:tcPr>
            <w:tcW w:w="40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77"/>
        </w:trPr>
        <w:tc>
          <w:tcPr>
            <w:tcW w:w="20" w:type="dxa"/>
            <w:vAlign w:val="bottom"/>
          </w:tcPr>
          <w:p>
            <w:pPr>
              <w:spacing w:after="0"/>
              <w:rPr>
                <w:sz w:val="24"/>
                <w:szCs w:val="24"/>
                <w:color w:val="auto"/>
              </w:rPr>
            </w:pPr>
          </w:p>
        </w:tc>
        <w:tc>
          <w:tcPr>
            <w:tcW w:w="57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Median</w:t>
            </w:r>
          </w:p>
        </w:tc>
        <w:tc>
          <w:tcPr>
            <w:tcW w:w="4080" w:type="dxa"/>
            <w:vAlign w:val="bottom"/>
            <w:tcBorders>
              <w:top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rPr>
              <w:t>21.8</w:t>
            </w:r>
          </w:p>
        </w:tc>
        <w:tc>
          <w:tcPr>
            <w:tcW w:w="1180" w:type="dxa"/>
            <w:vAlign w:val="bottom"/>
            <w:tcBorders>
              <w:top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75.2</w:t>
            </w:r>
          </w:p>
        </w:tc>
      </w:tr>
      <w:tr>
        <w:trPr>
          <w:trHeight w:val="243"/>
        </w:trPr>
        <w:tc>
          <w:tcPr>
            <w:tcW w:w="20" w:type="dxa"/>
            <w:vAlign w:val="bottom"/>
          </w:tcPr>
          <w:p>
            <w:pPr>
              <w:spacing w:after="0"/>
              <w:rPr>
                <w:sz w:val="21"/>
                <w:szCs w:val="21"/>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Texas Instruments Incorporated</w:t>
            </w:r>
          </w:p>
        </w:tc>
        <w:tc>
          <w:tcPr>
            <w:tcW w:w="4080" w:type="dxa"/>
            <w:vAlign w:val="bottom"/>
          </w:tcPr>
          <w:p>
            <w:pPr>
              <w:jc w:val="right"/>
              <w:ind w:right="352"/>
              <w:spacing w:after="0"/>
              <w:rPr>
                <w:sz w:val="20"/>
                <w:szCs w:val="20"/>
                <w:color w:val="auto"/>
              </w:rPr>
            </w:pPr>
            <w:r>
              <w:rPr>
                <w:rFonts w:ascii="Arial" w:cs="Arial" w:eastAsia="Arial" w:hAnsi="Arial"/>
                <w:sz w:val="18"/>
                <w:szCs w:val="18"/>
                <w:color w:val="auto"/>
              </w:rPr>
              <w:t>15.8</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90.8</w:t>
            </w:r>
          </w:p>
        </w:tc>
      </w:tr>
    </w:tbl>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Trailing four-quarter revenue and market capitalization is as reported by Thomson Reuters on January 2, 2019.</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Analysis of compensation determinations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Total compensation</w:t>
      </w:r>
    </w:p>
    <w:p>
      <w:pPr>
        <w:spacing w:after="0" w:line="16"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113"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40"/>
          </w:cols>
          <w:pgMar w:left="240" w:top="455" w:right="4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Base salary</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committee set the 2018 rate of base salary for the following named executive officers as follows: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80" w:type="dxa"/>
            <w:vAlign w:val="bottom"/>
          </w:tcPr>
          <w:p>
            <w:pPr>
              <w:jc w:val="right"/>
              <w:ind w:right="294"/>
              <w:spacing w:after="0"/>
              <w:rPr>
                <w:sz w:val="20"/>
                <w:szCs w:val="20"/>
                <w:color w:val="auto"/>
              </w:rPr>
            </w:pPr>
            <w:r>
              <w:rPr>
                <w:rFonts w:ascii="Arial" w:cs="Arial" w:eastAsia="Arial" w:hAnsi="Arial"/>
                <w:sz w:val="14"/>
                <w:szCs w:val="14"/>
                <w:b w:val="1"/>
                <w:bCs w:val="1"/>
                <w:color w:val="auto"/>
              </w:rPr>
              <w:t>Change from</w:t>
            </w:r>
          </w:p>
        </w:tc>
      </w:tr>
      <w:tr>
        <w:trPr>
          <w:trHeight w:val="191"/>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4760" w:type="dxa"/>
            <w:vAlign w:val="bottom"/>
            <w:gridSpan w:val="2"/>
          </w:tcPr>
          <w:p>
            <w:pPr>
              <w:ind w:left="3120"/>
              <w:spacing w:after="0"/>
              <w:rPr>
                <w:sz w:val="20"/>
                <w:szCs w:val="20"/>
                <w:color w:val="auto"/>
              </w:rPr>
            </w:pPr>
            <w:r>
              <w:rPr>
                <w:rFonts w:ascii="Arial" w:cs="Arial" w:eastAsia="Arial" w:hAnsi="Arial"/>
                <w:sz w:val="14"/>
                <w:szCs w:val="14"/>
                <w:b w:val="1"/>
                <w:bCs w:val="1"/>
                <w:color w:val="auto"/>
              </w:rPr>
              <w:t>2018 Annual Rate</w:t>
            </w:r>
          </w:p>
        </w:tc>
        <w:tc>
          <w:tcPr>
            <w:tcW w:w="18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2017 Annual Rate</w:t>
            </w:r>
          </w:p>
        </w:tc>
      </w:tr>
      <w:tr>
        <w:trPr>
          <w:trHeight w:val="196"/>
        </w:trPr>
        <w:tc>
          <w:tcPr>
            <w:tcW w:w="20" w:type="dxa"/>
            <w:vAlign w:val="bottom"/>
          </w:tcPr>
          <w:p>
            <w:pPr>
              <w:spacing w:after="0"/>
              <w:rPr>
                <w:sz w:val="17"/>
                <w:szCs w:val="17"/>
                <w:color w:val="auto"/>
              </w:rPr>
            </w:pPr>
          </w:p>
        </w:tc>
        <w:tc>
          <w:tcPr>
            <w:tcW w:w="438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R. K. Templeton</w:t>
            </w:r>
          </w:p>
        </w:tc>
        <w:tc>
          <w:tcPr>
            <w:tcW w:w="3360" w:type="dxa"/>
            <w:vAlign w:val="bottom"/>
            <w:tcBorders>
              <w:top w:val="single" w:sz="8" w:color="auto"/>
            </w:tcBorders>
            <w:shd w:val="clear" w:color="auto" w:fill="E5E5E5"/>
          </w:tcPr>
          <w:p>
            <w:pPr>
              <w:ind w:left="312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E5E5E5"/>
          </w:tcPr>
          <w:p>
            <w:pPr>
              <w:jc w:val="right"/>
              <w:ind w:right="350"/>
              <w:spacing w:after="0" w:line="196" w:lineRule="exact"/>
              <w:rPr>
                <w:sz w:val="20"/>
                <w:szCs w:val="20"/>
                <w:color w:val="auto"/>
              </w:rPr>
            </w:pPr>
            <w:r>
              <w:rPr>
                <w:rFonts w:ascii="Arial" w:cs="Arial" w:eastAsia="Arial" w:hAnsi="Arial"/>
                <w:sz w:val="18"/>
                <w:szCs w:val="18"/>
                <w:color w:val="auto"/>
              </w:rPr>
              <w:t>1,250,000</w:t>
            </w:r>
          </w:p>
        </w:tc>
        <w:tc>
          <w:tcPr>
            <w:tcW w:w="188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R. R. Lizardi</w:t>
            </w:r>
          </w:p>
        </w:tc>
        <w:tc>
          <w:tcPr>
            <w:tcW w:w="3360" w:type="dxa"/>
            <w:vAlign w:val="bottom"/>
          </w:tcPr>
          <w:p>
            <w:pPr>
              <w:ind w:left="312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600,000</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03"/>
        </w:trPr>
        <w:tc>
          <w:tcPr>
            <w:tcW w:w="20" w:type="dxa"/>
            <w:vAlign w:val="bottom"/>
          </w:tcPr>
          <w:p>
            <w:pPr>
              <w:spacing w:after="0"/>
              <w:rPr>
                <w:sz w:val="17"/>
                <w:szCs w:val="17"/>
                <w:color w:val="auto"/>
              </w:rPr>
            </w:pPr>
          </w:p>
        </w:tc>
        <w:tc>
          <w:tcPr>
            <w:tcW w:w="43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 Anderskouv</w:t>
            </w:r>
          </w:p>
        </w:tc>
        <w:tc>
          <w:tcPr>
            <w:tcW w:w="3360" w:type="dxa"/>
            <w:vAlign w:val="bottom"/>
            <w:shd w:val="clear" w:color="auto" w:fill="E5E5E5"/>
          </w:tcPr>
          <w:p>
            <w:pPr>
              <w:ind w:left="312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rPr>
              <w:t>675,000</w:t>
            </w:r>
          </w:p>
        </w:tc>
        <w:tc>
          <w:tcPr>
            <w:tcW w:w="1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R. G. Delagi</w:t>
            </w:r>
          </w:p>
        </w:tc>
        <w:tc>
          <w:tcPr>
            <w:tcW w:w="3360" w:type="dxa"/>
            <w:vAlign w:val="bottom"/>
          </w:tcPr>
          <w:p>
            <w:pPr>
              <w:ind w:left="312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715,000</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20" w:type="dxa"/>
            <w:vAlign w:val="bottom"/>
          </w:tcPr>
          <w:p>
            <w:pPr>
              <w:spacing w:after="0"/>
              <w:rPr>
                <w:sz w:val="17"/>
                <w:szCs w:val="17"/>
                <w:color w:val="auto"/>
              </w:rPr>
            </w:pPr>
          </w:p>
        </w:tc>
        <w:tc>
          <w:tcPr>
            <w:tcW w:w="43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 Ilan</w:t>
            </w:r>
          </w:p>
        </w:tc>
        <w:tc>
          <w:tcPr>
            <w:tcW w:w="3360" w:type="dxa"/>
            <w:vAlign w:val="bottom"/>
            <w:shd w:val="clear" w:color="auto" w:fill="E5E5E5"/>
          </w:tcPr>
          <w:p>
            <w:pPr>
              <w:ind w:left="312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rPr>
              <w:t>675,000</w:t>
            </w:r>
          </w:p>
        </w:tc>
        <w:tc>
          <w:tcPr>
            <w:tcW w:w="1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43"/>
        </w:trPr>
        <w:tc>
          <w:tcPr>
            <w:tcW w:w="2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 T. Crutcher</w:t>
            </w:r>
          </w:p>
        </w:tc>
        <w:tc>
          <w:tcPr>
            <w:tcW w:w="3360" w:type="dxa"/>
            <w:vAlign w:val="bottom"/>
          </w:tcPr>
          <w:p>
            <w:pPr>
              <w:ind w:left="3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905,000</w:t>
            </w: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53" w:lineRule="exact"/>
        <w:rPr>
          <w:sz w:val="20"/>
          <w:szCs w:val="20"/>
          <w:color w:val="auto"/>
        </w:rPr>
      </w:pPr>
    </w:p>
    <w:p>
      <w:pPr>
        <w:ind w:left="200" w:right="120"/>
        <w:spacing w:after="0" w:line="243" w:lineRule="auto"/>
        <w:rPr>
          <w:sz w:val="20"/>
          <w:szCs w:val="20"/>
          <w:color w:val="auto"/>
        </w:rPr>
      </w:pPr>
      <w:r>
        <w:rPr>
          <w:rFonts w:ascii="Arial" w:cs="Arial" w:eastAsia="Arial" w:hAnsi="Arial"/>
          <w:sz w:val="18"/>
          <w:szCs w:val="18"/>
          <w:color w:val="auto"/>
        </w:rPr>
        <w:t>For each of these executive officers except Mr. Templeton, the committee set the 2018 base-salary rate listed above in January 2018. At that time, in connection with Mr. Templeton’s planned transition to executive chair, the committee scheduled a reduction in his base salary to $500,000, which became effective June 1. However, the committee increased Mr. Templeton’s base salary to the amount listed above when he resumed the role of CEO in July 2018. In keeping with its strategy, the committee targeted the annual base-salary rates to be at the estimated median level of salaries expected to be paid to similarly situated executives (considering job scope and tenure) of companies within the Comparator Group in January 2018.</w:t>
      </w:r>
    </w:p>
    <w:p>
      <w:pPr>
        <w:spacing w:after="0" w:line="174" w:lineRule="exact"/>
        <w:rPr>
          <w:sz w:val="20"/>
          <w:szCs w:val="20"/>
          <w:color w:val="auto"/>
        </w:rPr>
      </w:pPr>
    </w:p>
    <w:p>
      <w:pPr>
        <w:ind w:left="200" w:right="260"/>
        <w:spacing w:after="0" w:line="276" w:lineRule="auto"/>
        <w:rPr>
          <w:sz w:val="20"/>
          <w:szCs w:val="20"/>
          <w:color w:val="auto"/>
        </w:rPr>
      </w:pPr>
      <w:r>
        <w:rPr>
          <w:rFonts w:ascii="Arial" w:cs="Arial" w:eastAsia="Arial" w:hAnsi="Arial"/>
          <w:sz w:val="18"/>
          <w:szCs w:val="18"/>
          <w:color w:val="auto"/>
        </w:rPr>
        <w:t>The salary differences between the named executive officers were driven primarily by the market rate of pay for each officer and not the application of a formula designed to maintain a differential between the officers.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16"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In 2018, the committee awarded equity compensation to each of the named executive officers listed below. The grants are shown in the table under “Grants of plan-based awards in 2018.” The grant date fair value of the awards is reflected in that table and in the “Stock Awards” and “Option Awards” columns of the 2018 summary compensation table. The table below is provided to assist the reader in comparing the grant date fair values and number of shares for each of the years shown in the summary compensation table.</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432"/>
              <w:spacing w:after="0"/>
              <w:rPr>
                <w:sz w:val="20"/>
                <w:szCs w:val="20"/>
                <w:color w:val="auto"/>
              </w:rPr>
            </w:pPr>
            <w:r>
              <w:rPr>
                <w:rFonts w:ascii="Arial" w:cs="Arial" w:eastAsia="Arial" w:hAnsi="Arial"/>
                <w:sz w:val="14"/>
                <w:szCs w:val="14"/>
                <w:b w:val="1"/>
                <w:bCs w:val="1"/>
                <w:color w:val="auto"/>
              </w:rPr>
              <w:t>Grant Date</w:t>
            </w:r>
          </w:p>
        </w:tc>
        <w:tc>
          <w:tcPr>
            <w:tcW w:w="1440" w:type="dxa"/>
            <w:vAlign w:val="bottom"/>
          </w:tcPr>
          <w:p>
            <w:pPr>
              <w:jc w:val="right"/>
              <w:ind w:right="173"/>
              <w:spacing w:after="0"/>
              <w:rPr>
                <w:sz w:val="20"/>
                <w:szCs w:val="20"/>
                <w:color w:val="auto"/>
              </w:rPr>
            </w:pPr>
            <w:r>
              <w:rPr>
                <w:rFonts w:ascii="Arial" w:cs="Arial" w:eastAsia="Arial" w:hAnsi="Arial"/>
                <w:sz w:val="14"/>
                <w:szCs w:val="14"/>
                <w:b w:val="1"/>
                <w:bCs w:val="1"/>
                <w:color w:val="auto"/>
              </w:rPr>
              <w:t>Stock Options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177"/>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1160" w:type="dxa"/>
            <w:vAlign w:val="bottom"/>
          </w:tcPr>
          <w:p>
            <w:pPr>
              <w:ind w:left="540"/>
              <w:spacing w:after="0"/>
              <w:rPr>
                <w:sz w:val="20"/>
                <w:szCs w:val="20"/>
                <w:color w:val="auto"/>
              </w:rPr>
            </w:pPr>
            <w:r>
              <w:rPr>
                <w:rFonts w:ascii="Arial" w:cs="Arial" w:eastAsia="Arial" w:hAnsi="Arial"/>
                <w:sz w:val="14"/>
                <w:szCs w:val="14"/>
                <w:b w:val="1"/>
                <w:bCs w:val="1"/>
                <w:color w:val="auto"/>
              </w:rPr>
              <w:t>Year</w:t>
            </w:r>
          </w:p>
        </w:tc>
        <w:tc>
          <w:tcPr>
            <w:tcW w:w="380" w:type="dxa"/>
            <w:vAlign w:val="bottom"/>
          </w:tcPr>
          <w:p>
            <w:pPr>
              <w:spacing w:after="0"/>
              <w:rPr>
                <w:sz w:val="15"/>
                <w:szCs w:val="15"/>
                <w:color w:val="auto"/>
              </w:rPr>
            </w:pPr>
          </w:p>
        </w:tc>
        <w:tc>
          <w:tcPr>
            <w:tcW w:w="1300" w:type="dxa"/>
            <w:vAlign w:val="bottom"/>
          </w:tcPr>
          <w:p>
            <w:pPr>
              <w:jc w:val="right"/>
              <w:ind w:right="412"/>
              <w:spacing w:after="0"/>
              <w:rPr>
                <w:sz w:val="20"/>
                <w:szCs w:val="20"/>
                <w:color w:val="auto"/>
              </w:rPr>
            </w:pPr>
            <w:r>
              <w:rPr>
                <w:rFonts w:ascii="Arial" w:cs="Arial" w:eastAsia="Arial" w:hAnsi="Arial"/>
                <w:sz w:val="14"/>
                <w:szCs w:val="14"/>
                <w:b w:val="1"/>
                <w:bCs w:val="1"/>
                <w:color w:val="auto"/>
              </w:rPr>
              <w:t>Fair Value *</w:t>
            </w:r>
          </w:p>
        </w:tc>
        <w:tc>
          <w:tcPr>
            <w:tcW w:w="1440" w:type="dxa"/>
            <w:vAlign w:val="bottom"/>
          </w:tcPr>
          <w:p>
            <w:pPr>
              <w:jc w:val="right"/>
              <w:ind w:right="273"/>
              <w:spacing w:after="0"/>
              <w:rPr>
                <w:sz w:val="20"/>
                <w:szCs w:val="20"/>
                <w:color w:val="auto"/>
              </w:rPr>
            </w:pPr>
            <w:r>
              <w:rPr>
                <w:rFonts w:ascii="Arial" w:cs="Arial" w:eastAsia="Arial" w:hAnsi="Arial"/>
                <w:sz w:val="14"/>
                <w:szCs w:val="14"/>
                <w:b w:val="1"/>
                <w:bCs w:val="1"/>
                <w:color w:val="auto"/>
              </w:rPr>
              <w:t>(In Shares)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(In Shares)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60" w:type="dxa"/>
            <w:vAlign w:val="bottom"/>
            <w:tcBorders>
              <w:top w:val="single" w:sz="8" w:color="auto"/>
            </w:tcBorders>
            <w:shd w:val="clear" w:color="auto" w:fill="E5E5E5"/>
          </w:tcPr>
          <w:p>
            <w:pPr>
              <w:spacing w:after="0" w:line="173" w:lineRule="exact"/>
              <w:rPr>
                <w:sz w:val="20"/>
                <w:szCs w:val="20"/>
                <w:color w:val="auto"/>
              </w:rPr>
            </w:pPr>
            <w:r>
              <w:rPr>
                <w:rFonts w:ascii="Arial" w:cs="Arial" w:eastAsia="Arial" w:hAnsi="Arial"/>
                <w:sz w:val="18"/>
                <w:szCs w:val="18"/>
                <w:color w:val="auto"/>
              </w:rPr>
              <w:t>R. K. Templeton</w:t>
            </w:r>
          </w:p>
        </w:tc>
        <w:tc>
          <w:tcPr>
            <w:tcW w:w="1160" w:type="dxa"/>
            <w:vAlign w:val="bottom"/>
            <w:tcBorders>
              <w:top w:val="single" w:sz="8" w:color="auto"/>
            </w:tcBorders>
            <w:shd w:val="clear" w:color="auto" w:fill="E5E5E5"/>
          </w:tcPr>
          <w:p>
            <w:pPr>
              <w:ind w:left="520"/>
              <w:spacing w:after="0" w:line="173" w:lineRule="exact"/>
              <w:rPr>
                <w:sz w:val="20"/>
                <w:szCs w:val="20"/>
                <w:color w:val="auto"/>
              </w:rPr>
            </w:pPr>
            <w:r>
              <w:rPr>
                <w:rFonts w:ascii="Arial" w:cs="Arial" w:eastAsia="Arial" w:hAnsi="Arial"/>
                <w:sz w:val="18"/>
                <w:szCs w:val="18"/>
                <w:color w:val="auto"/>
              </w:rPr>
              <w:t>2018</w:t>
            </w:r>
          </w:p>
        </w:tc>
        <w:tc>
          <w:tcPr>
            <w:tcW w:w="38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E5E5E5"/>
          </w:tcPr>
          <w:p>
            <w:pPr>
              <w:jc w:val="right"/>
              <w:ind w:right="272"/>
              <w:spacing w:after="0" w:line="173" w:lineRule="exact"/>
              <w:rPr>
                <w:sz w:val="20"/>
                <w:szCs w:val="20"/>
                <w:color w:val="auto"/>
              </w:rPr>
            </w:pPr>
            <w:r>
              <w:rPr>
                <w:rFonts w:ascii="Arial" w:cs="Arial" w:eastAsia="Arial" w:hAnsi="Arial"/>
                <w:sz w:val="18"/>
                <w:szCs w:val="18"/>
                <w:color w:val="auto"/>
              </w:rPr>
              <w:t>12,000,110</w:t>
            </w:r>
          </w:p>
        </w:tc>
        <w:tc>
          <w:tcPr>
            <w:tcW w:w="1440" w:type="dxa"/>
            <w:vAlign w:val="bottom"/>
            <w:tcBorders>
              <w:top w:val="single" w:sz="8" w:color="auto"/>
            </w:tcBorders>
            <w:shd w:val="clear" w:color="auto" w:fill="E5E5E5"/>
          </w:tcPr>
          <w:p>
            <w:pPr>
              <w:jc w:val="right"/>
              <w:ind w:right="153"/>
              <w:spacing w:after="0" w:line="173" w:lineRule="exact"/>
              <w:rPr>
                <w:sz w:val="20"/>
                <w:szCs w:val="20"/>
                <w:color w:val="auto"/>
              </w:rPr>
            </w:pPr>
            <w:r>
              <w:rPr>
                <w:rFonts w:ascii="Arial" w:cs="Arial" w:eastAsia="Arial" w:hAnsi="Arial"/>
                <w:sz w:val="18"/>
                <w:szCs w:val="18"/>
                <w:color w:val="auto"/>
              </w:rPr>
              <w:t>258,403</w:t>
            </w:r>
          </w:p>
        </w:tc>
        <w:tc>
          <w:tcPr>
            <w:tcW w:w="1280" w:type="dxa"/>
            <w:vAlign w:val="bottom"/>
            <w:tcBorders>
              <w:top w:val="single" w:sz="8" w:color="auto"/>
            </w:tcBorders>
            <w:shd w:val="clear" w:color="auto" w:fill="E5E5E5"/>
          </w:tcPr>
          <w:p>
            <w:pPr>
              <w:jc w:val="right"/>
              <w:ind w:right="133"/>
              <w:spacing w:after="0" w:line="173" w:lineRule="exact"/>
              <w:rPr>
                <w:sz w:val="20"/>
                <w:szCs w:val="20"/>
                <w:color w:val="auto"/>
              </w:rPr>
            </w:pPr>
            <w:r>
              <w:rPr>
                <w:rFonts w:ascii="Arial" w:cs="Arial" w:eastAsia="Arial" w:hAnsi="Arial"/>
                <w:sz w:val="18"/>
                <w:szCs w:val="18"/>
                <w:color w:val="auto"/>
              </w:rPr>
              <w:t>54,472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E5E5E5"/>
          </w:tcPr>
          <w:p>
            <w:pPr>
              <w:spacing w:after="0"/>
              <w:rPr>
                <w:sz w:val="17"/>
                <w:szCs w:val="17"/>
                <w:color w:val="auto"/>
              </w:rPr>
            </w:pPr>
          </w:p>
        </w:tc>
        <w:tc>
          <w:tcPr>
            <w:tcW w:w="1160" w:type="dxa"/>
            <w:vAlign w:val="bottom"/>
            <w:shd w:val="clear" w:color="auto" w:fill="E5E5E5"/>
          </w:tcPr>
          <w:p>
            <w:pPr>
              <w:ind w:left="520"/>
              <w:spacing w:after="0" w:line="202" w:lineRule="exact"/>
              <w:rPr>
                <w:sz w:val="20"/>
                <w:szCs w:val="20"/>
                <w:color w:val="auto"/>
              </w:rPr>
            </w:pPr>
            <w:r>
              <w:rPr>
                <w:rFonts w:ascii="Arial" w:cs="Arial" w:eastAsia="Arial" w:hAnsi="Arial"/>
                <w:sz w:val="18"/>
                <w:szCs w:val="18"/>
                <w:color w:val="auto"/>
              </w:rPr>
              <w:t>2017</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272"/>
              <w:spacing w:after="0" w:line="202" w:lineRule="exact"/>
              <w:rPr>
                <w:sz w:val="20"/>
                <w:szCs w:val="20"/>
                <w:color w:val="auto"/>
              </w:rPr>
            </w:pPr>
            <w:r>
              <w:rPr>
                <w:rFonts w:ascii="Arial" w:cs="Arial" w:eastAsia="Arial" w:hAnsi="Arial"/>
                <w:sz w:val="18"/>
                <w:szCs w:val="18"/>
                <w:color w:val="auto"/>
              </w:rPr>
              <w:t>11,000,014</w:t>
            </w:r>
          </w:p>
        </w:tc>
        <w:tc>
          <w:tcPr>
            <w:tcW w:w="14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color w:val="auto"/>
              </w:rPr>
              <w:t>333,615</w:t>
            </w:r>
          </w:p>
        </w:tc>
        <w:tc>
          <w:tcPr>
            <w:tcW w:w="128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rPr>
              <w:t>69,392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shd w:val="clear" w:color="auto" w:fill="E5E5E5"/>
          </w:tcPr>
          <w:p>
            <w:pPr>
              <w:spacing w:after="0"/>
              <w:rPr>
                <w:sz w:val="19"/>
                <w:szCs w:val="19"/>
                <w:color w:val="auto"/>
              </w:rPr>
            </w:pPr>
          </w:p>
        </w:tc>
        <w:tc>
          <w:tcPr>
            <w:tcW w:w="1160" w:type="dxa"/>
            <w:vAlign w:val="bottom"/>
            <w:shd w:val="clear" w:color="auto" w:fill="E5E5E5"/>
          </w:tcPr>
          <w:p>
            <w:pPr>
              <w:ind w:left="520"/>
              <w:spacing w:after="0"/>
              <w:rPr>
                <w:sz w:val="20"/>
                <w:szCs w:val="20"/>
                <w:color w:val="auto"/>
              </w:rPr>
            </w:pPr>
            <w:r>
              <w:rPr>
                <w:rFonts w:ascii="Arial" w:cs="Arial" w:eastAsia="Arial" w:hAnsi="Arial"/>
                <w:sz w:val="18"/>
                <w:szCs w:val="18"/>
                <w:color w:val="auto"/>
              </w:rPr>
              <w:t>2016</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9,800,055</w:t>
            </w:r>
          </w:p>
        </w:tc>
        <w:tc>
          <w:tcPr>
            <w:tcW w:w="14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489,557</w:t>
            </w:r>
          </w:p>
        </w:tc>
        <w:tc>
          <w:tcPr>
            <w:tcW w:w="12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92,576</w:t>
            </w:r>
          </w:p>
        </w:tc>
        <w:tc>
          <w:tcPr>
            <w:tcW w:w="0" w:type="dxa"/>
            <w:vAlign w:val="bottom"/>
          </w:tcPr>
          <w:p>
            <w:pPr>
              <w:spacing w:after="0"/>
              <w:rPr>
                <w:sz w:val="1"/>
                <w:szCs w:val="1"/>
                <w:color w:val="auto"/>
              </w:rPr>
            </w:pPr>
          </w:p>
        </w:tc>
      </w:tr>
      <w:tr>
        <w:trPr>
          <w:trHeight w:val="396"/>
        </w:trPr>
        <w:tc>
          <w:tcPr>
            <w:tcW w:w="5480" w:type="dxa"/>
            <w:vAlign w:val="bottom"/>
            <w:gridSpan w:val="2"/>
          </w:tcPr>
          <w:p>
            <w:pPr>
              <w:spacing w:after="0"/>
              <w:rPr>
                <w:sz w:val="20"/>
                <w:szCs w:val="20"/>
                <w:color w:val="auto"/>
              </w:rPr>
            </w:pPr>
            <w:r>
              <w:rPr>
                <w:rFonts w:ascii="Arial" w:cs="Arial" w:eastAsia="Arial" w:hAnsi="Arial"/>
                <w:sz w:val="18"/>
                <w:szCs w:val="18"/>
                <w:color w:val="auto"/>
              </w:rPr>
              <w:t>R. R. Lizardi</w:t>
            </w:r>
          </w:p>
        </w:tc>
        <w:tc>
          <w:tcPr>
            <w:tcW w:w="1160" w:type="dxa"/>
            <w:vAlign w:val="bottom"/>
          </w:tcPr>
          <w:p>
            <w:pPr>
              <w:ind w:left="520"/>
              <w:spacing w:after="0"/>
              <w:rPr>
                <w:sz w:val="20"/>
                <w:szCs w:val="20"/>
                <w:color w:val="auto"/>
              </w:rPr>
            </w:pPr>
            <w:r>
              <w:rPr>
                <w:rFonts w:ascii="Arial" w:cs="Arial" w:eastAsia="Arial" w:hAnsi="Arial"/>
                <w:sz w:val="18"/>
                <w:szCs w:val="18"/>
                <w:color w:val="auto"/>
              </w:rPr>
              <w:t>2018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2,400,097</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51,681</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160" w:type="dxa"/>
            <w:vAlign w:val="bottom"/>
          </w:tcPr>
          <w:p>
            <w:pPr>
              <w:ind w:left="520"/>
              <w:spacing w:after="0" w:line="202" w:lineRule="exact"/>
              <w:rPr>
                <w:sz w:val="20"/>
                <w:szCs w:val="20"/>
                <w:color w:val="auto"/>
              </w:rPr>
            </w:pPr>
            <w:r>
              <w:rPr>
                <w:rFonts w:ascii="Arial" w:cs="Arial" w:eastAsia="Arial" w:hAnsi="Arial"/>
                <w:sz w:val="18"/>
                <w:szCs w:val="18"/>
                <w:color w:val="auto"/>
              </w:rPr>
              <w:t>2017</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2,000,037</w:t>
            </w:r>
          </w:p>
        </w:tc>
        <w:tc>
          <w:tcPr>
            <w:tcW w:w="14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60,658</w:t>
            </w:r>
          </w:p>
        </w:tc>
        <w:tc>
          <w:tcPr>
            <w:tcW w:w="12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1,000,023**</w:t>
            </w:r>
          </w:p>
        </w:tc>
        <w:tc>
          <w:tcPr>
            <w:tcW w:w="1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 Anderskouv</w:t>
            </w:r>
          </w:p>
        </w:tc>
        <w:tc>
          <w:tcPr>
            <w:tcW w:w="1160" w:type="dxa"/>
            <w:vAlign w:val="bottom"/>
            <w:shd w:val="clear" w:color="auto" w:fill="E5E5E5"/>
          </w:tcPr>
          <w:p>
            <w:pPr>
              <w:ind w:left="520"/>
              <w:spacing w:after="0" w:line="202" w:lineRule="exact"/>
              <w:rPr>
                <w:sz w:val="20"/>
                <w:szCs w:val="20"/>
                <w:color w:val="auto"/>
              </w:rPr>
            </w:pPr>
            <w:r>
              <w:rPr>
                <w:rFonts w:ascii="Arial" w:cs="Arial" w:eastAsia="Arial" w:hAnsi="Arial"/>
                <w:sz w:val="18"/>
                <w:szCs w:val="18"/>
                <w:color w:val="auto"/>
              </w:rPr>
              <w:t>2018</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272"/>
              <w:spacing w:after="0" w:line="202" w:lineRule="exact"/>
              <w:rPr>
                <w:sz w:val="20"/>
                <w:szCs w:val="20"/>
                <w:color w:val="auto"/>
              </w:rPr>
            </w:pPr>
            <w:r>
              <w:rPr>
                <w:rFonts w:ascii="Arial" w:cs="Arial" w:eastAsia="Arial" w:hAnsi="Arial"/>
                <w:sz w:val="18"/>
                <w:szCs w:val="18"/>
                <w:color w:val="auto"/>
              </w:rPr>
              <w:t>3,800,103</w:t>
            </w:r>
          </w:p>
        </w:tc>
        <w:tc>
          <w:tcPr>
            <w:tcW w:w="14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color w:val="auto"/>
              </w:rPr>
              <w:t>81,828</w:t>
            </w:r>
          </w:p>
        </w:tc>
        <w:tc>
          <w:tcPr>
            <w:tcW w:w="128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r>
        <w:trPr>
          <w:trHeight w:val="396"/>
        </w:trPr>
        <w:tc>
          <w:tcPr>
            <w:tcW w:w="5480" w:type="dxa"/>
            <w:vAlign w:val="bottom"/>
            <w:gridSpan w:val="2"/>
          </w:tcPr>
          <w:p>
            <w:pPr>
              <w:spacing w:after="0"/>
              <w:rPr>
                <w:sz w:val="20"/>
                <w:szCs w:val="20"/>
                <w:color w:val="auto"/>
              </w:rPr>
            </w:pPr>
            <w:r>
              <w:rPr>
                <w:rFonts w:ascii="Arial" w:cs="Arial" w:eastAsia="Arial" w:hAnsi="Arial"/>
                <w:sz w:val="18"/>
                <w:szCs w:val="18"/>
                <w:color w:val="auto"/>
              </w:rPr>
              <w:t>R. G. Delagi</w:t>
            </w:r>
          </w:p>
        </w:tc>
        <w:tc>
          <w:tcPr>
            <w:tcW w:w="1160" w:type="dxa"/>
            <w:vAlign w:val="bottom"/>
          </w:tcPr>
          <w:p>
            <w:pPr>
              <w:ind w:left="520"/>
              <w:spacing w:after="0"/>
              <w:rPr>
                <w:sz w:val="20"/>
                <w:szCs w:val="20"/>
                <w:color w:val="auto"/>
              </w:rPr>
            </w:pPr>
            <w:r>
              <w:rPr>
                <w:rFonts w:ascii="Arial" w:cs="Arial" w:eastAsia="Arial" w:hAnsi="Arial"/>
                <w:sz w:val="18"/>
                <w:szCs w:val="18"/>
                <w:color w:val="auto"/>
              </w:rPr>
              <w:t>2018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3,600,079</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77,521</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16,342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1"/>
                <w:szCs w:val="21"/>
                <w:color w:val="auto"/>
              </w:rPr>
            </w:pP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3,600,090</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109,184</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22,711</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 Ilan</w:t>
            </w:r>
          </w:p>
        </w:tc>
        <w:tc>
          <w:tcPr>
            <w:tcW w:w="1160" w:type="dxa"/>
            <w:vAlign w:val="bottom"/>
            <w:shd w:val="clear" w:color="auto" w:fill="E5E5E5"/>
          </w:tcPr>
          <w:p>
            <w:pPr>
              <w:ind w:left="520"/>
              <w:spacing w:after="0" w:line="202" w:lineRule="exact"/>
              <w:rPr>
                <w:sz w:val="20"/>
                <w:szCs w:val="20"/>
                <w:color w:val="auto"/>
              </w:rPr>
            </w:pPr>
            <w:r>
              <w:rPr>
                <w:rFonts w:ascii="Arial" w:cs="Arial" w:eastAsia="Arial" w:hAnsi="Arial"/>
                <w:sz w:val="18"/>
                <w:szCs w:val="18"/>
                <w:color w:val="auto"/>
              </w:rPr>
              <w:t>2018</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272"/>
              <w:spacing w:after="0" w:line="202" w:lineRule="exact"/>
              <w:rPr>
                <w:sz w:val="20"/>
                <w:szCs w:val="20"/>
                <w:color w:val="auto"/>
              </w:rPr>
            </w:pPr>
            <w:r>
              <w:rPr>
                <w:rFonts w:ascii="Arial" w:cs="Arial" w:eastAsia="Arial" w:hAnsi="Arial"/>
                <w:sz w:val="18"/>
                <w:szCs w:val="18"/>
                <w:color w:val="auto"/>
              </w:rPr>
              <w:t>3,800,103</w:t>
            </w:r>
          </w:p>
        </w:tc>
        <w:tc>
          <w:tcPr>
            <w:tcW w:w="14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color w:val="auto"/>
              </w:rPr>
              <w:t>81,828</w:t>
            </w:r>
          </w:p>
        </w:tc>
        <w:tc>
          <w:tcPr>
            <w:tcW w:w="128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r>
        <w:trPr>
          <w:trHeight w:val="396"/>
        </w:trPr>
        <w:tc>
          <w:tcPr>
            <w:tcW w:w="5480" w:type="dxa"/>
            <w:vAlign w:val="bottom"/>
            <w:gridSpan w:val="2"/>
          </w:tcPr>
          <w:p>
            <w:pPr>
              <w:spacing w:after="0"/>
              <w:rPr>
                <w:sz w:val="20"/>
                <w:szCs w:val="20"/>
                <w:color w:val="auto"/>
              </w:rPr>
            </w:pPr>
            <w:r>
              <w:rPr>
                <w:rFonts w:ascii="Arial" w:cs="Arial" w:eastAsia="Arial" w:hAnsi="Arial"/>
                <w:sz w:val="18"/>
                <w:szCs w:val="18"/>
                <w:color w:val="auto"/>
              </w:rPr>
              <w:t>B. T. Crutcher</w:t>
            </w:r>
          </w:p>
        </w:tc>
        <w:tc>
          <w:tcPr>
            <w:tcW w:w="1160" w:type="dxa"/>
            <w:vAlign w:val="bottom"/>
          </w:tcPr>
          <w:p>
            <w:pPr>
              <w:ind w:left="520"/>
              <w:spacing w:after="0"/>
              <w:rPr>
                <w:sz w:val="20"/>
                <w:szCs w:val="20"/>
                <w:color w:val="auto"/>
              </w:rPr>
            </w:pPr>
            <w:r>
              <w:rPr>
                <w:rFonts w:ascii="Arial" w:cs="Arial" w:eastAsia="Arial" w:hAnsi="Arial"/>
                <w:sz w:val="18"/>
                <w:szCs w:val="18"/>
                <w:color w:val="auto"/>
              </w:rPr>
              <w:t>2018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10,000,059</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215,336</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45,393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160" w:type="dxa"/>
            <w:vAlign w:val="bottom"/>
          </w:tcPr>
          <w:p>
            <w:pPr>
              <w:ind w:left="520"/>
              <w:spacing w:after="0" w:line="202" w:lineRule="exact"/>
              <w:rPr>
                <w:sz w:val="20"/>
                <w:szCs w:val="20"/>
                <w:color w:val="auto"/>
              </w:rPr>
            </w:pPr>
            <w:r>
              <w:rPr>
                <w:rFonts w:ascii="Arial" w:cs="Arial" w:eastAsia="Arial" w:hAnsi="Arial"/>
                <w:sz w:val="18"/>
                <w:szCs w:val="18"/>
                <w:color w:val="auto"/>
              </w:rPr>
              <w:t>2017</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7,500,034</w:t>
            </w:r>
          </w:p>
        </w:tc>
        <w:tc>
          <w:tcPr>
            <w:tcW w:w="14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227,465</w:t>
            </w:r>
          </w:p>
        </w:tc>
        <w:tc>
          <w:tcPr>
            <w:tcW w:w="12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47,313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rPr>
              <w:t>2016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5,500,031</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274,751</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51,956</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00" w:right="1460" w:firstLine="4"/>
        <w:spacing w:after="0" w:line="276"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Notes 2 and 3 to the summary compensation table for information on how grant date fair value was calculated. ** Retention grant made in January 2017 in recognition of Mr. Lizardi’s new responsibilities as CFO.</w:t>
      </w:r>
    </w:p>
    <w:p>
      <w:pPr>
        <w:spacing w:after="0" w:line="79"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23</w:t>
            </w:r>
          </w:p>
        </w:tc>
      </w:tr>
    </w:tbl>
    <w:p>
      <w:pPr>
        <w:sectPr>
          <w:pgSz w:w="11900" w:h="16838" w:orient="portrait"/>
          <w:cols w:equalWidth="0" w:num="1">
            <w:col w:w="11240"/>
          </w:cols>
          <w:pgMar w:left="240" w:top="455" w:right="4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In January 2018, the committee awarded equity compensation to each of the named executive officers listed above. The committee’s general objective was to award to those officers equity compensation that had a grant date fair value at approximately the median market level of the most recently disclosed equity compensation granted by the Comparator Group.</w:t>
      </w:r>
    </w:p>
    <w:p>
      <w:pPr>
        <w:spacing w:after="0" w:line="164" w:lineRule="exact"/>
        <w:rPr>
          <w:sz w:val="20"/>
          <w:szCs w:val="20"/>
          <w:color w:val="auto"/>
        </w:rPr>
      </w:pPr>
    </w:p>
    <w:p>
      <w:pPr>
        <w:jc w:val="both"/>
        <w:ind w:left="200"/>
        <w:spacing w:after="0" w:line="248" w:lineRule="auto"/>
        <w:rPr>
          <w:sz w:val="20"/>
          <w:szCs w:val="20"/>
          <w:color w:val="auto"/>
        </w:rPr>
      </w:pPr>
      <w:r>
        <w:rPr>
          <w:rFonts w:ascii="Arial" w:cs="Arial" w:eastAsia="Arial" w:hAnsi="Arial"/>
          <w:sz w:val="18"/>
          <w:szCs w:val="18"/>
          <w:color w:val="auto"/>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The award value was estimated using the same methodology used for financial accounting.</w:t>
      </w:r>
    </w:p>
    <w:p>
      <w:pPr>
        <w:spacing w:after="0" w:line="171"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auto"/>
        </w:rPr>
        <w:t>For each officer, the committee set the desired grant value. The committee decided to allocate the value equally between restricted stock units and options for each officer, to give equal emphasis to promoting retention and performance, motivating the executive and aligning interests with those of shareholders.</w:t>
      </w:r>
    </w:p>
    <w:p>
      <w:pPr>
        <w:spacing w:after="0" w:line="164"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164" w:lineRule="exact"/>
        <w:rPr>
          <w:sz w:val="20"/>
          <w:szCs w:val="20"/>
          <w:color w:val="auto"/>
        </w:rPr>
      </w:pPr>
    </w:p>
    <w:p>
      <w:pPr>
        <w:ind w:left="200" w:right="520"/>
        <w:spacing w:after="0" w:line="255" w:lineRule="auto"/>
        <w:rPr>
          <w:sz w:val="20"/>
          <w:szCs w:val="20"/>
          <w:color w:val="auto"/>
        </w:rPr>
      </w:pPr>
      <w:r>
        <w:rPr>
          <w:rFonts w:ascii="Arial" w:cs="Arial" w:eastAsia="Arial" w:hAnsi="Arial"/>
          <w:sz w:val="18"/>
          <w:szCs w:val="18"/>
          <w:color w:val="auto"/>
        </w:rPr>
        <w:t>The exercise price of the options was the closing price of TI stock on January 25, 2018, the second trading day after the company released its annual and fourth-quarter financial results for 2017. All grants were made under the Texas Instruments 2009 Long-Term Incentive Plan, which shareholders approved in April 2009 and amended in 2016.</w:t>
      </w:r>
    </w:p>
    <w:p>
      <w:pPr>
        <w:spacing w:after="0" w:line="164" w:lineRule="exact"/>
        <w:rPr>
          <w:sz w:val="20"/>
          <w:szCs w:val="20"/>
          <w:color w:val="auto"/>
        </w:rPr>
      </w:pPr>
    </w:p>
    <w:p>
      <w:pPr>
        <w:ind w:left="200" w:right="500"/>
        <w:spacing w:after="0" w:line="255" w:lineRule="auto"/>
        <w:rPr>
          <w:sz w:val="20"/>
          <w:szCs w:val="20"/>
          <w:color w:val="auto"/>
        </w:rPr>
      </w:pPr>
      <w:r>
        <w:rPr>
          <w:rFonts w:ascii="Arial" w:cs="Arial" w:eastAsia="Arial" w:hAnsi="Arial"/>
          <w:sz w:val="18"/>
          <w:szCs w:val="18"/>
          <w:color w:val="auto"/>
        </w:rPr>
        <w:t>All grants have the terms described under “Outstanding equity awards at fiscal year-end 2018.”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Bonus</w:t>
      </w:r>
    </w:p>
    <w:p>
      <w:pPr>
        <w:spacing w:after="0" w:line="16" w:lineRule="exact"/>
        <w:rPr>
          <w:sz w:val="20"/>
          <w:szCs w:val="20"/>
          <w:color w:val="auto"/>
        </w:rPr>
      </w:pPr>
    </w:p>
    <w:p>
      <w:pPr>
        <w:ind w:left="200" w:right="40"/>
        <w:spacing w:after="0" w:line="251" w:lineRule="auto"/>
        <w:rPr>
          <w:sz w:val="20"/>
          <w:szCs w:val="20"/>
          <w:color w:val="auto"/>
        </w:rPr>
      </w:pPr>
      <w:r>
        <w:rPr>
          <w:rFonts w:ascii="Arial" w:cs="Arial" w:eastAsia="Arial" w:hAnsi="Arial"/>
          <w:sz w:val="18"/>
          <w:szCs w:val="18"/>
          <w:color w:val="auto"/>
        </w:rPr>
        <w:t>In January 2019, the committee set the 2018 bonus compensation for executive officers based on its assessment of 2018 performance. In setting the bonuses, the committee used the following performance measures to assess the company:</w:t>
      </w:r>
    </w:p>
    <w:p>
      <w:pPr>
        <w:spacing w:after="0" w:line="193" w:lineRule="exact"/>
        <w:rPr>
          <w:sz w:val="20"/>
          <w:szCs w:val="20"/>
          <w:color w:val="auto"/>
        </w:rPr>
      </w:pPr>
    </w:p>
    <w:p>
      <w:pPr>
        <w:ind w:left="960" w:hanging="54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relative one-year and three-year performance of TI as compared with competitor companies, as measured by</w:t>
      </w:r>
    </w:p>
    <w:p>
      <w:pPr>
        <w:spacing w:after="0" w:line="17" w:lineRule="exact"/>
        <w:rPr>
          <w:rFonts w:ascii="Arial" w:cs="Arial" w:eastAsia="Arial" w:hAnsi="Arial"/>
          <w:sz w:val="18"/>
          <w:szCs w:val="18"/>
          <w:color w:val="auto"/>
        </w:rPr>
      </w:pPr>
    </w:p>
    <w:p>
      <w:pPr>
        <w:ind w:left="1180" w:hanging="328"/>
        <w:spacing w:after="0" w:line="234" w:lineRule="auto"/>
        <w:tabs>
          <w:tab w:leader="none" w:pos="1180" w:val="left"/>
        </w:tabs>
        <w:numPr>
          <w:ilvl w:val="1"/>
          <w:numId w:val="44"/>
        </w:numPr>
        <w:rPr>
          <w:rFonts w:ascii="Times New Roman" w:cs="Times New Roman" w:eastAsia="Times New Roman" w:hAnsi="Times New Roman"/>
          <w:sz w:val="15"/>
          <w:szCs w:val="15"/>
          <w:color w:val="auto"/>
        </w:rPr>
      </w:pPr>
      <w:r>
        <w:rPr>
          <w:rFonts w:ascii="Arial" w:cs="Arial" w:eastAsia="Arial" w:hAnsi="Arial"/>
          <w:sz w:val="18"/>
          <w:szCs w:val="18"/>
          <w:color w:val="auto"/>
        </w:rPr>
        <w:t>revenue growth,</w:t>
      </w:r>
    </w:p>
    <w:p>
      <w:pPr>
        <w:ind w:left="1180" w:hanging="328"/>
        <w:spacing w:after="0" w:line="234" w:lineRule="auto"/>
        <w:tabs>
          <w:tab w:leader="none" w:pos="1180" w:val="left"/>
        </w:tabs>
        <w:numPr>
          <w:ilvl w:val="1"/>
          <w:numId w:val="44"/>
        </w:numPr>
        <w:rPr>
          <w:rFonts w:ascii="Times New Roman" w:cs="Times New Roman" w:eastAsia="Times New Roman" w:hAnsi="Times New Roman"/>
          <w:sz w:val="15"/>
          <w:szCs w:val="15"/>
          <w:color w:val="auto"/>
        </w:rPr>
      </w:pPr>
      <w:r>
        <w:rPr>
          <w:rFonts w:ascii="Arial" w:cs="Arial" w:eastAsia="Arial" w:hAnsi="Arial"/>
          <w:sz w:val="18"/>
          <w:szCs w:val="18"/>
          <w:color w:val="auto"/>
        </w:rPr>
        <w:t>operating profit as a percentage of revenue,</w:t>
      </w:r>
    </w:p>
    <w:p>
      <w:pPr>
        <w:ind w:left="1180" w:hanging="328"/>
        <w:spacing w:after="0" w:line="234" w:lineRule="auto"/>
        <w:tabs>
          <w:tab w:leader="none" w:pos="1180" w:val="left"/>
        </w:tabs>
        <w:numPr>
          <w:ilvl w:val="1"/>
          <w:numId w:val="44"/>
        </w:numPr>
        <w:rPr>
          <w:rFonts w:ascii="Times New Roman" w:cs="Times New Roman" w:eastAsia="Times New Roman" w:hAnsi="Times New Roman"/>
          <w:sz w:val="15"/>
          <w:szCs w:val="15"/>
          <w:color w:val="auto"/>
        </w:rPr>
      </w:pPr>
      <w:r>
        <w:rPr>
          <w:rFonts w:ascii="Arial" w:cs="Arial" w:eastAsia="Arial" w:hAnsi="Arial"/>
          <w:sz w:val="18"/>
          <w:szCs w:val="18"/>
          <w:color w:val="auto"/>
        </w:rPr>
        <w:t>total shareholder return, and</w:t>
      </w:r>
    </w:p>
    <w:p>
      <w:pPr>
        <w:ind w:left="960" w:hanging="54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absolute one-year and three-year performance of TI on the above measures.</w:t>
      </w:r>
    </w:p>
    <w:p>
      <w:pPr>
        <w:spacing w:after="0" w:line="190" w:lineRule="exact"/>
        <w:rPr>
          <w:sz w:val="20"/>
          <w:szCs w:val="20"/>
          <w:color w:val="auto"/>
        </w:rPr>
      </w:pPr>
    </w:p>
    <w:p>
      <w:pPr>
        <w:ind w:left="200" w:right="860"/>
        <w:spacing w:after="0" w:line="276" w:lineRule="auto"/>
        <w:rPr>
          <w:sz w:val="20"/>
          <w:szCs w:val="20"/>
          <w:color w:val="auto"/>
        </w:rPr>
      </w:pPr>
      <w:r>
        <w:rPr>
          <w:rFonts w:ascii="Arial" w:cs="Arial" w:eastAsia="Arial" w:hAnsi="Arial"/>
          <w:sz w:val="18"/>
          <w:szCs w:val="18"/>
          <w:color w:val="auto"/>
        </w:rPr>
        <w:t>In addition, the committee considered strategic progress by reviewing TI competitiveness in key markets with core products and technologies, as well as the strength of relationships with customers.</w:t>
      </w:r>
    </w:p>
    <w:p>
      <w:pPr>
        <w:spacing w:after="0" w:line="145" w:lineRule="exact"/>
        <w:rPr>
          <w:sz w:val="20"/>
          <w:szCs w:val="20"/>
          <w:color w:val="auto"/>
        </w:rPr>
      </w:pPr>
    </w:p>
    <w:p>
      <w:pPr>
        <w:ind w:left="200" w:right="100"/>
        <w:spacing w:after="0" w:line="248" w:lineRule="auto"/>
        <w:rPr>
          <w:sz w:val="20"/>
          <w:szCs w:val="20"/>
          <w:color w:val="auto"/>
        </w:rPr>
      </w:pPr>
      <w:r>
        <w:rPr>
          <w:rFonts w:ascii="Arial" w:cs="Arial" w:eastAsia="Arial" w:hAnsi="Arial"/>
          <w:sz w:val="18"/>
          <w:szCs w:val="18"/>
          <w:color w:val="auto"/>
        </w:rPr>
        <w:t>In assessing performance, the committee did not use formulas, thresholds or multiples. Because market conditions can quickly change in our industry, thresholds established at the beginning of a year could prove irrelevant by year-end. The committee believes its approach, which assesses the company’s relative performance in hindsight after year-end, gives it the insight to most effectively and critically judge results and encourages executives to pursue strategies that serve the long-term interests of the company and its shareholders.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comparison of relative performance, the committee used the following companies (the “competitor companies”):</w:t>
      </w:r>
    </w:p>
    <w:p>
      <w:pPr>
        <w:sectPr>
          <w:pgSz w:w="11900" w:h="16838" w:orient="portrait"/>
          <w:cols w:equalWidth="0" w:num="1">
            <w:col w:w="11200"/>
          </w:cols>
          <w:pgMar w:left="240" w:top="455" w:right="459" w:bottom="1440" w:gutter="0" w:footer="0" w:header="0"/>
        </w:sectPr>
      </w:pP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Advanced Micro Devices, Inc.</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Analog Devices, Inc.</w:t>
      </w:r>
    </w:p>
    <w:p>
      <w:pPr>
        <w:ind w:left="560"/>
        <w:spacing w:after="0" w:line="234" w:lineRule="auto"/>
        <w:rPr>
          <w:sz w:val="20"/>
          <w:szCs w:val="20"/>
          <w:color w:val="auto"/>
        </w:rPr>
      </w:pPr>
      <w:r>
        <w:rPr>
          <w:rFonts w:ascii="Arial" w:cs="Arial" w:eastAsia="Arial" w:hAnsi="Arial"/>
          <w:sz w:val="18"/>
          <w:szCs w:val="18"/>
          <w:color w:val="auto"/>
        </w:rPr>
        <w:t>Broadcom Inc.</w:t>
      </w:r>
    </w:p>
    <w:p>
      <w:pPr>
        <w:ind w:left="560"/>
        <w:spacing w:after="0" w:line="235" w:lineRule="auto"/>
        <w:rPr>
          <w:sz w:val="20"/>
          <w:szCs w:val="20"/>
          <w:color w:val="auto"/>
        </w:rPr>
      </w:pPr>
      <w:r>
        <w:rPr>
          <w:rFonts w:ascii="Arial" w:cs="Arial" w:eastAsia="Arial" w:hAnsi="Arial"/>
          <w:sz w:val="18"/>
          <w:szCs w:val="18"/>
          <w:color w:val="auto"/>
        </w:rPr>
        <w:t>Infineon Technologies AG</w:t>
      </w:r>
    </w:p>
    <w:p>
      <w:pPr>
        <w:ind w:left="560"/>
        <w:spacing w:after="0" w:line="235" w:lineRule="auto"/>
        <w:rPr>
          <w:sz w:val="20"/>
          <w:szCs w:val="20"/>
          <w:color w:val="auto"/>
        </w:rPr>
      </w:pPr>
      <w:r>
        <w:rPr>
          <w:rFonts w:ascii="Arial" w:cs="Arial" w:eastAsia="Arial" w:hAnsi="Arial"/>
          <w:sz w:val="18"/>
          <w:szCs w:val="18"/>
          <w:color w:val="auto"/>
        </w:rPr>
        <w:t>Intel Corporation</w:t>
      </w:r>
    </w:p>
    <w:p>
      <w:pPr>
        <w:ind w:left="560"/>
        <w:spacing w:after="0" w:line="235" w:lineRule="auto"/>
        <w:rPr>
          <w:sz w:val="20"/>
          <w:szCs w:val="20"/>
          <w:color w:val="auto"/>
        </w:rPr>
      </w:pPr>
      <w:r>
        <w:rPr>
          <w:rFonts w:ascii="Arial" w:cs="Arial" w:eastAsia="Arial" w:hAnsi="Arial"/>
          <w:sz w:val="18"/>
          <w:szCs w:val="18"/>
          <w:color w:val="auto"/>
        </w:rPr>
        <w:t>Marvell Technology Group Ltd.</w:t>
      </w:r>
    </w:p>
    <w:p>
      <w:pPr>
        <w:ind w:left="560"/>
        <w:spacing w:after="0" w:line="235" w:lineRule="auto"/>
        <w:rPr>
          <w:sz w:val="20"/>
          <w:szCs w:val="20"/>
          <w:color w:val="auto"/>
        </w:rPr>
      </w:pPr>
      <w:r>
        <w:rPr>
          <w:rFonts w:ascii="Arial" w:cs="Arial" w:eastAsia="Arial" w:hAnsi="Arial"/>
          <w:sz w:val="18"/>
          <w:szCs w:val="18"/>
          <w:color w:val="auto"/>
        </w:rPr>
        <w:t>Maxim Integrated Products, Inc.</w:t>
      </w:r>
    </w:p>
    <w:p>
      <w:pPr>
        <w:ind w:left="560"/>
        <w:spacing w:after="0"/>
        <w:rPr>
          <w:sz w:val="20"/>
          <w:szCs w:val="20"/>
          <w:color w:val="auto"/>
        </w:rPr>
      </w:pPr>
      <w:r>
        <w:rPr>
          <w:rFonts w:ascii="Arial" w:cs="Arial" w:eastAsia="Arial" w:hAnsi="Arial"/>
          <w:sz w:val="17"/>
          <w:szCs w:val="17"/>
          <w:color w:val="auto"/>
        </w:rPr>
        <w:t>Microchip Technology Incorporated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NVIDIA Corporation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NXP Semiconductors N.V.</w:t>
      </w:r>
    </w:p>
    <w:p>
      <w:pPr>
        <w:spacing w:after="0"/>
        <w:rPr>
          <w:sz w:val="20"/>
          <w:szCs w:val="20"/>
          <w:color w:val="auto"/>
        </w:rPr>
      </w:pPr>
      <w:r>
        <w:rPr>
          <w:rFonts w:ascii="Arial" w:cs="Arial" w:eastAsia="Arial" w:hAnsi="Arial"/>
          <w:sz w:val="17"/>
          <w:szCs w:val="17"/>
          <w:color w:val="auto"/>
        </w:rPr>
        <w:t>ON Semiconductor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QUALCOMM Incorporated</w:t>
      </w:r>
    </w:p>
    <w:p>
      <w:pPr>
        <w:spacing w:after="0" w:line="234" w:lineRule="auto"/>
        <w:rPr>
          <w:sz w:val="20"/>
          <w:szCs w:val="20"/>
          <w:color w:val="auto"/>
        </w:rPr>
      </w:pPr>
      <w:r>
        <w:rPr>
          <w:rFonts w:ascii="Arial" w:cs="Arial" w:eastAsia="Arial" w:hAnsi="Arial"/>
          <w:sz w:val="18"/>
          <w:szCs w:val="18"/>
          <w:color w:val="auto"/>
        </w:rPr>
        <w:t>Skyworks Solutions, Inc.</w:t>
      </w:r>
    </w:p>
    <w:p>
      <w:pPr>
        <w:spacing w:after="0" w:line="235" w:lineRule="auto"/>
        <w:rPr>
          <w:sz w:val="20"/>
          <w:szCs w:val="20"/>
          <w:color w:val="auto"/>
        </w:rPr>
      </w:pPr>
      <w:r>
        <w:rPr>
          <w:rFonts w:ascii="Arial" w:cs="Arial" w:eastAsia="Arial" w:hAnsi="Arial"/>
          <w:sz w:val="18"/>
          <w:szCs w:val="18"/>
          <w:color w:val="auto"/>
        </w:rPr>
        <w:t>STMicroelectronics N.V.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Xilinx, Inc.</w:t>
      </w:r>
    </w:p>
    <w:p>
      <w:pPr>
        <w:spacing w:after="0" w:line="391" w:lineRule="exact"/>
        <w:rPr>
          <w:sz w:val="20"/>
          <w:szCs w:val="20"/>
          <w:color w:val="auto"/>
        </w:rPr>
      </w:pPr>
    </w:p>
    <w:p>
      <w:pPr>
        <w:sectPr>
          <w:pgSz w:w="11900" w:h="16838" w:orient="portrait"/>
          <w:cols w:equalWidth="0" w:num="2">
            <w:col w:w="3600" w:space="720"/>
            <w:col w:w="6880"/>
          </w:cols>
          <w:pgMar w:left="240" w:top="455" w:right="459" w:bottom="1440" w:gutter="0" w:footer="0" w:header="0"/>
          <w:type w:val="continuous"/>
        </w:sectPr>
      </w:pPr>
    </w:p>
    <w:p>
      <w:pPr>
        <w:spacing w:after="0" w:line="177" w:lineRule="exact"/>
        <w:rPr>
          <w:sz w:val="20"/>
          <w:szCs w:val="20"/>
          <w:color w:val="auto"/>
        </w:rPr>
      </w:pPr>
    </w:p>
    <w:p>
      <w:pPr>
        <w:ind w:left="200" w:right="120"/>
        <w:spacing w:after="0" w:line="276" w:lineRule="auto"/>
        <w:rPr>
          <w:sz w:val="20"/>
          <w:szCs w:val="20"/>
          <w:color w:val="auto"/>
        </w:rPr>
      </w:pPr>
      <w:r>
        <w:rPr>
          <w:rFonts w:ascii="Arial" w:cs="Arial" w:eastAsia="Arial" w:hAnsi="Arial"/>
          <w:sz w:val="18"/>
          <w:szCs w:val="18"/>
          <w:color w:val="auto"/>
        </w:rPr>
        <w:t>To the extent the companies had not released financial results for the year or the most recent quarter, the committee based its evaluation on estimates and projections of the companies’ financial results for 2018.</w:t>
      </w:r>
    </w:p>
    <w:p>
      <w:pPr>
        <w:spacing w:after="0" w:line="7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00"/>
          </w:cols>
          <w:pgMar w:left="240" w:top="455" w:right="45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The committee made no changes to the list of competitor companies in 2018.</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u w:val="single" w:color="auto"/>
          <w:color w:val="auto"/>
        </w:rPr>
        <w:t>Assessment of 2018 performance</w:t>
      </w:r>
    </w:p>
    <w:p>
      <w:pPr>
        <w:spacing w:after="0" w:line="210" w:lineRule="exact"/>
        <w:rPr>
          <w:sz w:val="20"/>
          <w:szCs w:val="20"/>
          <w:color w:val="auto"/>
        </w:rPr>
      </w:pPr>
    </w:p>
    <w:p>
      <w:pPr>
        <w:ind w:left="540" w:right="500"/>
        <w:spacing w:after="0"/>
        <w:rPr>
          <w:sz w:val="20"/>
          <w:szCs w:val="20"/>
          <w:color w:val="auto"/>
        </w:rPr>
      </w:pPr>
      <w:r>
        <w:rPr>
          <w:rFonts w:ascii="Arial" w:cs="Arial" w:eastAsia="Arial" w:hAnsi="Arial"/>
          <w:sz w:val="18"/>
          <w:szCs w:val="18"/>
          <w:color w:val="auto"/>
        </w:rPr>
        <w:t>The committee spent extensive time in December and January assessing TI’s results and strategic progress for 2018. In setting bonuses, the committee considered quantitative and qualitative measures on both an absolute and relative basis and made certain that resulting decisions were founded on both solid data and sound judgment. On an absolute basis, revenue and operating profit margin were both positive, with operating profit being better than the median relative to competitors and revenue falling below median. TSR was down on an absolute basis but still better than median relative to competitors. In aggregate, the committee determined that performance in 2018 was strong, both on an absolute and relative basis. Therefore, the committee targeted a 5 percent bonus increase for 2018 for named executive officers. However, three of the named executive officers are newer to their roles and received higher bonus increases in an effort to more closely align their total cash with the competitive market for their roles and the company’s performance. Details on the committee’s assessment are below.</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 and margin</w:t>
      </w:r>
    </w:p>
    <w:p>
      <w:pPr>
        <w:spacing w:after="0" w:line="117" w:lineRule="exact"/>
        <w:rPr>
          <w:sz w:val="20"/>
          <w:szCs w:val="20"/>
          <w:color w:val="auto"/>
        </w:rPr>
      </w:pPr>
    </w:p>
    <w:p>
      <w:pPr>
        <w:ind w:left="1180" w:hanging="328"/>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i w:val="1"/>
          <w:iCs w:val="1"/>
          <w:u w:val="single" w:color="auto"/>
          <w:color w:val="auto"/>
        </w:rPr>
        <w:t>Annual performance</w:t>
      </w:r>
    </w:p>
    <w:p>
      <w:pPr>
        <w:spacing w:after="0" w:line="15" w:lineRule="exact"/>
        <w:rPr>
          <w:rFonts w:ascii="Arial" w:cs="Arial" w:eastAsia="Arial" w:hAnsi="Arial"/>
          <w:sz w:val="18"/>
          <w:szCs w:val="18"/>
          <w:color w:val="auto"/>
        </w:rPr>
      </w:pPr>
    </w:p>
    <w:p>
      <w:pPr>
        <w:ind w:left="1740" w:right="340" w:hanging="550"/>
        <w:spacing w:after="0" w:line="234" w:lineRule="auto"/>
        <w:tabs>
          <w:tab w:leader="none" w:pos="1740" w:val="left"/>
        </w:tabs>
        <w:numPr>
          <w:ilvl w:val="1"/>
          <w:numId w:val="45"/>
        </w:numPr>
        <w:rPr>
          <w:rFonts w:ascii="Times New Roman" w:cs="Times New Roman" w:eastAsia="Times New Roman" w:hAnsi="Times New Roman"/>
          <w:sz w:val="15"/>
          <w:szCs w:val="15"/>
          <w:color w:val="auto"/>
        </w:rPr>
      </w:pPr>
      <w:r>
        <w:rPr>
          <w:rFonts w:ascii="Arial" w:cs="Arial" w:eastAsia="Arial" w:hAnsi="Arial"/>
          <w:sz w:val="18"/>
          <w:szCs w:val="18"/>
          <w:color w:val="auto"/>
        </w:rPr>
        <w:t>TI’s revenue growth rate of 5.5 percent was lower in 2018 than in the prior year. Compared with competitor companies, TI’s growth rate was below the median. It is important to note that the median growth rate of competitor companies includes the effect of acquisitions, whereas TI’s growth rate is entirely organic.</w:t>
      </w:r>
    </w:p>
    <w:p>
      <w:pPr>
        <w:spacing w:after="0" w:line="2" w:lineRule="exact"/>
        <w:rPr>
          <w:rFonts w:ascii="Times New Roman" w:cs="Times New Roman" w:eastAsia="Times New Roman" w:hAnsi="Times New Roman"/>
          <w:sz w:val="15"/>
          <w:szCs w:val="15"/>
          <w:color w:val="auto"/>
        </w:rPr>
      </w:pPr>
    </w:p>
    <w:p>
      <w:pPr>
        <w:ind w:left="1740" w:right="840" w:hanging="550"/>
        <w:spacing w:after="0" w:line="234" w:lineRule="auto"/>
        <w:tabs>
          <w:tab w:leader="none" w:pos="1740" w:val="left"/>
        </w:tabs>
        <w:numPr>
          <w:ilvl w:val="1"/>
          <w:numId w:val="45"/>
        </w:numPr>
        <w:rPr>
          <w:rFonts w:ascii="Times New Roman" w:cs="Times New Roman" w:eastAsia="Times New Roman" w:hAnsi="Times New Roman"/>
          <w:sz w:val="15"/>
          <w:szCs w:val="15"/>
          <w:color w:val="auto"/>
        </w:rPr>
      </w:pPr>
      <w:r>
        <w:rPr>
          <w:rFonts w:ascii="Arial" w:cs="Arial" w:eastAsia="Arial" w:hAnsi="Arial"/>
          <w:sz w:val="18"/>
          <w:szCs w:val="18"/>
          <w:color w:val="auto"/>
        </w:rPr>
        <w:t>Revenues for the company’s core businesses of Analog and Embedded Processing were up 9.1 percent and 1.6 percent, respectively.</w:t>
      </w:r>
    </w:p>
    <w:p>
      <w:pPr>
        <w:spacing w:after="0" w:line="1" w:lineRule="exact"/>
        <w:rPr>
          <w:rFonts w:ascii="Times New Roman" w:cs="Times New Roman" w:eastAsia="Times New Roman" w:hAnsi="Times New Roman"/>
          <w:sz w:val="15"/>
          <w:szCs w:val="15"/>
          <w:color w:val="auto"/>
        </w:rPr>
      </w:pPr>
    </w:p>
    <w:p>
      <w:pPr>
        <w:ind w:left="1740" w:right="1220" w:hanging="550"/>
        <w:spacing w:after="0" w:line="234" w:lineRule="auto"/>
        <w:tabs>
          <w:tab w:leader="none" w:pos="1740" w:val="left"/>
        </w:tabs>
        <w:numPr>
          <w:ilvl w:val="1"/>
          <w:numId w:val="45"/>
        </w:numPr>
        <w:rPr>
          <w:rFonts w:ascii="Times New Roman" w:cs="Times New Roman" w:eastAsia="Times New Roman" w:hAnsi="Times New Roman"/>
          <w:sz w:val="15"/>
          <w:szCs w:val="15"/>
          <w:color w:val="auto"/>
        </w:rPr>
      </w:pPr>
      <w:r>
        <w:rPr>
          <w:rFonts w:ascii="Arial" w:cs="Arial" w:eastAsia="Arial" w:hAnsi="Arial"/>
          <w:sz w:val="18"/>
          <w:szCs w:val="18"/>
          <w:color w:val="auto"/>
        </w:rPr>
        <w:t>Operating profit margin was 42.5 percent, which was above both the prior year’s margin and the median comparison with competitors.</w:t>
      </w:r>
    </w:p>
    <w:p>
      <w:pPr>
        <w:spacing w:after="0" w:line="1" w:lineRule="exact"/>
        <w:rPr>
          <w:rFonts w:ascii="Times New Roman" w:cs="Times New Roman" w:eastAsia="Times New Roman" w:hAnsi="Times New Roman"/>
          <w:sz w:val="15"/>
          <w:szCs w:val="15"/>
          <w:color w:val="auto"/>
        </w:rPr>
      </w:pPr>
    </w:p>
    <w:p>
      <w:pPr>
        <w:ind w:left="1180" w:hanging="328"/>
        <w:spacing w:after="0" w:line="234" w:lineRule="auto"/>
        <w:tabs>
          <w:tab w:leader="none" w:pos="118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Three-year performance</w:t>
      </w:r>
    </w:p>
    <w:p>
      <w:pPr>
        <w:ind w:left="1740" w:right="960" w:hanging="550"/>
        <w:spacing w:after="0" w:line="234" w:lineRule="auto"/>
        <w:tabs>
          <w:tab w:leader="none" w:pos="1740" w:val="left"/>
        </w:tabs>
        <w:numPr>
          <w:ilvl w:val="1"/>
          <w:numId w:val="45"/>
        </w:numPr>
        <w:rPr>
          <w:rFonts w:ascii="Times New Roman" w:cs="Times New Roman" w:eastAsia="Times New Roman" w:hAnsi="Times New Roman"/>
          <w:sz w:val="15"/>
          <w:szCs w:val="15"/>
          <w:color w:val="auto"/>
        </w:rPr>
      </w:pPr>
      <w:r>
        <w:rPr>
          <w:rFonts w:ascii="Arial" w:cs="Arial" w:eastAsia="Arial" w:hAnsi="Arial"/>
          <w:sz w:val="18"/>
          <w:szCs w:val="18"/>
          <w:color w:val="auto"/>
        </w:rPr>
        <w:t>Compound annual revenue growth for 2016-2018 was 6.7 percent, which was below the median competitor comparison.</w:t>
      </w:r>
    </w:p>
    <w:p>
      <w:pPr>
        <w:spacing w:after="0" w:line="1" w:lineRule="exact"/>
        <w:rPr>
          <w:rFonts w:ascii="Times New Roman" w:cs="Times New Roman" w:eastAsia="Times New Roman" w:hAnsi="Times New Roman"/>
          <w:sz w:val="15"/>
          <w:szCs w:val="15"/>
          <w:color w:val="auto"/>
        </w:rPr>
      </w:pPr>
    </w:p>
    <w:p>
      <w:pPr>
        <w:ind w:left="1740" w:hanging="550"/>
        <w:spacing w:after="0"/>
        <w:tabs>
          <w:tab w:leader="none" w:pos="1740" w:val="left"/>
        </w:tabs>
        <w:numPr>
          <w:ilvl w:val="1"/>
          <w:numId w:val="45"/>
        </w:numPr>
        <w:rPr>
          <w:rFonts w:ascii="Times New Roman" w:cs="Times New Roman" w:eastAsia="Times New Roman" w:hAnsi="Times New Roman"/>
          <w:sz w:val="15"/>
          <w:szCs w:val="15"/>
          <w:color w:val="auto"/>
        </w:rPr>
      </w:pPr>
      <w:r>
        <w:rPr>
          <w:rFonts w:ascii="Arial" w:cs="Arial" w:eastAsia="Arial" w:hAnsi="Arial"/>
          <w:sz w:val="18"/>
          <w:szCs w:val="18"/>
          <w:color w:val="auto"/>
        </w:rPr>
        <w:t>Average operating profit for 2016-2018 was 40.0 percent, which was above the median competitor comparison.</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Total shareholder return </w:t>
      </w:r>
      <w:r>
        <w:rPr>
          <w:rFonts w:ascii="Arial" w:cs="Arial" w:eastAsia="Arial" w:hAnsi="Arial"/>
          <w:sz w:val="18"/>
          <w:szCs w:val="18"/>
          <w:color w:val="auto"/>
        </w:rPr>
        <w:t>(TSR)</w:t>
      </w:r>
    </w:p>
    <w:p>
      <w:pPr>
        <w:spacing w:after="0" w:line="117" w:lineRule="exact"/>
        <w:rPr>
          <w:sz w:val="20"/>
          <w:szCs w:val="20"/>
          <w:color w:val="auto"/>
        </w:rPr>
      </w:pPr>
    </w:p>
    <w:p>
      <w:pPr>
        <w:ind w:left="1180" w:hanging="328"/>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TSR was down 7.2 percent, better than the median TSR as compared with competitor companies.</w:t>
      </w:r>
    </w:p>
    <w:p>
      <w:pPr>
        <w:spacing w:after="0" w:line="17" w:lineRule="exact"/>
        <w:rPr>
          <w:rFonts w:ascii="Arial" w:cs="Arial" w:eastAsia="Arial" w:hAnsi="Arial"/>
          <w:sz w:val="18"/>
          <w:szCs w:val="18"/>
          <w:color w:val="auto"/>
        </w:rPr>
      </w:pPr>
    </w:p>
    <w:p>
      <w:pPr>
        <w:ind w:left="1180" w:right="360" w:hanging="328"/>
        <w:spacing w:after="0" w:line="234"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again generated strong cash, with free cash flow at 38.4 percent of revenue.</w:t>
      </w:r>
      <w:r>
        <w:rPr>
          <w:rFonts w:ascii="Arial" w:cs="Arial" w:eastAsia="Arial" w:hAnsi="Arial"/>
          <w:sz w:val="15"/>
          <w:szCs w:val="15"/>
          <w:color w:val="auto"/>
        </w:rPr>
        <w:t>2</w:t>
      </w:r>
      <w:r>
        <w:rPr>
          <w:rFonts w:ascii="Arial" w:cs="Arial" w:eastAsia="Arial" w:hAnsi="Arial"/>
          <w:sz w:val="18"/>
          <w:szCs w:val="18"/>
          <w:color w:val="auto"/>
        </w:rPr>
        <w:t xml:space="preserve"> Approximately 126 percent of free cash flow was returned to shareholders in 2018 through share repurchases and dividends. Share repurchases of $5.1 billion reduced outstanding shares by 3.9 percent (net of stock issuances during the year). The quarterly dividend rate increased 24.2 percent (the 17</w:t>
      </w:r>
      <w:r>
        <w:rPr>
          <w:rFonts w:ascii="Arial" w:cs="Arial" w:eastAsia="Arial" w:hAnsi="Arial"/>
          <w:sz w:val="15"/>
          <w:szCs w:val="15"/>
          <w:color w:val="auto"/>
        </w:rPr>
        <w:t>th</w:t>
      </w:r>
      <w:r>
        <w:rPr>
          <w:rFonts w:ascii="Arial" w:cs="Arial" w:eastAsia="Arial" w:hAnsi="Arial"/>
          <w:sz w:val="18"/>
          <w:szCs w:val="18"/>
          <w:color w:val="auto"/>
        </w:rPr>
        <w:t xml:space="preserve"> increase in the last 15 years). Share repurchases and dividend increases are important elements of TI’s capital management strategy.</w:t>
      </w:r>
    </w:p>
    <w:p>
      <w:pPr>
        <w:spacing w:after="0" w:line="3" w:lineRule="exact"/>
        <w:rPr>
          <w:rFonts w:ascii="Arial" w:cs="Arial" w:eastAsia="Arial" w:hAnsi="Arial"/>
          <w:sz w:val="18"/>
          <w:szCs w:val="18"/>
          <w:color w:val="auto"/>
        </w:rPr>
      </w:pPr>
    </w:p>
    <w:p>
      <w:pPr>
        <w:ind w:left="1180" w:hanging="328"/>
        <w:spacing w:after="0" w:line="234"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balance sheet remained robust, ending the year with cash and short-term investments of $4.2 billion.</w:t>
      </w:r>
    </w:p>
    <w:p>
      <w:pPr>
        <w:ind w:left="1180" w:right="1040" w:hanging="328"/>
        <w:spacing w:after="0" w:line="251"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three-year compound annual growth rate for TSR was 23.0 percent, which was above the median competitor comparison.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Strategic progress</w:t>
      </w:r>
    </w:p>
    <w:p>
      <w:pPr>
        <w:spacing w:after="0" w:line="115" w:lineRule="exact"/>
        <w:rPr>
          <w:sz w:val="20"/>
          <w:szCs w:val="20"/>
          <w:color w:val="auto"/>
        </w:rPr>
      </w:pPr>
    </w:p>
    <w:p>
      <w:pPr>
        <w:ind w:left="1180" w:right="400" w:hanging="328"/>
        <w:spacing w:after="0" w:line="248"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business model is designed around four sustainable competitive advantages that in combination put us in a unique class of companies. These advantages include (i) manufacturing and technology, (ii) breadth of differentiated product portfolio, (iii) channel reach of sales force and TI.com and (iv) diversity and longevity of product, market and customer positions. In 2018, the company continued to strengthen and leverage these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71755</wp:posOffset>
            </wp:positionV>
            <wp:extent cx="694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4" w:lineRule="exact"/>
        <w:rPr>
          <w:sz w:val="20"/>
          <w:szCs w:val="20"/>
          <w:color w:val="auto"/>
        </w:rPr>
      </w:pPr>
    </w:p>
    <w:p>
      <w:pPr>
        <w:ind w:left="420" w:right="320" w:hanging="216"/>
        <w:spacing w:after="0" w:line="276" w:lineRule="auto"/>
        <w:tabs>
          <w:tab w:leader="none" w:pos="420" w:val="left"/>
        </w:tabs>
        <w:numPr>
          <w:ilvl w:val="0"/>
          <w:numId w:val="48"/>
        </w:numPr>
        <w:rPr>
          <w:rFonts w:ascii="Arial" w:cs="Arial" w:eastAsia="Arial" w:hAnsi="Arial"/>
          <w:sz w:val="15"/>
          <w:szCs w:val="15"/>
          <w:color w:val="auto"/>
        </w:rPr>
      </w:pPr>
      <w:r>
        <w:rPr>
          <w:rFonts w:ascii="Arial" w:cs="Arial" w:eastAsia="Arial" w:hAnsi="Arial"/>
          <w:sz w:val="18"/>
          <w:szCs w:val="18"/>
          <w:color w:val="auto"/>
        </w:rPr>
        <w:t>Free cash flow was calculated by subtracting Capital expenditures from the GAAP-based Cash flows from operating activities. For a reconciliation to GAAP, see Appendix A to this proxy statement.</w:t>
      </w:r>
    </w:p>
    <w:p>
      <w:pPr>
        <w:spacing w:after="0" w:line="79"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25</w:t>
            </w:r>
          </w:p>
        </w:tc>
      </w:tr>
    </w:tbl>
    <w:p>
      <w:pPr>
        <w:sectPr>
          <w:pgSz w:w="11900" w:h="16838" w:orient="portrait"/>
          <w:cols w:equalWidth="0" w:num="1">
            <w:col w:w="11220"/>
          </w:cols>
          <w:pgMar w:left="24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180" w:right="280" w:hanging="328"/>
        <w:spacing w:after="0" w:line="241"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strategic focus is on analog and embedded processing, with a particular emphasis on designing and selling those products into the industrial and automotive markets, which we believe represent the best growth opportunities. Focused investments in these areas continue to provide the foundation for strong results in the near and long terms.</w:t>
      </w:r>
    </w:p>
    <w:p>
      <w:pPr>
        <w:jc w:val="both"/>
        <w:ind w:left="1740" w:right="220" w:hanging="550"/>
        <w:spacing w:after="0" w:line="234" w:lineRule="auto"/>
        <w:tabs>
          <w:tab w:leader="none" w:pos="1740" w:val="left"/>
        </w:tabs>
        <w:numPr>
          <w:ilvl w:val="1"/>
          <w:numId w:val="49"/>
        </w:numPr>
        <w:rPr>
          <w:rFonts w:ascii="Times New Roman" w:cs="Times New Roman" w:eastAsia="Times New Roman" w:hAnsi="Times New Roman"/>
          <w:sz w:val="15"/>
          <w:szCs w:val="15"/>
          <w:color w:val="auto"/>
        </w:rPr>
      </w:pPr>
      <w:r>
        <w:rPr>
          <w:rFonts w:ascii="Arial" w:cs="Arial" w:eastAsia="Arial" w:hAnsi="Arial"/>
          <w:sz w:val="18"/>
          <w:szCs w:val="18"/>
          <w:color w:val="auto"/>
        </w:rPr>
        <w:t>TI’s broad analog and embedded processing product portfolio includes tens of thousands of products, with more products added each year, offering strong differentiation and longevity. In 2018, 91 percent of TI’s revenue came from Analog and Embedded Processing semiconductors, up from 90 percent in 2017.</w:t>
      </w:r>
    </w:p>
    <w:p>
      <w:pPr>
        <w:spacing w:after="0" w:line="2" w:lineRule="exact"/>
        <w:rPr>
          <w:rFonts w:ascii="Times New Roman" w:cs="Times New Roman" w:eastAsia="Times New Roman" w:hAnsi="Times New Roman"/>
          <w:sz w:val="15"/>
          <w:szCs w:val="15"/>
          <w:color w:val="auto"/>
        </w:rPr>
      </w:pPr>
    </w:p>
    <w:p>
      <w:pPr>
        <w:jc w:val="both"/>
        <w:ind w:left="1740" w:right="380" w:hanging="550"/>
        <w:spacing w:after="0" w:line="234" w:lineRule="auto"/>
        <w:tabs>
          <w:tab w:leader="none" w:pos="1740" w:val="left"/>
        </w:tabs>
        <w:numPr>
          <w:ilvl w:val="1"/>
          <w:numId w:val="49"/>
        </w:numPr>
        <w:rPr>
          <w:rFonts w:ascii="Times New Roman" w:cs="Times New Roman" w:eastAsia="Times New Roman" w:hAnsi="Times New Roman"/>
          <w:sz w:val="15"/>
          <w:szCs w:val="15"/>
          <w:color w:val="auto"/>
        </w:rPr>
      </w:pPr>
      <w:r>
        <w:rPr>
          <w:rFonts w:ascii="Arial" w:cs="Arial" w:eastAsia="Arial" w:hAnsi="Arial"/>
          <w:sz w:val="18"/>
          <w:szCs w:val="18"/>
          <w:color w:val="auto"/>
        </w:rPr>
        <w:t>We believe the industrial and automotive markets represent the best growth opportunity for the industry for the foreseeable future because of the increasing semiconductor content in these markets. In 2018, approximately 56 percent of TI’s revenue came from industrial and automotive markets, up from approximately 54 percent in 2017.</w:t>
      </w:r>
    </w:p>
    <w:p>
      <w:pPr>
        <w:spacing w:after="0" w:line="3" w:lineRule="exact"/>
        <w:rPr>
          <w:rFonts w:ascii="Times New Roman" w:cs="Times New Roman" w:eastAsia="Times New Roman" w:hAnsi="Times New Roman"/>
          <w:sz w:val="15"/>
          <w:szCs w:val="15"/>
          <w:color w:val="auto"/>
        </w:rPr>
      </w:pPr>
    </w:p>
    <w:p>
      <w:pPr>
        <w:ind w:left="1180" w:right="520" w:hanging="328"/>
        <w:spacing w:after="0" w:line="234"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TI’s revenue continues to come from a diverse base of thousands of applications. This is an intentional strategy that prevents dependence on a single market, customer or product.</w:t>
      </w:r>
    </w:p>
    <w:p>
      <w:pPr>
        <w:spacing w:after="0" w:line="1" w:lineRule="exact"/>
        <w:rPr>
          <w:rFonts w:ascii="Arial" w:cs="Arial" w:eastAsia="Arial" w:hAnsi="Arial"/>
          <w:sz w:val="18"/>
          <w:szCs w:val="18"/>
          <w:color w:val="auto"/>
        </w:rPr>
      </w:pPr>
    </w:p>
    <w:p>
      <w:pPr>
        <w:jc w:val="both"/>
        <w:ind w:left="1180" w:right="240" w:hanging="328"/>
        <w:spacing w:after="0" w:line="234"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2018, the company again increased production of 300-millimeter wafers. TI’s in-house capability to manufacture high volumes of Analog semiconductors on 300-millimeter wafers remains a competitive advantage due to the inherent cost advantage associated with 300-millimeter technology versus prior generation. This cost advantage is the result of more chips being produced per wafer, thereby improving margins and cash generation.</w:t>
      </w:r>
    </w:p>
    <w:p>
      <w:pPr>
        <w:spacing w:after="0" w:line="3" w:lineRule="exact"/>
        <w:rPr>
          <w:rFonts w:ascii="Arial" w:cs="Arial" w:eastAsia="Arial" w:hAnsi="Arial"/>
          <w:sz w:val="18"/>
          <w:szCs w:val="18"/>
          <w:color w:val="auto"/>
        </w:rPr>
      </w:pPr>
    </w:p>
    <w:p>
      <w:pPr>
        <w:ind w:left="1180" w:hanging="328"/>
        <w:spacing w:after="0" w:line="251"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total, the committee determined that TI’s strategic position was strengthened by management’s decisions and actions in 2018.</w:t>
      </w:r>
    </w:p>
    <w:p>
      <w:pPr>
        <w:spacing w:after="0" w:line="168" w:lineRule="exact"/>
        <w:rPr>
          <w:sz w:val="20"/>
          <w:szCs w:val="20"/>
          <w:color w:val="auto"/>
        </w:rPr>
      </w:pPr>
    </w:p>
    <w:p>
      <w:pPr>
        <w:ind w:left="4800"/>
        <w:spacing w:after="0"/>
        <w:rPr>
          <w:sz w:val="20"/>
          <w:szCs w:val="20"/>
          <w:color w:val="auto"/>
        </w:rPr>
      </w:pPr>
      <w:r>
        <w:rPr>
          <w:rFonts w:ascii="Arial" w:cs="Arial" w:eastAsia="Arial" w:hAnsi="Arial"/>
          <w:sz w:val="18"/>
          <w:szCs w:val="18"/>
          <w:i w:val="1"/>
          <w:iCs w:val="1"/>
          <w:u w:val="single" w:color="auto"/>
          <w:color w:val="auto"/>
        </w:rPr>
        <w:t>Performance summary</w:t>
      </w:r>
    </w:p>
    <w:p>
      <w:pPr>
        <w:spacing w:after="0" w:line="244"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5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1-Year</w:t>
            </w: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3-Year</w:t>
            </w:r>
          </w:p>
        </w:tc>
      </w:tr>
      <w:tr>
        <w:trPr>
          <w:trHeight w:val="196"/>
        </w:trPr>
        <w:tc>
          <w:tcPr>
            <w:tcW w:w="51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Revenue growth: total TI</w:t>
            </w:r>
          </w:p>
        </w:tc>
        <w:tc>
          <w:tcPr>
            <w:tcW w:w="2380" w:type="dxa"/>
            <w:vAlign w:val="bottom"/>
            <w:shd w:val="clear" w:color="auto" w:fill="E5E5E5"/>
          </w:tcPr>
          <w:p>
            <w:pPr>
              <w:jc w:val="right"/>
              <w:ind w:right="73"/>
              <w:spacing w:after="0" w:line="196" w:lineRule="exact"/>
              <w:rPr>
                <w:sz w:val="20"/>
                <w:szCs w:val="20"/>
                <w:color w:val="auto"/>
              </w:rPr>
            </w:pPr>
            <w:r>
              <w:rPr>
                <w:rFonts w:ascii="Arial" w:cs="Arial" w:eastAsia="Arial" w:hAnsi="Arial"/>
                <w:sz w:val="18"/>
                <w:szCs w:val="18"/>
                <w:color w:val="auto"/>
              </w:rPr>
              <w:t>5.5%</w:t>
            </w:r>
          </w:p>
        </w:tc>
        <w:tc>
          <w:tcPr>
            <w:tcW w:w="1500" w:type="dxa"/>
            <w:vAlign w:val="bottom"/>
            <w:shd w:val="clear" w:color="auto" w:fill="E5E5E5"/>
          </w:tcPr>
          <w:p>
            <w:pPr>
              <w:jc w:val="right"/>
              <w:ind w:right="73"/>
              <w:spacing w:after="0" w:line="196" w:lineRule="exact"/>
              <w:rPr>
                <w:sz w:val="20"/>
                <w:szCs w:val="20"/>
                <w:color w:val="auto"/>
              </w:rPr>
            </w:pPr>
            <w:r>
              <w:rPr>
                <w:rFonts w:ascii="Arial" w:cs="Arial" w:eastAsia="Arial" w:hAnsi="Arial"/>
                <w:sz w:val="18"/>
                <w:szCs w:val="18"/>
                <w:color w:val="auto"/>
              </w:rPr>
              <w:t>6.7% CAGR</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23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42.5%</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40.0% average</w:t>
            </w:r>
          </w:p>
        </w:tc>
      </w:tr>
      <w:tr>
        <w:trPr>
          <w:trHeight w:val="203"/>
        </w:trPr>
        <w:tc>
          <w:tcPr>
            <w:tcW w:w="5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Free cash flow as % of revenue</w:t>
            </w:r>
          </w:p>
        </w:tc>
        <w:tc>
          <w:tcPr>
            <w:tcW w:w="23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38.4%</w:t>
            </w:r>
          </w:p>
        </w:tc>
        <w:tc>
          <w:tcPr>
            <w:tcW w:w="1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33.6% average</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 of free cash flow returned to shareholders</w:t>
            </w:r>
          </w:p>
        </w:tc>
        <w:tc>
          <w:tcPr>
            <w:tcW w:w="23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126.4%</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108.7% average</w:t>
            </w:r>
          </w:p>
        </w:tc>
      </w:tr>
      <w:tr>
        <w:trPr>
          <w:trHeight w:val="203"/>
        </w:trPr>
        <w:tc>
          <w:tcPr>
            <w:tcW w:w="5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Increase in quarterly dividend rate</w:t>
            </w:r>
          </w:p>
        </w:tc>
        <w:tc>
          <w:tcPr>
            <w:tcW w:w="23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24.2%</w:t>
            </w:r>
          </w:p>
        </w:tc>
        <w:tc>
          <w:tcPr>
            <w:tcW w:w="1500" w:type="dxa"/>
            <w:vAlign w:val="bottom"/>
            <w:shd w:val="clear" w:color="auto" w:fill="E5E5E5"/>
          </w:tcPr>
          <w:p>
            <w:pPr>
              <w:jc w:val="right"/>
              <w:ind w:right="633"/>
              <w:spacing w:after="0" w:line="202" w:lineRule="exact"/>
              <w:rPr>
                <w:sz w:val="20"/>
                <w:szCs w:val="20"/>
                <w:color w:val="auto"/>
              </w:rPr>
            </w:pPr>
            <w:r>
              <w:rPr>
                <w:rFonts w:ascii="Arial" w:cs="Arial" w:eastAsia="Arial" w:hAnsi="Arial"/>
                <w:sz w:val="18"/>
                <w:szCs w:val="18"/>
                <w:color w:val="auto"/>
              </w:rPr>
              <w:t>102.6%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Total shareholder return (TSR)</w:t>
            </w:r>
          </w:p>
        </w:tc>
        <w:tc>
          <w:tcPr>
            <w:tcW w:w="2380" w:type="dxa"/>
            <w:vAlign w:val="bottom"/>
          </w:tcPr>
          <w:p>
            <w:pPr>
              <w:jc w:val="right"/>
              <w:ind w:right="73"/>
              <w:spacing w:after="0"/>
              <w:rPr>
                <w:sz w:val="20"/>
                <w:szCs w:val="20"/>
                <w:color w:val="auto"/>
              </w:rPr>
            </w:pPr>
            <w:r>
              <w:rPr>
                <w:rFonts w:ascii="Arial" w:cs="Arial" w:eastAsia="Arial" w:hAnsi="Arial"/>
                <w:sz w:val="18"/>
                <w:szCs w:val="18"/>
                <w:color w:val="auto"/>
              </w:rPr>
              <w:t>-7.2%</w:t>
            </w:r>
          </w:p>
        </w:tc>
        <w:tc>
          <w:tcPr>
            <w:tcW w:w="1500" w:type="dxa"/>
            <w:vAlign w:val="bottom"/>
          </w:tcPr>
          <w:p>
            <w:pPr>
              <w:jc w:val="right"/>
              <w:ind w:right="633"/>
              <w:spacing w:after="0"/>
              <w:rPr>
                <w:sz w:val="20"/>
                <w:szCs w:val="20"/>
                <w:color w:val="auto"/>
              </w:rPr>
            </w:pPr>
            <w:r>
              <w:rPr>
                <w:rFonts w:ascii="Arial" w:cs="Arial" w:eastAsia="Arial" w:hAnsi="Arial"/>
                <w:sz w:val="18"/>
                <w:szCs w:val="18"/>
                <w:color w:val="auto"/>
              </w:rPr>
              <w:t>23.0%</w:t>
            </w:r>
          </w:p>
        </w:tc>
      </w:tr>
    </w:tbl>
    <w:p>
      <w:pPr>
        <w:spacing w:after="0" w:line="152" w:lineRule="exact"/>
        <w:rPr>
          <w:sz w:val="20"/>
          <w:szCs w:val="20"/>
          <w:color w:val="auto"/>
        </w:rPr>
      </w:pPr>
    </w:p>
    <w:p>
      <w:pPr>
        <w:ind w:left="1200" w:right="760"/>
        <w:spacing w:after="0" w:line="277" w:lineRule="auto"/>
        <w:rPr>
          <w:sz w:val="20"/>
          <w:szCs w:val="20"/>
          <w:color w:val="auto"/>
        </w:rPr>
      </w:pPr>
      <w:r>
        <w:rPr>
          <w:rFonts w:ascii="Arial" w:cs="Arial" w:eastAsia="Arial" w:hAnsi="Arial"/>
          <w:sz w:val="18"/>
          <w:szCs w:val="18"/>
          <w:color w:val="auto"/>
        </w:rPr>
        <w:t>CAGR (compound annual growth rate) is calculated using the formula (Ending Value/Beginning Value)</w:t>
      </w:r>
      <w:r>
        <w:rPr>
          <w:rFonts w:ascii="Arial" w:cs="Arial" w:eastAsia="Arial" w:hAnsi="Arial"/>
          <w:sz w:val="15"/>
          <w:szCs w:val="15"/>
          <w:color w:val="auto"/>
        </w:rPr>
        <w:t>1/number of</w:t>
      </w:r>
      <w:r>
        <w:rPr>
          <w:rFonts w:ascii="Arial" w:cs="Arial" w:eastAsia="Arial" w:hAnsi="Arial"/>
          <w:sz w:val="18"/>
          <w:szCs w:val="18"/>
          <w:color w:val="auto"/>
        </w:rPr>
        <w:t xml:space="preserve"> </w:t>
      </w:r>
      <w:r>
        <w:rPr>
          <w:rFonts w:ascii="Arial" w:cs="Arial" w:eastAsia="Arial" w:hAnsi="Arial"/>
          <w:sz w:val="15"/>
          <w:szCs w:val="15"/>
          <w:color w:val="auto"/>
        </w:rPr>
        <w:t xml:space="preserve">years </w:t>
      </w:r>
      <w:r>
        <w:rPr>
          <w:rFonts w:ascii="Arial" w:cs="Arial" w:eastAsia="Arial" w:hAnsi="Arial"/>
          <w:sz w:val="18"/>
          <w:szCs w:val="18"/>
          <w:color w:val="auto"/>
        </w:rPr>
        <w:t>minus 1.</w:t>
      </w:r>
    </w:p>
    <w:p>
      <w:pPr>
        <w:spacing w:after="0" w:line="144" w:lineRule="exact"/>
        <w:rPr>
          <w:sz w:val="20"/>
          <w:szCs w:val="20"/>
          <w:color w:val="auto"/>
        </w:rPr>
      </w:pPr>
    </w:p>
    <w:p>
      <w:pPr>
        <w:ind w:left="1200" w:right="820"/>
        <w:spacing w:after="0" w:line="276" w:lineRule="auto"/>
        <w:rPr>
          <w:sz w:val="20"/>
          <w:szCs w:val="20"/>
          <w:color w:val="auto"/>
        </w:rPr>
      </w:pPr>
      <w:r>
        <w:rPr>
          <w:rFonts w:ascii="Arial" w:cs="Arial" w:eastAsia="Arial" w:hAnsi="Arial"/>
          <w:sz w:val="18"/>
          <w:szCs w:val="18"/>
          <w:color w:val="auto"/>
        </w:rPr>
        <w:t>One-year and three-year TSR percentages are obtained from a report generated using a subscription service to Equilar, an executive compensation and corporate governance data firm.</w:t>
      </w:r>
    </w:p>
    <w:p>
      <w:pPr>
        <w:spacing w:after="0" w:line="145" w:lineRule="exact"/>
        <w:rPr>
          <w:sz w:val="20"/>
          <w:szCs w:val="20"/>
          <w:color w:val="auto"/>
        </w:rPr>
      </w:pPr>
    </w:p>
    <w:p>
      <w:pPr>
        <w:ind w:left="540" w:right="200"/>
        <w:spacing w:after="0" w:line="248" w:lineRule="auto"/>
        <w:rPr>
          <w:sz w:val="20"/>
          <w:szCs w:val="20"/>
          <w:color w:val="auto"/>
        </w:rPr>
      </w:pPr>
      <w:r>
        <w:rPr>
          <w:rFonts w:ascii="Arial" w:cs="Arial" w:eastAsia="Arial" w:hAnsi="Arial"/>
          <w:sz w:val="18"/>
          <w:szCs w:val="18"/>
          <w:color w:val="auto"/>
        </w:rPr>
        <w:t>Before setting the bonuses for the named executive officers, the committee considered the officers’ individual performance. The performance of Mr. Templeton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Mr. Lizardi is the chief financial officer. The committee noted the financial management of the company.</w:t>
      </w:r>
    </w:p>
    <w:p>
      <w:pPr>
        <w:spacing w:after="0" w:line="212" w:lineRule="exact"/>
        <w:rPr>
          <w:sz w:val="20"/>
          <w:szCs w:val="20"/>
          <w:color w:val="auto"/>
        </w:rPr>
      </w:pPr>
    </w:p>
    <w:p>
      <w:pPr>
        <w:ind w:left="540" w:right="900"/>
        <w:spacing w:after="0" w:line="276" w:lineRule="auto"/>
        <w:rPr>
          <w:sz w:val="20"/>
          <w:szCs w:val="20"/>
          <w:color w:val="auto"/>
        </w:rPr>
      </w:pPr>
      <w:r>
        <w:rPr>
          <w:rFonts w:ascii="Arial" w:cs="Arial" w:eastAsia="Arial" w:hAnsi="Arial"/>
          <w:sz w:val="18"/>
          <w:szCs w:val="18"/>
          <w:color w:val="auto"/>
        </w:rPr>
        <w:t>Mr. Anderskouv is responsible for our power product line within our analog business. The committee noted the financial performance and strategic position of this product line.</w:t>
      </w:r>
    </w:p>
    <w:p>
      <w:pPr>
        <w:spacing w:after="0" w:line="145" w:lineRule="exact"/>
        <w:rPr>
          <w:sz w:val="20"/>
          <w:szCs w:val="20"/>
          <w:color w:val="auto"/>
        </w:rPr>
      </w:pPr>
    </w:p>
    <w:p>
      <w:pPr>
        <w:ind w:left="540" w:right="300"/>
        <w:spacing w:after="0" w:line="276" w:lineRule="auto"/>
        <w:rPr>
          <w:sz w:val="20"/>
          <w:szCs w:val="20"/>
          <w:color w:val="auto"/>
        </w:rPr>
      </w:pPr>
      <w:r>
        <w:rPr>
          <w:rFonts w:ascii="Arial" w:cs="Arial" w:eastAsia="Arial" w:hAnsi="Arial"/>
          <w:sz w:val="18"/>
          <w:szCs w:val="18"/>
          <w:color w:val="auto"/>
        </w:rPr>
        <w:t>Mr. Delagi is responsible for our embedded processing business. The committee noted the financial performance and strategic position of these product lines.</w:t>
      </w:r>
    </w:p>
    <w:p>
      <w:pPr>
        <w:spacing w:after="0" w:line="145" w:lineRule="exact"/>
        <w:rPr>
          <w:sz w:val="20"/>
          <w:szCs w:val="20"/>
          <w:color w:val="auto"/>
        </w:rPr>
      </w:pPr>
    </w:p>
    <w:p>
      <w:pPr>
        <w:ind w:left="540" w:right="20"/>
        <w:spacing w:after="0" w:line="276" w:lineRule="auto"/>
        <w:rPr>
          <w:sz w:val="20"/>
          <w:szCs w:val="20"/>
          <w:color w:val="auto"/>
        </w:rPr>
      </w:pPr>
      <w:r>
        <w:rPr>
          <w:rFonts w:ascii="Arial" w:cs="Arial" w:eastAsia="Arial" w:hAnsi="Arial"/>
          <w:sz w:val="18"/>
          <w:szCs w:val="18"/>
          <w:color w:val="auto"/>
        </w:rPr>
        <w:t>Mr. Ilan is responsible for our signal chain product line within our analog business. The committee noted the financial performance and strategic position of this product line.</w:t>
      </w:r>
    </w:p>
    <w:p>
      <w:pPr>
        <w:spacing w:after="0" w:line="145"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The bonuses awarded for 2018 performance are shown in the table below. The differences in the amounts awarded to the named executive officers were primarily the result of differences in the officers’ level of responsibility and the applicable market level of total cash compensation expected to be paid to similarly situated officers at companies within the Comparator Group.</w:t>
      </w:r>
    </w:p>
    <w:p>
      <w:pPr>
        <w:spacing w:after="0" w:line="97"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0880"/>
          </w:cols>
          <w:pgMar w:left="240" w:top="455" w:right="7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Results of the compensation decisions</w:t>
      </w:r>
    </w:p>
    <w:p>
      <w:pPr>
        <w:spacing w:after="0" w:line="16"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Results of the compensation decisions made by the committee relating to the named executive officers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274"/>
              <w:spacing w:after="0"/>
              <w:rPr>
                <w:sz w:val="20"/>
                <w:szCs w:val="20"/>
                <w:color w:val="auto"/>
              </w:rPr>
            </w:pPr>
            <w:r>
              <w:rPr>
                <w:rFonts w:ascii="Arial" w:cs="Arial" w:eastAsia="Arial" w:hAnsi="Arial"/>
                <w:sz w:val="14"/>
                <w:szCs w:val="14"/>
                <w:b w:val="1"/>
                <w:bCs w:val="1"/>
                <w:color w:val="auto"/>
              </w:rPr>
              <w:t>Equity</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11"/>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4"/>
                <w:szCs w:val="14"/>
                <w:color w:val="auto"/>
              </w:rPr>
            </w:pPr>
          </w:p>
        </w:tc>
        <w:tc>
          <w:tcPr>
            <w:tcW w:w="860" w:type="dxa"/>
            <w:vAlign w:val="bottom"/>
          </w:tcPr>
          <w:p>
            <w:pPr>
              <w:jc w:val="right"/>
              <w:ind w:right="293"/>
              <w:spacing w:after="0"/>
              <w:rPr>
                <w:sz w:val="20"/>
                <w:szCs w:val="20"/>
                <w:color w:val="auto"/>
              </w:rPr>
            </w:pPr>
            <w:r>
              <w:rPr>
                <w:rFonts w:ascii="Arial" w:cs="Arial" w:eastAsia="Arial" w:hAnsi="Arial"/>
                <w:sz w:val="14"/>
                <w:szCs w:val="14"/>
                <w:b w:val="1"/>
                <w:bCs w:val="1"/>
                <w:color w:val="auto"/>
              </w:rPr>
              <w:t>Profit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254"/>
              <w:spacing w:after="0"/>
              <w:rPr>
                <w:sz w:val="20"/>
                <w:szCs w:val="20"/>
                <w:color w:val="auto"/>
              </w:rPr>
            </w:pPr>
            <w:r>
              <w:rPr>
                <w:rFonts w:ascii="Arial" w:cs="Arial" w:eastAsia="Arial" w:hAnsi="Arial"/>
                <w:sz w:val="14"/>
                <w:szCs w:val="14"/>
                <w:b w:val="1"/>
                <w:bCs w:val="1"/>
                <w:color w:val="auto"/>
              </w:rPr>
              <w:t>(Grant Date</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880" w:type="dxa"/>
            <w:vAlign w:val="bottom"/>
          </w:tcPr>
          <w:p>
            <w:pPr>
              <w:ind w:left="340"/>
              <w:spacing w:after="0"/>
              <w:rPr>
                <w:sz w:val="20"/>
                <w:szCs w:val="20"/>
                <w:color w:val="auto"/>
              </w:rPr>
            </w:pPr>
            <w:r>
              <w:rPr>
                <w:rFonts w:ascii="Arial" w:cs="Arial" w:eastAsia="Arial" w:hAnsi="Arial"/>
                <w:sz w:val="14"/>
                <w:szCs w:val="14"/>
                <w:b w:val="1"/>
                <w:bCs w:val="1"/>
                <w:color w:val="auto"/>
              </w:rPr>
              <w:t>Year</w:t>
            </w: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(Annual Rate)</w:t>
            </w:r>
          </w:p>
        </w:tc>
        <w:tc>
          <w:tcPr>
            <w:tcW w:w="260" w:type="dxa"/>
            <w:vAlign w:val="bottom"/>
          </w:tcPr>
          <w:p>
            <w:pPr>
              <w:spacing w:after="0"/>
              <w:rPr>
                <w:sz w:val="15"/>
                <w:szCs w:val="15"/>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Sharing</w:t>
            </w:r>
          </w:p>
        </w:tc>
        <w:tc>
          <w:tcPr>
            <w:tcW w:w="280" w:type="dxa"/>
            <w:vAlign w:val="bottom"/>
          </w:tcPr>
          <w:p>
            <w:pPr>
              <w:spacing w:after="0"/>
              <w:rPr>
                <w:sz w:val="15"/>
                <w:szCs w:val="15"/>
                <w:color w:val="auto"/>
              </w:rPr>
            </w:pPr>
          </w:p>
        </w:tc>
        <w:tc>
          <w:tcPr>
            <w:tcW w:w="1000" w:type="dxa"/>
            <w:vAlign w:val="bottom"/>
          </w:tcPr>
          <w:p>
            <w:pPr>
              <w:jc w:val="right"/>
              <w:ind w:right="331"/>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5"/>
                <w:szCs w:val="15"/>
                <w:color w:val="auto"/>
              </w:rPr>
            </w:pPr>
          </w:p>
        </w:tc>
        <w:tc>
          <w:tcPr>
            <w:tcW w:w="1160" w:type="dxa"/>
            <w:vAlign w:val="bottom"/>
          </w:tcPr>
          <w:p>
            <w:pPr>
              <w:jc w:val="center"/>
              <w:ind w:right="27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5"/>
                <w:szCs w:val="15"/>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Borders>
              <w:top w:val="single" w:sz="8" w:color="auto"/>
            </w:tcBorders>
            <w:shd w:val="clear" w:color="auto" w:fill="E5E5E5"/>
          </w:tcPr>
          <w:p>
            <w:pPr>
              <w:spacing w:after="0" w:line="173" w:lineRule="exact"/>
              <w:rPr>
                <w:sz w:val="20"/>
                <w:szCs w:val="20"/>
                <w:color w:val="auto"/>
              </w:rPr>
            </w:pPr>
            <w:r>
              <w:rPr>
                <w:rFonts w:ascii="Arial" w:cs="Arial" w:eastAsia="Arial" w:hAnsi="Arial"/>
                <w:sz w:val="18"/>
                <w:szCs w:val="18"/>
                <w:color w:val="auto"/>
              </w:rPr>
              <w:t>R. K. Templeton</w:t>
            </w:r>
          </w:p>
        </w:tc>
        <w:tc>
          <w:tcPr>
            <w:tcW w:w="880" w:type="dxa"/>
            <w:vAlign w:val="bottom"/>
            <w:tcBorders>
              <w:top w:val="single" w:sz="8" w:color="auto"/>
            </w:tcBorders>
            <w:shd w:val="clear" w:color="auto" w:fill="E5E5E5"/>
          </w:tcPr>
          <w:p>
            <w:pPr>
              <w:ind w:left="320"/>
              <w:spacing w:after="0" w:line="173" w:lineRule="exact"/>
              <w:rPr>
                <w:sz w:val="20"/>
                <w:szCs w:val="20"/>
                <w:color w:val="auto"/>
              </w:rPr>
            </w:pPr>
            <w:r>
              <w:rPr>
                <w:rFonts w:ascii="Arial" w:cs="Arial" w:eastAsia="Arial" w:hAnsi="Arial"/>
                <w:sz w:val="18"/>
                <w:szCs w:val="18"/>
                <w:color w:val="auto"/>
              </w:rPr>
              <w:t>2018</w:t>
            </w:r>
          </w:p>
        </w:tc>
        <w:tc>
          <w:tcPr>
            <w:tcW w:w="300" w:type="dxa"/>
            <w:vAlign w:val="bottom"/>
            <w:tcBorders>
              <w:top w:val="single" w:sz="8" w:color="auto"/>
            </w:tcBorders>
            <w:shd w:val="clear" w:color="auto" w:fill="E5E5E5"/>
          </w:tcPr>
          <w:p>
            <w:pPr>
              <w:ind w:left="160"/>
              <w:spacing w:after="0" w:line="17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E5E5E5"/>
          </w:tcPr>
          <w:p>
            <w:pPr>
              <w:jc w:val="right"/>
              <w:ind w:right="151"/>
              <w:spacing w:after="0" w:line="173" w:lineRule="exact"/>
              <w:rPr>
                <w:sz w:val="20"/>
                <w:szCs w:val="20"/>
                <w:color w:val="auto"/>
              </w:rPr>
            </w:pPr>
            <w:r>
              <w:rPr>
                <w:rFonts w:ascii="Arial" w:cs="Arial" w:eastAsia="Arial" w:hAnsi="Arial"/>
                <w:sz w:val="18"/>
                <w:szCs w:val="18"/>
                <w:color w:val="auto"/>
                <w:w w:val="99"/>
              </w:rPr>
              <w:t>1,250,000</w:t>
            </w:r>
          </w:p>
        </w:tc>
        <w:tc>
          <w:tcPr>
            <w:tcW w:w="26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93"/>
              <w:spacing w:after="0" w:line="173" w:lineRule="exact"/>
              <w:rPr>
                <w:sz w:val="20"/>
                <w:szCs w:val="20"/>
                <w:color w:val="auto"/>
              </w:rPr>
            </w:pPr>
            <w:r>
              <w:rPr>
                <w:rFonts w:ascii="Arial" w:cs="Arial" w:eastAsia="Arial" w:hAnsi="Arial"/>
                <w:sz w:val="18"/>
                <w:szCs w:val="18"/>
                <w:color w:val="auto"/>
              </w:rPr>
              <w:t>226,250</w:t>
            </w:r>
          </w:p>
        </w:tc>
        <w:tc>
          <w:tcPr>
            <w:tcW w:w="28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71"/>
              <w:spacing w:after="0" w:line="173" w:lineRule="exact"/>
              <w:rPr>
                <w:sz w:val="20"/>
                <w:szCs w:val="20"/>
                <w:color w:val="auto"/>
              </w:rPr>
            </w:pPr>
            <w:r>
              <w:rPr>
                <w:rFonts w:ascii="Arial" w:cs="Arial" w:eastAsia="Arial" w:hAnsi="Arial"/>
                <w:sz w:val="18"/>
                <w:szCs w:val="18"/>
                <w:color w:val="auto"/>
              </w:rPr>
              <w:t>3,800,000</w:t>
            </w:r>
          </w:p>
        </w:tc>
        <w:tc>
          <w:tcPr>
            <w:tcW w:w="28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E5E5E5"/>
          </w:tcPr>
          <w:p>
            <w:pPr>
              <w:jc w:val="right"/>
              <w:ind w:right="134"/>
              <w:spacing w:after="0" w:line="173" w:lineRule="exact"/>
              <w:rPr>
                <w:sz w:val="20"/>
                <w:szCs w:val="20"/>
                <w:color w:val="auto"/>
              </w:rPr>
            </w:pPr>
            <w:r>
              <w:rPr>
                <w:rFonts w:ascii="Arial" w:cs="Arial" w:eastAsia="Arial" w:hAnsi="Arial"/>
                <w:sz w:val="18"/>
                <w:szCs w:val="18"/>
                <w:color w:val="auto"/>
              </w:rPr>
              <w:t>12,000,110</w:t>
            </w:r>
          </w:p>
        </w:tc>
        <w:tc>
          <w:tcPr>
            <w:tcW w:w="28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E5E5E5"/>
          </w:tcPr>
          <w:p>
            <w:pPr>
              <w:jc w:val="right"/>
              <w:ind w:right="111"/>
              <w:spacing w:after="0" w:line="173" w:lineRule="exact"/>
              <w:rPr>
                <w:sz w:val="20"/>
                <w:szCs w:val="20"/>
                <w:color w:val="auto"/>
              </w:rPr>
            </w:pPr>
            <w:r>
              <w:rPr>
                <w:rFonts w:ascii="Arial" w:cs="Arial" w:eastAsia="Arial" w:hAnsi="Arial"/>
                <w:sz w:val="18"/>
                <w:szCs w:val="18"/>
                <w:color w:val="auto"/>
              </w:rPr>
              <w:t>17,276,360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E5E5E5"/>
          </w:tcPr>
          <w:p>
            <w:pPr>
              <w:spacing w:after="0"/>
              <w:rPr>
                <w:sz w:val="17"/>
                <w:szCs w:val="17"/>
                <w:color w:val="auto"/>
              </w:rPr>
            </w:pPr>
          </w:p>
        </w:tc>
        <w:tc>
          <w:tcPr>
            <w:tcW w:w="88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2017</w:t>
            </w:r>
          </w:p>
        </w:tc>
        <w:tc>
          <w:tcPr>
            <w:tcW w:w="30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51"/>
              <w:spacing w:after="0" w:line="202" w:lineRule="exact"/>
              <w:rPr>
                <w:sz w:val="20"/>
                <w:szCs w:val="20"/>
                <w:color w:val="auto"/>
              </w:rPr>
            </w:pPr>
            <w:r>
              <w:rPr>
                <w:rFonts w:ascii="Arial" w:cs="Arial" w:eastAsia="Arial" w:hAnsi="Arial"/>
                <w:sz w:val="18"/>
                <w:szCs w:val="18"/>
                <w:color w:val="auto"/>
                <w:w w:val="99"/>
              </w:rPr>
              <w:t>1,190,000</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237,601</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71"/>
              <w:spacing w:after="0" w:line="202" w:lineRule="exact"/>
              <w:rPr>
                <w:sz w:val="20"/>
                <w:szCs w:val="20"/>
                <w:color w:val="auto"/>
              </w:rPr>
            </w:pPr>
            <w:r>
              <w:rPr>
                <w:rFonts w:ascii="Arial" w:cs="Arial" w:eastAsia="Arial" w:hAnsi="Arial"/>
                <w:sz w:val="18"/>
                <w:szCs w:val="18"/>
                <w:color w:val="auto"/>
              </w:rPr>
              <w:t>3,625,000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34"/>
              <w:spacing w:after="0" w:line="202" w:lineRule="exact"/>
              <w:rPr>
                <w:sz w:val="20"/>
                <w:szCs w:val="20"/>
                <w:color w:val="auto"/>
              </w:rPr>
            </w:pPr>
            <w:r>
              <w:rPr>
                <w:rFonts w:ascii="Arial" w:cs="Arial" w:eastAsia="Arial" w:hAnsi="Arial"/>
                <w:sz w:val="18"/>
                <w:szCs w:val="18"/>
                <w:color w:val="auto"/>
              </w:rPr>
              <w:t>11,000,014</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16,052,615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20" w:type="dxa"/>
            <w:vAlign w:val="bottom"/>
            <w:shd w:val="clear" w:color="auto" w:fill="E5E5E5"/>
          </w:tcPr>
          <w:p>
            <w:pPr>
              <w:spacing w:after="0"/>
              <w:rPr>
                <w:sz w:val="19"/>
                <w:szCs w:val="19"/>
                <w:color w:val="auto"/>
              </w:rPr>
            </w:pPr>
          </w:p>
        </w:tc>
        <w:tc>
          <w:tcPr>
            <w:tcW w:w="8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51"/>
              <w:spacing w:after="0"/>
              <w:rPr>
                <w:sz w:val="20"/>
                <w:szCs w:val="20"/>
                <w:color w:val="auto"/>
              </w:rPr>
            </w:pPr>
            <w:r>
              <w:rPr>
                <w:rFonts w:ascii="Arial" w:cs="Arial" w:eastAsia="Arial" w:hAnsi="Arial"/>
                <w:sz w:val="18"/>
                <w:szCs w:val="18"/>
                <w:color w:val="auto"/>
                <w:w w:val="99"/>
              </w:rPr>
              <w:t>1,166,000</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232,817</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71"/>
              <w:spacing w:after="0"/>
              <w:rPr>
                <w:sz w:val="20"/>
                <w:szCs w:val="20"/>
                <w:color w:val="auto"/>
              </w:rPr>
            </w:pPr>
            <w:r>
              <w:rPr>
                <w:rFonts w:ascii="Arial" w:cs="Arial" w:eastAsia="Arial" w:hAnsi="Arial"/>
                <w:sz w:val="18"/>
                <w:szCs w:val="18"/>
                <w:color w:val="auto"/>
              </w:rPr>
              <w:t>3,450,000</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9,800,055</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11"/>
              <w:spacing w:after="0"/>
              <w:rPr>
                <w:sz w:val="20"/>
                <w:szCs w:val="20"/>
                <w:color w:val="auto"/>
              </w:rPr>
            </w:pPr>
            <w:r>
              <w:rPr>
                <w:rFonts w:ascii="Arial" w:cs="Arial" w:eastAsia="Arial" w:hAnsi="Arial"/>
                <w:sz w:val="18"/>
                <w:szCs w:val="18"/>
                <w:color w:val="auto"/>
              </w:rPr>
              <w:t>14,648,872</w:t>
            </w:r>
          </w:p>
        </w:tc>
        <w:tc>
          <w:tcPr>
            <w:tcW w:w="0" w:type="dxa"/>
            <w:vAlign w:val="bottom"/>
          </w:tcPr>
          <w:p>
            <w:pPr>
              <w:spacing w:after="0"/>
              <w:rPr>
                <w:sz w:val="1"/>
                <w:szCs w:val="1"/>
                <w:color w:val="auto"/>
              </w:rPr>
            </w:pPr>
          </w:p>
        </w:tc>
      </w:tr>
      <w:tr>
        <w:trPr>
          <w:trHeight w:val="396"/>
        </w:trPr>
        <w:tc>
          <w:tcPr>
            <w:tcW w:w="3540" w:type="dxa"/>
            <w:vAlign w:val="bottom"/>
            <w:gridSpan w:val="2"/>
          </w:tcPr>
          <w:p>
            <w:pPr>
              <w:spacing w:after="0"/>
              <w:rPr>
                <w:sz w:val="20"/>
                <w:szCs w:val="20"/>
                <w:color w:val="auto"/>
              </w:rPr>
            </w:pPr>
            <w:r>
              <w:rPr>
                <w:rFonts w:ascii="Arial" w:cs="Arial" w:eastAsia="Arial" w:hAnsi="Arial"/>
                <w:sz w:val="18"/>
                <w:szCs w:val="18"/>
                <w:color w:val="auto"/>
              </w:rPr>
              <w:t>R. R. Lizardi</w:t>
            </w:r>
          </w:p>
        </w:tc>
        <w:tc>
          <w:tcPr>
            <w:tcW w:w="880" w:type="dxa"/>
            <w:vAlign w:val="bottom"/>
          </w:tcPr>
          <w:p>
            <w:pPr>
              <w:ind w:left="320"/>
              <w:spacing w:after="0"/>
              <w:rPr>
                <w:sz w:val="20"/>
                <w:szCs w:val="20"/>
                <w:color w:val="auto"/>
              </w:rPr>
            </w:pPr>
            <w:r>
              <w:rPr>
                <w:rFonts w:ascii="Arial" w:cs="Arial" w:eastAsia="Arial" w:hAnsi="Arial"/>
                <w:sz w:val="18"/>
                <w:szCs w:val="18"/>
                <w:color w:val="auto"/>
              </w:rPr>
              <w:t>2018</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600,000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118,333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1,000,000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2,400,097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4,118,430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2017</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500,000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97,667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3,000,060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4,447,727</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 Anderskouv</w:t>
            </w:r>
          </w:p>
        </w:tc>
        <w:tc>
          <w:tcPr>
            <w:tcW w:w="88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2018</w:t>
            </w:r>
          </w:p>
        </w:tc>
        <w:tc>
          <w:tcPr>
            <w:tcW w:w="30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51"/>
              <w:spacing w:after="0" w:line="202" w:lineRule="exact"/>
              <w:rPr>
                <w:sz w:val="20"/>
                <w:szCs w:val="20"/>
                <w:color w:val="auto"/>
              </w:rPr>
            </w:pPr>
            <w:r>
              <w:rPr>
                <w:rFonts w:ascii="Arial" w:cs="Arial" w:eastAsia="Arial" w:hAnsi="Arial"/>
                <w:sz w:val="18"/>
                <w:szCs w:val="18"/>
                <w:color w:val="auto"/>
              </w:rPr>
              <w:t>675,000</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133,750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71"/>
              <w:spacing w:after="0" w:line="202" w:lineRule="exact"/>
              <w:rPr>
                <w:sz w:val="20"/>
                <w:szCs w:val="20"/>
                <w:color w:val="auto"/>
              </w:rPr>
            </w:pPr>
            <w:r>
              <w:rPr>
                <w:rFonts w:ascii="Arial" w:cs="Arial" w:eastAsia="Arial" w:hAnsi="Arial"/>
                <w:sz w:val="18"/>
                <w:szCs w:val="18"/>
                <w:color w:val="auto"/>
              </w:rPr>
              <w:t>1,200,000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34"/>
              <w:spacing w:after="0" w:line="202" w:lineRule="exact"/>
              <w:rPr>
                <w:sz w:val="20"/>
                <w:szCs w:val="20"/>
                <w:color w:val="auto"/>
              </w:rPr>
            </w:pPr>
            <w:r>
              <w:rPr>
                <w:rFonts w:ascii="Arial" w:cs="Arial" w:eastAsia="Arial" w:hAnsi="Arial"/>
                <w:sz w:val="18"/>
                <w:szCs w:val="18"/>
                <w:color w:val="auto"/>
              </w:rPr>
              <w:t>3,800,103</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5,808,853</w:t>
            </w:r>
          </w:p>
        </w:tc>
        <w:tc>
          <w:tcPr>
            <w:tcW w:w="0" w:type="dxa"/>
            <w:vAlign w:val="bottom"/>
          </w:tcPr>
          <w:p>
            <w:pPr>
              <w:spacing w:after="0"/>
              <w:rPr>
                <w:sz w:val="1"/>
                <w:szCs w:val="1"/>
                <w:color w:val="auto"/>
              </w:rPr>
            </w:pPr>
          </w:p>
        </w:tc>
      </w:tr>
      <w:tr>
        <w:trPr>
          <w:trHeight w:val="396"/>
        </w:trPr>
        <w:tc>
          <w:tcPr>
            <w:tcW w:w="3540" w:type="dxa"/>
            <w:vAlign w:val="bottom"/>
            <w:gridSpan w:val="2"/>
          </w:tcPr>
          <w:p>
            <w:pPr>
              <w:spacing w:after="0"/>
              <w:rPr>
                <w:sz w:val="20"/>
                <w:szCs w:val="20"/>
                <w:color w:val="auto"/>
              </w:rPr>
            </w:pPr>
            <w:r>
              <w:rPr>
                <w:rFonts w:ascii="Arial" w:cs="Arial" w:eastAsia="Arial" w:hAnsi="Arial"/>
                <w:sz w:val="18"/>
                <w:szCs w:val="18"/>
                <w:color w:val="auto"/>
              </w:rPr>
              <w:t>R. G. Delagi</w:t>
            </w:r>
          </w:p>
        </w:tc>
        <w:tc>
          <w:tcPr>
            <w:tcW w:w="880" w:type="dxa"/>
            <w:vAlign w:val="bottom"/>
          </w:tcPr>
          <w:p>
            <w:pPr>
              <w:ind w:left="320"/>
              <w:spacing w:after="0"/>
              <w:rPr>
                <w:sz w:val="20"/>
                <w:szCs w:val="20"/>
                <w:color w:val="auto"/>
              </w:rPr>
            </w:pPr>
            <w:r>
              <w:rPr>
                <w:rFonts w:ascii="Arial" w:cs="Arial" w:eastAsia="Arial" w:hAnsi="Arial"/>
                <w:sz w:val="18"/>
                <w:szCs w:val="18"/>
                <w:color w:val="auto"/>
              </w:rPr>
              <w:t>2018</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715,000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142,750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3,600,079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5,607,829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2017</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139,750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1,100,000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3,600,090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5,539,840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 Ilan</w:t>
            </w:r>
          </w:p>
        </w:tc>
        <w:tc>
          <w:tcPr>
            <w:tcW w:w="88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2018</w:t>
            </w:r>
          </w:p>
        </w:tc>
        <w:tc>
          <w:tcPr>
            <w:tcW w:w="30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51"/>
              <w:spacing w:after="0" w:line="202" w:lineRule="exact"/>
              <w:rPr>
                <w:sz w:val="20"/>
                <w:szCs w:val="20"/>
                <w:color w:val="auto"/>
              </w:rPr>
            </w:pPr>
            <w:r>
              <w:rPr>
                <w:rFonts w:ascii="Arial" w:cs="Arial" w:eastAsia="Arial" w:hAnsi="Arial"/>
                <w:sz w:val="18"/>
                <w:szCs w:val="18"/>
                <w:color w:val="auto"/>
              </w:rPr>
              <w:t>675,000</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133,750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71"/>
              <w:spacing w:after="0" w:line="202" w:lineRule="exact"/>
              <w:rPr>
                <w:sz w:val="20"/>
                <w:szCs w:val="20"/>
                <w:color w:val="auto"/>
              </w:rPr>
            </w:pPr>
            <w:r>
              <w:rPr>
                <w:rFonts w:ascii="Arial" w:cs="Arial" w:eastAsia="Arial" w:hAnsi="Arial"/>
                <w:sz w:val="18"/>
                <w:szCs w:val="18"/>
                <w:color w:val="auto"/>
              </w:rPr>
              <w:t>1,200,000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34"/>
              <w:spacing w:after="0" w:line="202" w:lineRule="exact"/>
              <w:rPr>
                <w:sz w:val="20"/>
                <w:szCs w:val="20"/>
                <w:color w:val="auto"/>
              </w:rPr>
            </w:pPr>
            <w:r>
              <w:rPr>
                <w:rFonts w:ascii="Arial" w:cs="Arial" w:eastAsia="Arial" w:hAnsi="Arial"/>
                <w:sz w:val="18"/>
                <w:szCs w:val="18"/>
                <w:color w:val="auto"/>
              </w:rPr>
              <w:t>3,800,103</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5,808,853</w:t>
            </w:r>
          </w:p>
        </w:tc>
        <w:tc>
          <w:tcPr>
            <w:tcW w:w="0" w:type="dxa"/>
            <w:vAlign w:val="bottom"/>
          </w:tcPr>
          <w:p>
            <w:pPr>
              <w:spacing w:after="0"/>
              <w:rPr>
                <w:sz w:val="1"/>
                <w:szCs w:val="1"/>
                <w:color w:val="auto"/>
              </w:rPr>
            </w:pPr>
          </w:p>
        </w:tc>
      </w:tr>
      <w:tr>
        <w:trPr>
          <w:trHeight w:val="396"/>
        </w:trPr>
        <w:tc>
          <w:tcPr>
            <w:tcW w:w="3540" w:type="dxa"/>
            <w:vAlign w:val="bottom"/>
            <w:gridSpan w:val="2"/>
          </w:tcPr>
          <w:p>
            <w:pPr>
              <w:spacing w:after="0"/>
              <w:rPr>
                <w:sz w:val="20"/>
                <w:szCs w:val="20"/>
                <w:color w:val="auto"/>
              </w:rPr>
            </w:pPr>
            <w:r>
              <w:rPr>
                <w:rFonts w:ascii="Arial" w:cs="Arial" w:eastAsia="Arial" w:hAnsi="Arial"/>
                <w:sz w:val="18"/>
                <w:szCs w:val="18"/>
                <w:color w:val="auto"/>
              </w:rPr>
              <w:t>B. T. Crutcher</w:t>
            </w:r>
          </w:p>
        </w:tc>
        <w:tc>
          <w:tcPr>
            <w:tcW w:w="880" w:type="dxa"/>
            <w:vAlign w:val="bottom"/>
          </w:tcPr>
          <w:p>
            <w:pPr>
              <w:ind w:left="320"/>
              <w:spacing w:after="0"/>
              <w:rPr>
                <w:sz w:val="20"/>
                <w:szCs w:val="20"/>
                <w:color w:val="auto"/>
              </w:rPr>
            </w:pPr>
            <w:r>
              <w:rPr>
                <w:rFonts w:ascii="Arial" w:cs="Arial" w:eastAsia="Arial" w:hAnsi="Arial"/>
                <w:sz w:val="18"/>
                <w:szCs w:val="18"/>
                <w:color w:val="auto"/>
              </w:rPr>
              <w:t>2018</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905,000</w:t>
            </w:r>
            <w:r>
              <w:rPr>
                <w:rFonts w:ascii="Arial" w:cs="Arial" w:eastAsia="Arial" w:hAnsi="Arial"/>
                <w:sz w:val="15"/>
                <w:szCs w:val="15"/>
                <w:color w:val="auto"/>
              </w:rPr>
              <w:t>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10,000,059</w:t>
            </w:r>
            <w:r>
              <w:rPr>
                <w:rFonts w:ascii="Arial" w:cs="Arial" w:eastAsia="Arial" w:hAnsi="Arial"/>
                <w:sz w:val="15"/>
                <w:szCs w:val="15"/>
                <w:color w:val="auto"/>
              </w:rPr>
              <w:t>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10,905,059</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80" w:type="dxa"/>
            <w:vAlign w:val="bottom"/>
          </w:tcPr>
          <w:p>
            <w:pPr>
              <w:ind w:left="320"/>
              <w:spacing w:after="0" w:line="202" w:lineRule="exact"/>
              <w:rPr>
                <w:sz w:val="20"/>
                <w:szCs w:val="20"/>
                <w:color w:val="auto"/>
              </w:rPr>
            </w:pPr>
            <w:r>
              <w:rPr>
                <w:rFonts w:ascii="Arial" w:cs="Arial" w:eastAsia="Arial" w:hAnsi="Arial"/>
                <w:sz w:val="18"/>
                <w:szCs w:val="18"/>
                <w:color w:val="auto"/>
              </w:rPr>
              <w:t>2017</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875,000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174,167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2,350,000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7,500,034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10,899,201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2016</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825,000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164,583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2,000,000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5,500,031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8,489,614</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00" w:right="40"/>
        <w:spacing w:after="0" w:line="245" w:lineRule="auto"/>
        <w:rPr>
          <w:sz w:val="20"/>
          <w:szCs w:val="20"/>
          <w:color w:val="auto"/>
        </w:rPr>
      </w:pPr>
      <w:r>
        <w:rPr>
          <w:rFonts w:ascii="Arial" w:cs="Arial" w:eastAsia="Arial" w:hAnsi="Arial"/>
          <w:sz w:val="18"/>
          <w:szCs w:val="18"/>
          <w:color w:val="auto"/>
        </w:rPr>
        <w:t>This table shows the annual rate of base salary for each named executive officer.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Please see Notes 2 and 3 to the summary compensation table for information about how grant date fair value was calculated.</w:t>
      </w:r>
    </w:p>
    <w:p>
      <w:pPr>
        <w:spacing w:after="0" w:line="172" w:lineRule="exact"/>
        <w:rPr>
          <w:sz w:val="20"/>
          <w:szCs w:val="20"/>
          <w:color w:val="auto"/>
        </w:rPr>
      </w:pPr>
    </w:p>
    <w:p>
      <w:pPr>
        <w:jc w:val="both"/>
        <w:ind w:left="200" w:right="280"/>
        <w:spacing w:after="0" w:line="248" w:lineRule="auto"/>
        <w:rPr>
          <w:sz w:val="20"/>
          <w:szCs w:val="20"/>
          <w:color w:val="auto"/>
        </w:rPr>
      </w:pPr>
      <w:r>
        <w:rPr>
          <w:rFonts w:ascii="Arial" w:cs="Arial" w:eastAsia="Arial" w:hAnsi="Arial"/>
          <w:sz w:val="18"/>
          <w:szCs w:val="18"/>
          <w:color w:val="auto"/>
        </w:rPr>
        <w:t>For Mr. Templeton, the “Total” for 2018 was higher than for 2017 primarily due to the higher equity awards in 2018, reflecting an effort to align with the projected market range for similarly situated executives in our comparator group. For Mr. Lizardi, the “Total” for 2018 was lower than for 2017 because of the lower value of his equity compensation as compared to 2017, when he received a retention grant in recognition of his new responsibilities as CFO, in addition to his annual equity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71755</wp:posOffset>
            </wp:positionV>
            <wp:extent cx="694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4" w:lineRule="exact"/>
        <w:rPr>
          <w:sz w:val="20"/>
          <w:szCs w:val="20"/>
          <w:color w:val="auto"/>
        </w:rPr>
      </w:pPr>
    </w:p>
    <w:p>
      <w:pPr>
        <w:jc w:val="both"/>
        <w:ind w:left="420" w:right="60" w:hanging="216"/>
        <w:spacing w:after="0" w:line="243" w:lineRule="auto"/>
        <w:tabs>
          <w:tab w:leader="none" w:pos="420" w:val="left"/>
        </w:tabs>
        <w:numPr>
          <w:ilvl w:val="0"/>
          <w:numId w:val="50"/>
        </w:numPr>
        <w:rPr>
          <w:rFonts w:ascii="Arial" w:cs="Arial" w:eastAsia="Arial" w:hAnsi="Arial"/>
          <w:sz w:val="15"/>
          <w:szCs w:val="15"/>
          <w:color w:val="auto"/>
        </w:rPr>
      </w:pPr>
      <w:r>
        <w:rPr>
          <w:rFonts w:ascii="Arial" w:cs="Arial" w:eastAsia="Arial" w:hAnsi="Arial"/>
          <w:sz w:val="18"/>
          <w:szCs w:val="18"/>
          <w:color w:val="auto"/>
        </w:rPr>
        <w:t>Mr. Crutcher’s salary increased to $1,000,000 effective when he assumed the role of CEO on June 1, 2018. However, he subsequently resigned from the company, effective July 17, 2018. Following his resignation, Mr. Crutcher received no further compensation, and all of his equity compensation granted in 2018, along with all unvested equity compensation from prior years, was cancelled, resulting in</w:t>
      </w:r>
    </w:p>
    <w:p>
      <w:pPr>
        <w:spacing w:after="0" w:line="1" w:lineRule="exact"/>
        <w:rPr>
          <w:rFonts w:ascii="Arial" w:cs="Arial" w:eastAsia="Arial" w:hAnsi="Arial"/>
          <w:sz w:val="15"/>
          <w:szCs w:val="15"/>
          <w:color w:val="auto"/>
        </w:rPr>
      </w:pPr>
    </w:p>
    <w:p>
      <w:pPr>
        <w:ind w:left="420" w:right="60"/>
        <w:spacing w:after="0" w:line="251" w:lineRule="auto"/>
        <w:rPr>
          <w:rFonts w:ascii="Arial" w:cs="Arial" w:eastAsia="Arial" w:hAnsi="Arial"/>
          <w:sz w:val="15"/>
          <w:szCs w:val="15"/>
          <w:color w:val="auto"/>
        </w:rPr>
      </w:pPr>
      <w:r>
        <w:rPr>
          <w:rFonts w:ascii="Arial" w:cs="Arial" w:eastAsia="Arial" w:hAnsi="Arial"/>
          <w:sz w:val="18"/>
          <w:szCs w:val="18"/>
          <w:color w:val="auto"/>
        </w:rPr>
        <w:t>2018 compensation for Mr. Crutcher from salary of $506,528, with no additional compensation from 2018 profit sharing, bonus or equity grants.</w:t>
      </w:r>
    </w:p>
    <w:p>
      <w:pPr>
        <w:spacing w:after="0" w:line="100"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27</w:t>
            </w:r>
          </w:p>
        </w:tc>
      </w:tr>
    </w:tbl>
    <w:p>
      <w:pPr>
        <w:sectPr>
          <w:pgSz w:w="11900" w:h="16838" w:orient="portrait"/>
          <w:cols w:equalWidth="0" w:num="1">
            <w:col w:w="11240"/>
          </w:cols>
          <w:pgMar w:left="240" w:top="455" w:right="4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decisions shown above resulted in the following 2018 compensation mix for the named executive officers:</w:t>
      </w:r>
    </w:p>
    <w:p>
      <w:pPr>
        <w:spacing w:after="0" w:line="237" w:lineRule="exact"/>
        <w:rPr>
          <w:sz w:val="20"/>
          <w:szCs w:val="20"/>
          <w:color w:val="auto"/>
        </w:rPr>
      </w:pPr>
    </w:p>
    <w:p>
      <w:pPr>
        <w:ind w:left="4460"/>
        <w:spacing w:after="0"/>
        <w:tabs>
          <w:tab w:leader="none" w:pos="6520" w:val="left"/>
        </w:tabs>
        <w:rPr>
          <w:sz w:val="20"/>
          <w:szCs w:val="20"/>
          <w:color w:val="auto"/>
        </w:rPr>
      </w:pPr>
      <w:r>
        <w:rPr>
          <w:rFonts w:ascii="Arial" w:cs="Arial" w:eastAsia="Arial" w:hAnsi="Arial"/>
          <w:sz w:val="18"/>
          <w:szCs w:val="18"/>
          <w:b w:val="1"/>
          <w:bCs w:val="1"/>
          <w:color w:val="auto"/>
        </w:rPr>
        <w:t>CEO</w:t>
      </w:r>
      <w:r>
        <w:rPr>
          <w:sz w:val="20"/>
          <w:szCs w:val="20"/>
          <w:color w:val="auto"/>
        </w:rPr>
        <w:tab/>
      </w:r>
      <w:r>
        <w:rPr>
          <w:rFonts w:ascii="Arial" w:cs="Arial" w:eastAsia="Arial" w:hAnsi="Arial"/>
          <w:sz w:val="18"/>
          <w:szCs w:val="18"/>
          <w:b w:val="1"/>
          <w:bCs w:val="1"/>
          <w:color w:val="auto"/>
        </w:rPr>
        <w:t>Other NEOs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150495</wp:posOffset>
            </wp:positionV>
            <wp:extent cx="4064635" cy="1800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6463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 Average data for the named executive officers other than Mr. Templeton</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dilution</w:t>
      </w:r>
    </w:p>
    <w:p>
      <w:pPr>
        <w:spacing w:after="0" w:line="102"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2018 resulted in 0.5 percent net annual dilution.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Process for equity grants</w:t>
      </w:r>
    </w:p>
    <w:p>
      <w:pPr>
        <w:spacing w:after="0" w:line="102"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64" w:lineRule="exact"/>
        <w:rPr>
          <w:sz w:val="20"/>
          <w:szCs w:val="20"/>
          <w:color w:val="auto"/>
        </w:rPr>
      </w:pPr>
    </w:p>
    <w:p>
      <w:pPr>
        <w:ind w:left="200" w:right="320"/>
        <w:spacing w:after="0" w:line="276" w:lineRule="auto"/>
        <w:rPr>
          <w:sz w:val="20"/>
          <w:szCs w:val="20"/>
          <w:color w:val="auto"/>
        </w:rPr>
      </w:pPr>
      <w:r>
        <w:rPr>
          <w:rFonts w:ascii="Arial" w:cs="Arial" w:eastAsia="Arial" w:hAnsi="Arial"/>
          <w:sz w:val="18"/>
          <w:szCs w:val="18"/>
          <w:color w:val="auto"/>
        </w:rPr>
        <w:t>On occasion, the committee may grant stock options or restricted stock units to executives at times other than January. For example, it has done so in connection with job promotions and for purposes of retention.</w:t>
      </w:r>
    </w:p>
    <w:p>
      <w:pPr>
        <w:spacing w:after="0" w:line="145" w:lineRule="exact"/>
        <w:rPr>
          <w:sz w:val="20"/>
          <w:szCs w:val="20"/>
          <w:color w:val="auto"/>
        </w:rPr>
      </w:pPr>
    </w:p>
    <w:p>
      <w:pPr>
        <w:ind w:left="200" w:right="500"/>
        <w:spacing w:after="0" w:line="276" w:lineRule="auto"/>
        <w:rPr>
          <w:sz w:val="20"/>
          <w:szCs w:val="20"/>
          <w:color w:val="auto"/>
        </w:rPr>
      </w:pPr>
      <w:r>
        <w:rPr>
          <w:rFonts w:ascii="Arial" w:cs="Arial" w:eastAsia="Arial" w:hAnsi="Arial"/>
          <w:sz w:val="18"/>
          <w:szCs w:val="18"/>
          <w:color w:val="auto"/>
        </w:rPr>
        <w:t>We do not back-date stock options or restricted stock units. We do not accelerate or delay the release of information due to plans for making equity grants.</w:t>
      </w:r>
    </w:p>
    <w:p>
      <w:pPr>
        <w:spacing w:after="0" w:line="145"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If the committee meeting falls in the same month as the release of the company’s financial results, the committee’s practice is to make grants effective (i) on the second trading day after the results have been released or (ii) on the meeting day if later. In other months, its practice is to make them effective on the day of committee action. The exercise price of stock options is the closing price of TI stock on the effective date of the grant.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Recoupment policy</w:t>
      </w:r>
    </w:p>
    <w:p>
      <w:pPr>
        <w:spacing w:after="0" w:line="102"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whose fraud or willful misconduct contributed to the need for such restatement. Such action may include (a) seeking reimbursement of any bonus paid to such officer exceeding the amount that, in the judgment of the committee, would have been paid had the financial results been properly reported and (b) seeking to recover profits received by such officer during the 12 months after the restated period under equity compensation awards. All determinations by the committee with respect to this policy are final and binding on all interested parties.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Most recent stockholder advisory vote on executive compensation</w:t>
      </w:r>
    </w:p>
    <w:p>
      <w:pPr>
        <w:spacing w:after="0" w:line="102" w:lineRule="exact"/>
        <w:rPr>
          <w:sz w:val="20"/>
          <w:szCs w:val="20"/>
          <w:color w:val="auto"/>
        </w:rPr>
      </w:pPr>
    </w:p>
    <w:p>
      <w:pPr>
        <w:ind w:left="200" w:right="40"/>
        <w:spacing w:after="0" w:line="276" w:lineRule="auto"/>
        <w:rPr>
          <w:sz w:val="20"/>
          <w:szCs w:val="20"/>
          <w:color w:val="auto"/>
        </w:rPr>
      </w:pPr>
      <w:r>
        <w:rPr>
          <w:rFonts w:ascii="Arial" w:cs="Arial" w:eastAsia="Arial" w:hAnsi="Arial"/>
          <w:sz w:val="18"/>
          <w:szCs w:val="18"/>
          <w:color w:val="auto"/>
        </w:rPr>
        <w:t>In April 2018, our shareholders cast an advisory vote on the company’s executive compensation decisions and policies as disclosed in the proxy statement issued by the company in March 2018. Approximately 94 percent of the shares voted on the</w:t>
      </w:r>
    </w:p>
    <w:p>
      <w:pPr>
        <w:spacing w:after="0" w:line="7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Benefits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Retirement plans</w:t>
      </w:r>
    </w:p>
    <w:p>
      <w:pPr>
        <w:spacing w:after="0" w:line="16" w:lineRule="exact"/>
        <w:rPr>
          <w:sz w:val="20"/>
          <w:szCs w:val="20"/>
          <w:color w:val="auto"/>
        </w:rPr>
      </w:pPr>
    </w:p>
    <w:p>
      <w:pPr>
        <w:ind w:left="200" w:right="400"/>
        <w:spacing w:after="0" w:line="251" w:lineRule="auto"/>
        <w:rPr>
          <w:sz w:val="20"/>
          <w:szCs w:val="20"/>
          <w:color w:val="auto"/>
        </w:rPr>
      </w:pPr>
      <w:r>
        <w:rPr>
          <w:rFonts w:ascii="Arial" w:cs="Arial" w:eastAsia="Arial" w:hAnsi="Arial"/>
          <w:sz w:val="18"/>
          <w:szCs w:val="18"/>
          <w:color w:val="auto"/>
        </w:rPr>
        <w:t>The executive officers participate in our retirement plans under the same rules that apply to other U.S. employees. We maintain these plans to have a competitive benefits program and for retention.</w:t>
      </w:r>
    </w:p>
    <w:p>
      <w:pPr>
        <w:spacing w:after="0" w:line="166"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continue participating in the plan, or to have their plan benefits frozen (i.e., no benefit increase attributable to years of service or change in eligible earnings) and begin participating in an enhanced defined contribution plan. Mr. Templeton chose not to continue participating in the defined benefit plan. As a result, his benefits under that plan were frozen in 1997, and he participates in the enhanced defined contribution plan described below. Mr. Delagi continued his participation in the defined benefit pension plan. Messrs. Lizardi, Anderskouv and Ilan joined the company after 1997 and are not eligible to participate in the defined benefit plan. Prior to his resignation, Mr. Crutcher participated in the defined benefit pension plan, but his benefits were frozen in 1997, and he participated in the enhanced defined contribution plan.</w:t>
      </w:r>
    </w:p>
    <w:p>
      <w:pPr>
        <w:spacing w:after="0" w:line="181" w:lineRule="exact"/>
        <w:rPr>
          <w:sz w:val="20"/>
          <w:szCs w:val="20"/>
          <w:color w:val="auto"/>
        </w:rPr>
      </w:pPr>
    </w:p>
    <w:p>
      <w:pPr>
        <w:ind w:left="200" w:right="280"/>
        <w:spacing w:after="0" w:line="248" w:lineRule="auto"/>
        <w:rPr>
          <w:sz w:val="20"/>
          <w:szCs w:val="20"/>
          <w:color w:val="auto"/>
        </w:rPr>
      </w:pPr>
      <w:r>
        <w:rPr>
          <w:rFonts w:ascii="Arial" w:cs="Arial" w:eastAsia="Arial" w:hAnsi="Arial"/>
          <w:sz w:val="18"/>
          <w:szCs w:val="18"/>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“2018 pension benefits.”</w:t>
      </w:r>
    </w:p>
    <w:p>
      <w:pPr>
        <w:spacing w:after="0" w:line="171" w:lineRule="exact"/>
        <w:rPr>
          <w:sz w:val="20"/>
          <w:szCs w:val="20"/>
          <w:color w:val="auto"/>
        </w:rPr>
      </w:pPr>
    </w:p>
    <w:p>
      <w:pPr>
        <w:ind w:left="200" w:right="320"/>
        <w:spacing w:after="0" w:line="245" w:lineRule="auto"/>
        <w:rPr>
          <w:sz w:val="20"/>
          <w:szCs w:val="20"/>
          <w:color w:val="auto"/>
        </w:rPr>
      </w:pPr>
      <w:r>
        <w:rPr>
          <w:rFonts w:ascii="Arial" w:cs="Arial" w:eastAsia="Arial" w:hAnsi="Arial"/>
          <w:sz w:val="18"/>
          <w:szCs w:val="18"/>
          <w:color w:val="auto"/>
        </w:rPr>
        <w:t>Employees accruing benefits in the qualified pension plan, including Mr. Delagi, also are eligible to participate in a qualified defined contribution plan that provides employer matching contributions. All other employees are eligible to participate in the enhanced defined contribution plan, in which Messrs. Templeton, Lizardi, Anderskouv and Ilan participate. This plan provides for (i) a fixed employer contribution plus an employer matching contribution for employees hired on or before December 31, 2003 or (ii) an employer matching contribution for employees hired after December 31, 2003.</w:t>
      </w:r>
    </w:p>
    <w:p>
      <w:pPr>
        <w:spacing w:after="0" w:line="172" w:lineRule="exact"/>
        <w:rPr>
          <w:sz w:val="20"/>
          <w:szCs w:val="20"/>
          <w:color w:val="auto"/>
        </w:rPr>
      </w:pPr>
    </w:p>
    <w:p>
      <w:pPr>
        <w:ind w:left="200" w:right="200"/>
        <w:spacing w:after="0" w:line="248" w:lineRule="auto"/>
        <w:rPr>
          <w:sz w:val="20"/>
          <w:szCs w:val="20"/>
          <w:color w:val="auto"/>
        </w:rPr>
      </w:pPr>
      <w:r>
        <w:rPr>
          <w:rFonts w:ascii="Arial" w:cs="Arial" w:eastAsia="Arial" w:hAnsi="Arial"/>
          <w:sz w:val="18"/>
          <w:szCs w:val="18"/>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and Mr. Delagi are eligible for early retirement under the pension plans.</w:t>
      </w:r>
    </w:p>
    <w:p>
      <w:pPr>
        <w:spacing w:after="0" w:line="171" w:lineRule="exact"/>
        <w:rPr>
          <w:sz w:val="20"/>
          <w:szCs w:val="20"/>
          <w:color w:val="auto"/>
        </w:rPr>
      </w:pPr>
    </w:p>
    <w:p>
      <w:pPr>
        <w:ind w:left="200" w:right="140"/>
        <w:spacing w:after="0" w:line="245" w:lineRule="auto"/>
        <w:rPr>
          <w:sz w:val="20"/>
          <w:szCs w:val="20"/>
          <w:color w:val="auto"/>
        </w:rPr>
      </w:pPr>
      <w:r>
        <w:rPr>
          <w:rFonts w:ascii="Arial" w:cs="Arial" w:eastAsia="Arial" w:hAnsi="Arial"/>
          <w:sz w:val="18"/>
          <w:szCs w:val="18"/>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do not result in greater benefits for him under the company’s defined benefit pension plans because his benefits under those plans were frozen in 1997. Messrs. Lizardi, Anderskouv and Ilan do not participate in the company’s defined benefit pension plans. The committee considers the potential effect on the executives’ retirement benefits when it sets salary and performance bonus levels.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16"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176"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2018 because no “above market” rates were earned on deferred amounts in that year.</w:t>
      </w:r>
    </w:p>
    <w:p>
      <w:pPr>
        <w:spacing w:after="0" w:line="106"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29</w:t>
            </w:r>
          </w:p>
        </w:tc>
      </w:tr>
    </w:tbl>
    <w:p>
      <w:pPr>
        <w:sectPr>
          <w:pgSz w:w="11900" w:h="16838" w:orient="portrait"/>
          <w:cols w:equalWidth="0" w:num="1">
            <w:col w:w="11220"/>
          </w:cols>
          <w:pgMar w:left="24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16"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We have an employee stock purchase plan. Under the plan, which our shareholders approved,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Health-related benefits</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Executive officers are eligible under the same plans as all other U.S. employees for medical, dental, vision, disability and life insurance.</w:t>
      </w:r>
    </w:p>
    <w:p>
      <w:pPr>
        <w:ind w:left="200"/>
        <w:spacing w:after="0"/>
        <w:rPr>
          <w:sz w:val="20"/>
          <w:szCs w:val="20"/>
          <w:color w:val="auto"/>
        </w:rPr>
      </w:pPr>
      <w:r>
        <w:rPr>
          <w:rFonts w:ascii="Arial" w:cs="Arial" w:eastAsia="Arial" w:hAnsi="Arial"/>
          <w:sz w:val="18"/>
          <w:szCs w:val="18"/>
          <w:color w:val="auto"/>
        </w:rPr>
        <w:t>These benefits are intended to be competitive with benefits offered in the semiconductor industry.</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Other benefits</w:t>
      </w:r>
    </w:p>
    <w:p>
      <w:pPr>
        <w:spacing w:after="0" w:line="16"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allow Mr. Templeton, at his option, to use company aircraft for personal air travel. Please see Footnote 6 of the summary compensation table for 2018 and “Potential payments upon termination or change in control – Termination – Perquisites” for further details. The company provides no tax gross-ups for perquisites to any of the executive officers.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following employment termination or change in control</w:t>
      </w:r>
    </w:p>
    <w:p>
      <w:pPr>
        <w:spacing w:after="0" w:line="102"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color w:val="auto"/>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2018 based on this review.</w:t>
      </w:r>
    </w:p>
    <w:p>
      <w:pPr>
        <w:spacing w:after="0" w:line="174" w:lineRule="exact"/>
        <w:rPr>
          <w:sz w:val="20"/>
          <w:szCs w:val="20"/>
          <w:color w:val="auto"/>
        </w:rPr>
      </w:pPr>
    </w:p>
    <w:p>
      <w:pPr>
        <w:ind w:left="200" w:right="120"/>
        <w:spacing w:after="0" w:line="245" w:lineRule="auto"/>
        <w:rPr>
          <w:sz w:val="20"/>
          <w:szCs w:val="20"/>
          <w:color w:val="auto"/>
        </w:rPr>
      </w:pPr>
      <w:r>
        <w:rPr>
          <w:rFonts w:ascii="Arial" w:cs="Arial" w:eastAsia="Arial" w:hAnsi="Arial"/>
          <w:sz w:val="18"/>
          <w:szCs w:val="18"/>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ownership guidelines and policy against hedging</w:t>
      </w:r>
    </w:p>
    <w:p>
      <w:pPr>
        <w:spacing w:after="0" w:line="102"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171" w:lineRule="exact"/>
        <w:rPr>
          <w:sz w:val="20"/>
          <w:szCs w:val="20"/>
          <w:color w:val="auto"/>
        </w:rPr>
      </w:pPr>
    </w:p>
    <w:p>
      <w:pPr>
        <w:jc w:val="both"/>
        <w:ind w:left="200" w:right="280"/>
        <w:spacing w:after="0" w:line="255" w:lineRule="auto"/>
        <w:rPr>
          <w:sz w:val="20"/>
          <w:szCs w:val="20"/>
          <w:color w:val="auto"/>
        </w:rPr>
      </w:pPr>
      <w:r>
        <w:rPr>
          <w:rFonts w:ascii="Arial" w:cs="Arial" w:eastAsia="Arial" w:hAnsi="Arial"/>
          <w:sz w:val="18"/>
          <w:szCs w:val="18"/>
          <w:color w:val="auto"/>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18"/>
          <w:szCs w:val="18"/>
          <w:i w:val="1"/>
          <w:iCs w:val="1"/>
          <w:color w:val="auto"/>
        </w:rPr>
        <w: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Consideration of tax and accounting treatment of compensation</w:t>
      </w:r>
    </w:p>
    <w:p>
      <w:pPr>
        <w:spacing w:after="0" w:line="102" w:lineRule="exact"/>
        <w:rPr>
          <w:sz w:val="20"/>
          <w:szCs w:val="20"/>
          <w:color w:val="auto"/>
        </w:rPr>
      </w:pPr>
    </w:p>
    <w:p>
      <w:pPr>
        <w:ind w:left="200" w:right="100"/>
        <w:spacing w:after="0" w:line="243" w:lineRule="auto"/>
        <w:rPr>
          <w:sz w:val="20"/>
          <w:szCs w:val="20"/>
          <w:color w:val="auto"/>
        </w:rPr>
      </w:pPr>
      <w:r>
        <w:rPr>
          <w:rFonts w:ascii="Arial" w:cs="Arial" w:eastAsia="Arial" w:hAnsi="Arial"/>
          <w:sz w:val="18"/>
          <w:szCs w:val="18"/>
          <w:color w:val="auto"/>
        </w:rPr>
        <w:t>Section 162(m) of the IRC historically limited the tax deductibility of annual compensation paid to any publicly held corporation’s CEO and three other highest compensated officers excluding the CFO, to the extent that the officer’s compensation (other than qualified performance-based compensation) exceeded $1 million. Recent changes in the tax laws eliminated the “performance-based” exception beginning in 2018, unless the compensation qualifies for transition relief. Also, the $1 million corporate tax deduction limit now applies to all “covered employees,” which includes all of our named executive officers. The Compensation Committee considers the impact of this deductibility limit as one factor in its determination of compensation.</w:t>
      </w:r>
    </w:p>
    <w:p>
      <w:pPr>
        <w:spacing w:after="0" w:line="174" w:lineRule="exact"/>
        <w:rPr>
          <w:sz w:val="20"/>
          <w:szCs w:val="20"/>
          <w:color w:val="auto"/>
        </w:rPr>
      </w:pPr>
    </w:p>
    <w:p>
      <w:pPr>
        <w:jc w:val="both"/>
        <w:ind w:left="200" w:right="140"/>
        <w:spacing w:after="0" w:line="255" w:lineRule="auto"/>
        <w:rPr>
          <w:sz w:val="20"/>
          <w:szCs w:val="20"/>
          <w:color w:val="auto"/>
        </w:rPr>
      </w:pPr>
      <w:r>
        <w:rPr>
          <w:rFonts w:ascii="Arial" w:cs="Arial" w:eastAsia="Arial" w:hAnsi="Arial"/>
          <w:sz w:val="18"/>
          <w:szCs w:val="18"/>
          <w:color w:val="auto"/>
        </w:rPr>
        <w:t>When setting equity compensation, the committee considers the cost for financial reporting purposes of equity compensation it intends to grant. Its consideration of the cost of grants made in 2018 is discussed under “Analysis of compensation determination for 2018 – Equity compensation.”</w:t>
      </w:r>
    </w:p>
    <w:p>
      <w:pPr>
        <w:spacing w:after="0" w:line="97"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Compensation Committee report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 of the board of directors has furnished the following report:</w:t>
      </w:r>
    </w:p>
    <w:p>
      <w:pPr>
        <w:spacing w:after="0" w:line="212"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2018 and the company’s proxy statement for the 2019 annual meeting of stockholders.</w:t>
      </w:r>
    </w:p>
    <w:p>
      <w:pPr>
        <w:spacing w:after="0" w:line="191" w:lineRule="exact"/>
        <w:rPr>
          <w:sz w:val="20"/>
          <w:szCs w:val="20"/>
          <w:color w:val="auto"/>
        </w:rPr>
      </w:pPr>
    </w:p>
    <w:p>
      <w:pPr>
        <w:ind w:left="1120"/>
        <w:spacing w:after="0"/>
        <w:tabs>
          <w:tab w:leader="none" w:pos="5480" w:val="left"/>
          <w:tab w:leader="none" w:pos="9020" w:val="left"/>
        </w:tabs>
        <w:rPr>
          <w:sz w:val="20"/>
          <w:szCs w:val="20"/>
          <w:color w:val="auto"/>
        </w:rPr>
      </w:pPr>
      <w:r>
        <w:rPr>
          <w:rFonts w:ascii="Arial" w:cs="Arial" w:eastAsia="Arial" w:hAnsi="Arial"/>
          <w:sz w:val="18"/>
          <w:szCs w:val="18"/>
          <w:color w:val="auto"/>
        </w:rPr>
        <w:t>Pamela H. Patsley, Chair</w:t>
      </w:r>
      <w:r>
        <w:rPr>
          <w:sz w:val="20"/>
          <w:szCs w:val="20"/>
          <w:color w:val="auto"/>
        </w:rPr>
        <w:tab/>
      </w:r>
      <w:r>
        <w:rPr>
          <w:rFonts w:ascii="Arial" w:cs="Arial" w:eastAsia="Arial" w:hAnsi="Arial"/>
          <w:sz w:val="18"/>
          <w:szCs w:val="18"/>
          <w:color w:val="auto"/>
        </w:rPr>
        <w:t>Daniel A. Carp</w:t>
      </w:r>
      <w:r>
        <w:rPr>
          <w:sz w:val="20"/>
          <w:szCs w:val="20"/>
          <w:color w:val="auto"/>
        </w:rPr>
        <w:tab/>
      </w:r>
      <w:r>
        <w:rPr>
          <w:rFonts w:ascii="Arial" w:cs="Arial" w:eastAsia="Arial" w:hAnsi="Arial"/>
          <w:sz w:val="17"/>
          <w:szCs w:val="17"/>
          <w:color w:val="auto"/>
        </w:rPr>
        <w:t>Carrie S. Cox</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2018 summary compensation table</w:t>
      </w:r>
    </w:p>
    <w:p>
      <w:pPr>
        <w:spacing w:after="0" w:line="211"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The table below shows the compensation of each person who served as the company’s CEO during 2018, the CFO and each of the other three most highly compensated individuals who were executive officers during 2018 (collectively called the “named executive officers” (NEOs)) for services in all capacities to the company in 2018.</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14"/>
              <w:spacing w:after="0"/>
              <w:rPr>
                <w:sz w:val="20"/>
                <w:szCs w:val="20"/>
                <w:color w:val="auto"/>
              </w:rPr>
            </w:pPr>
            <w:r>
              <w:rPr>
                <w:rFonts w:ascii="Arial" w:cs="Arial" w:eastAsia="Arial" w:hAnsi="Arial"/>
                <w:sz w:val="14"/>
                <w:szCs w:val="14"/>
                <w:b w:val="1"/>
                <w:bCs w:val="1"/>
                <w:color w:val="auto"/>
              </w:rPr>
              <w:t>Change in</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Pension Value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14"/>
              <w:spacing w:after="0"/>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b w:val="1"/>
                <w:bCs w:val="1"/>
                <w:color w:val="auto"/>
                <w:w w:val="99"/>
              </w:rPr>
              <w:t>Non-Equity</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Incentive Plan</w:t>
            </w:r>
          </w:p>
        </w:tc>
        <w:tc>
          <w:tcPr>
            <w:tcW w:w="200" w:type="dxa"/>
            <w:vAlign w:val="bottom"/>
          </w:tcPr>
          <w:p>
            <w:pPr>
              <w:spacing w:after="0"/>
              <w:rPr>
                <w:sz w:val="14"/>
                <w:szCs w:val="14"/>
                <w:color w:val="auto"/>
              </w:rPr>
            </w:pPr>
          </w:p>
        </w:tc>
        <w:tc>
          <w:tcPr>
            <w:tcW w:w="980" w:type="dxa"/>
            <w:vAlign w:val="bottom"/>
          </w:tcPr>
          <w:p>
            <w:pPr>
              <w:jc w:val="center"/>
              <w:ind w:right="114"/>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4"/>
                <w:szCs w:val="14"/>
                <w:color w:val="auto"/>
              </w:rPr>
            </w:pPr>
          </w:p>
        </w:tc>
        <w:tc>
          <w:tcPr>
            <w:tcW w:w="940" w:type="dxa"/>
            <w:vAlign w:val="bottom"/>
          </w:tcPr>
          <w:p>
            <w:pPr>
              <w:jc w:val="right"/>
              <w:ind w:right="193"/>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Salary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Position (1)</w:t>
            </w: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 (2)</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 (3)</w:t>
            </w:r>
          </w:p>
        </w:tc>
        <w:tc>
          <w:tcPr>
            <w:tcW w:w="180" w:type="dxa"/>
            <w:vAlign w:val="bottom"/>
          </w:tcPr>
          <w:p>
            <w:pPr>
              <w:spacing w:after="0"/>
              <w:rPr>
                <w:sz w:val="16"/>
                <w:szCs w:val="16"/>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 (4)</w:t>
            </w: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 ($) (5)</w:t>
            </w:r>
          </w:p>
        </w:tc>
        <w:tc>
          <w:tcPr>
            <w:tcW w:w="220" w:type="dxa"/>
            <w:vAlign w:val="bottom"/>
          </w:tcPr>
          <w:p>
            <w:pPr>
              <w:spacing w:after="0"/>
              <w:rPr>
                <w:sz w:val="16"/>
                <w:szCs w:val="16"/>
                <w:color w:val="auto"/>
              </w:rPr>
            </w:pPr>
          </w:p>
        </w:tc>
        <w:tc>
          <w:tcPr>
            <w:tcW w:w="940" w:type="dxa"/>
            <w:vAlign w:val="bottom"/>
          </w:tcPr>
          <w:p>
            <w:pPr>
              <w:jc w:val="right"/>
              <w:ind w:right="293"/>
              <w:spacing w:after="0"/>
              <w:rPr>
                <w:sz w:val="20"/>
                <w:szCs w:val="20"/>
                <w:color w:val="auto"/>
              </w:rPr>
            </w:pPr>
            <w:r>
              <w:rPr>
                <w:rFonts w:ascii="Arial" w:cs="Arial" w:eastAsia="Arial" w:hAnsi="Arial"/>
                <w:sz w:val="14"/>
                <w:szCs w:val="14"/>
                <w:b w:val="1"/>
                <w:bCs w:val="1"/>
                <w:color w:val="auto"/>
              </w:rPr>
              <w:t>($) (6)</w:t>
            </w:r>
          </w:p>
        </w:tc>
        <w:tc>
          <w:tcPr>
            <w:tcW w:w="200" w:type="dxa"/>
            <w:vAlign w:val="bottom"/>
          </w:tcPr>
          <w:p>
            <w:pPr>
              <w:spacing w:after="0"/>
              <w:rPr>
                <w:sz w:val="16"/>
                <w:szCs w:val="16"/>
                <w:color w:val="auto"/>
              </w:rPr>
            </w:pPr>
          </w:p>
        </w:tc>
        <w:tc>
          <w:tcPr>
            <w:tcW w:w="1000" w:type="dxa"/>
            <w:vAlign w:val="bottom"/>
          </w:tcPr>
          <w:p>
            <w:pPr>
              <w:jc w:val="right"/>
              <w:ind w:right="23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E5E5E5"/>
          </w:tcPr>
          <w:p>
            <w:pPr>
              <w:spacing w:after="0" w:line="173" w:lineRule="exact"/>
              <w:rPr>
                <w:sz w:val="20"/>
                <w:szCs w:val="20"/>
                <w:color w:val="auto"/>
              </w:rPr>
            </w:pPr>
            <w:r>
              <w:rPr>
                <w:rFonts w:ascii="Arial" w:cs="Arial" w:eastAsia="Arial" w:hAnsi="Arial"/>
                <w:sz w:val="18"/>
                <w:szCs w:val="18"/>
                <w:color w:val="auto"/>
              </w:rPr>
              <w:t>Richard K. Templeton</w:t>
            </w:r>
          </w:p>
        </w:tc>
        <w:tc>
          <w:tcPr>
            <w:tcW w:w="580" w:type="dxa"/>
            <w:vAlign w:val="bottom"/>
            <w:tcBorders>
              <w:top w:val="single" w:sz="8" w:color="auto"/>
            </w:tcBorders>
            <w:shd w:val="clear" w:color="auto" w:fill="E5E5E5"/>
          </w:tcPr>
          <w:p>
            <w:pPr>
              <w:ind w:left="120"/>
              <w:spacing w:after="0" w:line="173" w:lineRule="exact"/>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1,131,252</w:t>
            </w:r>
          </w:p>
        </w:tc>
        <w:tc>
          <w:tcPr>
            <w:tcW w:w="1080" w:type="dxa"/>
            <w:vAlign w:val="bottom"/>
            <w:tcBorders>
              <w:top w:val="single" w:sz="8" w:color="auto"/>
            </w:tcBorders>
            <w:shd w:val="clear" w:color="auto" w:fill="E5E5E5"/>
          </w:tcPr>
          <w:p>
            <w:pPr>
              <w:jc w:val="center"/>
              <w:spacing w:after="0" w:line="173" w:lineRule="exact"/>
              <w:rPr>
                <w:sz w:val="20"/>
                <w:szCs w:val="20"/>
                <w:color w:val="auto"/>
              </w:rPr>
            </w:pPr>
            <w:r>
              <w:rPr>
                <w:rFonts w:ascii="Arial" w:cs="Arial" w:eastAsia="Arial" w:hAnsi="Arial"/>
                <w:sz w:val="18"/>
                <w:szCs w:val="18"/>
                <w:color w:val="auto"/>
              </w:rPr>
              <w:t>$ 6,000,091</w:t>
            </w:r>
          </w:p>
        </w:tc>
        <w:tc>
          <w:tcPr>
            <w:tcW w:w="1080" w:type="dxa"/>
            <w:vAlign w:val="bottom"/>
            <w:tcBorders>
              <w:top w:val="single" w:sz="8" w:color="auto"/>
            </w:tcBorders>
            <w:shd w:val="clear" w:color="auto" w:fill="E5E5E5"/>
          </w:tcPr>
          <w:p>
            <w:pPr>
              <w:jc w:val="center"/>
              <w:spacing w:after="0" w:line="173" w:lineRule="exact"/>
              <w:rPr>
                <w:sz w:val="20"/>
                <w:szCs w:val="20"/>
                <w:color w:val="auto"/>
              </w:rPr>
            </w:pPr>
            <w:r>
              <w:rPr>
                <w:rFonts w:ascii="Arial" w:cs="Arial" w:eastAsia="Arial" w:hAnsi="Arial"/>
                <w:sz w:val="18"/>
                <w:szCs w:val="18"/>
                <w:color w:val="auto"/>
              </w:rPr>
              <w:t>$ 6,000,019</w:t>
            </w:r>
          </w:p>
        </w:tc>
        <w:tc>
          <w:tcPr>
            <w:tcW w:w="180" w:type="dxa"/>
            <w:vAlign w:val="bottom"/>
            <w:tcBorders>
              <w:top w:val="single" w:sz="8" w:color="auto"/>
            </w:tcBorders>
            <w:shd w:val="clear" w:color="auto" w:fill="E5E5E5"/>
          </w:tcPr>
          <w:p>
            <w:pPr>
              <w:ind w:left="60"/>
              <w:spacing w:after="0" w:line="17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4,026,250</w:t>
            </w:r>
          </w:p>
        </w:tc>
        <w:tc>
          <w:tcPr>
            <w:tcW w:w="200" w:type="dxa"/>
            <w:vAlign w:val="bottom"/>
            <w:tcBorders>
              <w:top w:val="single" w:sz="8" w:color="auto"/>
            </w:tcBorders>
            <w:shd w:val="clear" w:color="auto" w:fill="E5E5E5"/>
          </w:tcPr>
          <w:p>
            <w:pPr>
              <w:spacing w:after="0"/>
              <w:rPr>
                <w:sz w:val="15"/>
                <w:szCs w:val="15"/>
                <w:color w:val="auto"/>
              </w:rPr>
            </w:pPr>
          </w:p>
        </w:tc>
        <w:tc>
          <w:tcPr>
            <w:tcW w:w="98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E5E5E5"/>
          </w:tcPr>
          <w:p>
            <w:pPr>
              <w:ind w:left="80"/>
              <w:spacing w:after="0" w:line="17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418,612</w:t>
            </w:r>
          </w:p>
        </w:tc>
        <w:tc>
          <w:tcPr>
            <w:tcW w:w="20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17,576,224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Chairman, President &amp;</w:t>
            </w:r>
          </w:p>
        </w:tc>
        <w:tc>
          <w:tcPr>
            <w:tcW w:w="58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shd w:val="clear" w:color="auto" w:fill="E5E5E5"/>
              </w:rPr>
              <w:t>2017</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shd w:val="clear" w:color="auto" w:fill="E5E5E5"/>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shd w:val="clear" w:color="auto" w:fill="E5E5E5"/>
              </w:rPr>
              <w:t>1,188,004</w:t>
            </w:r>
          </w:p>
        </w:tc>
        <w:tc>
          <w:tcPr>
            <w:tcW w:w="10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shd w:val="clear" w:color="auto" w:fill="E5E5E5"/>
              </w:rPr>
              <w:t>$ 5,500,010</w:t>
            </w:r>
          </w:p>
        </w:tc>
        <w:tc>
          <w:tcPr>
            <w:tcW w:w="10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shd w:val="clear" w:color="auto" w:fill="E5E5E5"/>
              </w:rPr>
              <w:t>$ 5,500,004</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shd w:val="clear" w:color="auto" w:fill="E5E5E5"/>
              </w:rPr>
              <w:t>$</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shd w:val="clear" w:color="auto" w:fill="E5E5E5"/>
              </w:rPr>
              <w:t>3,862,601</w:t>
            </w:r>
          </w:p>
        </w:tc>
        <w:tc>
          <w:tcPr>
            <w:tcW w:w="20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shd w:val="clear" w:color="auto" w:fill="E5E5E5"/>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shd w:val="clear" w:color="auto" w:fill="E5E5E5"/>
              </w:rPr>
              <w:t>166,278</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shd w:val="clear" w:color="auto" w:fill="E5E5E5"/>
              </w:rPr>
              <w:t>$</w:t>
            </w:r>
          </w:p>
        </w:tc>
        <w:tc>
          <w:tcPr>
            <w:tcW w:w="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shd w:val="clear" w:color="auto" w:fill="E5E5E5"/>
              </w:rPr>
              <w:t>329,825</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shd w:val="clear" w:color="auto" w:fill="E5E5E5"/>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shd w:val="clear" w:color="auto" w:fill="E5E5E5"/>
              </w:rPr>
              <w:t>16,546,722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Executive Officer</w:t>
            </w:r>
          </w:p>
        </w:tc>
        <w:tc>
          <w:tcPr>
            <w:tcW w:w="580" w:type="dxa"/>
            <w:vAlign w:val="bottom"/>
            <w:shd w:val="clear" w:color="auto" w:fill="E5E5E5"/>
          </w:tcPr>
          <w:p>
            <w:pPr>
              <w:ind w:left="120"/>
              <w:spacing w:after="0"/>
              <w:rPr>
                <w:sz w:val="20"/>
                <w:szCs w:val="20"/>
                <w:color w:val="auto"/>
              </w:rPr>
            </w:pPr>
            <w:r>
              <w:rPr>
                <w:rFonts w:ascii="Arial" w:cs="Arial" w:eastAsia="Arial" w:hAnsi="Arial"/>
                <w:sz w:val="18"/>
                <w:szCs w:val="18"/>
                <w:color w:val="auto"/>
                <w:shd w:val="clear" w:color="auto" w:fill="E5E5E5"/>
              </w:rPr>
              <w:t>2016</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shd w:val="clear" w:color="auto" w:fill="E5E5E5"/>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shd w:val="clear" w:color="auto" w:fill="E5E5E5"/>
              </w:rPr>
              <w:t>1,164,083</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shd w:val="clear" w:color="auto" w:fill="E5E5E5"/>
              </w:rPr>
              <w:t>$ 4,900,048</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shd w:val="clear" w:color="auto" w:fill="E5E5E5"/>
              </w:rPr>
              <w:t>$ 4,900,007</w:t>
            </w:r>
          </w:p>
        </w:tc>
        <w:tc>
          <w:tcPr>
            <w:tcW w:w="180" w:type="dxa"/>
            <w:vAlign w:val="bottom"/>
            <w:shd w:val="clear" w:color="auto" w:fill="E5E5E5"/>
          </w:tcPr>
          <w:p>
            <w:pPr>
              <w:ind w:left="60"/>
              <w:spacing w:after="0"/>
              <w:rPr>
                <w:sz w:val="20"/>
                <w:szCs w:val="20"/>
                <w:color w:val="auto"/>
              </w:rPr>
            </w:pPr>
            <w:r>
              <w:rPr>
                <w:rFonts w:ascii="Arial" w:cs="Arial" w:eastAsia="Arial" w:hAnsi="Arial"/>
                <w:sz w:val="18"/>
                <w:szCs w:val="18"/>
                <w:color w:val="auto"/>
                <w:w w:val="99"/>
                <w:shd w:val="clear" w:color="auto" w:fill="E5E5E5"/>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shd w:val="clear" w:color="auto" w:fill="E5E5E5"/>
              </w:rPr>
              <w:t>3,682,817</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shd w:val="clear" w:color="auto" w:fill="E5E5E5"/>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shd w:val="clear" w:color="auto" w:fill="E5E5E5"/>
              </w:rPr>
              <w:t>107,604</w:t>
            </w:r>
          </w:p>
        </w:tc>
        <w:tc>
          <w:tcPr>
            <w:tcW w:w="220" w:type="dxa"/>
            <w:vAlign w:val="bottom"/>
            <w:shd w:val="clear" w:color="auto" w:fill="E5E5E5"/>
          </w:tcPr>
          <w:p>
            <w:pPr>
              <w:ind w:left="80"/>
              <w:spacing w:after="0"/>
              <w:rPr>
                <w:sz w:val="20"/>
                <w:szCs w:val="20"/>
                <w:color w:val="auto"/>
              </w:rPr>
            </w:pPr>
            <w:r>
              <w:rPr>
                <w:rFonts w:ascii="Arial" w:cs="Arial" w:eastAsia="Arial" w:hAnsi="Arial"/>
                <w:sz w:val="18"/>
                <w:szCs w:val="18"/>
                <w:color w:val="auto"/>
                <w:shd w:val="clear" w:color="auto" w:fill="E5E5E5"/>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shd w:val="clear" w:color="auto" w:fill="E5E5E5"/>
              </w:rPr>
              <w:t>325,510</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shd w:val="clear" w:color="auto" w:fill="E5E5E5"/>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shd w:val="clear" w:color="auto" w:fill="E5E5E5"/>
              </w:rPr>
              <w:t>15,080,069</w:t>
            </w:r>
          </w:p>
        </w:tc>
        <w:tc>
          <w:tcPr>
            <w:tcW w:w="0" w:type="dxa"/>
            <w:vAlign w:val="bottom"/>
          </w:tcPr>
          <w:p>
            <w:pPr>
              <w:spacing w:after="0"/>
              <w:rPr>
                <w:sz w:val="1"/>
                <w:szCs w:val="1"/>
                <w:color w:val="auto"/>
              </w:rPr>
            </w:pPr>
          </w:p>
        </w:tc>
      </w:tr>
      <w:tr>
        <w:trPr>
          <w:trHeight w:val="396"/>
        </w:trPr>
        <w:tc>
          <w:tcPr>
            <w:tcW w:w="2540" w:type="dxa"/>
            <w:vAlign w:val="bottom"/>
            <w:gridSpan w:val="2"/>
          </w:tcPr>
          <w:p>
            <w:pPr>
              <w:spacing w:after="0"/>
              <w:rPr>
                <w:sz w:val="20"/>
                <w:szCs w:val="20"/>
                <w:color w:val="auto"/>
              </w:rPr>
            </w:pPr>
            <w:r>
              <w:rPr>
                <w:rFonts w:ascii="Arial" w:cs="Arial" w:eastAsia="Arial" w:hAnsi="Arial"/>
                <w:sz w:val="18"/>
                <w:szCs w:val="18"/>
                <w:color w:val="auto"/>
              </w:rPr>
              <w:t>Rafael R. Lizardi</w:t>
            </w:r>
          </w:p>
        </w:tc>
        <w:tc>
          <w:tcPr>
            <w:tcW w:w="580" w:type="dxa"/>
            <w:vAlign w:val="bottom"/>
          </w:tcPr>
          <w:p>
            <w:pPr>
              <w:ind w:left="120"/>
              <w:spacing w:after="0"/>
              <w:rPr>
                <w:sz w:val="20"/>
                <w:szCs w:val="20"/>
                <w:color w:val="auto"/>
              </w:rPr>
            </w:pPr>
            <w:r>
              <w:rPr>
                <w:rFonts w:ascii="Arial" w:cs="Arial" w:eastAsia="Arial" w:hAnsi="Arial"/>
                <w:sz w:val="18"/>
                <w:szCs w:val="18"/>
                <w:color w:val="auto"/>
              </w:rPr>
              <w:t>2018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591,667</w:t>
            </w:r>
          </w:p>
        </w:tc>
        <w:tc>
          <w:tcPr>
            <w:tcW w:w="1080" w:type="dxa"/>
            <w:vAlign w:val="bottom"/>
          </w:tcPr>
          <w:p>
            <w:pPr>
              <w:jc w:val="center"/>
              <w:spacing w:after="0"/>
              <w:rPr>
                <w:sz w:val="20"/>
                <w:szCs w:val="20"/>
                <w:color w:val="auto"/>
              </w:rPr>
            </w:pPr>
            <w:r>
              <w:rPr>
                <w:rFonts w:ascii="Arial" w:cs="Arial" w:eastAsia="Arial" w:hAnsi="Arial"/>
                <w:sz w:val="18"/>
                <w:szCs w:val="18"/>
                <w:color w:val="auto"/>
              </w:rPr>
              <w:t>$ 1,200,084</w:t>
            </w:r>
          </w:p>
        </w:tc>
        <w:tc>
          <w:tcPr>
            <w:tcW w:w="1080" w:type="dxa"/>
            <w:vAlign w:val="bottom"/>
          </w:tcPr>
          <w:p>
            <w:pPr>
              <w:jc w:val="center"/>
              <w:spacing w:after="0"/>
              <w:rPr>
                <w:sz w:val="20"/>
                <w:szCs w:val="20"/>
                <w:color w:val="auto"/>
              </w:rPr>
            </w:pPr>
            <w:r>
              <w:rPr>
                <w:rFonts w:ascii="Arial" w:cs="Arial" w:eastAsia="Arial" w:hAnsi="Arial"/>
                <w:sz w:val="18"/>
                <w:szCs w:val="18"/>
                <w:color w:val="auto"/>
              </w:rPr>
              <w:t>$ 1,200,013</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1,118,333</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77,072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4,187,169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Senior Vice President &amp;</w:t>
            </w:r>
          </w:p>
        </w:tc>
        <w:tc>
          <w:tcPr>
            <w:tcW w:w="580" w:type="dxa"/>
            <w:vAlign w:val="bottom"/>
          </w:tcPr>
          <w:p>
            <w:pPr>
              <w:ind w:left="120"/>
              <w:spacing w:after="0"/>
              <w:rPr>
                <w:sz w:val="20"/>
                <w:szCs w:val="20"/>
                <w:color w:val="auto"/>
              </w:rPr>
            </w:pPr>
            <w:r>
              <w:rPr>
                <w:rFonts w:ascii="Arial" w:cs="Arial" w:eastAsia="Arial" w:hAnsi="Arial"/>
                <w:sz w:val="18"/>
                <w:szCs w:val="18"/>
                <w:color w:val="auto"/>
              </w:rPr>
              <w:t>2017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488,333</w:t>
            </w:r>
          </w:p>
        </w:tc>
        <w:tc>
          <w:tcPr>
            <w:tcW w:w="1080" w:type="dxa"/>
            <w:vAlign w:val="bottom"/>
          </w:tcPr>
          <w:p>
            <w:pPr>
              <w:jc w:val="center"/>
              <w:spacing w:after="0"/>
              <w:rPr>
                <w:sz w:val="20"/>
                <w:szCs w:val="20"/>
                <w:color w:val="auto"/>
              </w:rPr>
            </w:pPr>
            <w:r>
              <w:rPr>
                <w:rFonts w:ascii="Arial" w:cs="Arial" w:eastAsia="Arial" w:hAnsi="Arial"/>
                <w:sz w:val="18"/>
                <w:szCs w:val="18"/>
                <w:color w:val="auto"/>
              </w:rPr>
              <w:t>$ 2,000,047</w:t>
            </w:r>
          </w:p>
        </w:tc>
        <w:tc>
          <w:tcPr>
            <w:tcW w:w="1080" w:type="dxa"/>
            <w:vAlign w:val="bottom"/>
          </w:tcPr>
          <w:p>
            <w:pPr>
              <w:jc w:val="center"/>
              <w:spacing w:after="0"/>
              <w:rPr>
                <w:sz w:val="20"/>
                <w:szCs w:val="20"/>
                <w:color w:val="auto"/>
              </w:rPr>
            </w:pPr>
            <w:r>
              <w:rPr>
                <w:rFonts w:ascii="Arial" w:cs="Arial" w:eastAsia="Arial" w:hAnsi="Arial"/>
                <w:sz w:val="18"/>
                <w:szCs w:val="18"/>
                <w:color w:val="auto"/>
              </w:rPr>
              <w:t>$ 1,000,013</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947,667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60,814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4,496,874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Chief Financial Officer</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Niels Anderskouv</w:t>
            </w:r>
          </w:p>
        </w:tc>
        <w:tc>
          <w:tcPr>
            <w:tcW w:w="58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rPr>
              <w:t>2018</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668,750</w:t>
            </w:r>
          </w:p>
        </w:tc>
        <w:tc>
          <w:tcPr>
            <w:tcW w:w="10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rPr>
              <w:t>$ 1,900,088</w:t>
            </w:r>
          </w:p>
        </w:tc>
        <w:tc>
          <w:tcPr>
            <w:tcW w:w="10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rPr>
              <w:t>$ 1,900,015</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1,333,750</w:t>
            </w: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89,458</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5,892,061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Senior Vice President</w:t>
            </w:r>
          </w:p>
        </w:tc>
        <w:tc>
          <w:tcPr>
            <w:tcW w:w="5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2540" w:type="dxa"/>
            <w:vAlign w:val="bottom"/>
            <w:gridSpan w:val="2"/>
          </w:tcPr>
          <w:p>
            <w:pPr>
              <w:spacing w:after="0"/>
              <w:rPr>
                <w:sz w:val="20"/>
                <w:szCs w:val="20"/>
                <w:color w:val="auto"/>
              </w:rPr>
            </w:pPr>
            <w:r>
              <w:rPr>
                <w:rFonts w:ascii="Arial" w:cs="Arial" w:eastAsia="Arial" w:hAnsi="Arial"/>
                <w:sz w:val="18"/>
                <w:szCs w:val="18"/>
                <w:color w:val="auto"/>
              </w:rPr>
              <w:t>R. Gregory Delagi</w:t>
            </w:r>
          </w:p>
        </w:tc>
        <w:tc>
          <w:tcPr>
            <w:tcW w:w="580" w:type="dxa"/>
            <w:vAlign w:val="bottom"/>
          </w:tcPr>
          <w:p>
            <w:pPr>
              <w:ind w:left="120"/>
              <w:spacing w:after="0"/>
              <w:rPr>
                <w:sz w:val="20"/>
                <w:szCs w:val="20"/>
                <w:color w:val="auto"/>
              </w:rPr>
            </w:pPr>
            <w:r>
              <w:rPr>
                <w:rFonts w:ascii="Arial" w:cs="Arial" w:eastAsia="Arial" w:hAnsi="Arial"/>
                <w:sz w:val="18"/>
                <w:szCs w:val="18"/>
                <w:color w:val="auto"/>
              </w:rPr>
              <w:t>2018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713,750</w:t>
            </w:r>
          </w:p>
        </w:tc>
        <w:tc>
          <w:tcPr>
            <w:tcW w:w="1080" w:type="dxa"/>
            <w:vAlign w:val="bottom"/>
          </w:tcPr>
          <w:p>
            <w:pPr>
              <w:jc w:val="center"/>
              <w:spacing w:after="0"/>
              <w:rPr>
                <w:sz w:val="20"/>
                <w:szCs w:val="20"/>
                <w:color w:val="auto"/>
              </w:rPr>
            </w:pPr>
            <w:r>
              <w:rPr>
                <w:rFonts w:ascii="Arial" w:cs="Arial" w:eastAsia="Arial" w:hAnsi="Arial"/>
                <w:sz w:val="18"/>
                <w:szCs w:val="18"/>
                <w:color w:val="auto"/>
              </w:rPr>
              <w:t>$ 1,800,071</w:t>
            </w:r>
          </w:p>
        </w:tc>
        <w:tc>
          <w:tcPr>
            <w:tcW w:w="1080" w:type="dxa"/>
            <w:vAlign w:val="bottom"/>
          </w:tcPr>
          <w:p>
            <w:pPr>
              <w:jc w:val="center"/>
              <w:spacing w:after="0"/>
              <w:rPr>
                <w:sz w:val="20"/>
                <w:szCs w:val="20"/>
                <w:color w:val="auto"/>
              </w:rPr>
            </w:pPr>
            <w:r>
              <w:rPr>
                <w:rFonts w:ascii="Arial" w:cs="Arial" w:eastAsia="Arial" w:hAnsi="Arial"/>
                <w:sz w:val="18"/>
                <w:szCs w:val="18"/>
                <w:color w:val="auto"/>
              </w:rPr>
              <w:t>$ 1,800,008</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1,292,750</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1,877</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5,613,956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Senior Vice President</w:t>
            </w:r>
          </w:p>
        </w:tc>
        <w:tc>
          <w:tcPr>
            <w:tcW w:w="580" w:type="dxa"/>
            <w:vAlign w:val="bottom"/>
          </w:tcPr>
          <w:p>
            <w:pPr>
              <w:ind w:left="120"/>
              <w:spacing w:after="0"/>
              <w:rPr>
                <w:sz w:val="20"/>
                <w:szCs w:val="20"/>
                <w:color w:val="auto"/>
              </w:rPr>
            </w:pPr>
            <w:r>
              <w:rPr>
                <w:rFonts w:ascii="Arial" w:cs="Arial" w:eastAsia="Arial" w:hAnsi="Arial"/>
                <w:sz w:val="18"/>
                <w:szCs w:val="18"/>
                <w:color w:val="auto"/>
              </w:rPr>
              <w:t>2017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698,750</w:t>
            </w:r>
          </w:p>
        </w:tc>
        <w:tc>
          <w:tcPr>
            <w:tcW w:w="1080" w:type="dxa"/>
            <w:vAlign w:val="bottom"/>
          </w:tcPr>
          <w:p>
            <w:pPr>
              <w:jc w:val="center"/>
              <w:spacing w:after="0"/>
              <w:rPr>
                <w:sz w:val="20"/>
                <w:szCs w:val="20"/>
                <w:color w:val="auto"/>
              </w:rPr>
            </w:pPr>
            <w:r>
              <w:rPr>
                <w:rFonts w:ascii="Arial" w:cs="Arial" w:eastAsia="Arial" w:hAnsi="Arial"/>
                <w:sz w:val="18"/>
                <w:szCs w:val="18"/>
                <w:color w:val="auto"/>
              </w:rPr>
              <w:t>$ 1,800,074</w:t>
            </w:r>
          </w:p>
        </w:tc>
        <w:tc>
          <w:tcPr>
            <w:tcW w:w="1080" w:type="dxa"/>
            <w:vAlign w:val="bottom"/>
          </w:tcPr>
          <w:p>
            <w:pPr>
              <w:jc w:val="center"/>
              <w:spacing w:after="0"/>
              <w:rPr>
                <w:sz w:val="20"/>
                <w:szCs w:val="20"/>
                <w:color w:val="auto"/>
              </w:rPr>
            </w:pPr>
            <w:r>
              <w:rPr>
                <w:rFonts w:ascii="Arial" w:cs="Arial" w:eastAsia="Arial" w:hAnsi="Arial"/>
                <w:sz w:val="18"/>
                <w:szCs w:val="18"/>
                <w:color w:val="auto"/>
              </w:rPr>
              <w:t>$ 1,800,016</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1,239,750</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1,491,494</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7,046,576</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Haviv Ilan</w:t>
            </w:r>
          </w:p>
        </w:tc>
        <w:tc>
          <w:tcPr>
            <w:tcW w:w="58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rPr>
              <w:t>2018</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668,750</w:t>
            </w:r>
          </w:p>
        </w:tc>
        <w:tc>
          <w:tcPr>
            <w:tcW w:w="10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rPr>
              <w:t>$ 1,900,088</w:t>
            </w:r>
          </w:p>
        </w:tc>
        <w:tc>
          <w:tcPr>
            <w:tcW w:w="10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rPr>
              <w:t>$ 1,900,015</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1,333,750</w:t>
            </w: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51,813</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5,854,416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Senior Vice President</w:t>
            </w:r>
          </w:p>
        </w:tc>
        <w:tc>
          <w:tcPr>
            <w:tcW w:w="5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2540" w:type="dxa"/>
            <w:vAlign w:val="bottom"/>
            <w:gridSpan w:val="2"/>
          </w:tcPr>
          <w:p>
            <w:pPr>
              <w:spacing w:after="0"/>
              <w:rPr>
                <w:sz w:val="20"/>
                <w:szCs w:val="20"/>
                <w:color w:val="auto"/>
              </w:rPr>
            </w:pPr>
            <w:r>
              <w:rPr>
                <w:rFonts w:ascii="Arial" w:cs="Arial" w:eastAsia="Arial" w:hAnsi="Arial"/>
                <w:sz w:val="18"/>
                <w:szCs w:val="18"/>
                <w:color w:val="auto"/>
              </w:rPr>
              <w:t>Brian T. Crutcher (7)</w:t>
            </w:r>
          </w:p>
        </w:tc>
        <w:tc>
          <w:tcPr>
            <w:tcW w:w="580" w:type="dxa"/>
            <w:vAlign w:val="bottom"/>
          </w:tcPr>
          <w:p>
            <w:pPr>
              <w:ind w:left="120"/>
              <w:spacing w:after="0"/>
              <w:rPr>
                <w:sz w:val="20"/>
                <w:szCs w:val="20"/>
                <w:color w:val="auto"/>
              </w:rPr>
            </w:pPr>
            <w:r>
              <w:rPr>
                <w:rFonts w:ascii="Arial" w:cs="Arial" w:eastAsia="Arial" w:hAnsi="Arial"/>
                <w:sz w:val="18"/>
                <w:szCs w:val="18"/>
                <w:color w:val="auto"/>
              </w:rPr>
              <w:t>2018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506,528</w:t>
            </w:r>
          </w:p>
        </w:tc>
        <w:tc>
          <w:tcPr>
            <w:tcW w:w="1080" w:type="dxa"/>
            <w:vAlign w:val="bottom"/>
          </w:tcPr>
          <w:p>
            <w:pPr>
              <w:jc w:val="center"/>
              <w:spacing w:after="0"/>
              <w:rPr>
                <w:sz w:val="20"/>
                <w:szCs w:val="20"/>
                <w:color w:val="auto"/>
              </w:rPr>
            </w:pPr>
            <w:r>
              <w:rPr>
                <w:rFonts w:ascii="Arial" w:cs="Arial" w:eastAsia="Arial" w:hAnsi="Arial"/>
                <w:sz w:val="18"/>
                <w:szCs w:val="18"/>
                <w:color w:val="auto"/>
              </w:rPr>
              <w:t>$ 5,000,039</w:t>
            </w:r>
          </w:p>
        </w:tc>
        <w:tc>
          <w:tcPr>
            <w:tcW w:w="1080" w:type="dxa"/>
            <w:vAlign w:val="bottom"/>
          </w:tcPr>
          <w:p>
            <w:pPr>
              <w:jc w:val="center"/>
              <w:spacing w:after="0"/>
              <w:rPr>
                <w:sz w:val="20"/>
                <w:szCs w:val="20"/>
                <w:color w:val="auto"/>
              </w:rPr>
            </w:pPr>
            <w:r>
              <w:rPr>
                <w:rFonts w:ascii="Arial" w:cs="Arial" w:eastAsia="Arial" w:hAnsi="Arial"/>
                <w:sz w:val="18"/>
                <w:szCs w:val="18"/>
                <w:color w:val="auto"/>
              </w:rPr>
              <w:t>$ 5,000,020</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220,012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10,726,599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Former Chief Executive Officer</w:t>
            </w: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2017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870,833</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rPr>
              <w:t>$ 3,750,028</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rPr>
              <w:t>$ 3,750,006</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2,524,167</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1,173</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160,804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11,057,011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2016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822,917</w:t>
            </w:r>
          </w:p>
        </w:tc>
        <w:tc>
          <w:tcPr>
            <w:tcW w:w="1080" w:type="dxa"/>
            <w:vAlign w:val="bottom"/>
          </w:tcPr>
          <w:p>
            <w:pPr>
              <w:jc w:val="center"/>
              <w:spacing w:after="0"/>
              <w:rPr>
                <w:sz w:val="20"/>
                <w:szCs w:val="20"/>
                <w:color w:val="auto"/>
              </w:rPr>
            </w:pPr>
            <w:r>
              <w:rPr>
                <w:rFonts w:ascii="Arial" w:cs="Arial" w:eastAsia="Arial" w:hAnsi="Arial"/>
                <w:sz w:val="18"/>
                <w:szCs w:val="18"/>
                <w:color w:val="auto"/>
              </w:rPr>
              <w:t>$ 2,750,031</w:t>
            </w:r>
          </w:p>
        </w:tc>
        <w:tc>
          <w:tcPr>
            <w:tcW w:w="1080" w:type="dxa"/>
            <w:vAlign w:val="bottom"/>
          </w:tcPr>
          <w:p>
            <w:pPr>
              <w:jc w:val="center"/>
              <w:spacing w:after="0"/>
              <w:rPr>
                <w:sz w:val="20"/>
                <w:szCs w:val="20"/>
                <w:color w:val="auto"/>
              </w:rPr>
            </w:pPr>
            <w:r>
              <w:rPr>
                <w:rFonts w:ascii="Arial" w:cs="Arial" w:eastAsia="Arial" w:hAnsi="Arial"/>
                <w:sz w:val="18"/>
                <w:szCs w:val="18"/>
                <w:color w:val="auto"/>
              </w:rPr>
              <w:t>$ 2,750,000</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2,164,583</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155,079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8,643,187</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40" w:right="80" w:hanging="436"/>
        <w:spacing w:after="0" w:line="255"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Templeton was chairman for all of 2018. He was the company’s president and chief executive officer in 2018 except from June 1, 2018, through July 17, 2018, when Mr. Crutcher was chief executive officer and president. Mr. Crutcher resigned from the company effective July 17, 2018.</w:t>
      </w:r>
    </w:p>
    <w:p>
      <w:pPr>
        <w:spacing w:after="0" w:line="69" w:lineRule="exact"/>
        <w:rPr>
          <w:rFonts w:ascii="Arial" w:cs="Arial" w:eastAsia="Arial" w:hAnsi="Arial"/>
          <w:sz w:val="18"/>
          <w:szCs w:val="18"/>
          <w:color w:val="auto"/>
        </w:rPr>
      </w:pPr>
    </w:p>
    <w:p>
      <w:pPr>
        <w:ind w:left="640" w:right="140" w:hanging="436"/>
        <w:spacing w:after="0" w:line="241"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 (RSU) awards calculated in accordance with ASC 718. The discussion of the assumptions used for purposes of the valuation of the awards granted in 2018 appears in Note 3 to the 2018 financial statements. For a description of the grant terms, see the discussion following the outstanding equity awards at fiscal year-end 2018 table. The discussion of the assumptions used for purposes of the valuation of the awards granted in 2017 and 2016 appears in Note 4 to the financial statements in TI’s annual report on Form 10-K for the year ended December 31, 2017 (2017 financial statements), and the financial statements in TI’s annual report on Form 10-K for the year ended December 31, 2016 (2016 financial statements), respectively.</w:t>
      </w:r>
    </w:p>
    <w:p>
      <w:pPr>
        <w:spacing w:after="0" w:line="84" w:lineRule="exact"/>
        <w:rPr>
          <w:rFonts w:ascii="Arial" w:cs="Arial" w:eastAsia="Arial" w:hAnsi="Arial"/>
          <w:sz w:val="18"/>
          <w:szCs w:val="18"/>
          <w:color w:val="auto"/>
        </w:rPr>
      </w:pPr>
    </w:p>
    <w:p>
      <w:pPr>
        <w:ind w:left="640" w:right="60" w:hanging="436"/>
        <w:spacing w:after="0" w:line="245"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calculated in accordance with ASC 718. The discussion of the assumptions used for purposes of the valuation of options granted in 2018 appears in Note 3 to the 2018 financial statements. For a description of the grant terms, see the discussion following the outstanding equity awards at fiscal year-end 2018 table. The discussion of the assumptions used for purposes of the valuation of the awards granted in 2017 and 2016 appears in Note 4 to the 2017 and 2016 financial statements, respectively.</w:t>
      </w:r>
    </w:p>
    <w:p>
      <w:pPr>
        <w:spacing w:after="0" w:line="106"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31</w:t>
            </w:r>
          </w:p>
        </w:tc>
      </w:tr>
    </w:tbl>
    <w:p>
      <w:pPr>
        <w:sectPr>
          <w:pgSz w:w="11900" w:h="16838" w:orient="portrait"/>
          <w:cols w:equalWidth="0" w:num="1">
            <w:col w:w="11240"/>
          </w:cols>
          <w:pgMar w:left="240" w:top="455" w:right="4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40" w:right="240" w:hanging="436"/>
        <w:spacing w:after="0" w:line="276"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performance bonuses and profit sharing for 2018. See “Analysis of compensation determinations for 2018 – Results of the compensation decisions” for the amounts of bonus and profit sharing paid to each of the named executive officers for 2018.</w:t>
      </w:r>
    </w:p>
    <w:p>
      <w:pPr>
        <w:spacing w:after="0" w:line="50" w:lineRule="exact"/>
        <w:rPr>
          <w:rFonts w:ascii="Arial" w:cs="Arial" w:eastAsia="Arial" w:hAnsi="Arial"/>
          <w:sz w:val="18"/>
          <w:szCs w:val="18"/>
          <w:color w:val="auto"/>
        </w:rPr>
      </w:pPr>
    </w:p>
    <w:p>
      <w:pPr>
        <w:ind w:left="640" w:right="20" w:hanging="436"/>
        <w:spacing w:after="0" w:line="239"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2017, through December 31, 2018. This “change in the actuarial value” is the difference between the 2017 and 2018 present value of the pension benefit accumulated as of year-end by the named executive officer, assuming that benefit is not paid until age 65.</w:t>
      </w:r>
    </w:p>
    <w:p>
      <w:pPr>
        <w:ind w:left="640" w:right="240"/>
        <w:spacing w:after="0" w:line="248" w:lineRule="auto"/>
        <w:rPr>
          <w:rFonts w:ascii="Arial" w:cs="Arial" w:eastAsia="Arial" w:hAnsi="Arial"/>
          <w:sz w:val="18"/>
          <w:szCs w:val="18"/>
          <w:color w:val="auto"/>
        </w:rPr>
      </w:pPr>
      <w:r>
        <w:rPr>
          <w:rFonts w:ascii="Arial" w:cs="Arial" w:eastAsia="Arial" w:hAnsi="Arial"/>
          <w:sz w:val="17"/>
          <w:szCs w:val="17"/>
          <w:color w:val="auto"/>
        </w:rPr>
        <w:t>Mr. Templeton’s benefits under the company’s pension plans were frozen as of December 31, 1997. The value of Mr. Templeton’s account decreased by $60,463. In accordance with SEC rules, this amount has not been included in his total 2018 compensation shown in this table. Messrs. Lizardi, Anderskouv and Ilan do not participate in any of the company’s defined benefit pension plans.</w:t>
      </w:r>
    </w:p>
    <w:p>
      <w:pPr>
        <w:spacing w:after="0" w:line="1" w:lineRule="exact"/>
        <w:rPr>
          <w:rFonts w:ascii="Arial" w:cs="Arial" w:eastAsia="Arial" w:hAnsi="Arial"/>
          <w:sz w:val="18"/>
          <w:szCs w:val="18"/>
          <w:color w:val="auto"/>
        </w:rPr>
      </w:pPr>
    </w:p>
    <w:p>
      <w:pPr>
        <w:ind w:left="640"/>
        <w:spacing w:after="0" w:line="242" w:lineRule="auto"/>
        <w:rPr>
          <w:rFonts w:ascii="Arial" w:cs="Arial" w:eastAsia="Arial" w:hAnsi="Arial"/>
          <w:sz w:val="18"/>
          <w:szCs w:val="18"/>
          <w:color w:val="auto"/>
        </w:rPr>
      </w:pPr>
      <w:r>
        <w:rPr>
          <w:rFonts w:ascii="Arial" w:cs="Arial" w:eastAsia="Arial" w:hAnsi="Arial"/>
          <w:sz w:val="18"/>
          <w:szCs w:val="18"/>
          <w:color w:val="auto"/>
        </w:rPr>
        <w:t>Prior to his resignation, Mr. Crutcher participated in the defined benefit pension plan, but his benefit was frozen in 1997. As a result of his resignation, Mr. Crutcher received his pension payment on November 1, 2018. See the 2018 pension benefits table for additional information.</w:t>
      </w:r>
    </w:p>
    <w:p>
      <w:pPr>
        <w:spacing w:after="0" w:line="81" w:lineRule="exact"/>
        <w:rPr>
          <w:rFonts w:ascii="Arial" w:cs="Arial" w:eastAsia="Arial" w:hAnsi="Arial"/>
          <w:sz w:val="18"/>
          <w:szCs w:val="18"/>
          <w:color w:val="auto"/>
        </w:rPr>
      </w:pPr>
    </w:p>
    <w:p>
      <w:pPr>
        <w:ind w:left="640" w:right="40" w:hanging="436"/>
        <w:spacing w:after="0" w:line="306"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Consists of (i) the amounts in the table below, which result from programs available to all eligible U.S. employees, and (ii) perquisites and personal benefits that meet the disclosure thresholds established by the SEC and are detailed in the paragraph below.</w:t>
      </w:r>
    </w:p>
    <w:p>
      <w:pPr>
        <w:spacing w:after="0" w:line="157"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Defined</w:t>
            </w:r>
          </w:p>
        </w:tc>
        <w:tc>
          <w:tcPr>
            <w:tcW w:w="10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Unused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gridSpan w:val="2"/>
          </w:tcPr>
          <w:p>
            <w:pPr>
              <w:ind w:left="260"/>
              <w:spacing w:after="0" w:line="151" w:lineRule="exact"/>
              <w:rPr>
                <w:sz w:val="20"/>
                <w:szCs w:val="20"/>
                <w:color w:val="auto"/>
              </w:rPr>
            </w:pPr>
            <w:r>
              <w:rPr>
                <w:rFonts w:ascii="Arial" w:cs="Arial" w:eastAsia="Arial" w:hAnsi="Arial"/>
                <w:sz w:val="14"/>
                <w:szCs w:val="14"/>
                <w:b w:val="1"/>
                <w:bCs w:val="1"/>
                <w:color w:val="auto"/>
              </w:rPr>
              <w:t>Contribution</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401(k)</w:t>
            </w:r>
          </w:p>
        </w:tc>
        <w:tc>
          <w:tcPr>
            <w:tcW w:w="138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Retirement</w:t>
            </w: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rPr>
              <w:t>Vacation</w:t>
            </w:r>
          </w:p>
        </w:tc>
        <w:tc>
          <w:tcPr>
            <w:tcW w:w="0" w:type="dxa"/>
            <w:vAlign w:val="bottom"/>
          </w:tcPr>
          <w:p>
            <w:pPr>
              <w:spacing w:after="0"/>
              <w:rPr>
                <w:sz w:val="1"/>
                <w:szCs w:val="1"/>
                <w:color w:val="auto"/>
              </w:rPr>
            </w:pPr>
          </w:p>
        </w:tc>
      </w:tr>
      <w:tr>
        <w:trPr>
          <w:trHeight w:val="189"/>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780" w:type="dxa"/>
            <w:vAlign w:val="bottom"/>
            <w:gridSpan w:val="2"/>
          </w:tcPr>
          <w:p>
            <w:pPr>
              <w:ind w:left="2640"/>
              <w:spacing w:after="0"/>
              <w:rPr>
                <w:sz w:val="20"/>
                <w:szCs w:val="20"/>
                <w:color w:val="auto"/>
              </w:rPr>
            </w:pPr>
            <w:r>
              <w:rPr>
                <w:rFonts w:ascii="Arial" w:cs="Arial" w:eastAsia="Arial" w:hAnsi="Arial"/>
                <w:sz w:val="14"/>
                <w:szCs w:val="14"/>
                <w:b w:val="1"/>
                <w:bCs w:val="1"/>
                <w:color w:val="auto"/>
              </w:rPr>
              <w:t>Contribution</w:t>
            </w:r>
          </w:p>
        </w:tc>
        <w:tc>
          <w:tcPr>
            <w:tcW w:w="400" w:type="dxa"/>
            <w:vAlign w:val="bottom"/>
          </w:tcPr>
          <w:p>
            <w:pPr>
              <w:spacing w:after="0"/>
              <w:rPr>
                <w:sz w:val="16"/>
                <w:szCs w:val="16"/>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Plan (a)</w:t>
            </w:r>
          </w:p>
        </w:tc>
        <w:tc>
          <w:tcPr>
            <w:tcW w:w="1040" w:type="dxa"/>
            <w:vAlign w:val="bottom"/>
          </w:tcPr>
          <w:p>
            <w:pPr>
              <w:jc w:val="right"/>
              <w:ind w:right="56"/>
              <w:spacing w:after="0"/>
              <w:rPr>
                <w:sz w:val="20"/>
                <w:szCs w:val="20"/>
                <w:color w:val="auto"/>
              </w:rPr>
            </w:pPr>
            <w:r>
              <w:rPr>
                <w:rFonts w:ascii="Arial" w:cs="Arial" w:eastAsia="Arial" w:hAnsi="Arial"/>
                <w:sz w:val="14"/>
                <w:szCs w:val="14"/>
                <w:b w:val="1"/>
                <w:bCs w:val="1"/>
                <w:color w:val="auto"/>
              </w:rPr>
              <w:t>Time (b)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R. K. Templeton</w:t>
            </w:r>
          </w:p>
        </w:tc>
        <w:tc>
          <w:tcPr>
            <w:tcW w:w="2800" w:type="dxa"/>
            <w:vAlign w:val="bottom"/>
            <w:tcBorders>
              <w:top w:val="single" w:sz="8" w:color="auto"/>
            </w:tcBorders>
            <w:shd w:val="clear" w:color="auto" w:fill="E5E5E5"/>
          </w:tcPr>
          <w:p>
            <w:pPr>
              <w:ind w:left="264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E5E5"/>
          </w:tcPr>
          <w:p>
            <w:pPr>
              <w:jc w:val="right"/>
              <w:ind w:right="173"/>
              <w:spacing w:after="0" w:line="196" w:lineRule="exact"/>
              <w:rPr>
                <w:sz w:val="20"/>
                <w:szCs w:val="20"/>
                <w:color w:val="auto"/>
              </w:rPr>
            </w:pPr>
            <w:r>
              <w:rPr>
                <w:rFonts w:ascii="Arial" w:cs="Arial" w:eastAsia="Arial" w:hAnsi="Arial"/>
                <w:sz w:val="18"/>
                <w:szCs w:val="18"/>
                <w:color w:val="auto"/>
              </w:rPr>
              <w:t>11,000</w:t>
            </w:r>
          </w:p>
        </w:tc>
        <w:tc>
          <w:tcPr>
            <w:tcW w:w="400" w:type="dxa"/>
            <w:vAlign w:val="bottom"/>
            <w:tcBorders>
              <w:top w:val="single" w:sz="8" w:color="auto"/>
            </w:tcBorders>
            <w:shd w:val="clear" w:color="auto" w:fill="E5E5E5"/>
          </w:tcPr>
          <w:p>
            <w:pPr>
              <w:ind w:left="2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E5E5"/>
          </w:tcPr>
          <w:p>
            <w:pPr>
              <w:jc w:val="right"/>
              <w:ind w:right="174"/>
              <w:spacing w:after="0" w:line="196" w:lineRule="exact"/>
              <w:rPr>
                <w:sz w:val="20"/>
                <w:szCs w:val="20"/>
                <w:color w:val="auto"/>
              </w:rPr>
            </w:pPr>
            <w:r>
              <w:rPr>
                <w:rFonts w:ascii="Arial" w:cs="Arial" w:eastAsia="Arial" w:hAnsi="Arial"/>
                <w:sz w:val="18"/>
                <w:szCs w:val="18"/>
                <w:color w:val="auto"/>
              </w:rPr>
              <w:t>270,057</w:t>
            </w:r>
          </w:p>
        </w:tc>
        <w:tc>
          <w:tcPr>
            <w:tcW w:w="104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$ 20,253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R. R. Lizardi</w:t>
            </w:r>
          </w:p>
        </w:tc>
        <w:tc>
          <w:tcPr>
            <w:tcW w:w="2800" w:type="dxa"/>
            <w:vAlign w:val="bottom"/>
          </w:tcPr>
          <w:p>
            <w:pPr>
              <w:ind w:left="26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11,000</w:t>
            </w:r>
          </w:p>
        </w:tc>
        <w:tc>
          <w:tcPr>
            <w:tcW w:w="4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54,270</w:t>
            </w:r>
          </w:p>
        </w:tc>
        <w:tc>
          <w:tcPr>
            <w:tcW w:w="10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 Anderskouv</w:t>
            </w:r>
          </w:p>
        </w:tc>
        <w:tc>
          <w:tcPr>
            <w:tcW w:w="2800" w:type="dxa"/>
            <w:vAlign w:val="bottom"/>
            <w:shd w:val="clear" w:color="auto" w:fill="E5E5E5"/>
          </w:tcPr>
          <w:p>
            <w:pPr>
              <w:ind w:left="26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73"/>
              <w:spacing w:after="0" w:line="202" w:lineRule="exact"/>
              <w:rPr>
                <w:sz w:val="20"/>
                <w:szCs w:val="20"/>
                <w:color w:val="auto"/>
              </w:rPr>
            </w:pPr>
            <w:r>
              <w:rPr>
                <w:rFonts w:ascii="Arial" w:cs="Arial" w:eastAsia="Arial" w:hAnsi="Arial"/>
                <w:sz w:val="18"/>
                <w:szCs w:val="18"/>
                <w:color w:val="auto"/>
              </w:rPr>
              <w:t>11,000</w:t>
            </w:r>
          </w:p>
        </w:tc>
        <w:tc>
          <w:tcPr>
            <w:tcW w:w="40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color w:val="auto"/>
              </w:rPr>
              <w:t>78,458</w:t>
            </w:r>
          </w:p>
        </w:tc>
        <w:tc>
          <w:tcPr>
            <w:tcW w:w="1040" w:type="dxa"/>
            <w:vAlign w:val="bottom"/>
            <w:shd w:val="clear" w:color="auto" w:fill="E5E5E5"/>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R. G. Delagi</w:t>
            </w:r>
          </w:p>
        </w:tc>
        <w:tc>
          <w:tcPr>
            <w:tcW w:w="2800" w:type="dxa"/>
            <w:vAlign w:val="bottom"/>
          </w:tcPr>
          <w:p>
            <w:pPr>
              <w:ind w:left="26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5,500</w:t>
            </w:r>
          </w:p>
        </w:tc>
        <w:tc>
          <w:tcPr>
            <w:tcW w:w="400" w:type="dxa"/>
            <w:vAlign w:val="bottom"/>
          </w:tcPr>
          <w:p>
            <w:pPr>
              <w:spacing w:after="0"/>
              <w:rPr>
                <w:sz w:val="17"/>
                <w:szCs w:val="17"/>
                <w:color w:val="auto"/>
              </w:rPr>
            </w:pPr>
          </w:p>
        </w:tc>
        <w:tc>
          <w:tcPr>
            <w:tcW w:w="98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 Ilan</w:t>
            </w:r>
          </w:p>
        </w:tc>
        <w:tc>
          <w:tcPr>
            <w:tcW w:w="2800" w:type="dxa"/>
            <w:vAlign w:val="bottom"/>
            <w:shd w:val="clear" w:color="auto" w:fill="E5E5E5"/>
          </w:tcPr>
          <w:p>
            <w:pPr>
              <w:ind w:left="26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73"/>
              <w:spacing w:after="0" w:line="202" w:lineRule="exact"/>
              <w:rPr>
                <w:sz w:val="20"/>
                <w:szCs w:val="20"/>
                <w:color w:val="auto"/>
              </w:rPr>
            </w:pPr>
            <w:r>
              <w:rPr>
                <w:rFonts w:ascii="Arial" w:cs="Arial" w:eastAsia="Arial" w:hAnsi="Arial"/>
                <w:sz w:val="18"/>
                <w:szCs w:val="18"/>
                <w:color w:val="auto"/>
              </w:rPr>
              <w:t>11,000</w:t>
            </w:r>
          </w:p>
        </w:tc>
        <w:tc>
          <w:tcPr>
            <w:tcW w:w="40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color w:val="auto"/>
              </w:rPr>
              <w:t>40,813</w:t>
            </w:r>
          </w:p>
        </w:tc>
        <w:tc>
          <w:tcPr>
            <w:tcW w:w="1040" w:type="dxa"/>
            <w:vAlign w:val="bottom"/>
            <w:shd w:val="clear" w:color="auto" w:fill="E5E5E5"/>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 T. Crutcher</w:t>
            </w:r>
          </w:p>
        </w:tc>
        <w:tc>
          <w:tcPr>
            <w:tcW w:w="2800" w:type="dxa"/>
            <w:vAlign w:val="bottom"/>
          </w:tcPr>
          <w:p>
            <w:pPr>
              <w:ind w:left="26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11,000</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163,844</w:t>
            </w:r>
          </w:p>
        </w:tc>
        <w:tc>
          <w:tcPr>
            <w:tcW w:w="1040" w:type="dxa"/>
            <w:vAlign w:val="bottom"/>
          </w:tcPr>
          <w:p>
            <w:pPr>
              <w:jc w:val="right"/>
              <w:spacing w:after="0"/>
              <w:rPr>
                <w:sz w:val="20"/>
                <w:szCs w:val="20"/>
                <w:color w:val="auto"/>
              </w:rPr>
            </w:pPr>
            <w:r>
              <w:rPr>
                <w:rFonts w:ascii="Arial" w:cs="Arial" w:eastAsia="Arial" w:hAnsi="Arial"/>
                <w:sz w:val="18"/>
                <w:szCs w:val="18"/>
                <w:color w:val="auto"/>
              </w:rPr>
              <w:t>$ 45,000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60" w:right="360" w:hanging="424"/>
        <w:spacing w:after="0" w:line="245"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contributions under the company’s enhanced defined contribution retirement plan of $5,500 for Messrs. Templeton, Lizardi, Anderskouv and Crutcher and (ii) an additional amount of $264,557 for Mr. Templeton, $48,770 for Mr. Lizardi, $72,958 for Mr. Anderskouv, $40,813 for Mr. Ilan, and $158,344 for Mr. Crutcher applied by TI to offset IRC limitations on amounts that could be contributed to the enhanced defined contribution retirement plan, which amount is also shown in the 2018 non-qualified deferred compensation table.</w:t>
      </w:r>
    </w:p>
    <w:p>
      <w:pPr>
        <w:spacing w:after="0" w:line="77" w:lineRule="exact"/>
        <w:rPr>
          <w:rFonts w:ascii="Arial" w:cs="Arial" w:eastAsia="Arial" w:hAnsi="Arial"/>
          <w:sz w:val="18"/>
          <w:szCs w:val="18"/>
          <w:color w:val="auto"/>
        </w:rPr>
      </w:pPr>
    </w:p>
    <w:p>
      <w:pPr>
        <w:ind w:left="1060" w:right="20" w:hanging="424"/>
        <w:spacing w:after="0" w:line="276"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Mr. Templeton, represents payment for unused vacation time that could not be carried forward. For Mr. Crutcher, represents payment of accrued unused vacation time at the time of his resignation.</w:t>
      </w:r>
    </w:p>
    <w:p>
      <w:pPr>
        <w:spacing w:after="0" w:line="37" w:lineRule="exact"/>
        <w:rPr>
          <w:sz w:val="20"/>
          <w:szCs w:val="20"/>
          <w:color w:val="auto"/>
        </w:rPr>
      </w:pPr>
    </w:p>
    <w:p>
      <w:pPr>
        <w:ind w:left="640" w:right="100"/>
        <w:spacing w:after="0" w:line="245" w:lineRule="auto"/>
        <w:rPr>
          <w:sz w:val="20"/>
          <w:szCs w:val="20"/>
          <w:color w:val="auto"/>
        </w:rPr>
      </w:pPr>
      <w:r>
        <w:rPr>
          <w:rFonts w:ascii="Arial" w:cs="Arial" w:eastAsia="Arial" w:hAnsi="Arial"/>
          <w:sz w:val="18"/>
          <w:szCs w:val="18"/>
          <w:color w:val="auto"/>
        </w:rPr>
        <w:t>The perquisites and personal benefits are as follows: $117,302 for Mr. Templeton, consisting of financial counseling, an executive physical, payment of a regulatory filing fee ($45,000) and personal use of company aircraft ($61,387), and $11,802 for Mr. Lizardi, consisting of financial counseling and an executive physical. Financial counseling and an executive physical were made available to the other named executive officers, but the amounts attributable to those officers were below the disclosure thresholds. Additionally, we paid $168 of FICA taxes on behalf of Mr. Crutcher, which related to imputed income calculated after Mr. Crutcher’s resignation.</w:t>
      </w:r>
    </w:p>
    <w:p>
      <w:pPr>
        <w:spacing w:after="0" w:line="78" w:lineRule="exact"/>
        <w:rPr>
          <w:sz w:val="20"/>
          <w:szCs w:val="20"/>
          <w:color w:val="auto"/>
        </w:rPr>
      </w:pPr>
    </w:p>
    <w:p>
      <w:pPr>
        <w:ind w:left="640" w:hanging="436"/>
        <w:spacing w:after="0" w:line="255"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Following his resignation, Mr. Crutcher received no further compensation, and all of his equity compensation granted in 2018, along with all unvested equity compensation from prior years, was cancelled, resulting in actual total compensation for Mr. Crutcher in 2018 of $726,540, which includes amounts described as all other compensation in Footnote 6.</w:t>
      </w:r>
    </w:p>
    <w:p>
      <w:pPr>
        <w:spacing w:after="0" w:line="97"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Grants of plan-based awards in 2018</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grants of plan-based awards to the named executive officers in 2018.</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rPr>
              <w:t>Stock Awards: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Option Awards: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or Base</w:t>
            </w:r>
          </w:p>
        </w:tc>
        <w:tc>
          <w:tcPr>
            <w:tcW w:w="1280" w:type="dxa"/>
            <w:vAlign w:val="bottom"/>
          </w:tcPr>
          <w:p>
            <w:pPr>
              <w:jc w:val="center"/>
              <w:ind w:left="95"/>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Price of</w:t>
            </w:r>
          </w:p>
        </w:tc>
        <w:tc>
          <w:tcPr>
            <w:tcW w:w="1280" w:type="dxa"/>
            <w:vAlign w:val="bottom"/>
          </w:tcPr>
          <w:p>
            <w:pPr>
              <w:jc w:val="center"/>
              <w:ind w:left="1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Arial" w:cs="Arial" w:eastAsia="Arial" w:hAnsi="Arial"/>
                <w:sz w:val="14"/>
                <w:szCs w:val="14"/>
                <w:b w:val="1"/>
                <w:bCs w:val="1"/>
                <w:color w:val="auto"/>
              </w:rPr>
              <w:t>Date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280" w:type="dxa"/>
            <w:vAlign w:val="bottom"/>
          </w:tcPr>
          <w:p>
            <w:pPr>
              <w:jc w:val="center"/>
              <w:ind w:left="95"/>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80" w:type="dxa"/>
            <w:vAlign w:val="bottom"/>
          </w:tcPr>
          <w:p>
            <w:pPr>
              <w:jc w:val="right"/>
              <w:ind w:right="513"/>
              <w:spacing w:after="0"/>
              <w:rPr>
                <w:sz w:val="20"/>
                <w:szCs w:val="20"/>
                <w:color w:val="auto"/>
              </w:rPr>
            </w:pPr>
            <w:r>
              <w:rPr>
                <w:rFonts w:ascii="Arial" w:cs="Arial" w:eastAsia="Arial" w:hAnsi="Arial"/>
                <w:sz w:val="14"/>
                <w:szCs w:val="14"/>
                <w:b w:val="1"/>
                <w:bCs w:val="1"/>
                <w:color w:val="auto"/>
              </w:rPr>
              <w:t>Grant</w:t>
            </w: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Committee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Stock or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280" w:type="dxa"/>
            <w:vAlign w:val="bottom"/>
          </w:tcPr>
          <w:p>
            <w:pPr>
              <w:jc w:val="center"/>
              <w:ind w:left="115"/>
              <w:spacing w:after="0"/>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89"/>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Date</w:t>
            </w:r>
          </w:p>
        </w:tc>
        <w:tc>
          <w:tcPr>
            <w:tcW w:w="1200" w:type="dxa"/>
            <w:vAlign w:val="bottom"/>
          </w:tcPr>
          <w:p>
            <w:pPr>
              <w:ind w:left="340"/>
              <w:spacing w:after="0"/>
              <w:rPr>
                <w:sz w:val="20"/>
                <w:szCs w:val="20"/>
                <w:color w:val="auto"/>
              </w:rPr>
            </w:pPr>
            <w:r>
              <w:rPr>
                <w:rFonts w:ascii="Arial" w:cs="Arial" w:eastAsia="Arial" w:hAnsi="Arial"/>
                <w:sz w:val="14"/>
                <w:szCs w:val="14"/>
                <w:b w:val="1"/>
                <w:bCs w:val="1"/>
                <w:color w:val="auto"/>
              </w:rPr>
              <w:t>Action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Units (#) (2)</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Options (#) (3)</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 (4)</w:t>
            </w:r>
          </w:p>
        </w:tc>
        <w:tc>
          <w:tcPr>
            <w:tcW w:w="1280" w:type="dxa"/>
            <w:vAlign w:val="bottom"/>
          </w:tcPr>
          <w:p>
            <w:pPr>
              <w:jc w:val="center"/>
              <w:ind w:left="95"/>
              <w:spacing w:after="0"/>
              <w:rPr>
                <w:sz w:val="20"/>
                <w:szCs w:val="20"/>
                <w:color w:val="auto"/>
              </w:rPr>
            </w:pPr>
            <w:r>
              <w:rPr>
                <w:rFonts w:ascii="Arial" w:cs="Arial" w:eastAsia="Arial" w:hAnsi="Arial"/>
                <w:sz w:val="14"/>
                <w:szCs w:val="14"/>
                <w:b w:val="1"/>
                <w:bCs w:val="1"/>
                <w:color w:val="auto"/>
              </w:rPr>
              <w:t>Awards (5)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tcBorders>
              <w:top w:val="single" w:sz="8" w:color="auto"/>
            </w:tcBorders>
            <w:shd w:val="clear" w:color="auto" w:fill="E5E5E5"/>
          </w:tcPr>
          <w:p>
            <w:pPr>
              <w:spacing w:after="0" w:line="173" w:lineRule="exact"/>
              <w:rPr>
                <w:sz w:val="20"/>
                <w:szCs w:val="20"/>
                <w:color w:val="auto"/>
              </w:rPr>
            </w:pPr>
            <w:r>
              <w:rPr>
                <w:rFonts w:ascii="Arial" w:cs="Arial" w:eastAsia="Arial" w:hAnsi="Arial"/>
                <w:sz w:val="18"/>
                <w:szCs w:val="18"/>
                <w:color w:val="auto"/>
              </w:rPr>
              <w:t>R. K. Templeton</w:t>
            </w:r>
          </w:p>
        </w:tc>
        <w:tc>
          <w:tcPr>
            <w:tcW w:w="1580" w:type="dxa"/>
            <w:vAlign w:val="bottom"/>
            <w:tcBorders>
              <w:top w:val="single" w:sz="8" w:color="auto"/>
            </w:tcBorders>
            <w:shd w:val="clear" w:color="auto" w:fill="E5E5E5"/>
          </w:tcPr>
          <w:p>
            <w:pPr>
              <w:jc w:val="right"/>
              <w:ind w:right="133"/>
              <w:spacing w:after="0" w:line="173" w:lineRule="exact"/>
              <w:rPr>
                <w:sz w:val="20"/>
                <w:szCs w:val="20"/>
                <w:color w:val="auto"/>
              </w:rPr>
            </w:pPr>
            <w:r>
              <w:rPr>
                <w:rFonts w:ascii="Arial" w:cs="Arial" w:eastAsia="Arial" w:hAnsi="Arial"/>
                <w:sz w:val="18"/>
                <w:szCs w:val="18"/>
                <w:color w:val="auto"/>
              </w:rPr>
              <w:t>1/25/18 (1)</w:t>
            </w:r>
          </w:p>
        </w:tc>
        <w:tc>
          <w:tcPr>
            <w:tcW w:w="1200" w:type="dxa"/>
            <w:vAlign w:val="bottom"/>
            <w:tcBorders>
              <w:top w:val="single" w:sz="8" w:color="auto"/>
            </w:tcBorders>
            <w:shd w:val="clear" w:color="auto" w:fill="E5E5E5"/>
          </w:tcPr>
          <w:p>
            <w:pPr>
              <w:ind w:left="340"/>
              <w:spacing w:after="0" w:line="173" w:lineRule="exact"/>
              <w:rPr>
                <w:sz w:val="20"/>
                <w:szCs w:val="20"/>
                <w:color w:val="auto"/>
              </w:rPr>
            </w:pPr>
            <w:r>
              <w:rPr>
                <w:rFonts w:ascii="Arial" w:cs="Arial" w:eastAsia="Arial" w:hAnsi="Arial"/>
                <w:sz w:val="18"/>
                <w:szCs w:val="18"/>
                <w:color w:val="auto"/>
              </w:rPr>
              <w:t>1/18/18</w:t>
            </w:r>
          </w:p>
        </w:tc>
        <w:tc>
          <w:tcPr>
            <w:tcW w:w="1500" w:type="dxa"/>
            <w:vAlign w:val="bottom"/>
            <w:tcBorders>
              <w:top w:val="single" w:sz="8" w:color="auto"/>
            </w:tcBorders>
            <w:shd w:val="clear" w:color="auto" w:fill="E5E5E5"/>
          </w:tcPr>
          <w:p>
            <w:pPr>
              <w:spacing w:after="0"/>
              <w:rPr>
                <w:sz w:val="15"/>
                <w:szCs w:val="15"/>
                <w:color w:val="auto"/>
              </w:rPr>
            </w:pPr>
          </w:p>
        </w:tc>
        <w:tc>
          <w:tcPr>
            <w:tcW w:w="1560" w:type="dxa"/>
            <w:vAlign w:val="bottom"/>
            <w:tcBorders>
              <w:top w:val="single" w:sz="8" w:color="auto"/>
            </w:tcBorders>
            <w:shd w:val="clear" w:color="auto" w:fill="E5E5E5"/>
          </w:tcPr>
          <w:p>
            <w:pPr>
              <w:jc w:val="right"/>
              <w:ind w:right="179"/>
              <w:spacing w:after="0" w:line="173" w:lineRule="exact"/>
              <w:rPr>
                <w:sz w:val="20"/>
                <w:szCs w:val="20"/>
                <w:color w:val="auto"/>
              </w:rPr>
            </w:pPr>
            <w:r>
              <w:rPr>
                <w:rFonts w:ascii="Arial" w:cs="Arial" w:eastAsia="Arial" w:hAnsi="Arial"/>
                <w:sz w:val="18"/>
                <w:szCs w:val="18"/>
                <w:color w:val="auto"/>
              </w:rPr>
              <w:t>258,403</w:t>
            </w:r>
          </w:p>
        </w:tc>
        <w:tc>
          <w:tcPr>
            <w:tcW w:w="1200" w:type="dxa"/>
            <w:vAlign w:val="bottom"/>
            <w:tcBorders>
              <w:top w:val="single" w:sz="8" w:color="auto"/>
            </w:tcBorders>
            <w:shd w:val="clear" w:color="auto" w:fill="E5E5E5"/>
          </w:tcPr>
          <w:p>
            <w:pPr>
              <w:jc w:val="center"/>
              <w:spacing w:after="0" w:line="173" w:lineRule="exact"/>
              <w:rPr>
                <w:sz w:val="20"/>
                <w:szCs w:val="20"/>
                <w:color w:val="auto"/>
              </w:rPr>
            </w:pPr>
            <w:r>
              <w:rPr>
                <w:rFonts w:ascii="Arial" w:cs="Arial" w:eastAsia="Arial" w:hAnsi="Arial"/>
                <w:sz w:val="18"/>
                <w:szCs w:val="18"/>
                <w:color w:val="auto"/>
              </w:rPr>
              <w:t>$ 110.15</w:t>
            </w:r>
          </w:p>
        </w:tc>
        <w:tc>
          <w:tcPr>
            <w:tcW w:w="1280" w:type="dxa"/>
            <w:vAlign w:val="bottom"/>
            <w:tcBorders>
              <w:top w:val="single" w:sz="8" w:color="auto"/>
            </w:tcBorders>
            <w:shd w:val="clear" w:color="auto" w:fill="E5E5E5"/>
          </w:tcPr>
          <w:p>
            <w:pPr>
              <w:jc w:val="center"/>
              <w:ind w:left="115"/>
              <w:spacing w:after="0" w:line="173" w:lineRule="exact"/>
              <w:rPr>
                <w:sz w:val="20"/>
                <w:szCs w:val="20"/>
                <w:color w:val="auto"/>
              </w:rPr>
            </w:pPr>
            <w:r>
              <w:rPr>
                <w:rFonts w:ascii="Arial" w:cs="Arial" w:eastAsia="Arial" w:hAnsi="Arial"/>
                <w:sz w:val="18"/>
                <w:szCs w:val="18"/>
                <w:color w:val="auto"/>
              </w:rPr>
              <w:t>$ 6,000,019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00" w:type="dxa"/>
            <w:vAlign w:val="bottom"/>
            <w:shd w:val="clear" w:color="auto" w:fill="E5E5E5"/>
          </w:tcPr>
          <w:p>
            <w:pPr>
              <w:spacing w:after="0"/>
              <w:rPr>
                <w:sz w:val="19"/>
                <w:szCs w:val="19"/>
                <w:color w:val="auto"/>
              </w:rPr>
            </w:pPr>
          </w:p>
        </w:tc>
        <w:tc>
          <w:tcPr>
            <w:tcW w:w="1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1/25/18 (1)</w:t>
            </w:r>
          </w:p>
        </w:tc>
        <w:tc>
          <w:tcPr>
            <w:tcW w:w="1200" w:type="dxa"/>
            <w:vAlign w:val="bottom"/>
            <w:shd w:val="clear" w:color="auto" w:fill="E5E5E5"/>
          </w:tcPr>
          <w:p>
            <w:pPr>
              <w:ind w:left="340"/>
              <w:spacing w:after="0"/>
              <w:rPr>
                <w:sz w:val="20"/>
                <w:szCs w:val="20"/>
                <w:color w:val="auto"/>
              </w:rPr>
            </w:pPr>
            <w:r>
              <w:rPr>
                <w:rFonts w:ascii="Arial" w:cs="Arial" w:eastAsia="Arial" w:hAnsi="Arial"/>
                <w:sz w:val="18"/>
                <w:szCs w:val="18"/>
                <w:color w:val="auto"/>
              </w:rPr>
              <w:t>1/18/18</w:t>
            </w:r>
          </w:p>
        </w:tc>
        <w:tc>
          <w:tcPr>
            <w:tcW w:w="150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54,472</w:t>
            </w:r>
          </w:p>
        </w:tc>
        <w:tc>
          <w:tcPr>
            <w:tcW w:w="156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1280" w:type="dxa"/>
            <w:vAlign w:val="bottom"/>
            <w:shd w:val="clear" w:color="auto" w:fill="E5E5E5"/>
          </w:tcPr>
          <w:p>
            <w:pPr>
              <w:jc w:val="center"/>
              <w:ind w:left="115"/>
              <w:spacing w:after="0"/>
              <w:rPr>
                <w:sz w:val="20"/>
                <w:szCs w:val="20"/>
                <w:color w:val="auto"/>
              </w:rPr>
            </w:pPr>
            <w:r>
              <w:rPr>
                <w:rFonts w:ascii="Arial" w:cs="Arial" w:eastAsia="Arial" w:hAnsi="Arial"/>
                <w:sz w:val="18"/>
                <w:szCs w:val="18"/>
                <w:color w:val="auto"/>
              </w:rPr>
              <w:t>$ 6,000,091</w:t>
            </w:r>
          </w:p>
        </w:tc>
        <w:tc>
          <w:tcPr>
            <w:tcW w:w="0" w:type="dxa"/>
            <w:vAlign w:val="bottom"/>
          </w:tcPr>
          <w:p>
            <w:pPr>
              <w:spacing w:after="0"/>
              <w:rPr>
                <w:sz w:val="1"/>
                <w:szCs w:val="1"/>
                <w:color w:val="auto"/>
              </w:rPr>
            </w:pPr>
          </w:p>
        </w:tc>
      </w:tr>
      <w:tr>
        <w:trPr>
          <w:trHeight w:val="288"/>
        </w:trPr>
        <w:tc>
          <w:tcPr>
            <w:tcW w:w="2720" w:type="dxa"/>
            <w:vAlign w:val="bottom"/>
            <w:gridSpan w:val="2"/>
          </w:tcPr>
          <w:p>
            <w:pPr>
              <w:spacing w:after="0"/>
              <w:rPr>
                <w:sz w:val="20"/>
                <w:szCs w:val="20"/>
                <w:color w:val="auto"/>
              </w:rPr>
            </w:pPr>
            <w:r>
              <w:rPr>
                <w:rFonts w:ascii="Arial" w:cs="Arial" w:eastAsia="Arial" w:hAnsi="Arial"/>
                <w:sz w:val="18"/>
                <w:szCs w:val="18"/>
                <w:color w:val="auto"/>
              </w:rPr>
              <w:t>R. R. Lizardi</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1/25/18 (1)</w:t>
            </w:r>
          </w:p>
        </w:tc>
        <w:tc>
          <w:tcPr>
            <w:tcW w:w="1200" w:type="dxa"/>
            <w:vAlign w:val="bottom"/>
          </w:tcPr>
          <w:p>
            <w:pPr>
              <w:ind w:left="340"/>
              <w:spacing w:after="0"/>
              <w:rPr>
                <w:sz w:val="20"/>
                <w:szCs w:val="20"/>
                <w:color w:val="auto"/>
              </w:rPr>
            </w:pPr>
            <w:r>
              <w:rPr>
                <w:rFonts w:ascii="Arial" w:cs="Arial" w:eastAsia="Arial" w:hAnsi="Arial"/>
                <w:sz w:val="18"/>
                <w:szCs w:val="18"/>
                <w:color w:val="auto"/>
              </w:rPr>
              <w:t>1/18/18</w:t>
            </w:r>
          </w:p>
        </w:tc>
        <w:tc>
          <w:tcPr>
            <w:tcW w:w="1500" w:type="dxa"/>
            <w:vAlign w:val="bottom"/>
          </w:tcPr>
          <w:p>
            <w:pPr>
              <w:spacing w:after="0"/>
              <w:rPr>
                <w:sz w:val="24"/>
                <w:szCs w:val="24"/>
                <w:color w:val="auto"/>
              </w:rPr>
            </w:pPr>
          </w:p>
        </w:tc>
        <w:tc>
          <w:tcPr>
            <w:tcW w:w="1560" w:type="dxa"/>
            <w:vAlign w:val="bottom"/>
          </w:tcPr>
          <w:p>
            <w:pPr>
              <w:jc w:val="right"/>
              <w:ind w:right="179"/>
              <w:spacing w:after="0"/>
              <w:rPr>
                <w:sz w:val="20"/>
                <w:szCs w:val="20"/>
                <w:color w:val="auto"/>
              </w:rPr>
            </w:pPr>
            <w:r>
              <w:rPr>
                <w:rFonts w:ascii="Arial" w:cs="Arial" w:eastAsia="Arial" w:hAnsi="Arial"/>
                <w:sz w:val="18"/>
                <w:szCs w:val="18"/>
                <w:color w:val="auto"/>
              </w:rPr>
              <w:t>51,681</w:t>
            </w:r>
          </w:p>
        </w:tc>
        <w:tc>
          <w:tcPr>
            <w:tcW w:w="1200" w:type="dxa"/>
            <w:vAlign w:val="bottom"/>
          </w:tcPr>
          <w:p>
            <w:pPr>
              <w:jc w:val="center"/>
              <w:spacing w:after="0"/>
              <w:rPr>
                <w:sz w:val="20"/>
                <w:szCs w:val="20"/>
                <w:color w:val="auto"/>
              </w:rPr>
            </w:pPr>
            <w:r>
              <w:rPr>
                <w:rFonts w:ascii="Arial" w:cs="Arial" w:eastAsia="Arial" w:hAnsi="Arial"/>
                <w:sz w:val="18"/>
                <w:szCs w:val="18"/>
                <w:color w:val="auto"/>
              </w:rPr>
              <w:t>$ 110.15</w:t>
            </w: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$ 1,200,013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1/25/18 (1)</w:t>
            </w:r>
          </w:p>
        </w:tc>
        <w:tc>
          <w:tcPr>
            <w:tcW w:w="1200" w:type="dxa"/>
            <w:vAlign w:val="bottom"/>
          </w:tcPr>
          <w:p>
            <w:pPr>
              <w:ind w:left="340"/>
              <w:spacing w:after="0"/>
              <w:rPr>
                <w:sz w:val="20"/>
                <w:szCs w:val="20"/>
                <w:color w:val="auto"/>
              </w:rPr>
            </w:pPr>
            <w:r>
              <w:rPr>
                <w:rFonts w:ascii="Arial" w:cs="Arial" w:eastAsia="Arial" w:hAnsi="Arial"/>
                <w:sz w:val="18"/>
                <w:szCs w:val="18"/>
                <w:color w:val="auto"/>
              </w:rPr>
              <w:t>1/18/18</w:t>
            </w:r>
          </w:p>
        </w:tc>
        <w:tc>
          <w:tcPr>
            <w:tcW w:w="1500" w:type="dxa"/>
            <w:vAlign w:val="bottom"/>
          </w:tcPr>
          <w:p>
            <w:pPr>
              <w:jc w:val="right"/>
              <w:ind w:right="179"/>
              <w:spacing w:after="0"/>
              <w:rPr>
                <w:sz w:val="20"/>
                <w:szCs w:val="20"/>
                <w:color w:val="auto"/>
              </w:rPr>
            </w:pPr>
            <w:r>
              <w:rPr>
                <w:rFonts w:ascii="Arial" w:cs="Arial" w:eastAsia="Arial" w:hAnsi="Arial"/>
                <w:sz w:val="18"/>
                <w:szCs w:val="18"/>
                <w:color w:val="auto"/>
              </w:rPr>
              <w:t>10,895</w:t>
            </w:r>
          </w:p>
        </w:tc>
        <w:tc>
          <w:tcPr>
            <w:tcW w:w="1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$ 1,200,084</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00" w:type="dxa"/>
            <w:vAlign w:val="bottom"/>
            <w:shd w:val="clear" w:color="auto" w:fill="E5E5E5"/>
          </w:tcPr>
          <w:p>
            <w:pPr>
              <w:spacing w:after="0" w:line="180" w:lineRule="exact"/>
              <w:rPr>
                <w:sz w:val="20"/>
                <w:szCs w:val="20"/>
                <w:color w:val="auto"/>
              </w:rPr>
            </w:pPr>
            <w:r>
              <w:rPr>
                <w:rFonts w:ascii="Arial" w:cs="Arial" w:eastAsia="Arial" w:hAnsi="Arial"/>
                <w:sz w:val="18"/>
                <w:szCs w:val="18"/>
                <w:color w:val="auto"/>
              </w:rPr>
              <w:t>N. Anderskouv</w:t>
            </w:r>
          </w:p>
        </w:tc>
        <w:tc>
          <w:tcPr>
            <w:tcW w:w="1580" w:type="dxa"/>
            <w:vAlign w:val="bottom"/>
            <w:shd w:val="clear" w:color="auto" w:fill="E5E5E5"/>
          </w:tcPr>
          <w:p>
            <w:pPr>
              <w:jc w:val="right"/>
              <w:ind w:right="133"/>
              <w:spacing w:after="0" w:line="180" w:lineRule="exact"/>
              <w:rPr>
                <w:sz w:val="20"/>
                <w:szCs w:val="20"/>
                <w:color w:val="auto"/>
              </w:rPr>
            </w:pPr>
            <w:r>
              <w:rPr>
                <w:rFonts w:ascii="Arial" w:cs="Arial" w:eastAsia="Arial" w:hAnsi="Arial"/>
                <w:sz w:val="18"/>
                <w:szCs w:val="18"/>
                <w:color w:val="auto"/>
              </w:rPr>
              <w:t>1/25/18 (1)</w:t>
            </w:r>
          </w:p>
        </w:tc>
        <w:tc>
          <w:tcPr>
            <w:tcW w:w="1200" w:type="dxa"/>
            <w:vAlign w:val="bottom"/>
            <w:shd w:val="clear" w:color="auto" w:fill="E5E5E5"/>
          </w:tcPr>
          <w:p>
            <w:pPr>
              <w:ind w:left="340"/>
              <w:spacing w:after="0" w:line="180" w:lineRule="exact"/>
              <w:rPr>
                <w:sz w:val="20"/>
                <w:szCs w:val="20"/>
                <w:color w:val="auto"/>
              </w:rPr>
            </w:pPr>
            <w:r>
              <w:rPr>
                <w:rFonts w:ascii="Arial" w:cs="Arial" w:eastAsia="Arial" w:hAnsi="Arial"/>
                <w:sz w:val="18"/>
                <w:szCs w:val="18"/>
                <w:color w:val="auto"/>
              </w:rPr>
              <w:t>1/18/18</w:t>
            </w:r>
          </w:p>
        </w:tc>
        <w:tc>
          <w:tcPr>
            <w:tcW w:w="1500" w:type="dxa"/>
            <w:vAlign w:val="bottom"/>
            <w:shd w:val="clear" w:color="auto" w:fill="E5E5E5"/>
          </w:tcPr>
          <w:p>
            <w:pPr>
              <w:spacing w:after="0"/>
              <w:rPr>
                <w:sz w:val="15"/>
                <w:szCs w:val="15"/>
                <w:color w:val="auto"/>
              </w:rPr>
            </w:pPr>
          </w:p>
        </w:tc>
        <w:tc>
          <w:tcPr>
            <w:tcW w:w="1560" w:type="dxa"/>
            <w:vAlign w:val="bottom"/>
            <w:shd w:val="clear" w:color="auto" w:fill="E5E5E5"/>
          </w:tcPr>
          <w:p>
            <w:pPr>
              <w:jc w:val="right"/>
              <w:ind w:right="179"/>
              <w:spacing w:after="0" w:line="180" w:lineRule="exact"/>
              <w:rPr>
                <w:sz w:val="20"/>
                <w:szCs w:val="20"/>
                <w:color w:val="auto"/>
              </w:rPr>
            </w:pPr>
            <w:r>
              <w:rPr>
                <w:rFonts w:ascii="Arial" w:cs="Arial" w:eastAsia="Arial" w:hAnsi="Arial"/>
                <w:sz w:val="18"/>
                <w:szCs w:val="18"/>
                <w:color w:val="auto"/>
              </w:rPr>
              <w:t>81,828</w:t>
            </w:r>
          </w:p>
        </w:tc>
        <w:tc>
          <w:tcPr>
            <w:tcW w:w="1200" w:type="dxa"/>
            <w:vAlign w:val="bottom"/>
            <w:shd w:val="clear" w:color="auto" w:fill="E5E5E5"/>
          </w:tcPr>
          <w:p>
            <w:pPr>
              <w:jc w:val="center"/>
              <w:spacing w:after="0" w:line="180" w:lineRule="exact"/>
              <w:rPr>
                <w:sz w:val="20"/>
                <w:szCs w:val="20"/>
                <w:color w:val="auto"/>
              </w:rPr>
            </w:pPr>
            <w:r>
              <w:rPr>
                <w:rFonts w:ascii="Arial" w:cs="Arial" w:eastAsia="Arial" w:hAnsi="Arial"/>
                <w:sz w:val="18"/>
                <w:szCs w:val="18"/>
                <w:color w:val="auto"/>
              </w:rPr>
              <w:t>$ 110.15</w:t>
            </w:r>
          </w:p>
        </w:tc>
        <w:tc>
          <w:tcPr>
            <w:tcW w:w="1280" w:type="dxa"/>
            <w:vAlign w:val="bottom"/>
            <w:shd w:val="clear" w:color="auto" w:fill="E5E5E5"/>
          </w:tcPr>
          <w:p>
            <w:pPr>
              <w:jc w:val="center"/>
              <w:ind w:left="115"/>
              <w:spacing w:after="0" w:line="180" w:lineRule="exact"/>
              <w:rPr>
                <w:sz w:val="20"/>
                <w:szCs w:val="20"/>
                <w:color w:val="auto"/>
              </w:rPr>
            </w:pPr>
            <w:r>
              <w:rPr>
                <w:rFonts w:ascii="Arial" w:cs="Arial" w:eastAsia="Arial" w:hAnsi="Arial"/>
                <w:sz w:val="18"/>
                <w:szCs w:val="18"/>
                <w:color w:val="auto"/>
              </w:rPr>
              <w:t>$ 1,900,015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00" w:type="dxa"/>
            <w:vAlign w:val="bottom"/>
            <w:shd w:val="clear" w:color="auto" w:fill="E5E5E5"/>
          </w:tcPr>
          <w:p>
            <w:pPr>
              <w:spacing w:after="0"/>
              <w:rPr>
                <w:sz w:val="19"/>
                <w:szCs w:val="19"/>
                <w:color w:val="auto"/>
              </w:rPr>
            </w:pPr>
          </w:p>
        </w:tc>
        <w:tc>
          <w:tcPr>
            <w:tcW w:w="1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1/25/18 (1)</w:t>
            </w:r>
          </w:p>
        </w:tc>
        <w:tc>
          <w:tcPr>
            <w:tcW w:w="1200" w:type="dxa"/>
            <w:vAlign w:val="bottom"/>
            <w:shd w:val="clear" w:color="auto" w:fill="E5E5E5"/>
          </w:tcPr>
          <w:p>
            <w:pPr>
              <w:ind w:left="340"/>
              <w:spacing w:after="0"/>
              <w:rPr>
                <w:sz w:val="20"/>
                <w:szCs w:val="20"/>
                <w:color w:val="auto"/>
              </w:rPr>
            </w:pPr>
            <w:r>
              <w:rPr>
                <w:rFonts w:ascii="Arial" w:cs="Arial" w:eastAsia="Arial" w:hAnsi="Arial"/>
                <w:sz w:val="18"/>
                <w:szCs w:val="18"/>
                <w:color w:val="auto"/>
              </w:rPr>
              <w:t>1/18/18</w:t>
            </w:r>
          </w:p>
        </w:tc>
        <w:tc>
          <w:tcPr>
            <w:tcW w:w="150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17,250</w:t>
            </w:r>
          </w:p>
        </w:tc>
        <w:tc>
          <w:tcPr>
            <w:tcW w:w="156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1280" w:type="dxa"/>
            <w:vAlign w:val="bottom"/>
            <w:shd w:val="clear" w:color="auto" w:fill="E5E5E5"/>
          </w:tcPr>
          <w:p>
            <w:pPr>
              <w:jc w:val="center"/>
              <w:ind w:left="115"/>
              <w:spacing w:after="0"/>
              <w:rPr>
                <w:sz w:val="20"/>
                <w:szCs w:val="20"/>
                <w:color w:val="auto"/>
              </w:rPr>
            </w:pPr>
            <w:r>
              <w:rPr>
                <w:rFonts w:ascii="Arial" w:cs="Arial" w:eastAsia="Arial" w:hAnsi="Arial"/>
                <w:sz w:val="18"/>
                <w:szCs w:val="18"/>
                <w:color w:val="auto"/>
              </w:rPr>
              <w:t>$ 1,900,088</w:t>
            </w:r>
          </w:p>
        </w:tc>
        <w:tc>
          <w:tcPr>
            <w:tcW w:w="0" w:type="dxa"/>
            <w:vAlign w:val="bottom"/>
          </w:tcPr>
          <w:p>
            <w:pPr>
              <w:spacing w:after="0"/>
              <w:rPr>
                <w:sz w:val="1"/>
                <w:szCs w:val="1"/>
                <w:color w:val="auto"/>
              </w:rPr>
            </w:pPr>
          </w:p>
        </w:tc>
      </w:tr>
      <w:tr>
        <w:trPr>
          <w:trHeight w:val="288"/>
        </w:trPr>
        <w:tc>
          <w:tcPr>
            <w:tcW w:w="2720" w:type="dxa"/>
            <w:vAlign w:val="bottom"/>
            <w:gridSpan w:val="2"/>
          </w:tcPr>
          <w:p>
            <w:pPr>
              <w:spacing w:after="0"/>
              <w:rPr>
                <w:sz w:val="20"/>
                <w:szCs w:val="20"/>
                <w:color w:val="auto"/>
              </w:rPr>
            </w:pPr>
            <w:r>
              <w:rPr>
                <w:rFonts w:ascii="Arial" w:cs="Arial" w:eastAsia="Arial" w:hAnsi="Arial"/>
                <w:sz w:val="18"/>
                <w:szCs w:val="18"/>
                <w:color w:val="auto"/>
              </w:rPr>
              <w:t>R. G. Delagi</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1/25/18 (1)</w:t>
            </w:r>
          </w:p>
        </w:tc>
        <w:tc>
          <w:tcPr>
            <w:tcW w:w="1200" w:type="dxa"/>
            <w:vAlign w:val="bottom"/>
          </w:tcPr>
          <w:p>
            <w:pPr>
              <w:ind w:left="340"/>
              <w:spacing w:after="0"/>
              <w:rPr>
                <w:sz w:val="20"/>
                <w:szCs w:val="20"/>
                <w:color w:val="auto"/>
              </w:rPr>
            </w:pPr>
            <w:r>
              <w:rPr>
                <w:rFonts w:ascii="Arial" w:cs="Arial" w:eastAsia="Arial" w:hAnsi="Arial"/>
                <w:sz w:val="18"/>
                <w:szCs w:val="18"/>
                <w:color w:val="auto"/>
              </w:rPr>
              <w:t>1/18/18</w:t>
            </w:r>
          </w:p>
        </w:tc>
        <w:tc>
          <w:tcPr>
            <w:tcW w:w="1500" w:type="dxa"/>
            <w:vAlign w:val="bottom"/>
          </w:tcPr>
          <w:p>
            <w:pPr>
              <w:spacing w:after="0"/>
              <w:rPr>
                <w:sz w:val="24"/>
                <w:szCs w:val="24"/>
                <w:color w:val="auto"/>
              </w:rPr>
            </w:pPr>
          </w:p>
        </w:tc>
        <w:tc>
          <w:tcPr>
            <w:tcW w:w="1560" w:type="dxa"/>
            <w:vAlign w:val="bottom"/>
          </w:tcPr>
          <w:p>
            <w:pPr>
              <w:jc w:val="right"/>
              <w:ind w:right="179"/>
              <w:spacing w:after="0"/>
              <w:rPr>
                <w:sz w:val="20"/>
                <w:szCs w:val="20"/>
                <w:color w:val="auto"/>
              </w:rPr>
            </w:pPr>
            <w:r>
              <w:rPr>
                <w:rFonts w:ascii="Arial" w:cs="Arial" w:eastAsia="Arial" w:hAnsi="Arial"/>
                <w:sz w:val="18"/>
                <w:szCs w:val="18"/>
                <w:color w:val="auto"/>
              </w:rPr>
              <w:t>77,521</w:t>
            </w:r>
          </w:p>
        </w:tc>
        <w:tc>
          <w:tcPr>
            <w:tcW w:w="1200" w:type="dxa"/>
            <w:vAlign w:val="bottom"/>
          </w:tcPr>
          <w:p>
            <w:pPr>
              <w:jc w:val="center"/>
              <w:spacing w:after="0"/>
              <w:rPr>
                <w:sz w:val="20"/>
                <w:szCs w:val="20"/>
                <w:color w:val="auto"/>
              </w:rPr>
            </w:pPr>
            <w:r>
              <w:rPr>
                <w:rFonts w:ascii="Arial" w:cs="Arial" w:eastAsia="Arial" w:hAnsi="Arial"/>
                <w:sz w:val="18"/>
                <w:szCs w:val="18"/>
                <w:color w:val="auto"/>
              </w:rPr>
              <w:t>$ 110.15</w:t>
            </w: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$ 1,800,008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1/25/18 (1)</w:t>
            </w:r>
          </w:p>
        </w:tc>
        <w:tc>
          <w:tcPr>
            <w:tcW w:w="1200" w:type="dxa"/>
            <w:vAlign w:val="bottom"/>
          </w:tcPr>
          <w:p>
            <w:pPr>
              <w:ind w:left="340"/>
              <w:spacing w:after="0"/>
              <w:rPr>
                <w:sz w:val="20"/>
                <w:szCs w:val="20"/>
                <w:color w:val="auto"/>
              </w:rPr>
            </w:pPr>
            <w:r>
              <w:rPr>
                <w:rFonts w:ascii="Arial" w:cs="Arial" w:eastAsia="Arial" w:hAnsi="Arial"/>
                <w:sz w:val="18"/>
                <w:szCs w:val="18"/>
                <w:color w:val="auto"/>
              </w:rPr>
              <w:t>1/18/18</w:t>
            </w:r>
          </w:p>
        </w:tc>
        <w:tc>
          <w:tcPr>
            <w:tcW w:w="1500" w:type="dxa"/>
            <w:vAlign w:val="bottom"/>
          </w:tcPr>
          <w:p>
            <w:pPr>
              <w:jc w:val="right"/>
              <w:ind w:right="179"/>
              <w:spacing w:after="0"/>
              <w:rPr>
                <w:sz w:val="20"/>
                <w:szCs w:val="20"/>
                <w:color w:val="auto"/>
              </w:rPr>
            </w:pPr>
            <w:r>
              <w:rPr>
                <w:rFonts w:ascii="Arial" w:cs="Arial" w:eastAsia="Arial" w:hAnsi="Arial"/>
                <w:sz w:val="18"/>
                <w:szCs w:val="18"/>
                <w:color w:val="auto"/>
              </w:rPr>
              <w:t>16,342</w:t>
            </w:r>
          </w:p>
        </w:tc>
        <w:tc>
          <w:tcPr>
            <w:tcW w:w="1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$ 1,800,071</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00" w:type="dxa"/>
            <w:vAlign w:val="bottom"/>
            <w:shd w:val="clear" w:color="auto" w:fill="E5E5E5"/>
          </w:tcPr>
          <w:p>
            <w:pPr>
              <w:spacing w:after="0" w:line="180" w:lineRule="exact"/>
              <w:rPr>
                <w:sz w:val="20"/>
                <w:szCs w:val="20"/>
                <w:color w:val="auto"/>
              </w:rPr>
            </w:pPr>
            <w:r>
              <w:rPr>
                <w:rFonts w:ascii="Arial" w:cs="Arial" w:eastAsia="Arial" w:hAnsi="Arial"/>
                <w:sz w:val="18"/>
                <w:szCs w:val="18"/>
                <w:color w:val="auto"/>
              </w:rPr>
              <w:t>H. Ilan</w:t>
            </w:r>
          </w:p>
        </w:tc>
        <w:tc>
          <w:tcPr>
            <w:tcW w:w="1580" w:type="dxa"/>
            <w:vAlign w:val="bottom"/>
            <w:shd w:val="clear" w:color="auto" w:fill="E5E5E5"/>
          </w:tcPr>
          <w:p>
            <w:pPr>
              <w:jc w:val="right"/>
              <w:ind w:right="133"/>
              <w:spacing w:after="0" w:line="180" w:lineRule="exact"/>
              <w:rPr>
                <w:sz w:val="20"/>
                <w:szCs w:val="20"/>
                <w:color w:val="auto"/>
              </w:rPr>
            </w:pPr>
            <w:r>
              <w:rPr>
                <w:rFonts w:ascii="Arial" w:cs="Arial" w:eastAsia="Arial" w:hAnsi="Arial"/>
                <w:sz w:val="18"/>
                <w:szCs w:val="18"/>
                <w:color w:val="auto"/>
              </w:rPr>
              <w:t>1/25/18 (1)</w:t>
            </w:r>
          </w:p>
        </w:tc>
        <w:tc>
          <w:tcPr>
            <w:tcW w:w="1200" w:type="dxa"/>
            <w:vAlign w:val="bottom"/>
            <w:shd w:val="clear" w:color="auto" w:fill="E5E5E5"/>
          </w:tcPr>
          <w:p>
            <w:pPr>
              <w:ind w:left="340"/>
              <w:spacing w:after="0" w:line="180" w:lineRule="exact"/>
              <w:rPr>
                <w:sz w:val="20"/>
                <w:szCs w:val="20"/>
                <w:color w:val="auto"/>
              </w:rPr>
            </w:pPr>
            <w:r>
              <w:rPr>
                <w:rFonts w:ascii="Arial" w:cs="Arial" w:eastAsia="Arial" w:hAnsi="Arial"/>
                <w:sz w:val="18"/>
                <w:szCs w:val="18"/>
                <w:color w:val="auto"/>
              </w:rPr>
              <w:t>1/18/18</w:t>
            </w:r>
          </w:p>
        </w:tc>
        <w:tc>
          <w:tcPr>
            <w:tcW w:w="1500" w:type="dxa"/>
            <w:vAlign w:val="bottom"/>
            <w:shd w:val="clear" w:color="auto" w:fill="E5E5E5"/>
          </w:tcPr>
          <w:p>
            <w:pPr>
              <w:spacing w:after="0"/>
              <w:rPr>
                <w:sz w:val="15"/>
                <w:szCs w:val="15"/>
                <w:color w:val="auto"/>
              </w:rPr>
            </w:pPr>
          </w:p>
        </w:tc>
        <w:tc>
          <w:tcPr>
            <w:tcW w:w="1560" w:type="dxa"/>
            <w:vAlign w:val="bottom"/>
            <w:shd w:val="clear" w:color="auto" w:fill="E5E5E5"/>
          </w:tcPr>
          <w:p>
            <w:pPr>
              <w:jc w:val="right"/>
              <w:ind w:right="179"/>
              <w:spacing w:after="0" w:line="180" w:lineRule="exact"/>
              <w:rPr>
                <w:sz w:val="20"/>
                <w:szCs w:val="20"/>
                <w:color w:val="auto"/>
              </w:rPr>
            </w:pPr>
            <w:r>
              <w:rPr>
                <w:rFonts w:ascii="Arial" w:cs="Arial" w:eastAsia="Arial" w:hAnsi="Arial"/>
                <w:sz w:val="18"/>
                <w:szCs w:val="18"/>
                <w:color w:val="auto"/>
              </w:rPr>
              <w:t>81,828</w:t>
            </w:r>
          </w:p>
        </w:tc>
        <w:tc>
          <w:tcPr>
            <w:tcW w:w="1200" w:type="dxa"/>
            <w:vAlign w:val="bottom"/>
            <w:shd w:val="clear" w:color="auto" w:fill="E5E5E5"/>
          </w:tcPr>
          <w:p>
            <w:pPr>
              <w:jc w:val="center"/>
              <w:spacing w:after="0" w:line="180" w:lineRule="exact"/>
              <w:rPr>
                <w:sz w:val="20"/>
                <w:szCs w:val="20"/>
                <w:color w:val="auto"/>
              </w:rPr>
            </w:pPr>
            <w:r>
              <w:rPr>
                <w:rFonts w:ascii="Arial" w:cs="Arial" w:eastAsia="Arial" w:hAnsi="Arial"/>
                <w:sz w:val="18"/>
                <w:szCs w:val="18"/>
                <w:color w:val="auto"/>
              </w:rPr>
              <w:t>$ 110.15</w:t>
            </w:r>
          </w:p>
        </w:tc>
        <w:tc>
          <w:tcPr>
            <w:tcW w:w="1280" w:type="dxa"/>
            <w:vAlign w:val="bottom"/>
            <w:shd w:val="clear" w:color="auto" w:fill="E5E5E5"/>
          </w:tcPr>
          <w:p>
            <w:pPr>
              <w:jc w:val="center"/>
              <w:ind w:left="115"/>
              <w:spacing w:after="0" w:line="180" w:lineRule="exact"/>
              <w:rPr>
                <w:sz w:val="20"/>
                <w:szCs w:val="20"/>
                <w:color w:val="auto"/>
              </w:rPr>
            </w:pPr>
            <w:r>
              <w:rPr>
                <w:rFonts w:ascii="Arial" w:cs="Arial" w:eastAsia="Arial" w:hAnsi="Arial"/>
                <w:sz w:val="18"/>
                <w:szCs w:val="18"/>
                <w:color w:val="auto"/>
              </w:rPr>
              <w:t>$ 1,900,015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00" w:type="dxa"/>
            <w:vAlign w:val="bottom"/>
            <w:shd w:val="clear" w:color="auto" w:fill="E5E5E5"/>
          </w:tcPr>
          <w:p>
            <w:pPr>
              <w:spacing w:after="0"/>
              <w:rPr>
                <w:sz w:val="19"/>
                <w:szCs w:val="19"/>
                <w:color w:val="auto"/>
              </w:rPr>
            </w:pPr>
          </w:p>
        </w:tc>
        <w:tc>
          <w:tcPr>
            <w:tcW w:w="1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1/25/18 (1)</w:t>
            </w:r>
          </w:p>
        </w:tc>
        <w:tc>
          <w:tcPr>
            <w:tcW w:w="1200" w:type="dxa"/>
            <w:vAlign w:val="bottom"/>
            <w:shd w:val="clear" w:color="auto" w:fill="E5E5E5"/>
          </w:tcPr>
          <w:p>
            <w:pPr>
              <w:ind w:left="340"/>
              <w:spacing w:after="0"/>
              <w:rPr>
                <w:sz w:val="20"/>
                <w:szCs w:val="20"/>
                <w:color w:val="auto"/>
              </w:rPr>
            </w:pPr>
            <w:r>
              <w:rPr>
                <w:rFonts w:ascii="Arial" w:cs="Arial" w:eastAsia="Arial" w:hAnsi="Arial"/>
                <w:sz w:val="18"/>
                <w:szCs w:val="18"/>
                <w:color w:val="auto"/>
              </w:rPr>
              <w:t>1/18/18</w:t>
            </w:r>
          </w:p>
        </w:tc>
        <w:tc>
          <w:tcPr>
            <w:tcW w:w="150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17,250</w:t>
            </w:r>
          </w:p>
        </w:tc>
        <w:tc>
          <w:tcPr>
            <w:tcW w:w="156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1280" w:type="dxa"/>
            <w:vAlign w:val="bottom"/>
            <w:shd w:val="clear" w:color="auto" w:fill="E5E5E5"/>
          </w:tcPr>
          <w:p>
            <w:pPr>
              <w:jc w:val="center"/>
              <w:ind w:left="115"/>
              <w:spacing w:after="0"/>
              <w:rPr>
                <w:sz w:val="20"/>
                <w:szCs w:val="20"/>
                <w:color w:val="auto"/>
              </w:rPr>
            </w:pPr>
            <w:r>
              <w:rPr>
                <w:rFonts w:ascii="Arial" w:cs="Arial" w:eastAsia="Arial" w:hAnsi="Arial"/>
                <w:sz w:val="18"/>
                <w:szCs w:val="18"/>
                <w:color w:val="auto"/>
              </w:rPr>
              <w:t>$ 1,900,088</w:t>
            </w:r>
          </w:p>
        </w:tc>
        <w:tc>
          <w:tcPr>
            <w:tcW w:w="0" w:type="dxa"/>
            <w:vAlign w:val="bottom"/>
          </w:tcPr>
          <w:p>
            <w:pPr>
              <w:spacing w:after="0"/>
              <w:rPr>
                <w:sz w:val="1"/>
                <w:szCs w:val="1"/>
                <w:color w:val="auto"/>
              </w:rPr>
            </w:pPr>
          </w:p>
        </w:tc>
      </w:tr>
      <w:tr>
        <w:trPr>
          <w:trHeight w:val="288"/>
        </w:trPr>
        <w:tc>
          <w:tcPr>
            <w:tcW w:w="2720" w:type="dxa"/>
            <w:vAlign w:val="bottom"/>
            <w:gridSpan w:val="2"/>
          </w:tcPr>
          <w:p>
            <w:pPr>
              <w:spacing w:after="0"/>
              <w:rPr>
                <w:sz w:val="20"/>
                <w:szCs w:val="20"/>
                <w:color w:val="auto"/>
              </w:rPr>
            </w:pPr>
            <w:r>
              <w:rPr>
                <w:rFonts w:ascii="Arial" w:cs="Arial" w:eastAsia="Arial" w:hAnsi="Arial"/>
                <w:sz w:val="18"/>
                <w:szCs w:val="18"/>
                <w:color w:val="auto"/>
              </w:rPr>
              <w:t>B. T. Crutcher (6)</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1/25/18 (1)</w:t>
            </w:r>
          </w:p>
        </w:tc>
        <w:tc>
          <w:tcPr>
            <w:tcW w:w="1200" w:type="dxa"/>
            <w:vAlign w:val="bottom"/>
          </w:tcPr>
          <w:p>
            <w:pPr>
              <w:ind w:left="340"/>
              <w:spacing w:after="0"/>
              <w:rPr>
                <w:sz w:val="20"/>
                <w:szCs w:val="20"/>
                <w:color w:val="auto"/>
              </w:rPr>
            </w:pPr>
            <w:r>
              <w:rPr>
                <w:rFonts w:ascii="Arial" w:cs="Arial" w:eastAsia="Arial" w:hAnsi="Arial"/>
                <w:sz w:val="18"/>
                <w:szCs w:val="18"/>
                <w:color w:val="auto"/>
              </w:rPr>
              <w:t>1/18/18</w:t>
            </w:r>
          </w:p>
        </w:tc>
        <w:tc>
          <w:tcPr>
            <w:tcW w:w="1500" w:type="dxa"/>
            <w:vAlign w:val="bottom"/>
          </w:tcPr>
          <w:p>
            <w:pPr>
              <w:spacing w:after="0"/>
              <w:rPr>
                <w:sz w:val="24"/>
                <w:szCs w:val="24"/>
                <w:color w:val="auto"/>
              </w:rPr>
            </w:pPr>
          </w:p>
        </w:tc>
        <w:tc>
          <w:tcPr>
            <w:tcW w:w="1560" w:type="dxa"/>
            <w:vAlign w:val="bottom"/>
          </w:tcPr>
          <w:p>
            <w:pPr>
              <w:jc w:val="right"/>
              <w:ind w:right="179"/>
              <w:spacing w:after="0"/>
              <w:rPr>
                <w:sz w:val="20"/>
                <w:szCs w:val="20"/>
                <w:color w:val="auto"/>
              </w:rPr>
            </w:pPr>
            <w:r>
              <w:rPr>
                <w:rFonts w:ascii="Arial" w:cs="Arial" w:eastAsia="Arial" w:hAnsi="Arial"/>
                <w:sz w:val="18"/>
                <w:szCs w:val="18"/>
                <w:color w:val="auto"/>
              </w:rPr>
              <w:t>215,336</w:t>
            </w:r>
          </w:p>
        </w:tc>
        <w:tc>
          <w:tcPr>
            <w:tcW w:w="1200" w:type="dxa"/>
            <w:vAlign w:val="bottom"/>
          </w:tcPr>
          <w:p>
            <w:pPr>
              <w:jc w:val="center"/>
              <w:spacing w:after="0"/>
              <w:rPr>
                <w:sz w:val="20"/>
                <w:szCs w:val="20"/>
                <w:color w:val="auto"/>
              </w:rPr>
            </w:pPr>
            <w:r>
              <w:rPr>
                <w:rFonts w:ascii="Arial" w:cs="Arial" w:eastAsia="Arial" w:hAnsi="Arial"/>
                <w:sz w:val="18"/>
                <w:szCs w:val="18"/>
                <w:color w:val="auto"/>
              </w:rPr>
              <w:t>$ 110.15</w:t>
            </w: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$ 5,000,020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1/25/18 (1)</w:t>
            </w:r>
          </w:p>
        </w:tc>
        <w:tc>
          <w:tcPr>
            <w:tcW w:w="1200" w:type="dxa"/>
            <w:vAlign w:val="bottom"/>
          </w:tcPr>
          <w:p>
            <w:pPr>
              <w:ind w:left="340"/>
              <w:spacing w:after="0"/>
              <w:rPr>
                <w:sz w:val="20"/>
                <w:szCs w:val="20"/>
                <w:color w:val="auto"/>
              </w:rPr>
            </w:pPr>
            <w:r>
              <w:rPr>
                <w:rFonts w:ascii="Arial" w:cs="Arial" w:eastAsia="Arial" w:hAnsi="Arial"/>
                <w:sz w:val="18"/>
                <w:szCs w:val="18"/>
                <w:color w:val="auto"/>
              </w:rPr>
              <w:t>1/18/18</w:t>
            </w:r>
          </w:p>
        </w:tc>
        <w:tc>
          <w:tcPr>
            <w:tcW w:w="1500" w:type="dxa"/>
            <w:vAlign w:val="bottom"/>
          </w:tcPr>
          <w:p>
            <w:pPr>
              <w:jc w:val="right"/>
              <w:ind w:right="179"/>
              <w:spacing w:after="0"/>
              <w:rPr>
                <w:sz w:val="20"/>
                <w:szCs w:val="20"/>
                <w:color w:val="auto"/>
              </w:rPr>
            </w:pPr>
            <w:r>
              <w:rPr>
                <w:rFonts w:ascii="Arial" w:cs="Arial" w:eastAsia="Arial" w:hAnsi="Arial"/>
                <w:sz w:val="18"/>
                <w:szCs w:val="18"/>
                <w:color w:val="auto"/>
              </w:rPr>
              <w:t>45,393</w:t>
            </w:r>
          </w:p>
        </w:tc>
        <w:tc>
          <w:tcPr>
            <w:tcW w:w="1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$ 5,000,039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40" w:right="220" w:hanging="436"/>
        <w:spacing w:after="0" w:line="255"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accordance with the grant policy of the Compensation Committee of the board (described under “Process for equity grants”), the grants became effective on the second trading day after the company released its financial results for the fourth-quarter and year 2017. The company released these results on January 23, 2018.</w:t>
      </w:r>
    </w:p>
    <w:p>
      <w:pPr>
        <w:spacing w:after="0" w:line="69" w:lineRule="exact"/>
        <w:rPr>
          <w:rFonts w:ascii="Arial" w:cs="Arial" w:eastAsia="Arial" w:hAnsi="Arial"/>
          <w:sz w:val="18"/>
          <w:szCs w:val="18"/>
          <w:color w:val="auto"/>
        </w:rPr>
      </w:pPr>
    </w:p>
    <w:p>
      <w:pPr>
        <w:ind w:left="640" w:right="300" w:hanging="436"/>
        <w:spacing w:after="0" w:line="255"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stock awards granted to the named executive officers in 2018 were RSU awards. These awards were made under the company’s 2009 Long-Term Incentive Plan. For information on the terms and conditions of these RSU awards, see the discussion following the outstanding equity awards at fiscal year-end 2018 table.</w:t>
      </w:r>
    </w:p>
    <w:p>
      <w:pPr>
        <w:spacing w:after="0" w:line="69" w:lineRule="exact"/>
        <w:rPr>
          <w:rFonts w:ascii="Arial" w:cs="Arial" w:eastAsia="Arial" w:hAnsi="Arial"/>
          <w:sz w:val="18"/>
          <w:szCs w:val="18"/>
          <w:color w:val="auto"/>
        </w:rPr>
      </w:pPr>
    </w:p>
    <w:p>
      <w:pPr>
        <w:ind w:left="640" w:right="40" w:hanging="436"/>
        <w:spacing w:after="0" w:line="276"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options were granted under the company’s 2009 Long-Term Incentive Plan. For information on the terms and conditions of these options, see the discussion following the outstanding equity awards at fiscal year-end 2018 table.</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exercise price of the options is the closing price of TI common stock on January 25, 2018.</w:t>
      </w:r>
    </w:p>
    <w:p>
      <w:pPr>
        <w:spacing w:after="0" w:line="117" w:lineRule="exact"/>
        <w:rPr>
          <w:rFonts w:ascii="Arial" w:cs="Arial" w:eastAsia="Arial" w:hAnsi="Arial"/>
          <w:sz w:val="18"/>
          <w:szCs w:val="18"/>
          <w:color w:val="auto"/>
        </w:rPr>
      </w:pPr>
    </w:p>
    <w:p>
      <w:pPr>
        <w:jc w:val="both"/>
        <w:ind w:left="640" w:right="960" w:hanging="436"/>
        <w:spacing w:after="0" w:line="276"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Shown is the aggregate grant date fair value computed in accordance with ASC 718 for stock and option awards in 2018. The discussion of the assumptions used for purposes of the valuation appears in Note 3 to the 2018 financial statements.</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a result of his resignation, all of Mr. Crutcher’s equity compensation for 2018 was cancelled.</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 of the options or other equity awards granted to the named executive officers was repriced or modified by the company.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additional information regarding TI’s equity compensation grant practices, see the Compensation Discussion and Analysis.</w:t>
      </w:r>
    </w:p>
    <w:p>
      <w:pPr>
        <w:spacing w:after="0" w:line="145"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33</w:t>
            </w:r>
          </w:p>
        </w:tc>
      </w:tr>
    </w:tbl>
    <w:p>
      <w:pPr>
        <w:sectPr>
          <w:pgSz w:w="11900" w:h="16838" w:orient="portrait"/>
          <w:cols w:equalWidth="0" w:num="1">
            <w:col w:w="11240"/>
          </w:cols>
          <w:pgMar w:left="240" w:top="455" w:right="4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Outstanding equity awards at fiscal year-end 2018</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outstanding equity awards for each of the named executive officers as of December 31, 2018.</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Number of</w:t>
            </w:r>
          </w:p>
        </w:tc>
        <w:tc>
          <w:tcPr>
            <w:tcW w:w="1300" w:type="dxa"/>
            <w:vAlign w:val="bottom"/>
          </w:tcPr>
          <w:p>
            <w:pPr>
              <w:jc w:val="center"/>
              <w:ind w:left="213"/>
              <w:spacing w:after="0" w:line="141" w:lineRule="exact"/>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left="13"/>
              <w:spacing w:after="0" w:line="141" w:lineRule="exact"/>
              <w:rPr>
                <w:sz w:val="20"/>
                <w:szCs w:val="20"/>
                <w:color w:val="auto"/>
              </w:rPr>
            </w:pPr>
            <w:r>
              <w:rPr>
                <w:rFonts w:ascii="Arial" w:cs="Arial" w:eastAsia="Arial" w:hAnsi="Arial"/>
                <w:sz w:val="14"/>
                <w:szCs w:val="14"/>
                <w:b w:val="1"/>
                <w:bCs w:val="1"/>
                <w:color w:val="auto"/>
              </w:rPr>
              <w:t>Market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300" w:type="dxa"/>
            <w:vAlign w:val="bottom"/>
          </w:tcPr>
          <w:p>
            <w:pPr>
              <w:jc w:val="center"/>
              <w:ind w:left="233"/>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 Shares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300" w:type="dxa"/>
            <w:vAlign w:val="bottom"/>
          </w:tcPr>
          <w:p>
            <w:pPr>
              <w:jc w:val="center"/>
              <w:ind w:left="233"/>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3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Units of Stock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gridSpan w:val="2"/>
          </w:tcPr>
          <w:p>
            <w:pPr>
              <w:jc w:val="center"/>
              <w:ind w:left="151"/>
              <w:spacing w:after="0"/>
              <w:rPr>
                <w:sz w:val="20"/>
                <w:szCs w:val="20"/>
                <w:color w:val="auto"/>
              </w:rPr>
            </w:pPr>
            <w:r>
              <w:rPr>
                <w:rFonts w:ascii="Arial" w:cs="Arial" w:eastAsia="Arial" w:hAnsi="Arial"/>
                <w:sz w:val="14"/>
                <w:szCs w:val="14"/>
                <w:b w:val="1"/>
                <w:bCs w:val="1"/>
                <w:color w:val="auto"/>
              </w:rPr>
              <w:t>Unexercised</w:t>
            </w:r>
          </w:p>
        </w:tc>
        <w:tc>
          <w:tcPr>
            <w:tcW w:w="1300" w:type="dxa"/>
            <w:vAlign w:val="bottom"/>
          </w:tcPr>
          <w:p>
            <w:pPr>
              <w:jc w:val="center"/>
              <w:ind w:left="233"/>
              <w:spacing w:after="0"/>
              <w:rPr>
                <w:sz w:val="20"/>
                <w:szCs w:val="20"/>
                <w:color w:val="auto"/>
              </w:rPr>
            </w:pPr>
            <w:r>
              <w:rPr>
                <w:rFonts w:ascii="Arial" w:cs="Arial" w:eastAsia="Arial" w:hAnsi="Arial"/>
                <w:sz w:val="14"/>
                <w:szCs w:val="14"/>
                <w:b w:val="1"/>
                <w:bCs w:val="1"/>
                <w:color w:val="auto"/>
              </w:rPr>
              <w:t>Unexercised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231"/>
              <w:spacing w:after="0"/>
              <w:rPr>
                <w:sz w:val="20"/>
                <w:szCs w:val="20"/>
                <w:color w:val="auto"/>
              </w:rPr>
            </w:pPr>
            <w:r>
              <w:rPr>
                <w:rFonts w:ascii="Arial" w:cs="Arial" w:eastAsia="Arial" w:hAnsi="Arial"/>
                <w:sz w:val="14"/>
                <w:szCs w:val="14"/>
                <w:b w:val="1"/>
                <w:bCs w:val="1"/>
                <w:color w:val="auto"/>
              </w:rPr>
              <w:t>Option</w:t>
            </w:r>
          </w:p>
        </w:tc>
        <w:tc>
          <w:tcPr>
            <w:tcW w:w="1000" w:type="dxa"/>
            <w:vAlign w:val="bottom"/>
          </w:tcPr>
          <w:p>
            <w:pPr>
              <w:jc w:val="center"/>
              <w:ind w:left="52"/>
              <w:spacing w:after="0"/>
              <w:rPr>
                <w:sz w:val="20"/>
                <w:szCs w:val="20"/>
                <w:color w:val="auto"/>
              </w:rPr>
            </w:pPr>
            <w:r>
              <w:rPr>
                <w:rFonts w:ascii="Arial" w:cs="Arial" w:eastAsia="Arial" w:hAnsi="Arial"/>
                <w:sz w:val="14"/>
                <w:szCs w:val="14"/>
                <w:b w:val="1"/>
                <w:bCs w:val="1"/>
                <w:color w:val="auto"/>
              </w:rPr>
              <w:t>Option</w:t>
            </w:r>
          </w:p>
        </w:tc>
        <w:tc>
          <w:tcPr>
            <w:tcW w:w="130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rPr>
              <w:t>Units of Stock</w:t>
            </w:r>
          </w:p>
        </w:tc>
        <w:tc>
          <w:tcPr>
            <w:tcW w:w="3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1300" w:type="dxa"/>
            <w:vAlign w:val="bottom"/>
          </w:tcPr>
          <w:p>
            <w:pPr>
              <w:jc w:val="center"/>
              <w:ind w:left="213"/>
              <w:spacing w:after="0"/>
              <w:rPr>
                <w:sz w:val="20"/>
                <w:szCs w:val="20"/>
                <w:color w:val="auto"/>
              </w:rPr>
            </w:pPr>
            <w:r>
              <w:rPr>
                <w:rFonts w:ascii="Arial" w:cs="Arial" w:eastAsia="Arial" w:hAnsi="Arial"/>
                <w:sz w:val="14"/>
                <w:szCs w:val="14"/>
                <w:b w:val="1"/>
                <w:bCs w:val="1"/>
                <w:color w:val="auto"/>
              </w:rPr>
              <w:t>Options (#)</w:t>
            </w:r>
          </w:p>
        </w:tc>
        <w:tc>
          <w:tcPr>
            <w:tcW w:w="3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000" w:type="dxa"/>
            <w:vAlign w:val="bottom"/>
          </w:tcPr>
          <w:p>
            <w:pPr>
              <w:jc w:val="center"/>
              <w:ind w:left="52"/>
              <w:spacing w:after="0"/>
              <w:rPr>
                <w:sz w:val="20"/>
                <w:szCs w:val="20"/>
                <w:color w:val="auto"/>
              </w:rPr>
            </w:pPr>
            <w:r>
              <w:rPr>
                <w:rFonts w:ascii="Arial" w:cs="Arial" w:eastAsia="Arial" w:hAnsi="Arial"/>
                <w:sz w:val="14"/>
                <w:szCs w:val="14"/>
                <w:b w:val="1"/>
                <w:bCs w:val="1"/>
                <w:color w:val="auto"/>
              </w:rPr>
              <w:t>Expiration</w:t>
            </w:r>
          </w:p>
        </w:tc>
        <w:tc>
          <w:tcPr>
            <w:tcW w:w="130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rPr>
              <w:t>That Have Not</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91"/>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1300" w:type="dxa"/>
            <w:vAlign w:val="bottom"/>
          </w:tcPr>
          <w:p>
            <w:pPr>
              <w:jc w:val="center"/>
              <w:ind w:left="233"/>
              <w:spacing w:after="0"/>
              <w:rPr>
                <w:sz w:val="20"/>
                <w:szCs w:val="20"/>
                <w:color w:val="auto"/>
              </w:rPr>
            </w:pPr>
            <w:r>
              <w:rPr>
                <w:rFonts w:ascii="Arial" w:cs="Arial" w:eastAsia="Arial" w:hAnsi="Arial"/>
                <w:sz w:val="14"/>
                <w:szCs w:val="14"/>
                <w:b w:val="1"/>
                <w:bCs w:val="1"/>
                <w:color w:val="auto"/>
              </w:rPr>
              <w:t>Unexercisable</w:t>
            </w:r>
          </w:p>
        </w:tc>
        <w:tc>
          <w:tcPr>
            <w:tcW w:w="34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 ($)</w:t>
            </w:r>
          </w:p>
        </w:tc>
        <w:tc>
          <w:tcPr>
            <w:tcW w:w="1000" w:type="dxa"/>
            <w:vAlign w:val="bottom"/>
          </w:tcPr>
          <w:p>
            <w:pPr>
              <w:jc w:val="center"/>
              <w:ind w:left="32"/>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Vested (#)</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center"/>
              <w:ind w:right="193"/>
              <w:spacing w:after="0"/>
              <w:rPr>
                <w:sz w:val="20"/>
                <w:szCs w:val="20"/>
                <w:color w:val="auto"/>
              </w:rPr>
            </w:pPr>
            <w:r>
              <w:rPr>
                <w:rFonts w:ascii="Arial" w:cs="Arial" w:eastAsia="Arial" w:hAnsi="Arial"/>
                <w:sz w:val="14"/>
                <w:szCs w:val="14"/>
                <w:b w:val="1"/>
                <w:bCs w:val="1"/>
                <w:color w:val="auto"/>
              </w:rPr>
              <w:t>($) (1)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60" w:type="dxa"/>
            <w:vAlign w:val="bottom"/>
            <w:tcBorders>
              <w:top w:val="single" w:sz="8" w:color="auto"/>
            </w:tcBorders>
            <w:shd w:val="clear" w:color="auto" w:fill="E5E5E5"/>
          </w:tcPr>
          <w:p>
            <w:pPr>
              <w:spacing w:after="0" w:line="173" w:lineRule="exact"/>
              <w:rPr>
                <w:sz w:val="20"/>
                <w:szCs w:val="20"/>
                <w:color w:val="auto"/>
              </w:rPr>
            </w:pPr>
            <w:r>
              <w:rPr>
                <w:rFonts w:ascii="Arial" w:cs="Arial" w:eastAsia="Arial" w:hAnsi="Arial"/>
                <w:sz w:val="18"/>
                <w:szCs w:val="18"/>
                <w:color w:val="auto"/>
              </w:rPr>
              <w:t>R. K. Templeton</w:t>
            </w:r>
          </w:p>
        </w:tc>
        <w:tc>
          <w:tcPr>
            <w:tcW w:w="280" w:type="dxa"/>
            <w:vAlign w:val="bottom"/>
            <w:tcBorders>
              <w:top w:val="single" w:sz="8" w:color="auto"/>
            </w:tcBorders>
            <w:shd w:val="clear" w:color="auto" w:fill="E5E5E5"/>
          </w:tcPr>
          <w:p>
            <w:pPr>
              <w:spacing w:after="0"/>
              <w:rPr>
                <w:sz w:val="15"/>
                <w:szCs w:val="15"/>
                <w:color w:val="auto"/>
              </w:rPr>
            </w:pPr>
          </w:p>
        </w:tc>
        <w:tc>
          <w:tcPr>
            <w:tcW w:w="860" w:type="dxa"/>
            <w:vAlign w:val="bottom"/>
            <w:tcBorders>
              <w:top w:val="single" w:sz="8" w:color="auto"/>
            </w:tcBorders>
            <w:shd w:val="clear" w:color="auto" w:fill="E5E5E5"/>
          </w:tcPr>
          <w:p>
            <w:pPr>
              <w:jc w:val="right"/>
              <w:ind w:right="34"/>
              <w:spacing w:after="0" w:line="17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258,403</w:t>
            </w:r>
          </w:p>
        </w:tc>
        <w:tc>
          <w:tcPr>
            <w:tcW w:w="340" w:type="dxa"/>
            <w:vAlign w:val="bottom"/>
            <w:tcBorders>
              <w:top w:val="single" w:sz="8" w:color="auto"/>
            </w:tcBorders>
            <w:shd w:val="clear" w:color="auto" w:fill="E5E5E5"/>
          </w:tcPr>
          <w:p>
            <w:pPr>
              <w:jc w:val="right"/>
              <w:ind w:right="30"/>
              <w:spacing w:after="0" w:line="173" w:lineRule="exact"/>
              <w:rPr>
                <w:sz w:val="20"/>
                <w:szCs w:val="20"/>
                <w:color w:val="auto"/>
              </w:rPr>
            </w:pPr>
            <w:r>
              <w:rPr>
                <w:rFonts w:ascii="Arial" w:cs="Arial" w:eastAsia="Arial" w:hAnsi="Arial"/>
                <w:sz w:val="18"/>
                <w:szCs w:val="18"/>
                <w:color w:val="auto"/>
                <w:w w:val="90"/>
              </w:rPr>
              <w:t>(2)</w:t>
            </w:r>
          </w:p>
        </w:tc>
        <w:tc>
          <w:tcPr>
            <w:tcW w:w="1000" w:type="dxa"/>
            <w:vAlign w:val="bottom"/>
            <w:tcBorders>
              <w:top w:val="single" w:sz="8" w:color="auto"/>
            </w:tcBorders>
            <w:gridSpan w:val="2"/>
            <w:shd w:val="clear" w:color="auto" w:fill="E5E5E5"/>
          </w:tcPr>
          <w:p>
            <w:pPr>
              <w:jc w:val="right"/>
              <w:ind w:right="111"/>
              <w:spacing w:after="0" w:line="173" w:lineRule="exact"/>
              <w:rPr>
                <w:sz w:val="20"/>
                <w:szCs w:val="20"/>
                <w:color w:val="auto"/>
              </w:rPr>
            </w:pPr>
            <w:r>
              <w:rPr>
                <w:rFonts w:ascii="Arial" w:cs="Arial" w:eastAsia="Arial" w:hAnsi="Arial"/>
                <w:sz w:val="18"/>
                <w:szCs w:val="18"/>
                <w:color w:val="auto"/>
              </w:rPr>
              <w:t>$ 110.15</w:t>
            </w:r>
          </w:p>
        </w:tc>
        <w:tc>
          <w:tcPr>
            <w:tcW w:w="100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1/25/2028</w:t>
            </w:r>
          </w:p>
        </w:tc>
        <w:tc>
          <w:tcPr>
            <w:tcW w:w="1300" w:type="dxa"/>
            <w:vAlign w:val="bottom"/>
            <w:tcBorders>
              <w:top w:val="single" w:sz="8" w:color="auto"/>
            </w:tcBorders>
            <w:gridSpan w:val="2"/>
            <w:shd w:val="clear" w:color="auto" w:fill="E5E5E5"/>
          </w:tcPr>
          <w:p>
            <w:pPr>
              <w:jc w:val="right"/>
              <w:spacing w:after="0" w:line="173" w:lineRule="exact"/>
              <w:rPr>
                <w:sz w:val="20"/>
                <w:szCs w:val="20"/>
                <w:color w:val="auto"/>
              </w:rPr>
            </w:pPr>
            <w:r>
              <w:rPr>
                <w:rFonts w:ascii="Arial" w:cs="Arial" w:eastAsia="Arial" w:hAnsi="Arial"/>
                <w:sz w:val="18"/>
                <w:szCs w:val="18"/>
                <w:color w:val="auto"/>
              </w:rPr>
              <w:t>54,472</w:t>
            </w:r>
          </w:p>
        </w:tc>
        <w:tc>
          <w:tcPr>
            <w:tcW w:w="320" w:type="dxa"/>
            <w:vAlign w:val="bottom"/>
            <w:tcBorders>
              <w:top w:val="single" w:sz="8" w:color="auto"/>
            </w:tcBorders>
            <w:shd w:val="clear" w:color="auto" w:fill="E5E5E5"/>
          </w:tcPr>
          <w:p>
            <w:pPr>
              <w:jc w:val="right"/>
              <w:ind w:right="10"/>
              <w:spacing w:after="0" w:line="173" w:lineRule="exact"/>
              <w:rPr>
                <w:sz w:val="20"/>
                <w:szCs w:val="20"/>
                <w:color w:val="auto"/>
              </w:rPr>
            </w:pPr>
            <w:r>
              <w:rPr>
                <w:rFonts w:ascii="Arial" w:cs="Arial" w:eastAsia="Arial" w:hAnsi="Arial"/>
                <w:sz w:val="18"/>
                <w:szCs w:val="18"/>
                <w:color w:val="auto"/>
                <w:w w:val="90"/>
              </w:rPr>
              <w:t>(6)</w:t>
            </w:r>
          </w:p>
        </w:tc>
        <w:tc>
          <w:tcPr>
            <w:tcW w:w="1100" w:type="dxa"/>
            <w:vAlign w:val="bottom"/>
            <w:tcBorders>
              <w:top w:val="single" w:sz="8" w:color="auto"/>
            </w:tcBorders>
            <w:gridSpan w:val="2"/>
            <w:shd w:val="clear" w:color="auto" w:fill="E5E5E5"/>
          </w:tcPr>
          <w:p>
            <w:pPr>
              <w:jc w:val="right"/>
              <w:spacing w:after="0" w:line="173" w:lineRule="exact"/>
              <w:rPr>
                <w:sz w:val="20"/>
                <w:szCs w:val="20"/>
                <w:color w:val="auto"/>
              </w:rPr>
            </w:pPr>
            <w:r>
              <w:rPr>
                <w:rFonts w:ascii="Arial" w:cs="Arial" w:eastAsia="Arial" w:hAnsi="Arial"/>
                <w:sz w:val="18"/>
                <w:szCs w:val="18"/>
                <w:color w:val="auto"/>
              </w:rPr>
              <w:t>$ 5,147,604</w:t>
            </w:r>
          </w:p>
        </w:tc>
        <w:tc>
          <w:tcPr>
            <w:tcW w:w="60" w:type="dxa"/>
            <w:vAlign w:val="bottom"/>
            <w:tcBorders>
              <w:top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83,403</w:t>
            </w:r>
          </w:p>
        </w:tc>
        <w:tc>
          <w:tcPr>
            <w:tcW w:w="1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250,212</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(3)</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79.26</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1/26/2027</w:t>
            </w:r>
          </w:p>
        </w:tc>
        <w:tc>
          <w:tcPr>
            <w:tcW w:w="13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69,392</w:t>
            </w: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w w:val="90"/>
              </w:rPr>
              <w:t>(7)</w:t>
            </w:r>
          </w:p>
        </w:tc>
        <w:tc>
          <w:tcPr>
            <w:tcW w:w="11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$ 6,557,544</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244,778</w:t>
            </w:r>
          </w:p>
        </w:tc>
        <w:tc>
          <w:tcPr>
            <w:tcW w:w="1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244,779</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(4)</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52.93</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1/29/2026</w:t>
            </w:r>
          </w:p>
        </w:tc>
        <w:tc>
          <w:tcPr>
            <w:tcW w:w="13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92,576</w:t>
            </w: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w w:val="90"/>
              </w:rPr>
              <w:t>(8)</w:t>
            </w:r>
          </w:p>
        </w:tc>
        <w:tc>
          <w:tcPr>
            <w:tcW w:w="11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$ 8,748,432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387,330</w:t>
            </w:r>
          </w:p>
        </w:tc>
        <w:tc>
          <w:tcPr>
            <w:tcW w:w="1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129,110</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(5)</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53.94</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1/28/2025</w:t>
            </w:r>
          </w:p>
        </w:tc>
        <w:tc>
          <w:tcPr>
            <w:tcW w:w="13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90,842</w:t>
            </w: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w w:val="90"/>
              </w:rPr>
              <w:t>(9)</w:t>
            </w:r>
          </w:p>
        </w:tc>
        <w:tc>
          <w:tcPr>
            <w:tcW w:w="11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$ 8,584,569</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602,692</w:t>
            </w:r>
          </w:p>
        </w:tc>
        <w:tc>
          <w:tcPr>
            <w:tcW w:w="1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44.09</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1/23/2024</w:t>
            </w:r>
          </w:p>
        </w:tc>
        <w:tc>
          <w:tcPr>
            <w:tcW w:w="32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525,000</w:t>
            </w:r>
          </w:p>
        </w:tc>
        <w:tc>
          <w:tcPr>
            <w:tcW w:w="1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32.80</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1/25/2023</w:t>
            </w:r>
          </w:p>
        </w:tc>
        <w:tc>
          <w:tcPr>
            <w:tcW w:w="32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475,000</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rPr>
                <w:sz w:val="20"/>
                <w:szCs w:val="20"/>
                <w:color w:val="auto"/>
              </w:rPr>
            </w:pPr>
            <w:r>
              <w:rPr>
                <w:rFonts w:ascii="Arial" w:cs="Arial" w:eastAsia="Arial" w:hAnsi="Arial"/>
                <w:sz w:val="18"/>
                <w:szCs w:val="18"/>
                <w:color w:val="auto"/>
              </w:rPr>
              <w:t>32.36</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1/26/2022</w:t>
            </w:r>
          </w:p>
        </w:tc>
        <w:tc>
          <w:tcPr>
            <w:tcW w:w="32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3480" w:type="dxa"/>
            <w:vAlign w:val="bottom"/>
            <w:gridSpan w:val="2"/>
          </w:tcPr>
          <w:p>
            <w:pPr>
              <w:spacing w:after="0"/>
              <w:rPr>
                <w:sz w:val="20"/>
                <w:szCs w:val="20"/>
                <w:color w:val="auto"/>
              </w:rPr>
            </w:pPr>
            <w:r>
              <w:rPr>
                <w:rFonts w:ascii="Arial" w:cs="Arial" w:eastAsia="Arial" w:hAnsi="Arial"/>
                <w:sz w:val="18"/>
                <w:szCs w:val="18"/>
                <w:color w:val="auto"/>
              </w:rPr>
              <w:t>R. R. Lizardi</w:t>
            </w:r>
          </w:p>
        </w:tc>
        <w:tc>
          <w:tcPr>
            <w:tcW w:w="28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51,681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1000" w:type="dxa"/>
            <w:vAlign w:val="bottom"/>
            <w:gridSpan w:val="2"/>
          </w:tcPr>
          <w:p>
            <w:pPr>
              <w:jc w:val="right"/>
              <w:ind w:right="111"/>
              <w:spacing w:after="0"/>
              <w:rPr>
                <w:sz w:val="20"/>
                <w:szCs w:val="20"/>
                <w:color w:val="auto"/>
              </w:rPr>
            </w:pPr>
            <w:r>
              <w:rPr>
                <w:rFonts w:ascii="Arial" w:cs="Arial" w:eastAsia="Arial" w:hAnsi="Arial"/>
                <w:sz w:val="18"/>
                <w:szCs w:val="18"/>
                <w:color w:val="auto"/>
              </w:rPr>
              <w:t>$ 110.15</w:t>
            </w:r>
          </w:p>
        </w:tc>
        <w:tc>
          <w:tcPr>
            <w:tcW w:w="1000" w:type="dxa"/>
            <w:vAlign w:val="bottom"/>
          </w:tcPr>
          <w:p>
            <w:pPr>
              <w:jc w:val="right"/>
              <w:spacing w:after="0"/>
              <w:rPr>
                <w:sz w:val="20"/>
                <w:szCs w:val="20"/>
                <w:color w:val="auto"/>
              </w:rPr>
            </w:pPr>
            <w:r>
              <w:rPr>
                <w:rFonts w:ascii="Arial" w:cs="Arial" w:eastAsia="Arial" w:hAnsi="Arial"/>
                <w:sz w:val="18"/>
                <w:szCs w:val="18"/>
                <w:color w:val="auto"/>
              </w:rPr>
              <w:t>1/25/2028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10,895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$ 1,029,578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15,164</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45,494</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79.26</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1/26/2027</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25,234</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0"/>
              </w:rPr>
              <w:t>(7)</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$ 2,384,613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14,986</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14,987</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52.93</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1/29/2026</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5,668</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0"/>
              </w:rPr>
              <w:t>(8)</w:t>
            </w:r>
          </w:p>
        </w:tc>
        <w:tc>
          <w:tcPr>
            <w:tcW w:w="3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535,626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17,786</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5,929</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53.94</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1/28/2025</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4,172</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0"/>
              </w:rPr>
              <w:t>(9)</w:t>
            </w:r>
          </w:p>
        </w:tc>
        <w:tc>
          <w:tcPr>
            <w:tcW w:w="3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394,254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140" w:type="dxa"/>
            <w:vAlign w:val="bottom"/>
            <w:gridSpan w:val="2"/>
          </w:tcPr>
          <w:p>
            <w:pPr>
              <w:jc w:val="right"/>
              <w:ind w:right="34"/>
              <w:spacing w:after="0"/>
              <w:rPr>
                <w:sz w:val="20"/>
                <w:szCs w:val="20"/>
                <w:color w:val="auto"/>
              </w:rPr>
            </w:pPr>
            <w:r>
              <w:rPr>
                <w:rFonts w:ascii="Arial" w:cs="Arial" w:eastAsia="Arial" w:hAnsi="Arial"/>
                <w:sz w:val="18"/>
                <w:szCs w:val="18"/>
                <w:color w:val="auto"/>
              </w:rPr>
              <w:t>27,675</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44.09</w:t>
            </w:r>
          </w:p>
        </w:tc>
        <w:tc>
          <w:tcPr>
            <w:tcW w:w="1000" w:type="dxa"/>
            <w:vAlign w:val="bottom"/>
          </w:tcPr>
          <w:p>
            <w:pPr>
              <w:jc w:val="right"/>
              <w:spacing w:after="0"/>
              <w:rPr>
                <w:sz w:val="20"/>
                <w:szCs w:val="20"/>
                <w:color w:val="auto"/>
              </w:rPr>
            </w:pPr>
            <w:r>
              <w:rPr>
                <w:rFonts w:ascii="Arial" w:cs="Arial" w:eastAsia="Arial" w:hAnsi="Arial"/>
                <w:sz w:val="18"/>
                <w:szCs w:val="18"/>
                <w:color w:val="auto"/>
              </w:rPr>
              <w:t>1/23/2024</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gridSpan w:val="2"/>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60" w:type="dxa"/>
            <w:vAlign w:val="bottom"/>
            <w:shd w:val="clear" w:color="auto" w:fill="E5E5E5"/>
          </w:tcPr>
          <w:p>
            <w:pPr>
              <w:spacing w:after="0" w:line="180" w:lineRule="exact"/>
              <w:rPr>
                <w:sz w:val="20"/>
                <w:szCs w:val="20"/>
                <w:color w:val="auto"/>
              </w:rPr>
            </w:pPr>
            <w:r>
              <w:rPr>
                <w:rFonts w:ascii="Arial" w:cs="Arial" w:eastAsia="Arial" w:hAnsi="Arial"/>
                <w:sz w:val="18"/>
                <w:szCs w:val="18"/>
                <w:color w:val="auto"/>
              </w:rPr>
              <w:t>N. Anderskouv</w:t>
            </w:r>
          </w:p>
        </w:tc>
        <w:tc>
          <w:tcPr>
            <w:tcW w:w="280" w:type="dxa"/>
            <w:vAlign w:val="bottom"/>
            <w:shd w:val="clear" w:color="auto" w:fill="E5E5E5"/>
          </w:tcPr>
          <w:p>
            <w:pPr>
              <w:spacing w:after="0"/>
              <w:rPr>
                <w:sz w:val="15"/>
                <w:szCs w:val="15"/>
                <w:color w:val="auto"/>
              </w:rPr>
            </w:pPr>
          </w:p>
        </w:tc>
        <w:tc>
          <w:tcPr>
            <w:tcW w:w="860" w:type="dxa"/>
            <w:vAlign w:val="bottom"/>
            <w:shd w:val="clear" w:color="auto" w:fill="E5E5E5"/>
          </w:tcPr>
          <w:p>
            <w:pPr>
              <w:jc w:val="right"/>
              <w:ind w:right="34"/>
              <w:spacing w:after="0" w:line="180"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spacing w:after="0" w:line="180" w:lineRule="exact"/>
              <w:rPr>
                <w:sz w:val="20"/>
                <w:szCs w:val="20"/>
                <w:color w:val="auto"/>
              </w:rPr>
            </w:pPr>
            <w:r>
              <w:rPr>
                <w:rFonts w:ascii="Arial" w:cs="Arial" w:eastAsia="Arial" w:hAnsi="Arial"/>
                <w:sz w:val="18"/>
                <w:szCs w:val="18"/>
                <w:color w:val="auto"/>
              </w:rPr>
              <w:t>81,828</w:t>
            </w:r>
          </w:p>
        </w:tc>
        <w:tc>
          <w:tcPr>
            <w:tcW w:w="340" w:type="dxa"/>
            <w:vAlign w:val="bottom"/>
            <w:shd w:val="clear" w:color="auto" w:fill="E5E5E5"/>
          </w:tcPr>
          <w:p>
            <w:pPr>
              <w:jc w:val="right"/>
              <w:ind w:right="30"/>
              <w:spacing w:after="0" w:line="180" w:lineRule="exact"/>
              <w:rPr>
                <w:sz w:val="20"/>
                <w:szCs w:val="20"/>
                <w:color w:val="auto"/>
              </w:rPr>
            </w:pPr>
            <w:r>
              <w:rPr>
                <w:rFonts w:ascii="Arial" w:cs="Arial" w:eastAsia="Arial" w:hAnsi="Arial"/>
                <w:sz w:val="18"/>
                <w:szCs w:val="18"/>
                <w:color w:val="auto"/>
                <w:w w:val="90"/>
              </w:rPr>
              <w:t>(2)</w:t>
            </w:r>
          </w:p>
        </w:tc>
        <w:tc>
          <w:tcPr>
            <w:tcW w:w="1000" w:type="dxa"/>
            <w:vAlign w:val="bottom"/>
            <w:gridSpan w:val="2"/>
            <w:shd w:val="clear" w:color="auto" w:fill="E5E5E5"/>
          </w:tcPr>
          <w:p>
            <w:pPr>
              <w:jc w:val="right"/>
              <w:ind w:right="111"/>
              <w:spacing w:after="0" w:line="180" w:lineRule="exact"/>
              <w:rPr>
                <w:sz w:val="20"/>
                <w:szCs w:val="20"/>
                <w:color w:val="auto"/>
              </w:rPr>
            </w:pPr>
            <w:r>
              <w:rPr>
                <w:rFonts w:ascii="Arial" w:cs="Arial" w:eastAsia="Arial" w:hAnsi="Arial"/>
                <w:sz w:val="18"/>
                <w:szCs w:val="18"/>
                <w:color w:val="auto"/>
              </w:rPr>
              <w:t>$ 110.15</w:t>
            </w:r>
          </w:p>
        </w:tc>
        <w:tc>
          <w:tcPr>
            <w:tcW w:w="1000" w:type="dxa"/>
            <w:vAlign w:val="bottom"/>
            <w:shd w:val="clear" w:color="auto" w:fill="E5E5E5"/>
          </w:tcPr>
          <w:p>
            <w:pPr>
              <w:jc w:val="right"/>
              <w:spacing w:after="0" w:line="180" w:lineRule="exact"/>
              <w:rPr>
                <w:sz w:val="20"/>
                <w:szCs w:val="20"/>
                <w:color w:val="auto"/>
              </w:rPr>
            </w:pPr>
            <w:r>
              <w:rPr>
                <w:rFonts w:ascii="Arial" w:cs="Arial" w:eastAsia="Arial" w:hAnsi="Arial"/>
                <w:sz w:val="18"/>
                <w:szCs w:val="18"/>
                <w:color w:val="auto"/>
              </w:rPr>
              <w:t>1/25/2028</w:t>
            </w:r>
          </w:p>
        </w:tc>
        <w:tc>
          <w:tcPr>
            <w:tcW w:w="1300" w:type="dxa"/>
            <w:vAlign w:val="bottom"/>
            <w:gridSpan w:val="2"/>
            <w:shd w:val="clear" w:color="auto" w:fill="E5E5E5"/>
          </w:tcPr>
          <w:p>
            <w:pPr>
              <w:jc w:val="right"/>
              <w:spacing w:after="0" w:line="180" w:lineRule="exact"/>
              <w:rPr>
                <w:sz w:val="20"/>
                <w:szCs w:val="20"/>
                <w:color w:val="auto"/>
              </w:rPr>
            </w:pPr>
            <w:r>
              <w:rPr>
                <w:rFonts w:ascii="Arial" w:cs="Arial" w:eastAsia="Arial" w:hAnsi="Arial"/>
                <w:sz w:val="18"/>
                <w:szCs w:val="18"/>
                <w:color w:val="auto"/>
              </w:rPr>
              <w:t>17,250</w:t>
            </w:r>
          </w:p>
        </w:tc>
        <w:tc>
          <w:tcPr>
            <w:tcW w:w="320" w:type="dxa"/>
            <w:vAlign w:val="bottom"/>
            <w:shd w:val="clear" w:color="auto" w:fill="E5E5E5"/>
          </w:tcPr>
          <w:p>
            <w:pPr>
              <w:jc w:val="right"/>
              <w:ind w:right="10"/>
              <w:spacing w:after="0" w:line="180" w:lineRule="exact"/>
              <w:rPr>
                <w:sz w:val="20"/>
                <w:szCs w:val="20"/>
                <w:color w:val="auto"/>
              </w:rPr>
            </w:pPr>
            <w:r>
              <w:rPr>
                <w:rFonts w:ascii="Arial" w:cs="Arial" w:eastAsia="Arial" w:hAnsi="Arial"/>
                <w:sz w:val="18"/>
                <w:szCs w:val="18"/>
                <w:color w:val="auto"/>
                <w:w w:val="90"/>
              </w:rPr>
              <w:t>(6)</w:t>
            </w:r>
          </w:p>
        </w:tc>
        <w:tc>
          <w:tcPr>
            <w:tcW w:w="1100" w:type="dxa"/>
            <w:vAlign w:val="bottom"/>
            <w:gridSpan w:val="2"/>
            <w:shd w:val="clear" w:color="auto" w:fill="E5E5E5"/>
          </w:tcPr>
          <w:p>
            <w:pPr>
              <w:jc w:val="right"/>
              <w:spacing w:after="0" w:line="180" w:lineRule="exact"/>
              <w:rPr>
                <w:sz w:val="20"/>
                <w:szCs w:val="20"/>
                <w:color w:val="auto"/>
              </w:rPr>
            </w:pPr>
            <w:r>
              <w:rPr>
                <w:rFonts w:ascii="Arial" w:cs="Arial" w:eastAsia="Arial" w:hAnsi="Arial"/>
                <w:sz w:val="18"/>
                <w:szCs w:val="18"/>
                <w:color w:val="auto"/>
              </w:rPr>
              <w:t>$ 1,630,125</w:t>
            </w:r>
          </w:p>
        </w:tc>
        <w:tc>
          <w:tcPr>
            <w:tcW w:w="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26,537</w:t>
            </w:r>
          </w:p>
        </w:tc>
        <w:tc>
          <w:tcPr>
            <w:tcW w:w="1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79,614</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(3)</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79.26</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1/26/2027</w:t>
            </w:r>
          </w:p>
        </w:tc>
        <w:tc>
          <w:tcPr>
            <w:tcW w:w="13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22,080</w:t>
            </w: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w w:val="90"/>
              </w:rPr>
              <w:t>(7)</w:t>
            </w:r>
          </w:p>
        </w:tc>
        <w:tc>
          <w:tcPr>
            <w:tcW w:w="11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$ 2,086,560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62,444</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(4)</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52.93</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1/29/2026</w:t>
            </w:r>
          </w:p>
        </w:tc>
        <w:tc>
          <w:tcPr>
            <w:tcW w:w="13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23,617</w:t>
            </w: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w w:val="90"/>
              </w:rPr>
              <w:t>(8)</w:t>
            </w:r>
          </w:p>
        </w:tc>
        <w:tc>
          <w:tcPr>
            <w:tcW w:w="11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$ 2,231,807</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32,937</w:t>
            </w:r>
          </w:p>
        </w:tc>
        <w:tc>
          <w:tcPr>
            <w:tcW w:w="3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0"/>
              </w:rPr>
              <w:t>(5)</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rPr>
                <w:sz w:val="20"/>
                <w:szCs w:val="20"/>
                <w:color w:val="auto"/>
              </w:rPr>
            </w:pPr>
            <w:r>
              <w:rPr>
                <w:rFonts w:ascii="Arial" w:cs="Arial" w:eastAsia="Arial" w:hAnsi="Arial"/>
                <w:sz w:val="18"/>
                <w:szCs w:val="18"/>
                <w:color w:val="auto"/>
              </w:rPr>
              <w:t>53.94</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1/28/2025</w:t>
            </w:r>
          </w:p>
        </w:tc>
        <w:tc>
          <w:tcPr>
            <w:tcW w:w="13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23,174</w:t>
            </w:r>
          </w:p>
        </w:tc>
        <w:tc>
          <w:tcPr>
            <w:tcW w:w="3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0"/>
              </w:rPr>
              <w:t>(9)</w:t>
            </w:r>
          </w:p>
        </w:tc>
        <w:tc>
          <w:tcPr>
            <w:tcW w:w="11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$ 2,189,943</w:t>
            </w:r>
          </w:p>
        </w:tc>
        <w:tc>
          <w:tcPr>
            <w:tcW w:w="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3480" w:type="dxa"/>
            <w:vAlign w:val="bottom"/>
            <w:gridSpan w:val="2"/>
          </w:tcPr>
          <w:p>
            <w:pPr>
              <w:spacing w:after="0"/>
              <w:rPr>
                <w:sz w:val="20"/>
                <w:szCs w:val="20"/>
                <w:color w:val="auto"/>
              </w:rPr>
            </w:pPr>
            <w:r>
              <w:rPr>
                <w:rFonts w:ascii="Arial" w:cs="Arial" w:eastAsia="Arial" w:hAnsi="Arial"/>
                <w:sz w:val="18"/>
                <w:szCs w:val="18"/>
                <w:color w:val="auto"/>
              </w:rPr>
              <w:t>R. G. Delagi</w:t>
            </w:r>
          </w:p>
        </w:tc>
        <w:tc>
          <w:tcPr>
            <w:tcW w:w="28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77,521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1000" w:type="dxa"/>
            <w:vAlign w:val="bottom"/>
            <w:gridSpan w:val="2"/>
          </w:tcPr>
          <w:p>
            <w:pPr>
              <w:jc w:val="right"/>
              <w:ind w:right="111"/>
              <w:spacing w:after="0"/>
              <w:rPr>
                <w:sz w:val="20"/>
                <w:szCs w:val="20"/>
                <w:color w:val="auto"/>
              </w:rPr>
            </w:pPr>
            <w:r>
              <w:rPr>
                <w:rFonts w:ascii="Arial" w:cs="Arial" w:eastAsia="Arial" w:hAnsi="Arial"/>
                <w:sz w:val="18"/>
                <w:szCs w:val="18"/>
                <w:color w:val="auto"/>
              </w:rPr>
              <w:t>$ 110.15</w:t>
            </w:r>
          </w:p>
        </w:tc>
        <w:tc>
          <w:tcPr>
            <w:tcW w:w="1000" w:type="dxa"/>
            <w:vAlign w:val="bottom"/>
          </w:tcPr>
          <w:p>
            <w:pPr>
              <w:jc w:val="right"/>
              <w:spacing w:after="0"/>
              <w:rPr>
                <w:sz w:val="20"/>
                <w:szCs w:val="20"/>
                <w:color w:val="auto"/>
              </w:rPr>
            </w:pPr>
            <w:r>
              <w:rPr>
                <w:rFonts w:ascii="Arial" w:cs="Arial" w:eastAsia="Arial" w:hAnsi="Arial"/>
                <w:sz w:val="18"/>
                <w:szCs w:val="18"/>
                <w:color w:val="auto"/>
              </w:rPr>
              <w:t>1/25/2028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16,342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$ 1,544,319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27,296</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81,888</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79.26</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1/26/2027</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22,711</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0"/>
              </w:rPr>
              <w:t>(7)</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$ 2,146,190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89,919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89,919</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52.93</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1/29/2026</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34,008</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0"/>
              </w:rPr>
              <w:t>(8)</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$ 3,213,756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142,284</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47,429</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53.94</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1/28/2025</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33,371</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0"/>
              </w:rPr>
              <w:t>(9)</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$ 3,153,560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221,397</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44.09</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1/23/2024</w:t>
            </w: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200,000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32.80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1/25/2023</w:t>
            </w: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40" w:type="dxa"/>
            <w:vAlign w:val="bottom"/>
            <w:gridSpan w:val="2"/>
          </w:tcPr>
          <w:p>
            <w:pPr>
              <w:jc w:val="right"/>
              <w:ind w:right="34"/>
              <w:spacing w:after="0" w:line="202" w:lineRule="exact"/>
              <w:rPr>
                <w:sz w:val="20"/>
                <w:szCs w:val="20"/>
                <w:color w:val="auto"/>
              </w:rPr>
            </w:pPr>
            <w:r>
              <w:rPr>
                <w:rFonts w:ascii="Arial" w:cs="Arial" w:eastAsia="Arial" w:hAnsi="Arial"/>
                <w:sz w:val="18"/>
                <w:szCs w:val="18"/>
                <w:color w:val="auto"/>
              </w:rPr>
              <w:t>175,000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32.36</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1/26/2022</w:t>
            </w: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140" w:type="dxa"/>
            <w:vAlign w:val="bottom"/>
            <w:gridSpan w:val="2"/>
          </w:tcPr>
          <w:p>
            <w:pPr>
              <w:jc w:val="right"/>
              <w:ind w:right="34"/>
              <w:spacing w:after="0"/>
              <w:rPr>
                <w:sz w:val="20"/>
                <w:szCs w:val="20"/>
                <w:color w:val="auto"/>
              </w:rPr>
            </w:pPr>
            <w:r>
              <w:rPr>
                <w:rFonts w:ascii="Arial" w:cs="Arial" w:eastAsia="Arial" w:hAnsi="Arial"/>
                <w:sz w:val="18"/>
                <w:szCs w:val="18"/>
                <w:color w:val="auto"/>
              </w:rPr>
              <w:t>162,500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34.63</w:t>
            </w:r>
          </w:p>
        </w:tc>
        <w:tc>
          <w:tcPr>
            <w:tcW w:w="1000" w:type="dxa"/>
            <w:vAlign w:val="bottom"/>
          </w:tcPr>
          <w:p>
            <w:pPr>
              <w:jc w:val="right"/>
              <w:spacing w:after="0"/>
              <w:rPr>
                <w:sz w:val="20"/>
                <w:szCs w:val="20"/>
                <w:color w:val="auto"/>
              </w:rPr>
            </w:pPr>
            <w:r>
              <w:rPr>
                <w:rFonts w:ascii="Arial" w:cs="Arial" w:eastAsia="Arial" w:hAnsi="Arial"/>
                <w:sz w:val="18"/>
                <w:szCs w:val="18"/>
                <w:color w:val="auto"/>
              </w:rPr>
              <w:t>1/27/2021</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gridSpan w:val="2"/>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60" w:type="dxa"/>
            <w:vAlign w:val="bottom"/>
            <w:shd w:val="clear" w:color="auto" w:fill="E5E5E5"/>
          </w:tcPr>
          <w:p>
            <w:pPr>
              <w:spacing w:after="0" w:line="180" w:lineRule="exact"/>
              <w:rPr>
                <w:sz w:val="20"/>
                <w:szCs w:val="20"/>
                <w:color w:val="auto"/>
              </w:rPr>
            </w:pPr>
            <w:r>
              <w:rPr>
                <w:rFonts w:ascii="Arial" w:cs="Arial" w:eastAsia="Arial" w:hAnsi="Arial"/>
                <w:sz w:val="18"/>
                <w:szCs w:val="18"/>
                <w:color w:val="auto"/>
              </w:rPr>
              <w:t>H. Ilan</w:t>
            </w:r>
          </w:p>
        </w:tc>
        <w:tc>
          <w:tcPr>
            <w:tcW w:w="280" w:type="dxa"/>
            <w:vAlign w:val="bottom"/>
            <w:shd w:val="clear" w:color="auto" w:fill="E5E5E5"/>
          </w:tcPr>
          <w:p>
            <w:pPr>
              <w:spacing w:after="0"/>
              <w:rPr>
                <w:sz w:val="15"/>
                <w:szCs w:val="15"/>
                <w:color w:val="auto"/>
              </w:rPr>
            </w:pPr>
          </w:p>
        </w:tc>
        <w:tc>
          <w:tcPr>
            <w:tcW w:w="860" w:type="dxa"/>
            <w:vAlign w:val="bottom"/>
            <w:shd w:val="clear" w:color="auto" w:fill="E5E5E5"/>
          </w:tcPr>
          <w:p>
            <w:pPr>
              <w:jc w:val="right"/>
              <w:ind w:right="34"/>
              <w:spacing w:after="0" w:line="180"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spacing w:after="0" w:line="180" w:lineRule="exact"/>
              <w:rPr>
                <w:sz w:val="20"/>
                <w:szCs w:val="20"/>
                <w:color w:val="auto"/>
              </w:rPr>
            </w:pPr>
            <w:r>
              <w:rPr>
                <w:rFonts w:ascii="Arial" w:cs="Arial" w:eastAsia="Arial" w:hAnsi="Arial"/>
                <w:sz w:val="18"/>
                <w:szCs w:val="18"/>
                <w:color w:val="auto"/>
              </w:rPr>
              <w:t>81,828</w:t>
            </w:r>
          </w:p>
        </w:tc>
        <w:tc>
          <w:tcPr>
            <w:tcW w:w="340" w:type="dxa"/>
            <w:vAlign w:val="bottom"/>
            <w:shd w:val="clear" w:color="auto" w:fill="E5E5E5"/>
          </w:tcPr>
          <w:p>
            <w:pPr>
              <w:jc w:val="right"/>
              <w:ind w:right="30"/>
              <w:spacing w:after="0" w:line="180" w:lineRule="exact"/>
              <w:rPr>
                <w:sz w:val="20"/>
                <w:szCs w:val="20"/>
                <w:color w:val="auto"/>
              </w:rPr>
            </w:pPr>
            <w:r>
              <w:rPr>
                <w:rFonts w:ascii="Arial" w:cs="Arial" w:eastAsia="Arial" w:hAnsi="Arial"/>
                <w:sz w:val="18"/>
                <w:szCs w:val="18"/>
                <w:color w:val="auto"/>
                <w:w w:val="90"/>
              </w:rPr>
              <w:t>(2)</w:t>
            </w:r>
          </w:p>
        </w:tc>
        <w:tc>
          <w:tcPr>
            <w:tcW w:w="1000" w:type="dxa"/>
            <w:vAlign w:val="bottom"/>
            <w:gridSpan w:val="2"/>
            <w:shd w:val="clear" w:color="auto" w:fill="E5E5E5"/>
          </w:tcPr>
          <w:p>
            <w:pPr>
              <w:jc w:val="right"/>
              <w:ind w:right="111"/>
              <w:spacing w:after="0" w:line="180" w:lineRule="exact"/>
              <w:rPr>
                <w:sz w:val="20"/>
                <w:szCs w:val="20"/>
                <w:color w:val="auto"/>
              </w:rPr>
            </w:pPr>
            <w:r>
              <w:rPr>
                <w:rFonts w:ascii="Arial" w:cs="Arial" w:eastAsia="Arial" w:hAnsi="Arial"/>
                <w:sz w:val="18"/>
                <w:szCs w:val="18"/>
                <w:color w:val="auto"/>
              </w:rPr>
              <w:t>$ 110.15</w:t>
            </w:r>
          </w:p>
        </w:tc>
        <w:tc>
          <w:tcPr>
            <w:tcW w:w="1000" w:type="dxa"/>
            <w:vAlign w:val="bottom"/>
            <w:shd w:val="clear" w:color="auto" w:fill="E5E5E5"/>
          </w:tcPr>
          <w:p>
            <w:pPr>
              <w:jc w:val="right"/>
              <w:spacing w:after="0" w:line="180" w:lineRule="exact"/>
              <w:rPr>
                <w:sz w:val="20"/>
                <w:szCs w:val="20"/>
                <w:color w:val="auto"/>
              </w:rPr>
            </w:pPr>
            <w:r>
              <w:rPr>
                <w:rFonts w:ascii="Arial" w:cs="Arial" w:eastAsia="Arial" w:hAnsi="Arial"/>
                <w:sz w:val="18"/>
                <w:szCs w:val="18"/>
                <w:color w:val="auto"/>
              </w:rPr>
              <w:t>1/25/2028</w:t>
            </w:r>
          </w:p>
        </w:tc>
        <w:tc>
          <w:tcPr>
            <w:tcW w:w="1300" w:type="dxa"/>
            <w:vAlign w:val="bottom"/>
            <w:gridSpan w:val="2"/>
            <w:shd w:val="clear" w:color="auto" w:fill="E5E5E5"/>
          </w:tcPr>
          <w:p>
            <w:pPr>
              <w:jc w:val="right"/>
              <w:spacing w:after="0" w:line="180" w:lineRule="exact"/>
              <w:rPr>
                <w:sz w:val="20"/>
                <w:szCs w:val="20"/>
                <w:color w:val="auto"/>
              </w:rPr>
            </w:pPr>
            <w:r>
              <w:rPr>
                <w:rFonts w:ascii="Arial" w:cs="Arial" w:eastAsia="Arial" w:hAnsi="Arial"/>
                <w:sz w:val="18"/>
                <w:szCs w:val="18"/>
                <w:color w:val="auto"/>
              </w:rPr>
              <w:t>17,250</w:t>
            </w:r>
          </w:p>
        </w:tc>
        <w:tc>
          <w:tcPr>
            <w:tcW w:w="320" w:type="dxa"/>
            <w:vAlign w:val="bottom"/>
            <w:shd w:val="clear" w:color="auto" w:fill="E5E5E5"/>
          </w:tcPr>
          <w:p>
            <w:pPr>
              <w:jc w:val="right"/>
              <w:ind w:right="10"/>
              <w:spacing w:after="0" w:line="180" w:lineRule="exact"/>
              <w:rPr>
                <w:sz w:val="20"/>
                <w:szCs w:val="20"/>
                <w:color w:val="auto"/>
              </w:rPr>
            </w:pPr>
            <w:r>
              <w:rPr>
                <w:rFonts w:ascii="Arial" w:cs="Arial" w:eastAsia="Arial" w:hAnsi="Arial"/>
                <w:sz w:val="18"/>
                <w:szCs w:val="18"/>
                <w:color w:val="auto"/>
                <w:w w:val="90"/>
              </w:rPr>
              <w:t>(6)</w:t>
            </w:r>
          </w:p>
        </w:tc>
        <w:tc>
          <w:tcPr>
            <w:tcW w:w="1100" w:type="dxa"/>
            <w:vAlign w:val="bottom"/>
            <w:gridSpan w:val="2"/>
            <w:shd w:val="clear" w:color="auto" w:fill="E5E5E5"/>
          </w:tcPr>
          <w:p>
            <w:pPr>
              <w:jc w:val="right"/>
              <w:spacing w:after="0" w:line="180" w:lineRule="exact"/>
              <w:rPr>
                <w:sz w:val="20"/>
                <w:szCs w:val="20"/>
                <w:color w:val="auto"/>
              </w:rPr>
            </w:pPr>
            <w:r>
              <w:rPr>
                <w:rFonts w:ascii="Arial" w:cs="Arial" w:eastAsia="Arial" w:hAnsi="Arial"/>
                <w:sz w:val="18"/>
                <w:szCs w:val="18"/>
                <w:color w:val="auto"/>
              </w:rPr>
              <w:t>$ 1,630,125</w:t>
            </w:r>
          </w:p>
        </w:tc>
        <w:tc>
          <w:tcPr>
            <w:tcW w:w="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26,537</w:t>
            </w:r>
          </w:p>
        </w:tc>
        <w:tc>
          <w:tcPr>
            <w:tcW w:w="1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79,614</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(3)</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79.26</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1/26/2027</w:t>
            </w:r>
          </w:p>
        </w:tc>
        <w:tc>
          <w:tcPr>
            <w:tcW w:w="13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22,080</w:t>
            </w: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w w:val="90"/>
              </w:rPr>
              <w:t>(7)</w:t>
            </w:r>
          </w:p>
        </w:tc>
        <w:tc>
          <w:tcPr>
            <w:tcW w:w="11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$ 2,086,560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62,444</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(4)</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52.93</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1/29/2026</w:t>
            </w:r>
          </w:p>
        </w:tc>
        <w:tc>
          <w:tcPr>
            <w:tcW w:w="13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23,617</w:t>
            </w: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w w:val="90"/>
              </w:rPr>
              <w:t>(8)</w:t>
            </w:r>
          </w:p>
        </w:tc>
        <w:tc>
          <w:tcPr>
            <w:tcW w:w="11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$ 2,231,807</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32,937</w:t>
            </w:r>
          </w:p>
        </w:tc>
        <w:tc>
          <w:tcPr>
            <w:tcW w:w="3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0"/>
              </w:rPr>
              <w:t>(5)</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1"/>
              <w:spacing w:after="0"/>
              <w:rPr>
                <w:sz w:val="20"/>
                <w:szCs w:val="20"/>
                <w:color w:val="auto"/>
              </w:rPr>
            </w:pPr>
            <w:r>
              <w:rPr>
                <w:rFonts w:ascii="Arial" w:cs="Arial" w:eastAsia="Arial" w:hAnsi="Arial"/>
                <w:sz w:val="18"/>
                <w:szCs w:val="18"/>
                <w:color w:val="auto"/>
              </w:rPr>
              <w:t>53.94</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1/28/2025</w:t>
            </w:r>
          </w:p>
        </w:tc>
        <w:tc>
          <w:tcPr>
            <w:tcW w:w="13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23,174</w:t>
            </w:r>
          </w:p>
        </w:tc>
        <w:tc>
          <w:tcPr>
            <w:tcW w:w="3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0"/>
              </w:rPr>
              <w:t>(9)</w:t>
            </w:r>
          </w:p>
        </w:tc>
        <w:tc>
          <w:tcPr>
            <w:tcW w:w="11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$ 2,189,943</w:t>
            </w:r>
          </w:p>
        </w:tc>
        <w:tc>
          <w:tcPr>
            <w:tcW w:w="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3480" w:type="dxa"/>
            <w:vAlign w:val="bottom"/>
            <w:gridSpan w:val="2"/>
          </w:tcPr>
          <w:p>
            <w:pPr>
              <w:spacing w:after="0"/>
              <w:rPr>
                <w:sz w:val="20"/>
                <w:szCs w:val="20"/>
                <w:color w:val="auto"/>
              </w:rPr>
            </w:pPr>
            <w:r>
              <w:rPr>
                <w:rFonts w:ascii="Arial" w:cs="Arial" w:eastAsia="Arial" w:hAnsi="Arial"/>
                <w:sz w:val="18"/>
                <w:szCs w:val="18"/>
                <w:color w:val="auto"/>
              </w:rPr>
              <w:t>B. T. Crutcher (10)</w:t>
            </w:r>
          </w:p>
        </w:tc>
        <w:tc>
          <w:tcPr>
            <w:tcW w:w="28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Calculated by multiplying the number of RSUs by the closing price of TI common stock on December 31, 2018 ($94.50).</w:t>
      </w:r>
    </w:p>
    <w:p>
      <w:pPr>
        <w:spacing w:after="0" w:line="117" w:lineRule="exact"/>
        <w:rPr>
          <w:rFonts w:ascii="Arial" w:cs="Arial" w:eastAsia="Arial" w:hAnsi="Arial"/>
          <w:sz w:val="18"/>
          <w:szCs w:val="18"/>
          <w:color w:val="auto"/>
        </w:rPr>
      </w:pPr>
    </w:p>
    <w:p>
      <w:pPr>
        <w:ind w:left="640" w:right="200" w:hanging="436"/>
        <w:spacing w:after="0" w:line="276"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One-quarter of the shares became exercisable on January 25, 2019, and one-third of the remaining shares become exercisable on each of January 25, 2020, January 25, 2021, and January 25, 2022.</w:t>
      </w:r>
    </w:p>
    <w:p>
      <w:pPr>
        <w:spacing w:after="0" w:line="50" w:lineRule="exact"/>
        <w:rPr>
          <w:rFonts w:ascii="Arial" w:cs="Arial" w:eastAsia="Arial" w:hAnsi="Arial"/>
          <w:sz w:val="18"/>
          <w:szCs w:val="18"/>
          <w:color w:val="auto"/>
        </w:rPr>
      </w:pPr>
    </w:p>
    <w:p>
      <w:pPr>
        <w:ind w:left="640" w:right="40" w:hanging="436"/>
        <w:spacing w:after="0" w:line="276"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One-third of the shares became exercisable on January 26, 2019, and one-half of the remaining shares become exercisable on each of January 26, 2020, and January 26, 2021.</w:t>
      </w:r>
    </w:p>
    <w:p>
      <w:pPr>
        <w:spacing w:after="0" w:line="50" w:lineRule="exact"/>
        <w:rPr>
          <w:rFonts w:ascii="Arial" w:cs="Arial" w:eastAsia="Arial" w:hAnsi="Arial"/>
          <w:sz w:val="18"/>
          <w:szCs w:val="18"/>
          <w:color w:val="auto"/>
        </w:rPr>
      </w:pPr>
    </w:p>
    <w:p>
      <w:pPr>
        <w:ind w:left="640" w:right="340" w:hanging="436"/>
        <w:spacing w:after="0" w:line="276"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One-half of the shares became exercisable on January 29, 2019, and the remaining one-half become exercisable on January 29, 2020.</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Became fully exercisable on January 28, 2019.</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Vesting date is January 31, 2022.</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Vesting date is February 1, 2021.</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Vesting date is January 31, 2020.</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Vested on January 31, 2019.</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a result of his resignation, all of Mr. Crutcher’s unvested equity awards were cancelled.</w:t>
      </w:r>
    </w:p>
    <w:p>
      <w:pPr>
        <w:sectPr>
          <w:pgSz w:w="11900" w:h="16838" w:orient="portrait"/>
          <w:cols w:equalWidth="0" w:num="1">
            <w:col w:w="11240"/>
          </w:cols>
          <w:pgMar w:left="240" w:top="455" w:right="419" w:bottom="1440" w:gutter="0" w:footer="0" w:header="0"/>
        </w:sectPr>
      </w:pPr>
    </w:p>
    <w:p>
      <w:pPr>
        <w:spacing w:after="0" w:line="145"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40"/>
          </w:cols>
          <w:pgMar w:left="240" w:top="455" w:right="41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60"/>
        <w:spacing w:after="0" w:line="241" w:lineRule="auto"/>
        <w:rPr>
          <w:sz w:val="20"/>
          <w:szCs w:val="20"/>
          <w:color w:val="auto"/>
        </w:rPr>
      </w:pPr>
      <w:r>
        <w:rPr>
          <w:rFonts w:ascii="Arial" w:cs="Arial" w:eastAsia="Arial" w:hAnsi="Arial"/>
          <w:sz w:val="18"/>
          <w:szCs w:val="18"/>
          <w:color w:val="auto"/>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10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stock options outstanding as of December 31, 2018. The Compensation Committee of the board of directors established these termination provisions to promote employee retention while offering competitive terms.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0" w:type="dxa"/>
            <w:vAlign w:val="bottom"/>
          </w:tcPr>
          <w:p>
            <w:pPr>
              <w:jc w:val="center"/>
              <w:ind w:left="2"/>
              <w:spacing w:after="0"/>
              <w:rPr>
                <w:sz w:val="20"/>
                <w:szCs w:val="20"/>
                <w:color w:val="auto"/>
              </w:rPr>
            </w:pPr>
            <w:r>
              <w:rPr>
                <w:rFonts w:ascii="Arial" w:cs="Arial" w:eastAsia="Arial" w:hAnsi="Arial"/>
                <w:sz w:val="14"/>
                <w:szCs w:val="14"/>
                <w:b w:val="1"/>
                <w:bCs w:val="1"/>
                <w:color w:val="auto"/>
              </w:rPr>
              <w:t>Employment Termination</w:t>
            </w:r>
          </w:p>
        </w:tc>
        <w:tc>
          <w:tcPr>
            <w:tcW w:w="2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0" w:type="dxa"/>
            <w:vAlign w:val="bottom"/>
          </w:tcPr>
          <w:p>
            <w:pPr>
              <w:jc w:val="center"/>
              <w:ind w:left="2"/>
              <w:spacing w:after="0"/>
              <w:rPr>
                <w:sz w:val="20"/>
                <w:szCs w:val="20"/>
                <w:color w:val="auto"/>
              </w:rPr>
            </w:pPr>
            <w:r>
              <w:rPr>
                <w:rFonts w:ascii="Arial" w:cs="Arial" w:eastAsia="Arial" w:hAnsi="Arial"/>
                <w:sz w:val="14"/>
                <w:szCs w:val="14"/>
                <w:b w:val="1"/>
                <w:bCs w:val="1"/>
                <w:color w:val="auto"/>
              </w:rPr>
              <w:t>due to Death or</w:t>
            </w: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Employment Termination</w:t>
            </w:r>
          </w:p>
        </w:tc>
        <w:tc>
          <w:tcPr>
            <w:tcW w:w="1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2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Permanent Disability</w:t>
            </w:r>
          </w:p>
        </w:tc>
        <w:tc>
          <w:tcPr>
            <w:tcW w:w="274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0" w:type="dxa"/>
            <w:vAlign w:val="bottom"/>
          </w:tcPr>
          <w:p>
            <w:pPr>
              <w:jc w:val="center"/>
              <w:ind w:left="2"/>
              <w:spacing w:after="0"/>
              <w:rPr>
                <w:sz w:val="20"/>
                <w:szCs w:val="20"/>
                <w:color w:val="auto"/>
              </w:rPr>
            </w:pPr>
            <w:r>
              <w:rPr>
                <w:rFonts w:ascii="Arial" w:cs="Arial" w:eastAsia="Arial" w:hAnsi="Arial"/>
                <w:sz w:val="14"/>
                <w:szCs w:val="14"/>
                <w:b w:val="1"/>
                <w:bCs w:val="1"/>
                <w:color w:val="auto"/>
              </w:rPr>
              <w:t>or at Least 6 Months</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(at Least 6 Months after Grant)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Employment</w:t>
            </w:r>
          </w:p>
        </w:tc>
        <w:tc>
          <w:tcPr>
            <w:tcW w:w="1980" w:type="dxa"/>
            <w:vAlign w:val="bottom"/>
          </w:tcPr>
          <w:p>
            <w:pPr>
              <w:jc w:val="center"/>
              <w:ind w:left="39"/>
              <w:spacing w:after="0"/>
              <w:rPr>
                <w:sz w:val="20"/>
                <w:szCs w:val="20"/>
                <w:color w:val="auto"/>
              </w:rPr>
            </w:pPr>
            <w:r>
              <w:rPr>
                <w:rFonts w:ascii="Arial" w:cs="Arial" w:eastAsia="Arial" w:hAnsi="Arial"/>
                <w:sz w:val="14"/>
                <w:szCs w:val="14"/>
                <w:b w:val="1"/>
                <w:bCs w:val="1"/>
                <w:color w:val="auto"/>
              </w:rPr>
              <w:t>Other Circumstances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0" w:type="dxa"/>
            <w:vAlign w:val="bottom"/>
          </w:tcPr>
          <w:p>
            <w:pPr>
              <w:jc w:val="center"/>
              <w:ind w:left="2"/>
              <w:spacing w:after="0"/>
              <w:rPr>
                <w:sz w:val="20"/>
                <w:szCs w:val="20"/>
                <w:color w:val="auto"/>
              </w:rPr>
            </w:pPr>
            <w:r>
              <w:rPr>
                <w:rFonts w:ascii="Arial" w:cs="Arial" w:eastAsia="Arial" w:hAnsi="Arial"/>
                <w:sz w:val="14"/>
                <w:szCs w:val="14"/>
                <w:b w:val="1"/>
                <w:bCs w:val="1"/>
                <w:color w:val="auto"/>
              </w:rPr>
              <w:t>after Grant When</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with 20 Years of Credited Service,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1980" w:type="dxa"/>
            <w:vAlign w:val="bottom"/>
          </w:tcPr>
          <w:p>
            <w:pPr>
              <w:jc w:val="center"/>
              <w:ind w:left="19"/>
              <w:spacing w:after="0"/>
              <w:rPr>
                <w:sz w:val="20"/>
                <w:szCs w:val="20"/>
                <w:color w:val="auto"/>
              </w:rPr>
            </w:pPr>
            <w:r>
              <w:rPr>
                <w:rFonts w:ascii="Arial" w:cs="Arial" w:eastAsia="Arial" w:hAnsi="Arial"/>
                <w:sz w:val="14"/>
                <w:szCs w:val="14"/>
                <w:b w:val="1"/>
                <w:bCs w:val="1"/>
                <w:color w:val="auto"/>
              </w:rPr>
              <w:t>of Employment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Retirement Eligible *</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but Not Retirement Eligible **</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Cause</w:t>
            </w:r>
          </w:p>
        </w:tc>
        <w:tc>
          <w:tcPr>
            <w:tcW w:w="198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Unvested portion of option</w:t>
            </w:r>
          </w:p>
        </w:tc>
        <w:tc>
          <w:tcPr>
            <w:tcW w:w="2200" w:type="dxa"/>
            <w:vAlign w:val="bottom"/>
          </w:tcPr>
          <w:p>
            <w:pPr>
              <w:ind w:left="320"/>
              <w:spacing w:after="0"/>
              <w:rPr>
                <w:sz w:val="20"/>
                <w:szCs w:val="20"/>
                <w:color w:val="auto"/>
              </w:rPr>
            </w:pPr>
            <w:r>
              <w:rPr>
                <w:rFonts w:ascii="Arial" w:cs="Arial" w:eastAsia="Arial" w:hAnsi="Arial"/>
                <w:sz w:val="18"/>
                <w:szCs w:val="18"/>
                <w:color w:val="auto"/>
              </w:rPr>
              <w:t>Vesting continues</w:t>
            </w:r>
          </w:p>
        </w:tc>
        <w:tc>
          <w:tcPr>
            <w:tcW w:w="2740" w:type="dxa"/>
            <w:vAlign w:val="bottom"/>
          </w:tcPr>
          <w:p>
            <w:pPr>
              <w:ind w:left="280"/>
              <w:spacing w:after="0"/>
              <w:rPr>
                <w:sz w:val="20"/>
                <w:szCs w:val="20"/>
                <w:color w:val="auto"/>
              </w:rPr>
            </w:pPr>
            <w:r>
              <w:rPr>
                <w:rFonts w:ascii="Arial" w:cs="Arial" w:eastAsia="Arial" w:hAnsi="Arial"/>
                <w:sz w:val="18"/>
                <w:szCs w:val="18"/>
                <w:color w:val="auto"/>
              </w:rPr>
              <w:t>Vesting stops</w:t>
            </w: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Vesting stops</w:t>
            </w:r>
          </w:p>
        </w:tc>
        <w:tc>
          <w:tcPr>
            <w:tcW w:w="1980" w:type="dxa"/>
            <w:vAlign w:val="bottom"/>
          </w:tcPr>
          <w:p>
            <w:pPr>
              <w:ind w:left="240"/>
              <w:spacing w:after="0"/>
              <w:rPr>
                <w:sz w:val="20"/>
                <w:szCs w:val="20"/>
                <w:color w:val="auto"/>
              </w:rPr>
            </w:pPr>
            <w:r>
              <w:rPr>
                <w:rFonts w:ascii="Arial" w:cs="Arial" w:eastAsia="Arial" w:hAnsi="Arial"/>
                <w:sz w:val="18"/>
                <w:szCs w:val="18"/>
                <w:color w:val="auto"/>
              </w:rPr>
              <w:t>Vesting stops</w:t>
            </w:r>
          </w:p>
        </w:tc>
        <w:tc>
          <w:tcPr>
            <w:tcW w:w="0" w:type="dxa"/>
            <w:vAlign w:val="bottom"/>
          </w:tcPr>
          <w:p>
            <w:pPr>
              <w:spacing w:after="0"/>
              <w:rPr>
                <w:sz w:val="1"/>
                <w:szCs w:val="1"/>
                <w:color w:val="auto"/>
              </w:rPr>
            </w:pPr>
          </w:p>
        </w:tc>
      </w:tr>
      <w:tr>
        <w:trPr>
          <w:trHeight w:val="332"/>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Vested portion of option</w:t>
            </w:r>
          </w:p>
        </w:tc>
        <w:tc>
          <w:tcPr>
            <w:tcW w:w="2200" w:type="dxa"/>
            <w:vAlign w:val="bottom"/>
          </w:tcPr>
          <w:p>
            <w:pPr>
              <w:ind w:left="320"/>
              <w:spacing w:after="0"/>
              <w:rPr>
                <w:sz w:val="20"/>
                <w:szCs w:val="20"/>
                <w:color w:val="auto"/>
              </w:rPr>
            </w:pPr>
            <w:r>
              <w:rPr>
                <w:rFonts w:ascii="Arial" w:cs="Arial" w:eastAsia="Arial" w:hAnsi="Arial"/>
                <w:sz w:val="18"/>
                <w:szCs w:val="18"/>
                <w:color w:val="auto"/>
              </w:rPr>
              <w:t>Remains exercisable</w:t>
            </w:r>
          </w:p>
        </w:tc>
        <w:tc>
          <w:tcPr>
            <w:tcW w:w="2740" w:type="dxa"/>
            <w:vAlign w:val="bottom"/>
          </w:tcPr>
          <w:p>
            <w:pPr>
              <w:ind w:left="280"/>
              <w:spacing w:after="0"/>
              <w:rPr>
                <w:sz w:val="20"/>
                <w:szCs w:val="20"/>
                <w:color w:val="auto"/>
              </w:rPr>
            </w:pPr>
            <w:r>
              <w:rPr>
                <w:rFonts w:ascii="Arial" w:cs="Arial" w:eastAsia="Arial" w:hAnsi="Arial"/>
                <w:sz w:val="18"/>
                <w:szCs w:val="18"/>
                <w:color w:val="auto"/>
              </w:rPr>
              <w:t>Remains exercisable</w:t>
            </w:r>
          </w:p>
        </w:tc>
        <w:tc>
          <w:tcPr>
            <w:tcW w:w="1540" w:type="dxa"/>
            <w:vAlign w:val="bottom"/>
          </w:tcPr>
          <w:p>
            <w:pPr>
              <w:ind w:left="240"/>
              <w:spacing w:after="0"/>
              <w:rPr>
                <w:sz w:val="20"/>
                <w:szCs w:val="20"/>
                <w:color w:val="auto"/>
              </w:rPr>
            </w:pPr>
            <w:r>
              <w:rPr>
                <w:rFonts w:ascii="Arial" w:cs="Arial" w:eastAsia="Arial" w:hAnsi="Arial"/>
                <w:sz w:val="18"/>
                <w:szCs w:val="18"/>
                <w:color w:val="auto"/>
              </w:rPr>
              <w:t>Terminates</w:t>
            </w:r>
          </w:p>
        </w:tc>
        <w:tc>
          <w:tcPr>
            <w:tcW w:w="1980" w:type="dxa"/>
            <w:vAlign w:val="bottom"/>
          </w:tcPr>
          <w:p>
            <w:pPr>
              <w:ind w:left="240"/>
              <w:spacing w:after="0"/>
              <w:rPr>
                <w:sz w:val="20"/>
                <w:szCs w:val="20"/>
                <w:color w:val="auto"/>
              </w:rPr>
            </w:pPr>
            <w:r>
              <w:rPr>
                <w:rFonts w:ascii="Arial" w:cs="Arial" w:eastAsia="Arial" w:hAnsi="Arial"/>
                <w:sz w:val="18"/>
                <w:szCs w:val="18"/>
                <w:color w:val="auto"/>
              </w:rPr>
              <w:t>Remains exercisable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200" w:type="dxa"/>
            <w:vAlign w:val="bottom"/>
          </w:tcPr>
          <w:p>
            <w:pPr>
              <w:ind w:left="320"/>
              <w:spacing w:after="0"/>
              <w:rPr>
                <w:sz w:val="20"/>
                <w:szCs w:val="20"/>
                <w:color w:val="auto"/>
              </w:rPr>
            </w:pPr>
            <w:r>
              <w:rPr>
                <w:rFonts w:ascii="Arial" w:cs="Arial" w:eastAsia="Arial" w:hAnsi="Arial"/>
                <w:sz w:val="18"/>
                <w:szCs w:val="18"/>
                <w:color w:val="auto"/>
              </w:rPr>
              <w:t>to end of term</w:t>
            </w:r>
          </w:p>
        </w:tc>
        <w:tc>
          <w:tcPr>
            <w:tcW w:w="2740" w:type="dxa"/>
            <w:vAlign w:val="bottom"/>
          </w:tcPr>
          <w:p>
            <w:pPr>
              <w:ind w:left="280"/>
              <w:spacing w:after="0"/>
              <w:rPr>
                <w:sz w:val="20"/>
                <w:szCs w:val="20"/>
                <w:color w:val="auto"/>
              </w:rPr>
            </w:pPr>
            <w:r>
              <w:rPr>
                <w:rFonts w:ascii="Arial" w:cs="Arial" w:eastAsia="Arial" w:hAnsi="Arial"/>
                <w:sz w:val="18"/>
                <w:szCs w:val="18"/>
                <w:color w:val="auto"/>
              </w:rPr>
              <w:t>to end of term</w:t>
            </w:r>
          </w:p>
        </w:tc>
        <w:tc>
          <w:tcPr>
            <w:tcW w:w="1540" w:type="dxa"/>
            <w:vAlign w:val="bottom"/>
          </w:tcPr>
          <w:p>
            <w:pPr>
              <w:spacing w:after="0"/>
              <w:rPr>
                <w:sz w:val="21"/>
                <w:szCs w:val="21"/>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for 30 days</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left="420" w:right="100" w:hanging="216"/>
        <w:spacing w:after="0" w:line="255"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Retirement eligibility is defined for purposes of equity awards made after 2012 as at least age 55 with 10 or more years of TI service or at least age 65. For awards made before 2013, the definition of normal or early retirement eligibility in the relevant pension plan applies (see “2018 pension benefits”).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This provision is not applicable to grants made after 2012.</w:t>
      </w:r>
    </w:p>
    <w:p>
      <w:pPr>
        <w:spacing w:after="0" w:line="212" w:lineRule="exact"/>
        <w:rPr>
          <w:sz w:val="20"/>
          <w:szCs w:val="20"/>
          <w:color w:val="auto"/>
        </w:rPr>
      </w:pPr>
    </w:p>
    <w:p>
      <w:pPr>
        <w:ind w:left="200" w:right="60"/>
        <w:spacing w:after="0" w:line="245" w:lineRule="auto"/>
        <w:rPr>
          <w:sz w:val="20"/>
          <w:szCs w:val="20"/>
          <w:color w:val="auto"/>
        </w:rPr>
      </w:pPr>
      <w:r>
        <w:rPr>
          <w:rFonts w:ascii="Arial" w:cs="Arial" w:eastAsia="Arial" w:hAnsi="Arial"/>
          <w:sz w:val="18"/>
          <w:szCs w:val="18"/>
          <w:color w:val="auto"/>
        </w:rPr>
        <w:t>Options may be cancelled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172" w:lineRule="exact"/>
        <w:rPr>
          <w:sz w:val="20"/>
          <w:szCs w:val="20"/>
          <w:color w:val="auto"/>
        </w:rPr>
      </w:pPr>
    </w:p>
    <w:p>
      <w:pPr>
        <w:ind w:left="200" w:right="280"/>
        <w:spacing w:after="0" w:line="243" w:lineRule="auto"/>
        <w:rPr>
          <w:sz w:val="20"/>
          <w:szCs w:val="20"/>
          <w:color w:val="auto"/>
        </w:rPr>
      </w:pPr>
      <w:r>
        <w:rPr>
          <w:rFonts w:ascii="Arial" w:cs="Arial" w:eastAsia="Arial" w:hAnsi="Arial"/>
          <w:sz w:val="18"/>
          <w:szCs w:val="18"/>
          <w:color w:val="auto"/>
        </w:rPr>
        <w:t>Options granted after 2009 become fully vested if the grantee is involuntarily terminated from employment with TI (other than for cause) within 24 months after a change in control of TI. “Change in control” is defined as provided in the Texas Instruments 2009 Long-Term Incentive Plan and occurs upon (i) acquisition of more than 50 percent of the voting stock or at least 80 percent of the assets of TI or</w:t>
      </w:r>
    </w:p>
    <w:p>
      <w:pPr>
        <w:spacing w:after="0" w:line="1" w:lineRule="exact"/>
        <w:rPr>
          <w:sz w:val="20"/>
          <w:szCs w:val="20"/>
          <w:color w:val="auto"/>
        </w:rPr>
      </w:pPr>
    </w:p>
    <w:p>
      <w:pPr>
        <w:ind w:left="200" w:right="40" w:firstLine="4"/>
        <w:spacing w:after="0" w:line="237" w:lineRule="auto"/>
        <w:tabs>
          <w:tab w:leader="none" w:pos="4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 For options granted before 2010, the stock option terms provide that upon a change in control of TI, the option becomes fully vested to the extent it is then outstanding; and if employment termination (except for cause) has occurred within 30 days before the change in control, the change in control is deemed to have occurred first. “Change in control” is defined in these pre-2010 options as (i) acquisition of 20 percent of TI common stock other than through a transaction approved by the board of directors, or (ii) change of a majority of the board of directors in a 24-month period unless a majority of the directors then in office have elected or nominated the new directors (together, the “pre-2010 definition”).</w:t>
      </w:r>
    </w:p>
    <w:p>
      <w:pPr>
        <w:spacing w:after="0" w:line="180" w:lineRule="exact"/>
        <w:rPr>
          <w:sz w:val="20"/>
          <w:szCs w:val="20"/>
          <w:color w:val="auto"/>
        </w:rPr>
      </w:pPr>
    </w:p>
    <w:p>
      <w:pPr>
        <w:ind w:left="200" w:right="180"/>
        <w:spacing w:after="0" w:line="248" w:lineRule="auto"/>
        <w:rPr>
          <w:sz w:val="20"/>
          <w:szCs w:val="20"/>
          <w:color w:val="auto"/>
        </w:rPr>
      </w:pPr>
      <w:r>
        <w:rPr>
          <w:rFonts w:ascii="Arial" w:cs="Arial" w:eastAsia="Arial" w:hAnsi="Arial"/>
          <w:sz w:val="18"/>
          <w:szCs w:val="18"/>
          <w:color w:val="auto"/>
        </w:rPr>
        <w:t>The “Stock Awards” column in the table of outstanding equity awards at fiscal year-end 2018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shows the termination provisions of RSUs outstanding as of December 31, 2018.</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60" w:type="dxa"/>
            <w:vAlign w:val="bottom"/>
          </w:tcPr>
          <w:p>
            <w:pPr>
              <w:jc w:val="center"/>
              <w:ind w:right="764"/>
              <w:spacing w:after="0"/>
              <w:rPr>
                <w:sz w:val="20"/>
                <w:szCs w:val="20"/>
                <w:color w:val="auto"/>
              </w:rPr>
            </w:pPr>
            <w:r>
              <w:rPr>
                <w:rFonts w:ascii="Arial" w:cs="Arial" w:eastAsia="Arial" w:hAnsi="Arial"/>
                <w:sz w:val="14"/>
                <w:szCs w:val="14"/>
                <w:b w:val="1"/>
                <w:bCs w:val="1"/>
                <w:color w:val="auto"/>
              </w:rPr>
              <w:t>Employment Termination</w:t>
            </w:r>
          </w:p>
        </w:tc>
        <w:tc>
          <w:tcPr>
            <w:tcW w:w="414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162"/>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Due to Death or Permanent Disability</w:t>
            </w:r>
          </w:p>
        </w:tc>
        <w:tc>
          <w:tcPr>
            <w:tcW w:w="4140" w:type="dxa"/>
            <w:vAlign w:val="bottom"/>
          </w:tcPr>
          <w:p>
            <w:pPr>
              <w:spacing w:after="0"/>
              <w:rPr>
                <w:sz w:val="14"/>
                <w:szCs w:val="14"/>
                <w:color w:val="auto"/>
              </w:rPr>
            </w:pPr>
          </w:p>
        </w:tc>
        <w:tc>
          <w:tcPr>
            <w:tcW w:w="3520" w:type="dxa"/>
            <w:vAlign w:val="bottom"/>
          </w:tcPr>
          <w:p>
            <w:pPr>
              <w:ind w:left="940"/>
              <w:spacing w:after="0"/>
              <w:rPr>
                <w:sz w:val="20"/>
                <w:szCs w:val="20"/>
                <w:color w:val="auto"/>
              </w:rPr>
            </w:pPr>
            <w:r>
              <w:rPr>
                <w:rFonts w:ascii="Arial" w:cs="Arial" w:eastAsia="Arial" w:hAnsi="Arial"/>
                <w:sz w:val="14"/>
                <w:szCs w:val="14"/>
                <w:b w:val="1"/>
                <w:bCs w:val="1"/>
                <w:color w:val="auto"/>
              </w:rPr>
              <w:t>Other Circumstances of</w:t>
            </w:r>
          </w:p>
        </w:tc>
      </w:tr>
      <w:tr>
        <w:trPr>
          <w:trHeight w:val="162"/>
        </w:trPr>
        <w:tc>
          <w:tcPr>
            <w:tcW w:w="20" w:type="dxa"/>
            <w:vAlign w:val="bottom"/>
          </w:tcPr>
          <w:p>
            <w:pPr>
              <w:spacing w:after="0"/>
              <w:rPr>
                <w:sz w:val="14"/>
                <w:szCs w:val="14"/>
                <w:color w:val="auto"/>
              </w:rPr>
            </w:pPr>
          </w:p>
        </w:tc>
        <w:tc>
          <w:tcPr>
            <w:tcW w:w="3360" w:type="dxa"/>
            <w:vAlign w:val="bottom"/>
          </w:tcPr>
          <w:p>
            <w:pPr>
              <w:jc w:val="center"/>
              <w:ind w:right="784"/>
              <w:spacing w:after="0"/>
              <w:rPr>
                <w:sz w:val="20"/>
                <w:szCs w:val="20"/>
                <w:color w:val="auto"/>
              </w:rPr>
            </w:pPr>
            <w:r>
              <w:rPr>
                <w:rFonts w:ascii="Arial" w:cs="Arial" w:eastAsia="Arial" w:hAnsi="Arial"/>
                <w:sz w:val="14"/>
                <w:szCs w:val="14"/>
                <w:b w:val="1"/>
                <w:bCs w:val="1"/>
                <w:color w:val="auto"/>
              </w:rPr>
              <w:t>or at Least 6 Months after Grant</w:t>
            </w:r>
          </w:p>
        </w:tc>
        <w:tc>
          <w:tcPr>
            <w:tcW w:w="4140" w:type="dxa"/>
            <w:vAlign w:val="bottom"/>
          </w:tcPr>
          <w:p>
            <w:pPr>
              <w:spacing w:after="0"/>
              <w:rPr>
                <w:sz w:val="14"/>
                <w:szCs w:val="14"/>
                <w:color w:val="auto"/>
              </w:rPr>
            </w:pPr>
          </w:p>
        </w:tc>
        <w:tc>
          <w:tcPr>
            <w:tcW w:w="3520" w:type="dxa"/>
            <w:vAlign w:val="bottom"/>
          </w:tcPr>
          <w:p>
            <w:pPr>
              <w:ind w:left="860"/>
              <w:spacing w:after="0"/>
              <w:rPr>
                <w:sz w:val="20"/>
                <w:szCs w:val="20"/>
                <w:color w:val="auto"/>
              </w:rPr>
            </w:pPr>
            <w:r>
              <w:rPr>
                <w:rFonts w:ascii="Arial" w:cs="Arial" w:eastAsia="Arial" w:hAnsi="Arial"/>
                <w:sz w:val="14"/>
                <w:szCs w:val="14"/>
                <w:b w:val="1"/>
                <w:bCs w:val="1"/>
                <w:color w:val="auto"/>
              </w:rPr>
              <w:t>Employment Termination</w:t>
            </w:r>
          </w:p>
        </w:tc>
      </w:tr>
      <w:tr>
        <w:trPr>
          <w:trHeight w:val="191"/>
        </w:trPr>
        <w:tc>
          <w:tcPr>
            <w:tcW w:w="20" w:type="dxa"/>
            <w:vAlign w:val="bottom"/>
          </w:tcPr>
          <w:p>
            <w:pPr>
              <w:spacing w:after="0"/>
              <w:rPr>
                <w:sz w:val="16"/>
                <w:szCs w:val="16"/>
                <w:color w:val="auto"/>
              </w:rPr>
            </w:pPr>
          </w:p>
        </w:tc>
        <w:tc>
          <w:tcPr>
            <w:tcW w:w="3360" w:type="dxa"/>
            <w:vAlign w:val="bottom"/>
            <w:tcBorders>
              <w:bottom w:val="single" w:sz="8" w:color="auto"/>
            </w:tcBorders>
          </w:tcPr>
          <w:p>
            <w:pPr>
              <w:jc w:val="center"/>
              <w:ind w:right="784"/>
              <w:spacing w:after="0"/>
              <w:rPr>
                <w:sz w:val="20"/>
                <w:szCs w:val="20"/>
                <w:color w:val="auto"/>
              </w:rPr>
            </w:pPr>
            <w:r>
              <w:rPr>
                <w:rFonts w:ascii="Arial" w:cs="Arial" w:eastAsia="Arial" w:hAnsi="Arial"/>
                <w:sz w:val="14"/>
                <w:szCs w:val="14"/>
                <w:b w:val="1"/>
                <w:bCs w:val="1"/>
                <w:color w:val="auto"/>
              </w:rPr>
              <w:t>When Retirement Eligible</w:t>
            </w:r>
          </w:p>
        </w:tc>
        <w:tc>
          <w:tcPr>
            <w:tcW w:w="41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Employment Termination For Cause</w:t>
            </w:r>
          </w:p>
        </w:tc>
        <w:tc>
          <w:tcPr>
            <w:tcW w:w="3520" w:type="dxa"/>
            <w:vAlign w:val="bottom"/>
            <w:tcBorders>
              <w:bottom w:val="single" w:sz="8" w:color="auto"/>
            </w:tcBorders>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3360" w:type="dxa"/>
            <w:vAlign w:val="bottom"/>
          </w:tcPr>
          <w:p>
            <w:pPr>
              <w:spacing w:after="0" w:line="173" w:lineRule="exact"/>
              <w:rPr>
                <w:sz w:val="20"/>
                <w:szCs w:val="20"/>
                <w:color w:val="auto"/>
              </w:rPr>
            </w:pPr>
            <w:r>
              <w:rPr>
                <w:rFonts w:ascii="Arial" w:cs="Arial" w:eastAsia="Arial" w:hAnsi="Arial"/>
                <w:sz w:val="18"/>
                <w:szCs w:val="18"/>
                <w:color w:val="auto"/>
              </w:rPr>
              <w:t>Vesting continues; shares</w:t>
            </w:r>
          </w:p>
        </w:tc>
        <w:tc>
          <w:tcPr>
            <w:tcW w:w="4140" w:type="dxa"/>
            <w:vAlign w:val="bottom"/>
          </w:tcPr>
          <w:p>
            <w:pPr>
              <w:ind w:left="840"/>
              <w:spacing w:after="0" w:line="173" w:lineRule="exact"/>
              <w:rPr>
                <w:sz w:val="20"/>
                <w:szCs w:val="20"/>
                <w:color w:val="auto"/>
              </w:rPr>
            </w:pPr>
            <w:r>
              <w:rPr>
                <w:rFonts w:ascii="Arial" w:cs="Arial" w:eastAsia="Arial" w:hAnsi="Arial"/>
                <w:sz w:val="18"/>
                <w:szCs w:val="18"/>
                <w:color w:val="auto"/>
              </w:rPr>
              <w:t>Grant cancels;</w:t>
            </w:r>
          </w:p>
        </w:tc>
        <w:tc>
          <w:tcPr>
            <w:tcW w:w="3520" w:type="dxa"/>
            <w:vAlign w:val="bottom"/>
          </w:tcPr>
          <w:p>
            <w:pPr>
              <w:ind w:left="860"/>
              <w:spacing w:after="0" w:line="173" w:lineRule="exact"/>
              <w:rPr>
                <w:sz w:val="20"/>
                <w:szCs w:val="20"/>
                <w:color w:val="auto"/>
              </w:rPr>
            </w:pPr>
            <w:r>
              <w:rPr>
                <w:rFonts w:ascii="Arial" w:cs="Arial" w:eastAsia="Arial" w:hAnsi="Arial"/>
                <w:sz w:val="18"/>
                <w:szCs w:val="18"/>
                <w:color w:val="auto"/>
              </w:rPr>
              <w:t>Grant cancels;</w:t>
            </w:r>
          </w:p>
        </w:tc>
      </w:tr>
      <w:tr>
        <w:trPr>
          <w:trHeight w:val="203"/>
        </w:trPr>
        <w:tc>
          <w:tcPr>
            <w:tcW w:w="3380" w:type="dxa"/>
            <w:vAlign w:val="bottom"/>
            <w:gridSpan w:val="2"/>
          </w:tcPr>
          <w:p>
            <w:pPr>
              <w:spacing w:after="0" w:line="202" w:lineRule="exact"/>
              <w:rPr>
                <w:sz w:val="20"/>
                <w:szCs w:val="20"/>
                <w:color w:val="auto"/>
              </w:rPr>
            </w:pPr>
            <w:r>
              <w:rPr>
                <w:rFonts w:ascii="Arial" w:cs="Arial" w:eastAsia="Arial" w:hAnsi="Arial"/>
                <w:sz w:val="18"/>
                <w:szCs w:val="18"/>
                <w:color w:val="auto"/>
              </w:rPr>
              <w:t>are paid at the scheduled</w:t>
            </w:r>
          </w:p>
        </w:tc>
        <w:tc>
          <w:tcPr>
            <w:tcW w:w="4140" w:type="dxa"/>
            <w:vAlign w:val="bottom"/>
          </w:tcPr>
          <w:p>
            <w:pPr>
              <w:ind w:left="840"/>
              <w:spacing w:after="0" w:line="202" w:lineRule="exact"/>
              <w:rPr>
                <w:sz w:val="20"/>
                <w:szCs w:val="20"/>
                <w:color w:val="auto"/>
              </w:rPr>
            </w:pPr>
            <w:r>
              <w:rPr>
                <w:rFonts w:ascii="Arial" w:cs="Arial" w:eastAsia="Arial" w:hAnsi="Arial"/>
                <w:sz w:val="18"/>
                <w:szCs w:val="18"/>
                <w:color w:val="auto"/>
              </w:rPr>
              <w:t>no shares are issued</w:t>
            </w:r>
          </w:p>
        </w:tc>
        <w:tc>
          <w:tcPr>
            <w:tcW w:w="3520" w:type="dxa"/>
            <w:vAlign w:val="bottom"/>
          </w:tcPr>
          <w:p>
            <w:pPr>
              <w:ind w:left="860"/>
              <w:spacing w:after="0" w:line="202" w:lineRule="exact"/>
              <w:rPr>
                <w:sz w:val="20"/>
                <w:szCs w:val="20"/>
                <w:color w:val="auto"/>
              </w:rPr>
            </w:pPr>
            <w:r>
              <w:rPr>
                <w:rFonts w:ascii="Arial" w:cs="Arial" w:eastAsia="Arial" w:hAnsi="Arial"/>
                <w:sz w:val="18"/>
                <w:szCs w:val="18"/>
                <w:color w:val="auto"/>
              </w:rPr>
              <w:t>no shares are issued</w:t>
            </w: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vesting date</w:t>
            </w:r>
          </w:p>
        </w:tc>
        <w:tc>
          <w:tcPr>
            <w:tcW w:w="4140" w:type="dxa"/>
            <w:vAlign w:val="bottom"/>
          </w:tcPr>
          <w:p>
            <w:pPr>
              <w:spacing w:after="0"/>
              <w:rPr>
                <w:sz w:val="21"/>
                <w:szCs w:val="21"/>
                <w:color w:val="auto"/>
              </w:rPr>
            </w:pPr>
          </w:p>
        </w:tc>
        <w:tc>
          <w:tcPr>
            <w:tcW w:w="3520" w:type="dxa"/>
            <w:vAlign w:val="bottom"/>
          </w:tcPr>
          <w:p>
            <w:pPr>
              <w:spacing w:after="0"/>
              <w:rPr>
                <w:sz w:val="21"/>
                <w:szCs w:val="21"/>
                <w:color w:val="auto"/>
              </w:rPr>
            </w:pPr>
          </w:p>
        </w:tc>
      </w:tr>
    </w:tbl>
    <w:p>
      <w:pPr>
        <w:spacing w:after="0" w:line="189" w:lineRule="exact"/>
        <w:rPr>
          <w:sz w:val="20"/>
          <w:szCs w:val="20"/>
          <w:color w:val="auto"/>
        </w:rPr>
      </w:pPr>
    </w:p>
    <w:p>
      <w:pPr>
        <w:ind w:left="200" w:right="220"/>
        <w:spacing w:after="0" w:line="276" w:lineRule="auto"/>
        <w:rPr>
          <w:sz w:val="20"/>
          <w:szCs w:val="20"/>
          <w:color w:val="auto"/>
        </w:rPr>
      </w:pPr>
      <w:r>
        <w:rPr>
          <w:rFonts w:ascii="Arial" w:cs="Arial" w:eastAsia="Arial" w:hAnsi="Arial"/>
          <w:sz w:val="18"/>
          <w:szCs w:val="18"/>
          <w:color w:val="auto"/>
        </w:rPr>
        <w:t>These termination provisions are intended to promote retention. All RSU awards contain cancellation and clawback provisions like those described above for stock options. The terms provide that, to the extent permitted by Section 409A of the IRC, the award</w:t>
      </w:r>
    </w:p>
    <w:p>
      <w:pPr>
        <w:spacing w:after="0" w:line="79"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35</w:t>
            </w:r>
          </w:p>
        </w:tc>
      </w:tr>
    </w:tbl>
    <w:p>
      <w:pPr>
        <w:sectPr>
          <w:pgSz w:w="11900" w:h="16838" w:orient="portrait"/>
          <w:cols w:equalWidth="0" w:num="1">
            <w:col w:w="11240"/>
          </w:cols>
          <w:pgMar w:left="240" w:top="455" w:right="4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200" w:right="260"/>
        <w:spacing w:after="0" w:line="255" w:lineRule="auto"/>
        <w:rPr>
          <w:sz w:val="20"/>
          <w:szCs w:val="20"/>
          <w:color w:val="auto"/>
        </w:rPr>
      </w:pPr>
      <w:r>
        <w:rPr>
          <w:rFonts w:ascii="Arial" w:cs="Arial" w:eastAsia="Arial" w:hAnsi="Arial"/>
          <w:sz w:val="18"/>
          <w:szCs w:val="18"/>
          <w:color w:val="auto"/>
        </w:rPr>
        <w:t>vests upon involuntary termination of TI employment within 24 months after a change in control. Change in control is the Plan definition. These cancellation, clawback and change-in-control terms are intended to conform RSU terms with those of stock options (to the extent permitted by the IRC) and to achieve the objectives described above in the discussion of stock options.</w:t>
      </w:r>
    </w:p>
    <w:p>
      <w:pPr>
        <w:spacing w:after="0" w:line="164" w:lineRule="exact"/>
        <w:rPr>
          <w:sz w:val="20"/>
          <w:szCs w:val="20"/>
          <w:color w:val="auto"/>
        </w:rPr>
      </w:pPr>
    </w:p>
    <w:p>
      <w:pPr>
        <w:ind w:left="200" w:right="220"/>
        <w:spacing w:after="0" w:line="245" w:lineRule="auto"/>
        <w:rPr>
          <w:sz w:val="20"/>
          <w:szCs w:val="20"/>
          <w:color w:val="auto"/>
        </w:rPr>
      </w:pPr>
      <w:r>
        <w:rPr>
          <w:rFonts w:ascii="Arial" w:cs="Arial" w:eastAsia="Arial" w:hAnsi="Arial"/>
          <w:sz w:val="18"/>
          <w:szCs w:val="18"/>
          <w:color w:val="auto"/>
        </w:rPr>
        <w:t>In addition to the “Stock Awards” shown in the outstanding equity awards at fiscal year-end 2018 table,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2018 non-qualified deferred compensation table.</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2018 option exercises and stock vested</w:t>
      </w:r>
    </w:p>
    <w:p>
      <w:pPr>
        <w:spacing w:after="0" w:line="211" w:lineRule="exact"/>
        <w:rPr>
          <w:sz w:val="20"/>
          <w:szCs w:val="20"/>
          <w:color w:val="auto"/>
        </w:rPr>
      </w:pPr>
    </w:p>
    <w:p>
      <w:pPr>
        <w:ind w:left="200" w:right="200"/>
        <w:spacing w:after="0" w:line="245" w:lineRule="auto"/>
        <w:rPr>
          <w:sz w:val="20"/>
          <w:szCs w:val="20"/>
          <w:color w:val="auto"/>
        </w:rPr>
      </w:pPr>
      <w:r>
        <w:rPr>
          <w:rFonts w:ascii="Arial" w:cs="Arial" w:eastAsia="Arial" w:hAnsi="Arial"/>
          <w:sz w:val="18"/>
          <w:szCs w:val="18"/>
          <w:color w:val="auto"/>
        </w:rPr>
        <w:t>The following table lists the number of shares acquired and the value realized as a result of option exercises by the named executive officers in 2018 and the value of any RSUs that vested in 2018.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Option Awards</w:t>
            </w:r>
          </w:p>
        </w:tc>
        <w:tc>
          <w:tcPr>
            <w:tcW w:w="8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0" w:type="dxa"/>
            <w:vAlign w:val="bottom"/>
          </w:tcPr>
          <w:p>
            <w:pPr>
              <w:jc w:val="center"/>
              <w:ind w:right="199"/>
              <w:spacing w:after="0" w:line="141" w:lineRule="exact"/>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jc w:val="center"/>
              <w:ind w:right="168"/>
              <w:spacing w:after="0" w:line="141" w:lineRule="exact"/>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260" w:type="dxa"/>
            <w:vAlign w:val="bottom"/>
            <w:gridSpan w:val="2"/>
          </w:tcPr>
          <w:p>
            <w:pPr>
              <w:jc w:val="center"/>
              <w:ind w:left="1514"/>
              <w:spacing w:after="0"/>
              <w:rPr>
                <w:sz w:val="20"/>
                <w:szCs w:val="20"/>
                <w:color w:val="auto"/>
              </w:rPr>
            </w:pPr>
            <w:r>
              <w:rPr>
                <w:rFonts w:ascii="Arial" w:cs="Arial" w:eastAsia="Arial" w:hAnsi="Arial"/>
                <w:sz w:val="14"/>
                <w:szCs w:val="14"/>
                <w:b w:val="1"/>
                <w:bCs w:val="1"/>
                <w:color w:val="auto"/>
              </w:rPr>
              <w:t>Shares Acquired</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 Realized</w:t>
            </w:r>
          </w:p>
        </w:tc>
        <w:tc>
          <w:tcPr>
            <w:tcW w:w="1900" w:type="dxa"/>
            <w:vAlign w:val="bottom"/>
            <w:gridSpan w:val="2"/>
          </w:tcPr>
          <w:p>
            <w:pPr>
              <w:jc w:val="center"/>
              <w:ind w:left="153"/>
              <w:spacing w:after="0"/>
              <w:rPr>
                <w:sz w:val="20"/>
                <w:szCs w:val="20"/>
                <w:color w:val="auto"/>
              </w:rPr>
            </w:pPr>
            <w:r>
              <w:rPr>
                <w:rFonts w:ascii="Arial" w:cs="Arial" w:eastAsia="Arial" w:hAnsi="Arial"/>
                <w:sz w:val="14"/>
                <w:szCs w:val="14"/>
                <w:b w:val="1"/>
                <w:bCs w:val="1"/>
                <w:color w:val="auto"/>
              </w:rPr>
              <w:t>Shares Acquired</w:t>
            </w:r>
          </w:p>
        </w:tc>
        <w:tc>
          <w:tcPr>
            <w:tcW w:w="140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rPr>
              <w:t>Value Realized</w:t>
            </w:r>
          </w:p>
        </w:tc>
      </w:tr>
      <w:tr>
        <w:trPr>
          <w:trHeight w:val="177"/>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spacing w:after="0"/>
              <w:rPr>
                <w:sz w:val="15"/>
                <w:szCs w:val="15"/>
                <w:color w:val="auto"/>
              </w:rPr>
            </w:pPr>
          </w:p>
        </w:tc>
        <w:tc>
          <w:tcPr>
            <w:tcW w:w="1400" w:type="dxa"/>
            <w:vAlign w:val="bottom"/>
          </w:tcPr>
          <w:p>
            <w:pPr>
              <w:jc w:val="center"/>
              <w:ind w:right="179"/>
              <w:spacing w:after="0"/>
              <w:rPr>
                <w:sz w:val="20"/>
                <w:szCs w:val="20"/>
                <w:color w:val="auto"/>
              </w:rPr>
            </w:pPr>
            <w:r>
              <w:rPr>
                <w:rFonts w:ascii="Arial" w:cs="Arial" w:eastAsia="Arial" w:hAnsi="Arial"/>
                <w:sz w:val="14"/>
                <w:szCs w:val="14"/>
                <w:b w:val="1"/>
                <w:bCs w:val="1"/>
                <w:color w:val="auto"/>
              </w:rPr>
              <w:t>on Exercise (#)</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on Exercise ($)</w:t>
            </w:r>
          </w:p>
        </w:tc>
        <w:tc>
          <w:tcPr>
            <w:tcW w:w="500" w:type="dxa"/>
            <w:vAlign w:val="bottom"/>
          </w:tcPr>
          <w:p>
            <w:pPr>
              <w:spacing w:after="0"/>
              <w:rPr>
                <w:sz w:val="15"/>
                <w:szCs w:val="15"/>
                <w:color w:val="auto"/>
              </w:rPr>
            </w:pPr>
          </w:p>
        </w:tc>
        <w:tc>
          <w:tcPr>
            <w:tcW w:w="1400" w:type="dxa"/>
            <w:vAlign w:val="bottom"/>
          </w:tcPr>
          <w:p>
            <w:pPr>
              <w:jc w:val="center"/>
              <w:ind w:right="188"/>
              <w:spacing w:after="0"/>
              <w:rPr>
                <w:sz w:val="20"/>
                <w:szCs w:val="20"/>
                <w:color w:val="auto"/>
              </w:rPr>
            </w:pPr>
            <w:r>
              <w:rPr>
                <w:rFonts w:ascii="Arial" w:cs="Arial" w:eastAsia="Arial" w:hAnsi="Arial"/>
                <w:sz w:val="14"/>
                <w:szCs w:val="14"/>
                <w:b w:val="1"/>
                <w:bCs w:val="1"/>
                <w:color w:val="auto"/>
              </w:rPr>
              <w:t>on Vesting (#)</w:t>
            </w:r>
          </w:p>
        </w:tc>
        <w:tc>
          <w:tcPr>
            <w:tcW w:w="1400" w:type="dxa"/>
            <w:vAlign w:val="bottom"/>
            <w:gridSpan w:val="3"/>
          </w:tcPr>
          <w:p>
            <w:pPr>
              <w:jc w:val="center"/>
              <w:ind w:left="94"/>
              <w:spacing w:after="0"/>
              <w:rPr>
                <w:sz w:val="20"/>
                <w:szCs w:val="20"/>
                <w:color w:val="auto"/>
              </w:rPr>
            </w:pPr>
            <w:r>
              <w:rPr>
                <w:rFonts w:ascii="Arial" w:cs="Arial" w:eastAsia="Arial" w:hAnsi="Arial"/>
                <w:sz w:val="14"/>
                <w:szCs w:val="14"/>
                <w:b w:val="1"/>
                <w:bCs w:val="1"/>
                <w:color w:val="auto"/>
              </w:rPr>
              <w:t>on Vesting ($)</w:t>
            </w:r>
          </w:p>
        </w:tc>
      </w:tr>
      <w:tr>
        <w:trPr>
          <w:trHeight w:val="196"/>
        </w:trPr>
        <w:tc>
          <w:tcPr>
            <w:tcW w:w="20" w:type="dxa"/>
            <w:vAlign w:val="bottom"/>
          </w:tcPr>
          <w:p>
            <w:pPr>
              <w:spacing w:after="0"/>
              <w:rPr>
                <w:sz w:val="17"/>
                <w:szCs w:val="17"/>
                <w:color w:val="auto"/>
              </w:rPr>
            </w:pPr>
          </w:p>
        </w:tc>
        <w:tc>
          <w:tcPr>
            <w:tcW w:w="314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R. K. Templeton</w:t>
            </w:r>
          </w:p>
        </w:tc>
        <w:tc>
          <w:tcPr>
            <w:tcW w:w="1860" w:type="dxa"/>
            <w:vAlign w:val="bottom"/>
            <w:tcBorders>
              <w:top w:val="single" w:sz="8" w:color="auto"/>
            </w:tcBorders>
            <w:shd w:val="clear" w:color="auto" w:fill="E5E5E5"/>
          </w:tcPr>
          <w:p>
            <w:pPr>
              <w:spacing w:after="0"/>
              <w:rPr>
                <w:sz w:val="17"/>
                <w:szCs w:val="17"/>
                <w:color w:val="auto"/>
              </w:rPr>
            </w:pPr>
          </w:p>
        </w:tc>
        <w:tc>
          <w:tcPr>
            <w:tcW w:w="1400" w:type="dxa"/>
            <w:vAlign w:val="bottom"/>
            <w:tcBorders>
              <w:top w:val="single" w:sz="8" w:color="auto"/>
            </w:tcBorders>
            <w:shd w:val="clear" w:color="auto" w:fill="E5E5E5"/>
          </w:tcPr>
          <w:p>
            <w:pPr>
              <w:jc w:val="right"/>
              <w:ind w:right="179"/>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spacing w:after="0"/>
              <w:rPr>
                <w:sz w:val="17"/>
                <w:szCs w:val="17"/>
                <w:color w:val="auto"/>
              </w:rPr>
            </w:pPr>
          </w:p>
        </w:tc>
        <w:tc>
          <w:tcPr>
            <w:tcW w:w="84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1900" w:type="dxa"/>
            <w:vAlign w:val="bottom"/>
            <w:tcBorders>
              <w:top w:val="single" w:sz="8" w:color="auto"/>
            </w:tcBorders>
            <w:gridSpan w:val="2"/>
            <w:shd w:val="clear" w:color="auto" w:fill="E5E5E5"/>
          </w:tcPr>
          <w:p>
            <w:pPr>
              <w:jc w:val="right"/>
              <w:ind w:right="168"/>
              <w:spacing w:after="0" w:line="196" w:lineRule="exact"/>
              <w:rPr>
                <w:sz w:val="20"/>
                <w:szCs w:val="20"/>
                <w:color w:val="auto"/>
              </w:rPr>
            </w:pPr>
            <w:r>
              <w:rPr>
                <w:rFonts w:ascii="Arial" w:cs="Arial" w:eastAsia="Arial" w:hAnsi="Arial"/>
                <w:sz w:val="18"/>
                <w:szCs w:val="18"/>
                <w:color w:val="auto"/>
              </w:rPr>
              <w:t>111,137</w:t>
            </w:r>
          </w:p>
        </w:tc>
        <w:tc>
          <w:tcPr>
            <w:tcW w:w="1340" w:type="dxa"/>
            <w:vAlign w:val="bottom"/>
            <w:tcBorders>
              <w:top w:val="single" w:sz="8" w:color="auto"/>
            </w:tcBorders>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$ 12,212,845</w:t>
            </w:r>
          </w:p>
        </w:tc>
        <w:tc>
          <w:tcPr>
            <w:tcW w:w="60" w:type="dxa"/>
            <w:vAlign w:val="bottom"/>
            <w:tcBorders>
              <w:top w:val="single" w:sz="8" w:color="auto"/>
            </w:tcBorders>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R. R. Lizardi</w:t>
            </w:r>
          </w:p>
        </w:tc>
        <w:tc>
          <w:tcPr>
            <w:tcW w:w="1860" w:type="dxa"/>
            <w:vAlign w:val="bottom"/>
          </w:tcPr>
          <w:p>
            <w:pPr>
              <w:spacing w:after="0"/>
              <w:rPr>
                <w:sz w:val="17"/>
                <w:szCs w:val="17"/>
                <w:color w:val="auto"/>
              </w:rPr>
            </w:pPr>
          </w:p>
        </w:tc>
        <w:tc>
          <w:tcPr>
            <w:tcW w:w="1400" w:type="dxa"/>
            <w:vAlign w:val="bottom"/>
          </w:tcPr>
          <w:p>
            <w:pPr>
              <w:jc w:val="right"/>
              <w:ind w:right="179"/>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5,104</w:t>
            </w:r>
          </w:p>
        </w:tc>
        <w:tc>
          <w:tcPr>
            <w:tcW w:w="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560,879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 Anderskouv</w:t>
            </w:r>
          </w:p>
        </w:tc>
        <w:tc>
          <w:tcPr>
            <w:tcW w:w="3260" w:type="dxa"/>
            <w:vAlign w:val="bottom"/>
            <w:gridSpan w:val="2"/>
            <w:shd w:val="clear" w:color="auto" w:fill="E5E5E5"/>
          </w:tcPr>
          <w:p>
            <w:pPr>
              <w:jc w:val="right"/>
              <w:ind w:right="179"/>
              <w:spacing w:after="0" w:line="202" w:lineRule="exact"/>
              <w:rPr>
                <w:sz w:val="20"/>
                <w:szCs w:val="20"/>
                <w:color w:val="auto"/>
              </w:rPr>
            </w:pPr>
            <w:r>
              <w:rPr>
                <w:rFonts w:ascii="Arial" w:cs="Arial" w:eastAsia="Arial" w:hAnsi="Arial"/>
                <w:sz w:val="18"/>
                <w:szCs w:val="18"/>
                <w:color w:val="auto"/>
              </w:rPr>
              <w:t>102,595</w:t>
            </w:r>
          </w:p>
        </w:tc>
        <w:tc>
          <w:tcPr>
            <w:tcW w:w="48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6,171,898</w:t>
            </w:r>
          </w:p>
        </w:tc>
        <w:tc>
          <w:tcPr>
            <w:tcW w:w="1900" w:type="dxa"/>
            <w:vAlign w:val="bottom"/>
            <w:gridSpan w:val="2"/>
            <w:shd w:val="clear" w:color="auto" w:fill="E5E5E5"/>
          </w:tcPr>
          <w:p>
            <w:pPr>
              <w:jc w:val="right"/>
              <w:ind w:right="168"/>
              <w:spacing w:after="0" w:line="202" w:lineRule="exact"/>
              <w:rPr>
                <w:sz w:val="20"/>
                <w:szCs w:val="20"/>
                <w:color w:val="auto"/>
              </w:rPr>
            </w:pPr>
            <w:r>
              <w:rPr>
                <w:rFonts w:ascii="Arial" w:cs="Arial" w:eastAsia="Arial" w:hAnsi="Arial"/>
                <w:sz w:val="18"/>
                <w:szCs w:val="18"/>
                <w:color w:val="auto"/>
              </w:rPr>
              <w:t>28,352</w:t>
            </w:r>
          </w:p>
        </w:tc>
        <w:tc>
          <w:tcPr>
            <w:tcW w:w="48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3,115,601</w:t>
            </w:r>
          </w:p>
        </w:tc>
        <w:tc>
          <w:tcPr>
            <w:tcW w:w="6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R. G. Delagi</w:t>
            </w:r>
          </w:p>
        </w:tc>
        <w:tc>
          <w:tcPr>
            <w:tcW w:w="1860" w:type="dxa"/>
            <w:vAlign w:val="bottom"/>
          </w:tcPr>
          <w:p>
            <w:pPr>
              <w:spacing w:after="0"/>
              <w:rPr>
                <w:sz w:val="17"/>
                <w:szCs w:val="17"/>
                <w:color w:val="auto"/>
              </w:rPr>
            </w:pPr>
          </w:p>
        </w:tc>
        <w:tc>
          <w:tcPr>
            <w:tcW w:w="1400" w:type="dxa"/>
            <w:vAlign w:val="bottom"/>
          </w:tcPr>
          <w:p>
            <w:pPr>
              <w:jc w:val="right"/>
              <w:ind w:right="179"/>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40,826</w:t>
            </w:r>
          </w:p>
        </w:tc>
        <w:tc>
          <w:tcPr>
            <w:tcW w:w="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4,486,369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 Ilan</w:t>
            </w:r>
          </w:p>
        </w:tc>
        <w:tc>
          <w:tcPr>
            <w:tcW w:w="3260" w:type="dxa"/>
            <w:vAlign w:val="bottom"/>
            <w:gridSpan w:val="2"/>
            <w:shd w:val="clear" w:color="auto" w:fill="E5E5E5"/>
          </w:tcPr>
          <w:p>
            <w:pPr>
              <w:jc w:val="right"/>
              <w:ind w:right="179"/>
              <w:spacing w:after="0" w:line="202" w:lineRule="exact"/>
              <w:rPr>
                <w:sz w:val="20"/>
                <w:szCs w:val="20"/>
                <w:color w:val="auto"/>
              </w:rPr>
            </w:pPr>
            <w:r>
              <w:rPr>
                <w:rFonts w:ascii="Arial" w:cs="Arial" w:eastAsia="Arial" w:hAnsi="Arial"/>
                <w:sz w:val="18"/>
                <w:szCs w:val="18"/>
                <w:color w:val="auto"/>
              </w:rPr>
              <w:t>87,989</w:t>
            </w:r>
          </w:p>
        </w:tc>
        <w:tc>
          <w:tcPr>
            <w:tcW w:w="48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5,178,096</w:t>
            </w:r>
          </w:p>
        </w:tc>
        <w:tc>
          <w:tcPr>
            <w:tcW w:w="1900" w:type="dxa"/>
            <w:vAlign w:val="bottom"/>
            <w:gridSpan w:val="2"/>
            <w:shd w:val="clear" w:color="auto" w:fill="E5E5E5"/>
          </w:tcPr>
          <w:p>
            <w:pPr>
              <w:jc w:val="right"/>
              <w:ind w:right="168"/>
              <w:spacing w:after="0" w:line="202" w:lineRule="exact"/>
              <w:rPr>
                <w:sz w:val="20"/>
                <w:szCs w:val="20"/>
                <w:color w:val="auto"/>
              </w:rPr>
            </w:pPr>
            <w:r>
              <w:rPr>
                <w:rFonts w:ascii="Arial" w:cs="Arial" w:eastAsia="Arial" w:hAnsi="Arial"/>
                <w:sz w:val="18"/>
                <w:szCs w:val="18"/>
                <w:color w:val="auto"/>
              </w:rPr>
              <w:t>38,451</w:t>
            </w:r>
          </w:p>
        </w:tc>
        <w:tc>
          <w:tcPr>
            <w:tcW w:w="48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4,246,671</w:t>
            </w:r>
          </w:p>
        </w:tc>
        <w:tc>
          <w:tcPr>
            <w:tcW w:w="60" w:type="dxa"/>
            <w:vAlign w:val="bottom"/>
            <w:shd w:val="clear" w:color="auto" w:fill="E5E5E5"/>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 T. Crutcher</w:t>
            </w:r>
          </w:p>
        </w:tc>
        <w:tc>
          <w:tcPr>
            <w:tcW w:w="3260" w:type="dxa"/>
            <w:vAlign w:val="bottom"/>
            <w:gridSpan w:val="2"/>
          </w:tcPr>
          <w:p>
            <w:pPr>
              <w:jc w:val="right"/>
              <w:ind w:right="179"/>
              <w:spacing w:after="0"/>
              <w:rPr>
                <w:sz w:val="20"/>
                <w:szCs w:val="20"/>
                <w:color w:val="auto"/>
              </w:rPr>
            </w:pPr>
            <w:r>
              <w:rPr>
                <w:rFonts w:ascii="Arial" w:cs="Arial" w:eastAsia="Arial" w:hAnsi="Arial"/>
                <w:sz w:val="18"/>
                <w:szCs w:val="18"/>
                <w:color w:val="auto"/>
              </w:rPr>
              <w:t>267,201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$ 14,578,711</w:t>
            </w:r>
          </w:p>
        </w:tc>
        <w:tc>
          <w:tcPr>
            <w:tcW w:w="1900" w:type="dxa"/>
            <w:vAlign w:val="bottom"/>
            <w:gridSpan w:val="2"/>
          </w:tcPr>
          <w:p>
            <w:pPr>
              <w:jc w:val="right"/>
              <w:ind w:right="168"/>
              <w:spacing w:after="0"/>
              <w:rPr>
                <w:sz w:val="20"/>
                <w:szCs w:val="20"/>
                <w:color w:val="auto"/>
              </w:rPr>
            </w:pPr>
            <w:r>
              <w:rPr>
                <w:rFonts w:ascii="Arial" w:cs="Arial" w:eastAsia="Arial" w:hAnsi="Arial"/>
                <w:sz w:val="18"/>
                <w:szCs w:val="18"/>
                <w:color w:val="auto"/>
              </w:rPr>
              <w:t>51,032</w:t>
            </w: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5,607,906</w:t>
            </w:r>
          </w:p>
        </w:tc>
        <w:tc>
          <w:tcPr>
            <w:tcW w:w="60" w:type="dxa"/>
            <w:vAlign w:val="bottom"/>
          </w:tcPr>
          <w:p>
            <w:pPr>
              <w:spacing w:after="0"/>
              <w:rPr>
                <w:sz w:val="21"/>
                <w:szCs w:val="21"/>
                <w:color w:val="auto"/>
              </w:rPr>
            </w:pPr>
          </w:p>
        </w:tc>
      </w:tr>
    </w:tbl>
    <w:p>
      <w:pPr>
        <w:spacing w:after="0" w:line="14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2018 pension benefits</w:t>
      </w:r>
    </w:p>
    <w:p>
      <w:pPr>
        <w:spacing w:after="0" w:line="211" w:lineRule="exact"/>
        <w:rPr>
          <w:sz w:val="20"/>
          <w:szCs w:val="20"/>
          <w:color w:val="auto"/>
        </w:rPr>
      </w:pPr>
    </w:p>
    <w:p>
      <w:pPr>
        <w:ind w:left="200" w:right="220"/>
        <w:spacing w:after="0" w:line="243" w:lineRule="auto"/>
        <w:rPr>
          <w:sz w:val="20"/>
          <w:szCs w:val="20"/>
          <w:color w:val="auto"/>
        </w:rPr>
      </w:pPr>
      <w:r>
        <w:rPr>
          <w:rFonts w:ascii="Arial" w:cs="Arial" w:eastAsia="Arial" w:hAnsi="Arial"/>
          <w:sz w:val="18"/>
          <w:szCs w:val="18"/>
          <w:color w:val="auto"/>
        </w:rPr>
        <w:t>The following table shows the present value as of December 31, 2018,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2018.</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0" w:type="dxa"/>
            <w:vAlign w:val="bottom"/>
          </w:tcPr>
          <w:p>
            <w:pPr>
              <w:jc w:val="center"/>
              <w:ind w:left="115"/>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Present Value of</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center"/>
              <w:ind w:right="52"/>
              <w:spacing w:after="0"/>
              <w:rPr>
                <w:sz w:val="20"/>
                <w:szCs w:val="20"/>
                <w:color w:val="auto"/>
              </w:rPr>
            </w:pPr>
            <w:r>
              <w:rPr>
                <w:rFonts w:ascii="Arial" w:cs="Arial" w:eastAsia="Arial" w:hAnsi="Arial"/>
                <w:sz w:val="14"/>
                <w:szCs w:val="14"/>
                <w:b w:val="1"/>
                <w:bCs w:val="1"/>
                <w:color w:val="auto"/>
              </w:rPr>
              <w:t>Payments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0" w:type="dxa"/>
            <w:vAlign w:val="bottom"/>
          </w:tcPr>
          <w:p>
            <w:pPr>
              <w:jc w:val="center"/>
              <w:ind w:left="95"/>
              <w:spacing w:after="0"/>
              <w:rPr>
                <w:sz w:val="20"/>
                <w:szCs w:val="20"/>
                <w:color w:val="auto"/>
              </w:rPr>
            </w:pPr>
            <w:r>
              <w:rPr>
                <w:rFonts w:ascii="Arial" w:cs="Arial" w:eastAsia="Arial" w:hAnsi="Arial"/>
                <w:sz w:val="14"/>
                <w:szCs w:val="14"/>
                <w:b w:val="1"/>
                <w:bCs w:val="1"/>
                <w:color w:val="auto"/>
              </w:rPr>
              <w:t>Years Credited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14"/>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16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rPr>
              <w:t>During Last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Name (1)</w:t>
            </w:r>
          </w:p>
        </w:tc>
        <w:tc>
          <w:tcPr>
            <w:tcW w:w="4220" w:type="dxa"/>
            <w:vAlign w:val="bottom"/>
          </w:tcPr>
          <w:p>
            <w:pPr>
              <w:ind w:left="1960"/>
              <w:spacing w:after="0"/>
              <w:rPr>
                <w:sz w:val="20"/>
                <w:szCs w:val="20"/>
                <w:color w:val="auto"/>
              </w:rPr>
            </w:pPr>
            <w:r>
              <w:rPr>
                <w:rFonts w:ascii="Arial" w:cs="Arial" w:eastAsia="Arial" w:hAnsi="Arial"/>
                <w:sz w:val="14"/>
                <w:szCs w:val="14"/>
                <w:b w:val="1"/>
                <w:bCs w:val="1"/>
                <w:color w:val="auto"/>
              </w:rPr>
              <w:t>Plan Name</w:t>
            </w:r>
          </w:p>
        </w:tc>
        <w:tc>
          <w:tcPr>
            <w:tcW w:w="1200" w:type="dxa"/>
            <w:vAlign w:val="bottom"/>
          </w:tcPr>
          <w:p>
            <w:pPr>
              <w:jc w:val="center"/>
              <w:ind w:left="95"/>
              <w:spacing w:after="0"/>
              <w:rPr>
                <w:sz w:val="20"/>
                <w:szCs w:val="20"/>
                <w:color w:val="auto"/>
              </w:rPr>
            </w:pPr>
            <w:r>
              <w:rPr>
                <w:rFonts w:ascii="Arial" w:cs="Arial" w:eastAsia="Arial" w:hAnsi="Arial"/>
                <w:sz w:val="14"/>
                <w:szCs w:val="14"/>
                <w:b w:val="1"/>
                <w:bCs w:val="1"/>
                <w:color w:val="auto"/>
              </w:rPr>
              <w:t>Service (#)</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114"/>
              <w:spacing w:after="0"/>
              <w:rPr>
                <w:sz w:val="20"/>
                <w:szCs w:val="20"/>
                <w:color w:val="auto"/>
              </w:rPr>
            </w:pPr>
            <w:r>
              <w:rPr>
                <w:rFonts w:ascii="Arial" w:cs="Arial" w:eastAsia="Arial" w:hAnsi="Arial"/>
                <w:sz w:val="14"/>
                <w:szCs w:val="14"/>
                <w:b w:val="1"/>
                <w:bCs w:val="1"/>
                <w:color w:val="auto"/>
              </w:rPr>
              <w:t>Benefit ($)</w:t>
            </w:r>
          </w:p>
        </w:tc>
        <w:tc>
          <w:tcPr>
            <w:tcW w:w="400" w:type="dxa"/>
            <w:vAlign w:val="bottom"/>
          </w:tcPr>
          <w:p>
            <w:pPr>
              <w:spacing w:after="0"/>
              <w:rPr>
                <w:sz w:val="16"/>
                <w:szCs w:val="16"/>
                <w:color w:val="auto"/>
              </w:rPr>
            </w:pPr>
          </w:p>
        </w:tc>
        <w:tc>
          <w:tcPr>
            <w:tcW w:w="1160" w:type="dxa"/>
            <w:vAlign w:val="bottom"/>
            <w:gridSpan w:val="2"/>
          </w:tcPr>
          <w:p>
            <w:pPr>
              <w:jc w:val="center"/>
              <w:ind w:left="102"/>
              <w:spacing w:after="0"/>
              <w:rPr>
                <w:sz w:val="20"/>
                <w:szCs w:val="20"/>
                <w:color w:val="auto"/>
              </w:rPr>
            </w:pPr>
            <w:r>
              <w:rPr>
                <w:rFonts w:ascii="Arial" w:cs="Arial" w:eastAsia="Arial" w:hAnsi="Arial"/>
                <w:sz w:val="14"/>
                <w:szCs w:val="14"/>
                <w:b w:val="1"/>
                <w:bCs w:val="1"/>
                <w:color w:val="auto"/>
              </w:rPr>
              <w:t>Fiscal Year ($)</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20" w:type="dxa"/>
            <w:vAlign w:val="bottom"/>
            <w:tcBorders>
              <w:top w:val="single" w:sz="8" w:color="auto"/>
            </w:tcBorders>
            <w:shd w:val="clear" w:color="auto" w:fill="E5E5E5"/>
          </w:tcPr>
          <w:p>
            <w:pPr>
              <w:spacing w:after="0" w:line="173" w:lineRule="exact"/>
              <w:rPr>
                <w:sz w:val="20"/>
                <w:szCs w:val="20"/>
                <w:color w:val="auto"/>
              </w:rPr>
            </w:pPr>
            <w:r>
              <w:rPr>
                <w:rFonts w:ascii="Arial" w:cs="Arial" w:eastAsia="Arial" w:hAnsi="Arial"/>
                <w:sz w:val="18"/>
                <w:szCs w:val="18"/>
                <w:color w:val="auto"/>
              </w:rPr>
              <w:t>R. K. Templeton (2)</w:t>
            </w:r>
          </w:p>
        </w:tc>
        <w:tc>
          <w:tcPr>
            <w:tcW w:w="4220" w:type="dxa"/>
            <w:vAlign w:val="bottom"/>
            <w:tcBorders>
              <w:top w:val="single" w:sz="8" w:color="auto"/>
            </w:tcBorders>
            <w:shd w:val="clear" w:color="auto" w:fill="E5E5E5"/>
          </w:tcPr>
          <w:p>
            <w:pPr>
              <w:ind w:left="520"/>
              <w:spacing w:after="0" w:line="173" w:lineRule="exact"/>
              <w:rPr>
                <w:sz w:val="20"/>
                <w:szCs w:val="20"/>
                <w:color w:val="auto"/>
              </w:rPr>
            </w:pPr>
            <w:r>
              <w:rPr>
                <w:rFonts w:ascii="Arial" w:cs="Arial" w:eastAsia="Arial" w:hAnsi="Arial"/>
                <w:sz w:val="18"/>
                <w:szCs w:val="18"/>
                <w:color w:val="auto"/>
              </w:rPr>
              <w:t>TI Employees Pension Plan</w:t>
            </w:r>
          </w:p>
        </w:tc>
        <w:tc>
          <w:tcPr>
            <w:tcW w:w="120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16</w:t>
            </w:r>
          </w:p>
        </w:tc>
        <w:tc>
          <w:tcPr>
            <w:tcW w:w="400" w:type="dxa"/>
            <w:vAlign w:val="bottom"/>
            <w:tcBorders>
              <w:top w:val="single" w:sz="8" w:color="auto"/>
            </w:tcBorders>
            <w:shd w:val="clear" w:color="auto" w:fill="E5E5E5"/>
          </w:tcPr>
          <w:p>
            <w:pPr>
              <w:jc w:val="right"/>
              <w:ind w:right="90"/>
              <w:spacing w:after="0" w:line="173" w:lineRule="exact"/>
              <w:rPr>
                <w:sz w:val="20"/>
                <w:szCs w:val="20"/>
                <w:color w:val="auto"/>
              </w:rPr>
            </w:pPr>
            <w:r>
              <w:rPr>
                <w:rFonts w:ascii="Arial" w:cs="Arial" w:eastAsia="Arial" w:hAnsi="Arial"/>
                <w:sz w:val="18"/>
                <w:szCs w:val="18"/>
                <w:color w:val="auto"/>
                <w:w w:val="90"/>
              </w:rPr>
              <w:t>(3)</w:t>
            </w:r>
          </w:p>
        </w:tc>
        <w:tc>
          <w:tcPr>
            <w:tcW w:w="280" w:type="dxa"/>
            <w:vAlign w:val="bottom"/>
            <w:tcBorders>
              <w:top w:val="single" w:sz="8" w:color="auto"/>
            </w:tcBorders>
            <w:shd w:val="clear" w:color="auto" w:fill="E5E5E5"/>
          </w:tcPr>
          <w:p>
            <w:pPr>
              <w:ind w:left="180"/>
              <w:spacing w:after="0" w:line="17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784,938</w:t>
            </w:r>
          </w:p>
        </w:tc>
        <w:tc>
          <w:tcPr>
            <w:tcW w:w="400" w:type="dxa"/>
            <w:vAlign w:val="bottom"/>
            <w:tcBorders>
              <w:top w:val="single" w:sz="8" w:color="auto"/>
            </w:tcBorders>
            <w:shd w:val="clear" w:color="auto" w:fill="E5E5E5"/>
          </w:tcPr>
          <w:p>
            <w:pPr>
              <w:jc w:val="right"/>
              <w:ind w:right="90"/>
              <w:spacing w:after="0" w:line="173" w:lineRule="exact"/>
              <w:rPr>
                <w:sz w:val="20"/>
                <w:szCs w:val="20"/>
                <w:color w:val="auto"/>
              </w:rPr>
            </w:pPr>
            <w:r>
              <w:rPr>
                <w:rFonts w:ascii="Arial" w:cs="Arial" w:eastAsia="Arial" w:hAnsi="Arial"/>
                <w:sz w:val="18"/>
                <w:szCs w:val="18"/>
                <w:color w:val="auto"/>
                <w:w w:val="90"/>
              </w:rPr>
              <w:t>(6)</w:t>
            </w:r>
          </w:p>
        </w:tc>
        <w:tc>
          <w:tcPr>
            <w:tcW w:w="300" w:type="dxa"/>
            <w:vAlign w:val="bottom"/>
            <w:tcBorders>
              <w:top w:val="single" w:sz="8" w:color="auto"/>
            </w:tcBorders>
            <w:shd w:val="clear" w:color="auto" w:fill="E5E5E5"/>
          </w:tcPr>
          <w:p>
            <w:pPr>
              <w:spacing w:after="0"/>
              <w:rPr>
                <w:sz w:val="15"/>
                <w:szCs w:val="15"/>
                <w:color w:val="auto"/>
              </w:rPr>
            </w:pPr>
          </w:p>
        </w:tc>
        <w:tc>
          <w:tcPr>
            <w:tcW w:w="860" w:type="dxa"/>
            <w:vAlign w:val="bottom"/>
            <w:tcBorders>
              <w:top w:val="single" w:sz="8" w:color="auto"/>
            </w:tcBorders>
            <w:shd w:val="clear" w:color="auto" w:fill="E5E5E5"/>
          </w:tcPr>
          <w:p>
            <w:pPr>
              <w:jc w:val="right"/>
              <w:spacing w:after="0" w:line="17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E5E5E5"/>
          </w:tcPr>
          <w:p>
            <w:pPr>
              <w:spacing w:after="0"/>
              <w:rPr>
                <w:sz w:val="17"/>
                <w:szCs w:val="17"/>
                <w:color w:val="auto"/>
              </w:rPr>
            </w:pPr>
          </w:p>
        </w:tc>
        <w:tc>
          <w:tcPr>
            <w:tcW w:w="4220" w:type="dxa"/>
            <w:vAlign w:val="bottom"/>
            <w:shd w:val="clear" w:color="auto" w:fill="E5E5E5"/>
          </w:tcPr>
          <w:p>
            <w:pPr>
              <w:ind w:left="520"/>
              <w:spacing w:after="0" w:line="202" w:lineRule="exact"/>
              <w:rPr>
                <w:sz w:val="20"/>
                <w:szCs w:val="20"/>
                <w:color w:val="auto"/>
              </w:rPr>
            </w:pPr>
            <w:r>
              <w:rPr>
                <w:rFonts w:ascii="Arial" w:cs="Arial" w:eastAsia="Arial" w:hAnsi="Arial"/>
                <w:sz w:val="18"/>
                <w:szCs w:val="18"/>
                <w:color w:val="auto"/>
              </w:rPr>
              <w:t>TI Employees Non-Qualified Pension Plan</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w:t>
            </w:r>
          </w:p>
        </w:tc>
        <w:tc>
          <w:tcPr>
            <w:tcW w:w="40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90"/>
              </w:rPr>
              <w:t>(3)</w:t>
            </w:r>
          </w:p>
        </w:tc>
        <w:tc>
          <w:tcPr>
            <w:tcW w:w="2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384,185</w:t>
            </w:r>
          </w:p>
        </w:tc>
        <w:tc>
          <w:tcPr>
            <w:tcW w:w="40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90"/>
              </w:rPr>
              <w:t>(6)</w:t>
            </w:r>
          </w:p>
        </w:tc>
        <w:tc>
          <w:tcPr>
            <w:tcW w:w="30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20" w:type="dxa"/>
            <w:vAlign w:val="bottom"/>
            <w:shd w:val="clear" w:color="auto" w:fill="E5E5E5"/>
          </w:tcPr>
          <w:p>
            <w:pPr>
              <w:spacing w:after="0"/>
              <w:rPr>
                <w:sz w:val="19"/>
                <w:szCs w:val="19"/>
                <w:color w:val="auto"/>
              </w:rPr>
            </w:pPr>
          </w:p>
        </w:tc>
        <w:tc>
          <w:tcPr>
            <w:tcW w:w="4220" w:type="dxa"/>
            <w:vAlign w:val="bottom"/>
            <w:shd w:val="clear" w:color="auto" w:fill="E5E5E5"/>
          </w:tcPr>
          <w:p>
            <w:pPr>
              <w:ind w:left="520"/>
              <w:spacing w:after="0"/>
              <w:rPr>
                <w:sz w:val="20"/>
                <w:szCs w:val="20"/>
                <w:color w:val="auto"/>
              </w:rPr>
            </w:pPr>
            <w:r>
              <w:rPr>
                <w:rFonts w:ascii="Arial" w:cs="Arial" w:eastAsia="Arial" w:hAnsi="Arial"/>
                <w:sz w:val="18"/>
                <w:szCs w:val="18"/>
                <w:color w:val="auto"/>
              </w:rPr>
              <w:t>TI Employees Non-Qualified Pension Plan II</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90"/>
              </w:rPr>
              <w:t>(5)</w:t>
            </w:r>
          </w:p>
        </w:tc>
        <w:tc>
          <w:tcPr>
            <w:tcW w:w="280" w:type="dxa"/>
            <w:vAlign w:val="bottom"/>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195,003</w:t>
            </w:r>
          </w:p>
        </w:tc>
        <w:tc>
          <w:tcPr>
            <w:tcW w:w="40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90"/>
              </w:rPr>
              <w:t>(6)</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2"/>
          </w:tcPr>
          <w:p>
            <w:pPr>
              <w:spacing w:after="0"/>
              <w:rPr>
                <w:sz w:val="20"/>
                <w:szCs w:val="20"/>
                <w:color w:val="auto"/>
              </w:rPr>
            </w:pPr>
            <w:r>
              <w:rPr>
                <w:rFonts w:ascii="Arial" w:cs="Arial" w:eastAsia="Arial" w:hAnsi="Arial"/>
                <w:sz w:val="18"/>
                <w:szCs w:val="18"/>
                <w:color w:val="auto"/>
              </w:rPr>
              <w:t>R. G. Delagi</w:t>
            </w:r>
          </w:p>
        </w:tc>
        <w:tc>
          <w:tcPr>
            <w:tcW w:w="4220" w:type="dxa"/>
            <w:vAlign w:val="bottom"/>
          </w:tcPr>
          <w:p>
            <w:pPr>
              <w:ind w:left="520"/>
              <w:spacing w:after="0"/>
              <w:rPr>
                <w:sz w:val="20"/>
                <w:szCs w:val="20"/>
                <w:color w:val="auto"/>
              </w:rPr>
            </w:pPr>
            <w:r>
              <w:rPr>
                <w:rFonts w:ascii="Arial" w:cs="Arial" w:eastAsia="Arial" w:hAnsi="Arial"/>
                <w:sz w:val="18"/>
                <w:szCs w:val="18"/>
                <w:color w:val="auto"/>
              </w:rPr>
              <w:t>TI Employees Pension Plan</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(3)</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1,121,295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(6)</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20" w:type="dxa"/>
            <w:vAlign w:val="bottom"/>
          </w:tcPr>
          <w:p>
            <w:pPr>
              <w:ind w:left="520"/>
              <w:spacing w:after="0" w:line="202" w:lineRule="exact"/>
              <w:rPr>
                <w:sz w:val="20"/>
                <w:szCs w:val="20"/>
                <w:color w:val="auto"/>
              </w:rPr>
            </w:pPr>
            <w:r>
              <w:rPr>
                <w:rFonts w:ascii="Arial" w:cs="Arial" w:eastAsia="Arial" w:hAnsi="Arial"/>
                <w:sz w:val="18"/>
                <w:szCs w:val="18"/>
                <w:color w:val="auto"/>
              </w:rPr>
              <w:t>TI Employees Non-Qualified Pension Plan</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4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0"/>
              </w:rPr>
              <w:t>(4)</w:t>
            </w:r>
          </w:p>
        </w:tc>
        <w:tc>
          <w:tcPr>
            <w:tcW w:w="280" w:type="dxa"/>
            <w:vAlign w:val="bottom"/>
          </w:tcPr>
          <w:p>
            <w:pPr>
              <w:ind w:left="18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237,319</w:t>
            </w:r>
          </w:p>
        </w:tc>
        <w:tc>
          <w:tcPr>
            <w:tcW w:w="4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0"/>
              </w:rPr>
              <w:t>(6)</w:t>
            </w: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220" w:type="dxa"/>
            <w:vAlign w:val="bottom"/>
          </w:tcPr>
          <w:p>
            <w:pPr>
              <w:ind w:left="520"/>
              <w:spacing w:after="0"/>
              <w:rPr>
                <w:sz w:val="20"/>
                <w:szCs w:val="20"/>
                <w:color w:val="auto"/>
              </w:rPr>
            </w:pPr>
            <w:r>
              <w:rPr>
                <w:rFonts w:ascii="Arial" w:cs="Arial" w:eastAsia="Arial" w:hAnsi="Arial"/>
                <w:sz w:val="18"/>
                <w:szCs w:val="18"/>
                <w:color w:val="auto"/>
              </w:rPr>
              <w:t>TI Employees Non-Qualified Pension Plan II</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(5)</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6,168,126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(6)</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0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 T. Crutcher (2)</w:t>
            </w:r>
          </w:p>
        </w:tc>
        <w:tc>
          <w:tcPr>
            <w:tcW w:w="4220" w:type="dxa"/>
            <w:vAlign w:val="bottom"/>
            <w:shd w:val="clear" w:color="auto" w:fill="E5E5E5"/>
          </w:tcPr>
          <w:p>
            <w:pPr>
              <w:ind w:left="520"/>
              <w:spacing w:after="0" w:line="202" w:lineRule="exact"/>
              <w:rPr>
                <w:sz w:val="20"/>
                <w:szCs w:val="20"/>
                <w:color w:val="auto"/>
              </w:rPr>
            </w:pPr>
            <w:r>
              <w:rPr>
                <w:rFonts w:ascii="Arial" w:cs="Arial" w:eastAsia="Arial" w:hAnsi="Arial"/>
                <w:sz w:val="18"/>
                <w:szCs w:val="18"/>
                <w:color w:val="auto"/>
              </w:rPr>
              <w:t>TI Employees Pension Plan</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0.9</w:t>
            </w:r>
          </w:p>
        </w:tc>
        <w:tc>
          <w:tcPr>
            <w:tcW w:w="40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90"/>
              </w:rPr>
              <w:t>(3)</w:t>
            </w:r>
          </w:p>
        </w:tc>
        <w:tc>
          <w:tcPr>
            <w:tcW w:w="28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7"/>
                <w:szCs w:val="17"/>
                <w:color w:val="auto"/>
              </w:rPr>
            </w:pP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4,696</w:t>
            </w: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w w:val="90"/>
              </w:rPr>
              <w:t>(7)</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40" w:right="40" w:hanging="436"/>
        <w:spacing w:after="0" w:line="276"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Messrs. Lizardi, Anderskouv and Ilan do not participate in any of the company’s defined benefit pension plans because they joined TI after these plans were closed to new participants.</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1997, TI’s U.S. employees were given the choice between continuing to participate in the defined benefit pension plans</w:t>
      </w:r>
    </w:p>
    <w:p>
      <w:pPr>
        <w:spacing w:after="0" w:line="17" w:lineRule="exact"/>
        <w:rPr>
          <w:rFonts w:ascii="Arial" w:cs="Arial" w:eastAsia="Arial" w:hAnsi="Arial"/>
          <w:sz w:val="18"/>
          <w:szCs w:val="18"/>
          <w:color w:val="auto"/>
        </w:rPr>
      </w:pPr>
    </w:p>
    <w:p>
      <w:pPr>
        <w:ind w:left="640" w:right="180"/>
        <w:spacing w:after="0" w:line="239" w:lineRule="auto"/>
        <w:rPr>
          <w:rFonts w:ascii="Arial" w:cs="Arial" w:eastAsia="Arial" w:hAnsi="Arial"/>
          <w:sz w:val="18"/>
          <w:szCs w:val="18"/>
          <w:color w:val="auto"/>
        </w:rPr>
      </w:pPr>
      <w:r>
        <w:rPr>
          <w:rFonts w:ascii="Arial" w:cs="Arial" w:eastAsia="Arial" w:hAnsi="Arial"/>
          <w:sz w:val="18"/>
          <w:szCs w:val="18"/>
          <w:color w:val="auto"/>
        </w:rPr>
        <w:t>or participating in a new enhanced defined contribution retirement plan. Messrs. Templeton and Crutcher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Crutcher’s benefits are included in the 2018 summary compensation table.</w:t>
      </w:r>
    </w:p>
    <w:p>
      <w:pPr>
        <w:spacing w:after="0" w:line="110"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40"/>
          </w:cols>
          <w:pgMar w:left="240" w:top="455" w:right="4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40" w:right="60" w:hanging="436"/>
        <w:spacing w:after="0" w:line="245"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Messrs. Templeton, Delagi and Crutcher, credited service began on the date the officer became eligible to participate in the plan. For Mr. Crutcher, eligibility to participate began on the first day of the month following completion of one year of employment. For Messrs. Templeton and Delagi, eligibility to participate began on the earlier of 18 months of employment, or January 1 following the completion of one year of employment. Accordingly, Mr. Templeton and Mr. Delagi have been and Mr. Crutcher was employed by TI for longer than the years of credited service shown above.</w:t>
      </w:r>
    </w:p>
    <w:p>
      <w:pPr>
        <w:spacing w:after="0" w:line="77" w:lineRule="exact"/>
        <w:rPr>
          <w:rFonts w:ascii="Arial" w:cs="Arial" w:eastAsia="Arial" w:hAnsi="Arial"/>
          <w:sz w:val="18"/>
          <w:szCs w:val="18"/>
          <w:color w:val="auto"/>
        </w:rPr>
      </w:pPr>
    </w:p>
    <w:p>
      <w:pPr>
        <w:ind w:left="640" w:right="160" w:hanging="436"/>
        <w:spacing w:after="0" w:line="276"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 and ceased at December 31, 2004.</w:t>
      </w:r>
    </w:p>
    <w:p>
      <w:pPr>
        <w:spacing w:after="0" w:line="50" w:lineRule="exact"/>
        <w:rPr>
          <w:rFonts w:ascii="Arial" w:cs="Arial" w:eastAsia="Arial" w:hAnsi="Arial"/>
          <w:sz w:val="18"/>
          <w:szCs w:val="18"/>
          <w:color w:val="auto"/>
        </w:rPr>
      </w:pPr>
    </w:p>
    <w:p>
      <w:pPr>
        <w:ind w:left="640" w:right="160" w:hanging="436"/>
        <w:spacing w:after="0" w:line="276"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w:t>
      </w:r>
    </w:p>
    <w:p>
      <w:pPr>
        <w:spacing w:after="0" w:line="50" w:lineRule="exact"/>
        <w:rPr>
          <w:rFonts w:ascii="Arial" w:cs="Arial" w:eastAsia="Arial" w:hAnsi="Arial"/>
          <w:sz w:val="18"/>
          <w:szCs w:val="18"/>
          <w:color w:val="auto"/>
        </w:rPr>
      </w:pPr>
    </w:p>
    <w:p>
      <w:pPr>
        <w:ind w:left="640" w:right="20" w:hanging="436"/>
        <w:spacing w:after="0" w:line="239"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TI for financial reporting purposes and are described in Note 9 to the 2018 financial statements, except that a named executive officer’s retirement is assumed (in accordance with SEC rules) for purposes of this table to occur at age 65 and no assumption for termination prior to that date is used. The amount of the lump-sum benefit earned as of December 31, 2018, is determined using either (i) the Pension Benefit Guaranty Corporation (PBGC) interest assumption of 1.25 percent or (ii) the Pension Protection Act of 2006 (PPA) corporate bond yield interest assumption of 4.37 percent for the TI Employees Pension Plan and</w:t>
      </w:r>
    </w:p>
    <w:p>
      <w:pPr>
        <w:ind w:left="640" w:right="20"/>
        <w:spacing w:after="0" w:line="242" w:lineRule="auto"/>
        <w:rPr>
          <w:rFonts w:ascii="Arial" w:cs="Arial" w:eastAsia="Arial" w:hAnsi="Arial"/>
          <w:sz w:val="18"/>
          <w:szCs w:val="18"/>
          <w:color w:val="auto"/>
        </w:rPr>
      </w:pPr>
      <w:r>
        <w:rPr>
          <w:rFonts w:ascii="Arial" w:cs="Arial" w:eastAsia="Arial" w:hAnsi="Arial"/>
          <w:sz w:val="18"/>
          <w:szCs w:val="18"/>
          <w:color w:val="auto"/>
        </w:rPr>
        <w:t>4.40 percent for the TI Employees Non-Qualified Pension Plans, whichever rate produces the higher lump-sum amount. A discount rate assumption of 4.37 percent for the TI Employees Pension Plan and 4.40 percent for the non-qualified pension plans was used to determine the present value of each lump sum.</w:t>
      </w:r>
    </w:p>
    <w:p>
      <w:pPr>
        <w:spacing w:after="0" w:line="81" w:lineRule="exact"/>
        <w:rPr>
          <w:rFonts w:ascii="Arial" w:cs="Arial" w:eastAsia="Arial" w:hAnsi="Arial"/>
          <w:sz w:val="18"/>
          <w:szCs w:val="18"/>
          <w:color w:val="auto"/>
        </w:rPr>
      </w:pPr>
    </w:p>
    <w:p>
      <w:pPr>
        <w:ind w:left="640" w:right="380" w:hanging="436"/>
        <w:spacing w:after="0" w:line="306" w:lineRule="auto"/>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Mr. Crutcher resigned from the company effective July 17, 2018. As required by the terms of the Plan, his TI Employees Pension Plan benefit was paid to him on November 1, 2018. The benefit was calculated in accordance with the terms of the Plan.</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TI Employees Pension Plan</w:t>
      </w:r>
    </w:p>
    <w:p>
      <w:pPr>
        <w:spacing w:after="0" w:line="212" w:lineRule="exact"/>
        <w:rPr>
          <w:sz w:val="20"/>
          <w:szCs w:val="20"/>
          <w:color w:val="auto"/>
        </w:rPr>
      </w:pPr>
    </w:p>
    <w:p>
      <w:pPr>
        <w:ind w:left="200"/>
        <w:spacing w:after="0" w:line="276" w:lineRule="auto"/>
        <w:rPr>
          <w:sz w:val="20"/>
          <w:szCs w:val="20"/>
          <w:color w:val="auto"/>
        </w:rPr>
      </w:pPr>
      <w:r>
        <w:rPr>
          <w:rFonts w:ascii="Arial" w:cs="Arial" w:eastAsia="Arial" w:hAnsi="Arial"/>
          <w:sz w:val="18"/>
          <w:szCs w:val="18"/>
          <w:color w:val="auto"/>
        </w:rPr>
        <w:t>The TI Employees Pension Plan is a qualified defined benefit pension plan. See “Benefits – Retirement plans” for a discussion of the origin and purpose of the plan. Employees who joined the U.S. payroll after November 30, 1997, are not eligible to participate in this plan.</w:t>
      </w:r>
    </w:p>
    <w:p>
      <w:pPr>
        <w:spacing w:after="0" w:line="145" w:lineRule="exact"/>
        <w:rPr>
          <w:sz w:val="20"/>
          <w:szCs w:val="20"/>
          <w:color w:val="auto"/>
        </w:rPr>
      </w:pPr>
    </w:p>
    <w:p>
      <w:pPr>
        <w:ind w:left="200" w:right="680"/>
        <w:spacing w:after="0" w:line="255" w:lineRule="auto"/>
        <w:rPr>
          <w:sz w:val="20"/>
          <w:szCs w:val="20"/>
          <w:color w:val="auto"/>
        </w:rPr>
      </w:pPr>
      <w:r>
        <w:rPr>
          <w:rFonts w:ascii="Arial" w:cs="Arial" w:eastAsia="Arial" w:hAnsi="Arial"/>
          <w:sz w:val="18"/>
          <w:szCs w:val="18"/>
          <w:color w:val="auto"/>
        </w:rPr>
        <w:t>Plan participants are eligible for normal retirement under the terms of the plan at 65 years of age with one year of credited service. Participants are eligible for early retirement at 55 years of age with 20 years of employment or 60 years of age with five years of employment. As of December 31, 2018, Mr. Templeton and Mr. Delagi were eligible for early or normal retirement.</w:t>
      </w:r>
    </w:p>
    <w:p>
      <w:pPr>
        <w:spacing w:after="0" w:line="164"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Participants may request payment of accrued benefits at termination or any time thereafter. Participants may choose a lump-sum payment or one of six forms of annuity. In order of largest to smallest periodic payment, the forms of annuity are: (i) single life annuity, (ii) 5-year certain and life annuity, (iii) 10-year certain and life annuity, (iv) joint and 50 percent survivor annuity, (v) joint and 75 percent survivor annuity, and (vi) joint and 100 percent survivor annuity. Participants who do not request payment will begin to receive benefits in April of the year after reaching the age of 70</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in the form of annuity required under the IRC.</w:t>
      </w:r>
    </w:p>
    <w:p>
      <w:pPr>
        <w:spacing w:after="0" w:line="168" w:lineRule="exact"/>
        <w:rPr>
          <w:sz w:val="20"/>
          <w:szCs w:val="20"/>
          <w:color w:val="auto"/>
        </w:rPr>
      </w:pPr>
    </w:p>
    <w:p>
      <w:pPr>
        <w:ind w:left="200" w:right="120"/>
        <w:spacing w:after="0" w:line="245" w:lineRule="auto"/>
        <w:rPr>
          <w:sz w:val="20"/>
          <w:szCs w:val="20"/>
          <w:color w:val="auto"/>
        </w:rPr>
      </w:pPr>
      <w:r>
        <w:rPr>
          <w:rFonts w:ascii="Arial" w:cs="Arial" w:eastAsia="Arial" w:hAnsi="Arial"/>
          <w:sz w:val="18"/>
          <w:szCs w:val="18"/>
          <w:color w:val="auto"/>
        </w:rPr>
        <w:t>The pension formula for the qualified plan is intended to provide a participant with an annual retirement benefit equal to 1.5 percent multiplied by the product of (i) years of credited service and (ii) the average of the five highest consecutive years of the participant’s base salary plus bonus up to a limit imposed by the IRS, less a percentage (based on the participant’s year of birth, when the participant elects to retire and the participant’s years of service with TI) of the amount of compensation on which the participant’s Social Security benefit is based.</w:t>
      </w:r>
    </w:p>
    <w:p>
      <w:pPr>
        <w:spacing w:after="0" w:line="172" w:lineRule="exact"/>
        <w:rPr>
          <w:sz w:val="20"/>
          <w:szCs w:val="20"/>
          <w:color w:val="auto"/>
        </w:rPr>
      </w:pPr>
    </w:p>
    <w:p>
      <w:pPr>
        <w:ind w:left="200" w:right="120"/>
        <w:spacing w:after="0" w:line="276" w:lineRule="auto"/>
        <w:rPr>
          <w:sz w:val="20"/>
          <w:szCs w:val="20"/>
          <w:color w:val="auto"/>
        </w:rPr>
      </w:pPr>
      <w:r>
        <w:rPr>
          <w:rFonts w:ascii="Arial" w:cs="Arial" w:eastAsia="Arial" w:hAnsi="Arial"/>
          <w:sz w:val="18"/>
          <w:szCs w:val="18"/>
          <w:color w:val="auto"/>
        </w:rPr>
        <w:t>If an individual takes early retirement and chooses to begin receiving an annual retirement benefit at that time, such benefit is reduced by an early retirement factor. As a result, the annual benefit is lower than the one the participant would have received at age 65.</w:t>
      </w:r>
    </w:p>
    <w:p>
      <w:pPr>
        <w:spacing w:after="0" w:line="145"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Participants whose employment terminates due to disability may choose to receive their accrued benefits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the participant not become disabled, and disabled status.</w:t>
      </w:r>
    </w:p>
    <w:p>
      <w:pPr>
        <w:spacing w:after="0" w:line="171"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97"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37</w:t>
            </w:r>
          </w:p>
        </w:tc>
      </w:tr>
    </w:tbl>
    <w:p>
      <w:pPr>
        <w:sectPr>
          <w:pgSz w:w="11900" w:h="16838" w:orient="portrait"/>
          <w:cols w:equalWidth="0" w:num="1">
            <w:col w:w="11220"/>
          </w:cols>
          <w:pgMar w:left="24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160"/>
        <w:spacing w:after="0" w:line="276" w:lineRule="auto"/>
        <w:rPr>
          <w:sz w:val="20"/>
          <w:szCs w:val="20"/>
          <w:color w:val="auto"/>
        </w:rPr>
      </w:pPr>
      <w:r>
        <w:rPr>
          <w:rFonts w:ascii="Arial" w:cs="Arial" w:eastAsia="Arial" w:hAnsi="Arial"/>
          <w:sz w:val="18"/>
          <w:szCs w:val="18"/>
          <w:color w:val="auto"/>
        </w:rPr>
        <w:t>Leaves of absence, including a bridge to retirement, are credited to years of service under the qualified pension plan. See the discussion of leaves of absence under “Potential payments upon termination or change in control – Termination – Perquisites.”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TI employees non-qualified pension plans</w:t>
      </w:r>
    </w:p>
    <w:p>
      <w:pPr>
        <w:spacing w:after="0" w:line="212" w:lineRule="exact"/>
        <w:rPr>
          <w:sz w:val="20"/>
          <w:szCs w:val="20"/>
          <w:color w:val="auto"/>
        </w:rPr>
      </w:pPr>
    </w:p>
    <w:p>
      <w:pPr>
        <w:ind w:left="200" w:right="140"/>
        <w:spacing w:after="0" w:line="243" w:lineRule="auto"/>
        <w:rPr>
          <w:sz w:val="20"/>
          <w:szCs w:val="20"/>
          <w:color w:val="auto"/>
        </w:rPr>
      </w:pPr>
      <w:r>
        <w:rPr>
          <w:rFonts w:ascii="Arial" w:cs="Arial" w:eastAsia="Arial" w:hAnsi="Arial"/>
          <w:sz w:val="18"/>
          <w:szCs w:val="18"/>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See “Benefits – Retirement plans”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(see above). Benefits are paid in a lump sum.</w:t>
      </w:r>
    </w:p>
    <w:p>
      <w:pPr>
        <w:spacing w:after="0" w:line="174"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174"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8"/>
          <w:szCs w:val="18"/>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lump-sum distribution payment under Plan II before the first day of the seventh month following termination of employment.</w:t>
      </w:r>
    </w:p>
    <w:p>
      <w:pPr>
        <w:spacing w:after="0" w:line="171" w:lineRule="exact"/>
        <w:rPr>
          <w:sz w:val="20"/>
          <w:szCs w:val="20"/>
          <w:color w:val="auto"/>
        </w:rPr>
      </w:pPr>
    </w:p>
    <w:p>
      <w:pPr>
        <w:jc w:val="both"/>
        <w:ind w:left="200" w:right="340"/>
        <w:spacing w:after="0" w:line="255" w:lineRule="auto"/>
        <w:rPr>
          <w:sz w:val="20"/>
          <w:szCs w:val="20"/>
          <w:color w:val="auto"/>
        </w:rPr>
      </w:pPr>
      <w:r>
        <w:rPr>
          <w:rFonts w:ascii="Arial" w:cs="Arial" w:eastAsia="Arial" w:hAnsi="Arial"/>
          <w:sz w:val="18"/>
          <w:szCs w:val="18"/>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164" w:lineRule="exact"/>
        <w:rPr>
          <w:sz w:val="20"/>
          <w:szCs w:val="20"/>
          <w:color w:val="auto"/>
        </w:rPr>
      </w:pPr>
    </w:p>
    <w:p>
      <w:pPr>
        <w:jc w:val="both"/>
        <w:ind w:left="200" w:right="100"/>
        <w:spacing w:after="0" w:line="276" w:lineRule="auto"/>
        <w:rPr>
          <w:sz w:val="20"/>
          <w:szCs w:val="20"/>
          <w:color w:val="auto"/>
        </w:rPr>
      </w:pPr>
      <w:r>
        <w:rPr>
          <w:rFonts w:ascii="Arial" w:cs="Arial" w:eastAsia="Arial" w:hAnsi="Arial"/>
          <w:sz w:val="18"/>
          <w:szCs w:val="18"/>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45"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the pre-2010 definition of a change in control (see the discussion following the Outstanding equity awards at fiscal year-end 2018 table) applies.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174" w:lineRule="exact"/>
        <w:rPr>
          <w:sz w:val="20"/>
          <w:szCs w:val="20"/>
          <w:color w:val="auto"/>
        </w:rPr>
      </w:pPr>
    </w:p>
    <w:p>
      <w:pPr>
        <w:ind w:left="200" w:right="800"/>
        <w:spacing w:after="0" w:line="276" w:lineRule="auto"/>
        <w:rPr>
          <w:sz w:val="20"/>
          <w:szCs w:val="20"/>
          <w:color w:val="auto"/>
        </w:rPr>
      </w:pPr>
      <w:r>
        <w:rPr>
          <w:rFonts w:ascii="Arial" w:cs="Arial" w:eastAsia="Arial" w:hAnsi="Arial"/>
          <w:sz w:val="18"/>
          <w:szCs w:val="18"/>
          <w:color w:val="auto"/>
        </w:rPr>
        <w:t>Leaves of absence, including a bridge to retirement, are credited to years of service under the non-qualified pension plans. For a discussion of leaves of absence, see “Potential payments upon termination or change in control – Termination – Perquisites.”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TI Employees Survivor Benefit Plan</w:t>
      </w:r>
    </w:p>
    <w:p>
      <w:pPr>
        <w:spacing w:after="0" w:line="212"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TI’s qualified and non-qualified pension plans provide that upon the death of a retirement-eligible employee, the employee’s beneficiary receives a payment equal to half of the benefit to which the employee would have been entitled under the pension plans had the employee retired instead of died. We have a survivor benefit plan that pays the beneficiary a lump sum that, when added to the reduced amounts the beneficiary receives under the pension plans, equals the benefit the employee would have been entitled to receive had the employee retired instead of died. Because Messrs. Templeton and Delagi were eligible for early retirement in 2018, their beneficiaries would be eligible for benefits under the survivor benefit plan if they were to die.</w:t>
      </w:r>
    </w:p>
    <w:p>
      <w:pPr>
        <w:spacing w:after="0" w:line="107"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2018 non-qualified deferred compensation</w:t>
      </w:r>
    </w:p>
    <w:p>
      <w:pPr>
        <w:spacing w:after="0" w:line="211" w:lineRule="exact"/>
        <w:rPr>
          <w:sz w:val="20"/>
          <w:szCs w:val="20"/>
          <w:color w:val="auto"/>
        </w:rPr>
      </w:pPr>
    </w:p>
    <w:p>
      <w:pPr>
        <w:ind w:left="200" w:right="460"/>
        <w:spacing w:after="0" w:line="276" w:lineRule="auto"/>
        <w:rPr>
          <w:sz w:val="20"/>
          <w:szCs w:val="20"/>
          <w:color w:val="auto"/>
        </w:rPr>
      </w:pPr>
      <w:r>
        <w:rPr>
          <w:rFonts w:ascii="Arial" w:cs="Arial" w:eastAsia="Arial" w:hAnsi="Arial"/>
          <w:sz w:val="18"/>
          <w:szCs w:val="18"/>
          <w:color w:val="auto"/>
        </w:rPr>
        <w:t>The following table shows contributions to each named executive officer’s deferred compensation account in 2018 and the aggregate amount of his deferred compensation as of December 31, 2018.</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jc w:val="right"/>
              <w:ind w:right="353"/>
              <w:spacing w:after="0"/>
              <w:rPr>
                <w:sz w:val="20"/>
                <w:szCs w:val="20"/>
                <w:color w:val="auto"/>
              </w:rPr>
            </w:pPr>
            <w:r>
              <w:rPr>
                <w:rFonts w:ascii="Arial" w:cs="Arial" w:eastAsia="Arial" w:hAnsi="Arial"/>
                <w:sz w:val="14"/>
                <w:szCs w:val="14"/>
                <w:b w:val="1"/>
                <w:bCs w:val="1"/>
                <w:color w:val="auto"/>
              </w:rPr>
              <w:t>Executive</w:t>
            </w:r>
          </w:p>
        </w:tc>
        <w:tc>
          <w:tcPr>
            <w:tcW w:w="360" w:type="dxa"/>
            <w:vAlign w:val="bottom"/>
          </w:tcPr>
          <w:p>
            <w:pPr>
              <w:spacing w:after="0"/>
              <w:rPr>
                <w:sz w:val="14"/>
                <w:szCs w:val="14"/>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Registrant</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474"/>
              <w:spacing w:after="0"/>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4"/>
                <w:szCs w:val="14"/>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2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Contributions</w:t>
            </w:r>
          </w:p>
        </w:tc>
        <w:tc>
          <w:tcPr>
            <w:tcW w:w="156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Contributions</w:t>
            </w: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Aggregate Earnings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374"/>
              <w:spacing w:after="0"/>
              <w:rPr>
                <w:sz w:val="20"/>
                <w:szCs w:val="20"/>
                <w:color w:val="auto"/>
              </w:rPr>
            </w:pPr>
            <w:r>
              <w:rPr>
                <w:rFonts w:ascii="Arial" w:cs="Arial" w:eastAsia="Arial" w:hAnsi="Arial"/>
                <w:sz w:val="14"/>
                <w:szCs w:val="14"/>
                <w:b w:val="1"/>
                <w:bCs w:val="1"/>
                <w:color w:val="auto"/>
              </w:rPr>
              <w:t>Withdrawals/</w:t>
            </w:r>
          </w:p>
        </w:tc>
        <w:tc>
          <w:tcPr>
            <w:tcW w:w="154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Balance at Last</w:t>
            </w:r>
          </w:p>
        </w:tc>
      </w:tr>
      <w:tr>
        <w:trPr>
          <w:trHeight w:val="19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20" w:type="dxa"/>
            <w:vAlign w:val="bottom"/>
            <w:gridSpan w:val="2"/>
          </w:tcPr>
          <w:p>
            <w:pPr>
              <w:ind w:left="780"/>
              <w:spacing w:after="0"/>
              <w:rPr>
                <w:sz w:val="20"/>
                <w:szCs w:val="20"/>
                <w:color w:val="auto"/>
              </w:rPr>
            </w:pPr>
            <w:r>
              <w:rPr>
                <w:rFonts w:ascii="Arial" w:cs="Arial" w:eastAsia="Arial" w:hAnsi="Arial"/>
                <w:sz w:val="14"/>
                <w:szCs w:val="14"/>
                <w:b w:val="1"/>
                <w:bCs w:val="1"/>
                <w:color w:val="auto"/>
              </w:rPr>
              <w:t>in Last FY ($) (1)</w:t>
            </w: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Last FY ($) (2)</w:t>
            </w:r>
          </w:p>
        </w:tc>
        <w:tc>
          <w:tcPr>
            <w:tcW w:w="380" w:type="dxa"/>
            <w:vAlign w:val="bottom"/>
          </w:tcPr>
          <w:p>
            <w:pPr>
              <w:spacing w:after="0"/>
              <w:rPr>
                <w:sz w:val="16"/>
                <w:szCs w:val="16"/>
                <w:color w:val="auto"/>
              </w:rPr>
            </w:pPr>
          </w:p>
        </w:tc>
        <w:tc>
          <w:tcPr>
            <w:tcW w:w="1280" w:type="dxa"/>
            <w:vAlign w:val="bottom"/>
          </w:tcPr>
          <w:p>
            <w:pPr>
              <w:jc w:val="right"/>
              <w:ind w:right="233"/>
              <w:spacing w:after="0"/>
              <w:rPr>
                <w:sz w:val="20"/>
                <w:szCs w:val="20"/>
                <w:color w:val="auto"/>
              </w:rPr>
            </w:pPr>
            <w:r>
              <w:rPr>
                <w:rFonts w:ascii="Arial" w:cs="Arial" w:eastAsia="Arial" w:hAnsi="Arial"/>
                <w:sz w:val="14"/>
                <w:szCs w:val="14"/>
                <w:b w:val="1"/>
                <w:bCs w:val="1"/>
                <w:color w:val="auto"/>
              </w:rPr>
              <w:t>in Last FY ($)</w:t>
            </w:r>
          </w:p>
        </w:tc>
        <w:tc>
          <w:tcPr>
            <w:tcW w:w="40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Distributions ($)</w:t>
            </w:r>
          </w:p>
        </w:tc>
        <w:tc>
          <w:tcPr>
            <w:tcW w:w="260" w:type="dxa"/>
            <w:vAlign w:val="bottom"/>
          </w:tcPr>
          <w:p>
            <w:pPr>
              <w:spacing w:after="0"/>
              <w:rPr>
                <w:sz w:val="16"/>
                <w:szCs w:val="16"/>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FYE ($) (5)</w:t>
            </w:r>
          </w:p>
        </w:tc>
      </w:tr>
      <w:tr>
        <w:trPr>
          <w:trHeight w:val="196"/>
        </w:trPr>
        <w:tc>
          <w:tcPr>
            <w:tcW w:w="20" w:type="dxa"/>
            <w:vAlign w:val="bottom"/>
          </w:tcPr>
          <w:p>
            <w:pPr>
              <w:spacing w:after="0"/>
              <w:rPr>
                <w:sz w:val="17"/>
                <w:szCs w:val="17"/>
                <w:color w:val="auto"/>
              </w:rPr>
            </w:pPr>
          </w:p>
        </w:tc>
        <w:tc>
          <w:tcPr>
            <w:tcW w:w="212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R. K. Templeton</w:t>
            </w:r>
          </w:p>
        </w:tc>
        <w:tc>
          <w:tcPr>
            <w:tcW w:w="940" w:type="dxa"/>
            <w:vAlign w:val="bottom"/>
            <w:tcBorders>
              <w:top w:val="single" w:sz="8" w:color="auto"/>
            </w:tcBorders>
            <w:shd w:val="clear" w:color="auto" w:fill="E5E5E5"/>
          </w:tcPr>
          <w:p>
            <w:pPr>
              <w:ind w:left="78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E5E5E5"/>
          </w:tcPr>
          <w:p>
            <w:pPr>
              <w:jc w:val="right"/>
              <w:ind w:right="133"/>
              <w:spacing w:after="0" w:line="196" w:lineRule="exact"/>
              <w:rPr>
                <w:sz w:val="20"/>
                <w:szCs w:val="20"/>
                <w:color w:val="auto"/>
              </w:rPr>
            </w:pPr>
            <w:r>
              <w:rPr>
                <w:rFonts w:ascii="Arial" w:cs="Arial" w:eastAsia="Arial" w:hAnsi="Arial"/>
                <w:sz w:val="18"/>
                <w:szCs w:val="18"/>
                <w:color w:val="auto"/>
              </w:rPr>
              <w:t>178,938</w:t>
            </w:r>
          </w:p>
        </w:tc>
        <w:tc>
          <w:tcPr>
            <w:tcW w:w="360" w:type="dxa"/>
            <w:vAlign w:val="bottom"/>
            <w:tcBorders>
              <w:top w:val="single" w:sz="8" w:color="auto"/>
            </w:tcBorders>
            <w:shd w:val="clear" w:color="auto" w:fill="E5E5E5"/>
          </w:tcPr>
          <w:p>
            <w:pPr>
              <w:ind w:left="22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E5E5E5"/>
          </w:tcPr>
          <w:p>
            <w:pPr>
              <w:jc w:val="right"/>
              <w:ind w:right="133"/>
              <w:spacing w:after="0" w:line="196" w:lineRule="exact"/>
              <w:rPr>
                <w:sz w:val="20"/>
                <w:szCs w:val="20"/>
                <w:color w:val="auto"/>
              </w:rPr>
            </w:pPr>
            <w:r>
              <w:rPr>
                <w:rFonts w:ascii="Arial" w:cs="Arial" w:eastAsia="Arial" w:hAnsi="Arial"/>
                <w:sz w:val="18"/>
                <w:szCs w:val="18"/>
                <w:color w:val="auto"/>
              </w:rPr>
              <w:t>264,557</w:t>
            </w:r>
          </w:p>
        </w:tc>
        <w:tc>
          <w:tcPr>
            <w:tcW w:w="380" w:type="dxa"/>
            <w:vAlign w:val="bottom"/>
            <w:tcBorders>
              <w:top w:val="single" w:sz="8" w:color="auto"/>
            </w:tcBorders>
            <w:shd w:val="clear" w:color="auto" w:fill="E5E5E5"/>
          </w:tcPr>
          <w:p>
            <w:pPr>
              <w:ind w:left="20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(949,627)</w:t>
            </w:r>
          </w:p>
        </w:tc>
        <w:tc>
          <w:tcPr>
            <w:tcW w:w="400" w:type="dxa"/>
            <w:vAlign w:val="bottom"/>
            <w:tcBorders>
              <w:top w:val="single" w:sz="8" w:color="auto"/>
            </w:tcBorders>
            <w:shd w:val="clear" w:color="auto" w:fill="E5E5E5"/>
          </w:tcPr>
          <w:p>
            <w:pPr>
              <w:jc w:val="right"/>
              <w:ind w:right="50"/>
              <w:spacing w:after="0" w:line="196" w:lineRule="exact"/>
              <w:rPr>
                <w:sz w:val="20"/>
                <w:szCs w:val="20"/>
                <w:color w:val="auto"/>
              </w:rPr>
            </w:pPr>
            <w:r>
              <w:rPr>
                <w:rFonts w:ascii="Arial" w:cs="Arial" w:eastAsia="Arial" w:hAnsi="Arial"/>
                <w:sz w:val="18"/>
                <w:szCs w:val="18"/>
                <w:color w:val="auto"/>
              </w:rPr>
              <w:t>(3)</w:t>
            </w:r>
          </w:p>
        </w:tc>
        <w:tc>
          <w:tcPr>
            <w:tcW w:w="260" w:type="dxa"/>
            <w:vAlign w:val="bottom"/>
            <w:tcBorders>
              <w:top w:val="single" w:sz="8" w:color="auto"/>
            </w:tcBorders>
            <w:shd w:val="clear" w:color="auto" w:fill="E5E5E5"/>
          </w:tcPr>
          <w:p>
            <w:pPr>
              <w:ind w:left="16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E5E5E5"/>
          </w:tcPr>
          <w:p>
            <w:pPr>
              <w:jc w:val="right"/>
              <w:ind w:right="54"/>
              <w:spacing w:after="0" w:line="196" w:lineRule="exact"/>
              <w:rPr>
                <w:sz w:val="20"/>
                <w:szCs w:val="20"/>
                <w:color w:val="auto"/>
              </w:rPr>
            </w:pPr>
            <w:r>
              <w:rPr>
                <w:rFonts w:ascii="Arial" w:cs="Arial" w:eastAsia="Arial" w:hAnsi="Arial"/>
                <w:sz w:val="18"/>
                <w:szCs w:val="18"/>
                <w:color w:val="auto"/>
              </w:rPr>
              <w:t>619,359 (4)</w:t>
            </w:r>
          </w:p>
        </w:tc>
        <w:tc>
          <w:tcPr>
            <w:tcW w:w="26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13,451,257 (6)</w:t>
            </w:r>
          </w:p>
        </w:tc>
      </w:tr>
      <w:tr>
        <w:trPr>
          <w:trHeight w:val="203"/>
        </w:trPr>
        <w:tc>
          <w:tcPr>
            <w:tcW w:w="2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R. R. Lizardi</w:t>
            </w:r>
          </w:p>
        </w:tc>
        <w:tc>
          <w:tcPr>
            <w:tcW w:w="940" w:type="dxa"/>
            <w:vAlign w:val="bottom"/>
          </w:tcPr>
          <w:p>
            <w:pPr>
              <w:ind w:left="78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41,417</w:t>
            </w:r>
          </w:p>
        </w:tc>
        <w:tc>
          <w:tcPr>
            <w:tcW w:w="3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48,770</w:t>
            </w:r>
          </w:p>
        </w:tc>
        <w:tc>
          <w:tcPr>
            <w:tcW w:w="38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(47,984)</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410,678</w:t>
            </w:r>
          </w:p>
        </w:tc>
      </w:tr>
      <w:tr>
        <w:trPr>
          <w:trHeight w:val="203"/>
        </w:trPr>
        <w:tc>
          <w:tcPr>
            <w:tcW w:w="20" w:type="dxa"/>
            <w:vAlign w:val="bottom"/>
          </w:tcPr>
          <w:p>
            <w:pPr>
              <w:spacing w:after="0"/>
              <w:rPr>
                <w:sz w:val="17"/>
                <w:szCs w:val="17"/>
                <w:color w:val="auto"/>
              </w:rPr>
            </w:pPr>
          </w:p>
        </w:tc>
        <w:tc>
          <w:tcPr>
            <w:tcW w:w="21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 Anderskouv</w:t>
            </w:r>
          </w:p>
        </w:tc>
        <w:tc>
          <w:tcPr>
            <w:tcW w:w="940" w:type="dxa"/>
            <w:vAlign w:val="bottom"/>
            <w:shd w:val="clear" w:color="auto" w:fill="E5E5E5"/>
          </w:tcPr>
          <w:p>
            <w:pPr>
              <w:ind w:left="7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rPr>
              <w:t>46,813</w:t>
            </w:r>
          </w:p>
        </w:tc>
        <w:tc>
          <w:tcPr>
            <w:tcW w:w="3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rPr>
              <w:t>72,958</w:t>
            </w:r>
          </w:p>
        </w:tc>
        <w:tc>
          <w:tcPr>
            <w:tcW w:w="3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(11,609)</w:t>
            </w:r>
          </w:p>
        </w:tc>
        <w:tc>
          <w:tcPr>
            <w:tcW w:w="400" w:type="dxa"/>
            <w:vAlign w:val="bottom"/>
            <w:shd w:val="clear" w:color="auto" w:fill="E5E5E5"/>
          </w:tcPr>
          <w:p>
            <w:pPr>
              <w:spacing w:after="0"/>
              <w:rPr>
                <w:sz w:val="17"/>
                <w:szCs w:val="17"/>
                <w:color w:val="auto"/>
              </w:rPr>
            </w:pPr>
          </w:p>
        </w:tc>
        <w:tc>
          <w:tcPr>
            <w:tcW w:w="26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E5E5E5"/>
          </w:tcPr>
          <w:p>
            <w:pPr>
              <w:jc w:val="right"/>
              <w:ind w:right="274"/>
              <w:spacing w:after="0" w:line="202" w:lineRule="exact"/>
              <w:rPr>
                <w:sz w:val="20"/>
                <w:szCs w:val="20"/>
                <w:color w:val="auto"/>
              </w:rPr>
            </w:pPr>
            <w:r>
              <w:rPr>
                <w:rFonts w:ascii="Arial" w:cs="Arial" w:eastAsia="Arial" w:hAnsi="Arial"/>
                <w:sz w:val="18"/>
                <w:szCs w:val="18"/>
                <w:color w:val="auto"/>
              </w:rPr>
              <w:t>13,883</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194"/>
              <w:spacing w:after="0" w:line="202" w:lineRule="exact"/>
              <w:rPr>
                <w:sz w:val="20"/>
                <w:szCs w:val="20"/>
                <w:color w:val="auto"/>
              </w:rPr>
            </w:pPr>
            <w:r>
              <w:rPr>
                <w:rFonts w:ascii="Arial" w:cs="Arial" w:eastAsia="Arial" w:hAnsi="Arial"/>
                <w:sz w:val="18"/>
                <w:szCs w:val="18"/>
                <w:color w:val="auto"/>
              </w:rPr>
              <w:t>341,952</w:t>
            </w:r>
          </w:p>
        </w:tc>
      </w:tr>
      <w:tr>
        <w:trPr>
          <w:trHeight w:val="203"/>
        </w:trPr>
        <w:tc>
          <w:tcPr>
            <w:tcW w:w="2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R. G. Delagi</w:t>
            </w:r>
          </w:p>
        </w:tc>
        <w:tc>
          <w:tcPr>
            <w:tcW w:w="94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21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 Ilan</w:t>
            </w:r>
          </w:p>
        </w:tc>
        <w:tc>
          <w:tcPr>
            <w:tcW w:w="940" w:type="dxa"/>
            <w:vAlign w:val="bottom"/>
            <w:shd w:val="clear" w:color="auto" w:fill="E5E5E5"/>
          </w:tcPr>
          <w:p>
            <w:pPr>
              <w:ind w:left="7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rPr>
              <w:t>133,438</w:t>
            </w:r>
          </w:p>
        </w:tc>
        <w:tc>
          <w:tcPr>
            <w:tcW w:w="3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color w:val="auto"/>
              </w:rPr>
              <w:t>40,813</w:t>
            </w:r>
          </w:p>
        </w:tc>
        <w:tc>
          <w:tcPr>
            <w:tcW w:w="3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(30,852)</w:t>
            </w:r>
          </w:p>
        </w:tc>
        <w:tc>
          <w:tcPr>
            <w:tcW w:w="400" w:type="dxa"/>
            <w:vAlign w:val="bottom"/>
            <w:shd w:val="clear" w:color="auto" w:fill="E5E5E5"/>
          </w:tcPr>
          <w:p>
            <w:pPr>
              <w:spacing w:after="0"/>
              <w:rPr>
                <w:sz w:val="17"/>
                <w:szCs w:val="17"/>
                <w:color w:val="auto"/>
              </w:rPr>
            </w:pPr>
          </w:p>
        </w:tc>
        <w:tc>
          <w:tcPr>
            <w:tcW w:w="26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E5E5E5"/>
          </w:tcPr>
          <w:p>
            <w:pPr>
              <w:jc w:val="right"/>
              <w:ind w:right="274"/>
              <w:spacing w:after="0" w:line="202" w:lineRule="exact"/>
              <w:rPr>
                <w:sz w:val="20"/>
                <w:szCs w:val="20"/>
                <w:color w:val="auto"/>
              </w:rPr>
            </w:pPr>
            <w:r>
              <w:rPr>
                <w:rFonts w:ascii="Arial" w:cs="Arial" w:eastAsia="Arial" w:hAnsi="Arial"/>
                <w:sz w:val="18"/>
                <w:szCs w:val="18"/>
                <w:color w:val="auto"/>
              </w:rPr>
              <w:t>41,443</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194"/>
              <w:spacing w:after="0" w:line="202" w:lineRule="exact"/>
              <w:rPr>
                <w:sz w:val="20"/>
                <w:szCs w:val="20"/>
                <w:color w:val="auto"/>
              </w:rPr>
            </w:pPr>
            <w:r>
              <w:rPr>
                <w:rFonts w:ascii="Arial" w:cs="Arial" w:eastAsia="Arial" w:hAnsi="Arial"/>
                <w:sz w:val="18"/>
                <w:szCs w:val="18"/>
                <w:color w:val="auto"/>
              </w:rPr>
              <w:t>675,041</w:t>
            </w:r>
          </w:p>
        </w:tc>
      </w:tr>
      <w:tr>
        <w:trPr>
          <w:trHeight w:val="243"/>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B. T. Crutcher (7)</w:t>
            </w:r>
          </w:p>
        </w:tc>
        <w:tc>
          <w:tcPr>
            <w:tcW w:w="940" w:type="dxa"/>
            <w:vAlign w:val="bottom"/>
          </w:tcPr>
          <w:p>
            <w:pPr>
              <w:ind w:left="7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251,583</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158,344</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(39,328)</w:t>
            </w:r>
          </w:p>
        </w:tc>
        <w:tc>
          <w:tcPr>
            <w:tcW w:w="40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274"/>
              <w:spacing w:after="0"/>
              <w:rPr>
                <w:sz w:val="20"/>
                <w:szCs w:val="20"/>
                <w:color w:val="auto"/>
              </w:rPr>
            </w:pPr>
            <w:r>
              <w:rPr>
                <w:rFonts w:ascii="Arial" w:cs="Arial" w:eastAsia="Arial" w:hAnsi="Arial"/>
                <w:sz w:val="18"/>
                <w:szCs w:val="18"/>
                <w:color w:val="auto"/>
              </w:rPr>
              <w:t>1,052,132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1,251,301</w:t>
            </w:r>
          </w:p>
        </w:tc>
      </w:tr>
    </w:tbl>
    <w:p>
      <w:pPr>
        <w:spacing w:after="0" w:line="58" w:lineRule="exact"/>
        <w:rPr>
          <w:sz w:val="20"/>
          <w:szCs w:val="20"/>
          <w:color w:val="auto"/>
        </w:rPr>
      </w:pPr>
    </w:p>
    <w:p>
      <w:pPr>
        <w:jc w:val="both"/>
        <w:ind w:left="640" w:right="280" w:hanging="436"/>
        <w:spacing w:after="0" w:line="306" w:lineRule="auto"/>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Amount shown for Mr. Templeton includes a portion of his salary and bonus paid in 2018; for Messrs. Lizardi, Anderskouv and Ilan includes a portion of their salary paid in 2018; and for Mr. Crutcher includes a portion of his profit sharing and bonus paid in 2018.</w:t>
      </w:r>
    </w:p>
    <w:p>
      <w:pPr>
        <w:spacing w:after="0" w:line="28" w:lineRule="exact"/>
        <w:rPr>
          <w:rFonts w:ascii="Arial" w:cs="Arial" w:eastAsia="Arial" w:hAnsi="Arial"/>
          <w:sz w:val="17"/>
          <w:szCs w:val="17"/>
          <w:color w:val="auto"/>
        </w:rPr>
      </w:pPr>
    </w:p>
    <w:p>
      <w:pPr>
        <w:ind w:left="640" w:right="1040" w:hanging="436"/>
        <w:spacing w:after="0" w:line="276"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Company matching contributions pursuant to the defined contribution plan. These amounts are included in the “All Other Compensation” column of the 2018 summary compensation table.</w:t>
      </w:r>
    </w:p>
    <w:p>
      <w:pPr>
        <w:spacing w:after="0" w:line="50" w:lineRule="exact"/>
        <w:rPr>
          <w:rFonts w:ascii="Arial" w:cs="Arial" w:eastAsia="Arial" w:hAnsi="Arial"/>
          <w:sz w:val="18"/>
          <w:szCs w:val="18"/>
          <w:color w:val="auto"/>
        </w:rPr>
      </w:pPr>
    </w:p>
    <w:p>
      <w:pPr>
        <w:ind w:left="640" w:right="40" w:hanging="436"/>
        <w:spacing w:after="0" w:line="241"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(a) $315,600 in dividend equivalents paid under the 120,000-share 1995 RSU award previously discussed, settlement of which has been deferred until after termination of employment; (b) a $1,192,800 decrease in the value of the RSU award (calculated by subtracting the value of the award at year-end 2017 from the value of the award at year-end 2018 (in both cases, the number of RSUs is multiplied by the closing price of TI common stock on the last trading date of the year)); and (c) a $72,427 loss in</w:t>
      </w:r>
    </w:p>
    <w:p>
      <w:pPr>
        <w:ind w:left="640" w:right="80"/>
        <w:spacing w:after="0" w:line="251" w:lineRule="auto"/>
        <w:rPr>
          <w:rFonts w:ascii="Arial" w:cs="Arial" w:eastAsia="Arial" w:hAnsi="Arial"/>
          <w:sz w:val="18"/>
          <w:szCs w:val="18"/>
          <w:color w:val="auto"/>
        </w:rPr>
      </w:pPr>
      <w:r>
        <w:rPr>
          <w:rFonts w:ascii="Arial" w:cs="Arial" w:eastAsia="Arial" w:hAnsi="Arial"/>
          <w:sz w:val="18"/>
          <w:szCs w:val="18"/>
          <w:color w:val="auto"/>
        </w:rPr>
        <w:t>Mr. Templeton’s deferred compensation account in 2018. Dividend equivalents are paid at the same rate as dividends on TI common stock.</w:t>
      </w:r>
    </w:p>
    <w:p>
      <w:pPr>
        <w:spacing w:after="0" w:line="71" w:lineRule="exact"/>
        <w:rPr>
          <w:rFonts w:ascii="Arial" w:cs="Arial" w:eastAsia="Arial" w:hAnsi="Arial"/>
          <w:sz w:val="18"/>
          <w:szCs w:val="18"/>
          <w:color w:val="auto"/>
        </w:rPr>
      </w:pPr>
    </w:p>
    <w:p>
      <w:pPr>
        <w:ind w:left="640" w:right="240" w:hanging="436"/>
        <w:spacing w:after="0" w:line="276"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dividend equivalents paid on the RSU award discussed in Note 3 and a $303,759 deferred compensation plan account distribution.</w:t>
      </w:r>
    </w:p>
    <w:p>
      <w:pPr>
        <w:spacing w:after="0" w:line="50" w:lineRule="exact"/>
        <w:rPr>
          <w:rFonts w:ascii="Arial" w:cs="Arial" w:eastAsia="Arial" w:hAnsi="Arial"/>
          <w:sz w:val="18"/>
          <w:szCs w:val="18"/>
          <w:color w:val="auto"/>
        </w:rPr>
      </w:pPr>
    </w:p>
    <w:p>
      <w:pPr>
        <w:jc w:val="both"/>
        <w:ind w:left="640" w:right="680" w:hanging="436"/>
        <w:spacing w:after="0" w:line="255"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amounts contributed by a named executive officer and by the company in prior years have been reported in the summary compensation table in previously filed proxy statements in the year earned to the extent he was a named executive officer for purposes of the SEC’s executive compensation disclosure.</w:t>
      </w:r>
    </w:p>
    <w:p>
      <w:pPr>
        <w:spacing w:after="0" w:line="69" w:lineRule="exact"/>
        <w:rPr>
          <w:rFonts w:ascii="Arial" w:cs="Arial" w:eastAsia="Arial" w:hAnsi="Arial"/>
          <w:sz w:val="18"/>
          <w:szCs w:val="18"/>
          <w:color w:val="auto"/>
        </w:rPr>
      </w:pPr>
    </w:p>
    <w:p>
      <w:pPr>
        <w:ind w:left="640" w:right="100" w:hanging="436"/>
        <w:spacing w:after="0" w:line="276"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this amount, $11,340,000 is attributable to Mr. Templeton’s 1995 RSU award, calculated as described in Note 3. The remainder is the balance of his deferred compensation account.</w:t>
      </w:r>
    </w:p>
    <w:p>
      <w:pPr>
        <w:spacing w:after="0" w:line="50" w:lineRule="exact"/>
        <w:rPr>
          <w:rFonts w:ascii="Arial" w:cs="Arial" w:eastAsia="Arial" w:hAnsi="Arial"/>
          <w:sz w:val="18"/>
          <w:szCs w:val="18"/>
          <w:color w:val="auto"/>
        </w:rPr>
      </w:pPr>
    </w:p>
    <w:p>
      <w:pPr>
        <w:ind w:left="640" w:right="300" w:hanging="436"/>
        <w:spacing w:after="0" w:line="277" w:lineRule="auto"/>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Prior to his resignation in July 2018, Mr. Crutcher contributed to his deferred compensation account, and the company made matching contributions in accordance with the terms of the defined contribution plan. The balance of Mr. Crutcher’s deferred compensation account will be paid to him in accordance with the distribution elections he made at the time of his deferral election.</w:t>
      </w:r>
    </w:p>
    <w:p>
      <w:pPr>
        <w:spacing w:after="0" w:line="147" w:lineRule="exact"/>
        <w:rPr>
          <w:sz w:val="20"/>
          <w:szCs w:val="20"/>
          <w:color w:val="auto"/>
        </w:rPr>
      </w:pPr>
    </w:p>
    <w:p>
      <w:pPr>
        <w:ind w:left="200" w:right="380"/>
        <w:spacing w:after="0" w:line="262" w:lineRule="auto"/>
        <w:rPr>
          <w:sz w:val="20"/>
          <w:szCs w:val="20"/>
          <w:color w:val="auto"/>
        </w:rPr>
      </w:pPr>
      <w:r>
        <w:rPr>
          <w:rFonts w:ascii="Arial" w:cs="Arial" w:eastAsia="Arial" w:hAnsi="Arial"/>
          <w:sz w:val="17"/>
          <w:szCs w:val="17"/>
          <w:color w:val="auto"/>
        </w:rPr>
        <w:t>See “Benefits – Retirement plans” for a discussion of the purpose of the plan. An employee’s deferred compensation account contains eligible compensation the employee has elected to defer and contributions by the company that are in excess of the IRS limits on</w:t>
      </w:r>
    </w:p>
    <w:p>
      <w:pPr>
        <w:ind w:left="200" w:right="80" w:firstLine="4"/>
        <w:spacing w:after="0" w:line="251" w:lineRule="auto"/>
        <w:tabs>
          <w:tab w:leader="none" w:pos="4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contributions the company may make to the enhanced defined contribution plan and (ii) matching contributions the company may make related to compensation the executive officer deferred into his deferred compensation account.</w:t>
      </w:r>
    </w:p>
    <w:p>
      <w:pPr>
        <w:spacing w:after="0" w:line="166"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Participants in the deferred compensation plan may choose to defer up to (i) 25 percent of their base salary, (ii) 90 percent of their performance bonus, and (iii) 90 percent of profit sharing. Elections to defer compensation must be made in the calendar year prior to the year in which the compensation will be earned.</w:t>
      </w:r>
    </w:p>
    <w:p>
      <w:pPr>
        <w:spacing w:after="0" w:line="164"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During 2018, participants could choose to have their deferred compensation mirror the performance of one or more of the following mutual funds, each of which is managed by a third party (these alternatives, which may be changed at any time, are the same as those offered to participants in the defined contribution plans): BlackRock MSCI ACWI ex-U.S. IMI Index 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Fidelity Puritan Fund, BlackRock Equity Index Fund F, BlackRock (EAFE) (Europe, Australia, Far East) Equity Index Fund F, BlackRock Lifepath Index 2020 Fund F, BlackRock Lifepath Index 2030 Fund F, BlackRock Lifepath Index 2040 Fund F, BlackRock Lifepath Index 2050 Fund F and BlackRock Lifepath Index Retirement Fund F.</w:t>
      </w:r>
    </w:p>
    <w:p>
      <w:pPr>
        <w:spacing w:after="0" w:line="114"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39</w:t>
            </w:r>
          </w:p>
        </w:tc>
      </w:tr>
    </w:tbl>
    <w:p>
      <w:pPr>
        <w:sectPr>
          <w:pgSz w:w="11900" w:h="16838" w:orient="portrait"/>
          <w:cols w:equalWidth="0" w:num="1">
            <w:col w:w="11240"/>
          </w:cols>
          <w:pgMar w:left="240" w:top="455" w:right="4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From among the available investment alternatives, participants may change their instructions relating to their deferred compensation daily. Earnings on a participant’s balance are determined solely by the performance of the investments that the participant has chosen. The company does not guarantee any minimum return on investments. A third party administers the company’s deferred compensation program.</w:t>
      </w:r>
    </w:p>
    <w:p>
      <w:pPr>
        <w:spacing w:after="0" w:line="17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 participant may request distribution from the plan in the case of an unforeseeable emergency. To obtain an unforeseeable emergency withdrawal, a participant must meet the requirements of Section 409A of the IRC. Otherwise, balances are paid to participants pursuant to their distribution elections and are subject to applicable IRC limitations.</w:t>
      </w:r>
    </w:p>
    <w:p>
      <w:pPr>
        <w:spacing w:after="0" w:line="164" w:lineRule="exact"/>
        <w:rPr>
          <w:sz w:val="20"/>
          <w:szCs w:val="20"/>
          <w:color w:val="auto"/>
        </w:rPr>
      </w:pPr>
    </w:p>
    <w:p>
      <w:pPr>
        <w:ind w:left="200" w:right="80"/>
        <w:spacing w:after="0" w:line="245" w:lineRule="auto"/>
        <w:rPr>
          <w:sz w:val="20"/>
          <w:szCs w:val="20"/>
          <w:color w:val="auto"/>
        </w:rPr>
      </w:pPr>
      <w:r>
        <w:rPr>
          <w:rFonts w:ascii="Arial" w:cs="Arial" w:eastAsia="Arial" w:hAnsi="Arial"/>
          <w:sz w:val="18"/>
          <w:szCs w:val="18"/>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172" w:lineRule="exact"/>
        <w:rPr>
          <w:sz w:val="20"/>
          <w:szCs w:val="20"/>
          <w:color w:val="auto"/>
        </w:rPr>
      </w:pPr>
    </w:p>
    <w:p>
      <w:pPr>
        <w:jc w:val="both"/>
        <w:ind w:left="200" w:right="280"/>
        <w:spacing w:after="0" w:line="255" w:lineRule="auto"/>
        <w:rPr>
          <w:sz w:val="20"/>
          <w:szCs w:val="20"/>
          <w:color w:val="auto"/>
        </w:rPr>
      </w:pPr>
      <w:r>
        <w:rPr>
          <w:rFonts w:ascii="Arial" w:cs="Arial" w:eastAsia="Arial" w:hAnsi="Arial"/>
          <w:sz w:val="18"/>
          <w:szCs w:val="18"/>
          <w:color w:val="auto"/>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164"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211" w:lineRule="exact"/>
        <w:rPr>
          <w:sz w:val="20"/>
          <w:szCs w:val="20"/>
          <w:color w:val="auto"/>
        </w:rPr>
      </w:pPr>
    </w:p>
    <w:p>
      <w:pPr>
        <w:ind w:left="200" w:right="120"/>
        <w:spacing w:after="0" w:line="263" w:lineRule="auto"/>
        <w:rPr>
          <w:sz w:val="20"/>
          <w:szCs w:val="20"/>
          <w:color w:val="auto"/>
        </w:rPr>
      </w:pPr>
      <w:r>
        <w:rPr>
          <w:rFonts w:ascii="Arial" w:cs="Arial" w:eastAsia="Arial" w:hAnsi="Arial"/>
          <w:sz w:val="17"/>
          <w:szCs w:val="17"/>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 programs on the compensation decisions for 2018, see “Analysis of compensation determinations for 2018 – Total compensation” and “Compensation following employment termination or change in control.”</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Termination</w:t>
      </w:r>
    </w:p>
    <w:p>
      <w:pPr>
        <w:spacing w:after="0" w:line="212" w:lineRule="exact"/>
        <w:rPr>
          <w:sz w:val="20"/>
          <w:szCs w:val="20"/>
          <w:color w:val="auto"/>
        </w:rPr>
      </w:pPr>
    </w:p>
    <w:p>
      <w:pPr>
        <w:ind w:left="200" w:right="20"/>
        <w:spacing w:after="0" w:line="276" w:lineRule="auto"/>
        <w:rPr>
          <w:sz w:val="20"/>
          <w:szCs w:val="20"/>
          <w:color w:val="auto"/>
        </w:rPr>
      </w:pPr>
      <w:r>
        <w:rPr>
          <w:rFonts w:ascii="Arial" w:cs="Arial" w:eastAsia="Arial" w:hAnsi="Arial"/>
          <w:sz w:val="18"/>
          <w:szCs w:val="18"/>
          <w:color w:val="auto"/>
        </w:rPr>
        <w:t>The following programs may result in payments to a named executive officer whose employment terminates. Most of these programs have been discussed above.</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Bonus</w:t>
      </w:r>
    </w:p>
    <w:p>
      <w:pPr>
        <w:spacing w:after="0" w:line="10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Qualified and non-qualified defined benefit pension plans</w:t>
      </w:r>
    </w:p>
    <w:p>
      <w:pPr>
        <w:spacing w:after="0" w:line="102"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purposes of these plans are described under “Benefits – Retirement plans.” The formula for determining benefits, the forms of benefit and the timing of payments are described under “2018 pension benefits.” The amounts disbursed under the qualified and non-qualified plans are paid, respectively, by the TI Employees Pension Trust and the company.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Survivor benefit plan</w:t>
      </w:r>
    </w:p>
    <w:p>
      <w:pPr>
        <w:spacing w:after="0" w:line="102"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auto"/>
        </w:rPr>
        <w:t>The purpose of this plan, along with the formula for determining the amount of benefit, the form of benefit and the timing of payments, are described under “2018 pension benefits – TI Employees Survivor Benefit Plan.” Amounts distributed are paid by the TI Employees Health Benefit Trust.</w:t>
      </w:r>
    </w:p>
    <w:p>
      <w:pPr>
        <w:spacing w:after="0" w:line="97"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compensation plan</w:t>
      </w:r>
    </w:p>
    <w:p>
      <w:pPr>
        <w:spacing w:after="0" w:line="102" w:lineRule="exact"/>
        <w:rPr>
          <w:sz w:val="20"/>
          <w:szCs w:val="20"/>
          <w:color w:val="auto"/>
        </w:rPr>
      </w:pPr>
    </w:p>
    <w:p>
      <w:pPr>
        <w:ind w:left="200" w:right="80"/>
        <w:spacing w:after="0" w:line="248" w:lineRule="auto"/>
        <w:rPr>
          <w:sz w:val="20"/>
          <w:szCs w:val="20"/>
          <w:color w:val="auto"/>
        </w:rPr>
      </w:pPr>
      <w:r>
        <w:rPr>
          <w:rFonts w:ascii="Arial" w:cs="Arial" w:eastAsia="Arial" w:hAnsi="Arial"/>
          <w:sz w:val="18"/>
          <w:szCs w:val="18"/>
          <w:color w:val="auto"/>
        </w:rPr>
        <w:t>The purpose of this plan is described under “Benefits – Deferred Compensation.” The amounts payable under this program depend solely on the performance of investments that the participant has chosen. The timing of payments is discussed under “2018 non-qualified deferred compensation” and except in the case of death, payments are made according to the participant’s distribution election. Amounts distributed are paid by the company.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compensation</w:t>
      </w:r>
    </w:p>
    <w:p>
      <w:pPr>
        <w:spacing w:after="0" w:line="102" w:lineRule="exact"/>
        <w:rPr>
          <w:sz w:val="20"/>
          <w:szCs w:val="20"/>
          <w:color w:val="auto"/>
        </w:rPr>
      </w:pPr>
    </w:p>
    <w:p>
      <w:pPr>
        <w:ind w:left="200" w:right="160"/>
        <w:spacing w:after="0" w:line="248" w:lineRule="auto"/>
        <w:rPr>
          <w:sz w:val="20"/>
          <w:szCs w:val="20"/>
          <w:color w:val="auto"/>
        </w:rPr>
      </w:pPr>
      <w:r>
        <w:rPr>
          <w:rFonts w:ascii="Arial" w:cs="Arial" w:eastAsia="Arial" w:hAnsi="Arial"/>
          <w:sz w:val="18"/>
          <w:szCs w:val="18"/>
          <w:color w:val="auto"/>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2018 table. RSU awards include a right to receive dividend equivalents. The dividend equivalents are paid annually by the company in a single cash payment after the last dividend payment of the year.</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Perquisites</w:t>
      </w:r>
    </w:p>
    <w:p>
      <w:pPr>
        <w:spacing w:after="0" w:line="102" w:lineRule="exact"/>
        <w:rPr>
          <w:sz w:val="20"/>
          <w:szCs w:val="20"/>
          <w:color w:val="auto"/>
        </w:rPr>
      </w:pPr>
    </w:p>
    <w:p>
      <w:pPr>
        <w:ind w:left="200" w:right="200"/>
        <w:spacing w:after="0" w:line="276" w:lineRule="auto"/>
        <w:rPr>
          <w:sz w:val="20"/>
          <w:szCs w:val="20"/>
          <w:color w:val="auto"/>
        </w:rPr>
      </w:pPr>
      <w:r>
        <w:rPr>
          <w:rFonts w:ascii="Arial" w:cs="Arial" w:eastAsia="Arial" w:hAnsi="Arial"/>
          <w:sz w:val="18"/>
          <w:szCs w:val="18"/>
          <w:color w:val="auto"/>
        </w:rPr>
        <w:t>Financial counseling is provided to executive officers for a transition period following retirement. Otherwise, no perquisites continue after termination of employment.</w:t>
      </w:r>
    </w:p>
    <w:p>
      <w:pPr>
        <w:spacing w:after="0" w:line="145" w:lineRule="exact"/>
        <w:rPr>
          <w:sz w:val="20"/>
          <w:szCs w:val="20"/>
          <w:color w:val="auto"/>
        </w:rPr>
      </w:pPr>
    </w:p>
    <w:p>
      <w:pPr>
        <w:ind w:left="200" w:right="180"/>
        <w:spacing w:after="0" w:line="243" w:lineRule="auto"/>
        <w:rPr>
          <w:sz w:val="20"/>
          <w:szCs w:val="20"/>
          <w:color w:val="auto"/>
        </w:rPr>
      </w:pPr>
      <w:r>
        <w:rPr>
          <w:rFonts w:ascii="Arial" w:cs="Arial" w:eastAsia="Arial" w:hAnsi="Arial"/>
          <w:sz w:val="18"/>
          <w:szCs w:val="18"/>
          <w:color w:val="auto"/>
        </w:rPr>
        <w:t>In the case of a resignation pursuant to a separation agreement, employees above a certain job grade level, including executive officers, might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or her RSUs will continue to vest. Amounts paid to an individual during a paid leave of absence are not counted when calculating benefits under the qualified and non-qualified pension plans.</w:t>
      </w:r>
    </w:p>
    <w:p>
      <w:pPr>
        <w:spacing w:after="0" w:line="174" w:lineRule="exact"/>
        <w:rPr>
          <w:sz w:val="20"/>
          <w:szCs w:val="20"/>
          <w:color w:val="auto"/>
        </w:rPr>
      </w:pPr>
    </w:p>
    <w:p>
      <w:pPr>
        <w:ind w:left="200" w:right="40"/>
        <w:spacing w:after="0" w:line="243" w:lineRule="auto"/>
        <w:rPr>
          <w:sz w:val="20"/>
          <w:szCs w:val="20"/>
          <w:color w:val="auto"/>
        </w:rPr>
      </w:pPr>
      <w:r>
        <w:rPr>
          <w:rFonts w:ascii="Arial" w:cs="Arial" w:eastAsia="Arial" w:hAnsi="Arial"/>
          <w:sz w:val="18"/>
          <w:szCs w:val="18"/>
          <w:color w:val="auto"/>
        </w:rPr>
        <w:t>In the case of a separation agreement in which the executive officer will be at least 50 years old and have at least 10 years of employment with the company on his or her last day of active employment before beginning the paid leave of absence, the separation agreement will typically include an unpaid leave of absence, to commence at the end of the paid leave and end when the executive officer has reached age 55 (bridge to retirement). During the bridge to retirement, the executive officer will continue to accrue years of service under the qualified and non-qualified pension plans described above. Stock options will continue to become exercisable and RSUs will remain in effect.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Change in control</w:t>
      </w:r>
    </w:p>
    <w:p>
      <w:pPr>
        <w:spacing w:after="0" w:line="212"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Our only program, plan or arrangement providing benefits triggered by a change in control is the TI Employees Non-Qualified Pension Plan. A change in control at December 31, 2018, would have accelerated payment of the balance under that plan. See “2018 pension benefits – TI employees non-qualified pension plans” for a discussion of the purpose of change in control provisions of that plan as well as the circumstances and the timing of payment.</w:t>
      </w:r>
    </w:p>
    <w:p>
      <w:pPr>
        <w:spacing w:after="0" w:line="171"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See the discussion following the outstanding equity awards at fiscal year-end 2018 table for further information concerning change in control provisions relating to stock options and RSUs.</w:t>
      </w:r>
    </w:p>
    <w:p>
      <w:pPr>
        <w:spacing w:after="0" w:line="104"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41</w:t>
            </w:r>
          </w:p>
        </w:tc>
      </w:tr>
    </w:tbl>
    <w:p>
      <w:pPr>
        <w:sectPr>
          <w:pgSz w:w="11900" w:h="16838" w:orient="portrait"/>
          <w:cols w:equalWidth="0" w:num="1">
            <w:col w:w="11220"/>
          </w:cols>
          <w:pgMar w:left="24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shows the potential payments upon termination or change in control for each of the named executive officers.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Resignation;</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Involuntary</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Involuntary</w:t>
            </w:r>
          </w:p>
        </w:tc>
        <w:tc>
          <w:tcPr>
            <w:tcW w:w="11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Termination</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Termination</w:t>
            </w:r>
          </w:p>
        </w:tc>
        <w:tc>
          <w:tcPr>
            <w:tcW w:w="28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rPr>
              <w:t>(not for</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189"/>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Form of Compensation</w:t>
            </w:r>
          </w:p>
        </w:tc>
        <w:tc>
          <w:tcPr>
            <w:tcW w:w="38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Disability</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Death</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w w:val="99"/>
              </w:rPr>
              <w:t>for Cause</w:t>
            </w:r>
          </w:p>
        </w:tc>
        <w:tc>
          <w:tcPr>
            <w:tcW w:w="280" w:type="dxa"/>
            <w:vAlign w:val="bottom"/>
          </w:tcPr>
          <w:p>
            <w:pPr>
              <w:spacing w:after="0"/>
              <w:rPr>
                <w:sz w:val="16"/>
                <w:szCs w:val="16"/>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rPr>
              <w:t>Cause)</w:t>
            </w:r>
          </w:p>
        </w:tc>
        <w:tc>
          <w:tcPr>
            <w:tcW w:w="440" w:type="dxa"/>
            <w:vAlign w:val="bottom"/>
          </w:tcPr>
          <w:p>
            <w:pPr>
              <w:spacing w:after="0"/>
              <w:rPr>
                <w:sz w:val="16"/>
                <w:szCs w:val="16"/>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Retirement</w:t>
            </w:r>
          </w:p>
        </w:tc>
        <w:tc>
          <w:tcPr>
            <w:tcW w:w="400" w:type="dxa"/>
            <w:vAlign w:val="bottom"/>
          </w:tcPr>
          <w:p>
            <w:pPr>
              <w:spacing w:after="0"/>
              <w:rPr>
                <w:sz w:val="16"/>
                <w:szCs w:val="16"/>
                <w:color w:val="auto"/>
              </w:rPr>
            </w:pPr>
          </w:p>
        </w:tc>
        <w:tc>
          <w:tcPr>
            <w:tcW w:w="12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in Control</w:t>
            </w:r>
          </w:p>
        </w:tc>
      </w:tr>
      <w:tr>
        <w:trPr>
          <w:trHeight w:val="156"/>
        </w:trPr>
        <w:tc>
          <w:tcPr>
            <w:tcW w:w="20" w:type="dxa"/>
            <w:vAlign w:val="bottom"/>
          </w:tcPr>
          <w:p>
            <w:pPr>
              <w:spacing w:after="0"/>
              <w:rPr>
                <w:sz w:val="13"/>
                <w:szCs w:val="13"/>
                <w:color w:val="auto"/>
              </w:rPr>
            </w:pPr>
          </w:p>
        </w:tc>
        <w:tc>
          <w:tcPr>
            <w:tcW w:w="2180" w:type="dxa"/>
            <w:vAlign w:val="bottom"/>
            <w:tcBorders>
              <w:top w:val="single" w:sz="8" w:color="auto"/>
            </w:tcBorders>
            <w:shd w:val="clear" w:color="auto" w:fill="E5E5E5"/>
          </w:tcPr>
          <w:p>
            <w:pPr>
              <w:spacing w:after="0" w:line="155" w:lineRule="exact"/>
              <w:rPr>
                <w:sz w:val="20"/>
                <w:szCs w:val="20"/>
                <w:color w:val="auto"/>
              </w:rPr>
            </w:pPr>
            <w:r>
              <w:rPr>
                <w:rFonts w:ascii="Arial" w:cs="Arial" w:eastAsia="Arial" w:hAnsi="Arial"/>
                <w:sz w:val="14"/>
                <w:szCs w:val="14"/>
                <w:b w:val="1"/>
                <w:bCs w:val="1"/>
                <w:color w:val="auto"/>
              </w:rPr>
              <w:t>R. K. Templeton (1)</w:t>
            </w:r>
          </w:p>
        </w:tc>
        <w:tc>
          <w:tcPr>
            <w:tcW w:w="380" w:type="dxa"/>
            <w:vAlign w:val="bottom"/>
            <w:tcBorders>
              <w:top w:val="single" w:sz="8" w:color="auto"/>
            </w:tcBorders>
            <w:shd w:val="clear" w:color="auto" w:fill="E5E5E5"/>
          </w:tcPr>
          <w:p>
            <w:pPr>
              <w:spacing w:after="0"/>
              <w:rPr>
                <w:sz w:val="13"/>
                <w:szCs w:val="13"/>
                <w:color w:val="auto"/>
              </w:rPr>
            </w:pPr>
          </w:p>
        </w:tc>
        <w:tc>
          <w:tcPr>
            <w:tcW w:w="840" w:type="dxa"/>
            <w:vAlign w:val="bottom"/>
            <w:tcBorders>
              <w:top w:val="single" w:sz="8" w:color="auto"/>
            </w:tcBorders>
            <w:shd w:val="clear" w:color="auto" w:fill="E5E5E5"/>
          </w:tcPr>
          <w:p>
            <w:pPr>
              <w:spacing w:after="0"/>
              <w:rPr>
                <w:sz w:val="13"/>
                <w:szCs w:val="13"/>
                <w:color w:val="auto"/>
              </w:rPr>
            </w:pPr>
          </w:p>
        </w:tc>
        <w:tc>
          <w:tcPr>
            <w:tcW w:w="440" w:type="dxa"/>
            <w:vAlign w:val="bottom"/>
            <w:tcBorders>
              <w:top w:val="single" w:sz="8" w:color="auto"/>
            </w:tcBorders>
            <w:shd w:val="clear" w:color="auto" w:fill="E5E5E5"/>
          </w:tcPr>
          <w:p>
            <w:pPr>
              <w:spacing w:after="0"/>
              <w:rPr>
                <w:sz w:val="13"/>
                <w:szCs w:val="13"/>
                <w:color w:val="auto"/>
              </w:rPr>
            </w:pPr>
          </w:p>
        </w:tc>
        <w:tc>
          <w:tcPr>
            <w:tcW w:w="260" w:type="dxa"/>
            <w:vAlign w:val="bottom"/>
            <w:tcBorders>
              <w:top w:val="single" w:sz="8" w:color="auto"/>
            </w:tcBorders>
            <w:shd w:val="clear" w:color="auto" w:fill="E5E5E5"/>
          </w:tcPr>
          <w:p>
            <w:pPr>
              <w:spacing w:after="0"/>
              <w:rPr>
                <w:sz w:val="13"/>
                <w:szCs w:val="13"/>
                <w:color w:val="auto"/>
              </w:rPr>
            </w:pPr>
          </w:p>
        </w:tc>
        <w:tc>
          <w:tcPr>
            <w:tcW w:w="840" w:type="dxa"/>
            <w:vAlign w:val="bottom"/>
            <w:tcBorders>
              <w:top w:val="single" w:sz="8" w:color="auto"/>
            </w:tcBorders>
            <w:shd w:val="clear" w:color="auto" w:fill="E5E5E5"/>
          </w:tcPr>
          <w:p>
            <w:pPr>
              <w:spacing w:after="0"/>
              <w:rPr>
                <w:sz w:val="13"/>
                <w:szCs w:val="13"/>
                <w:color w:val="auto"/>
              </w:rPr>
            </w:pPr>
          </w:p>
        </w:tc>
        <w:tc>
          <w:tcPr>
            <w:tcW w:w="440" w:type="dxa"/>
            <w:vAlign w:val="bottom"/>
            <w:tcBorders>
              <w:top w:val="single" w:sz="8" w:color="auto"/>
            </w:tcBorders>
            <w:shd w:val="clear" w:color="auto" w:fill="E5E5E5"/>
          </w:tcPr>
          <w:p>
            <w:pPr>
              <w:spacing w:after="0"/>
              <w:rPr>
                <w:sz w:val="13"/>
                <w:szCs w:val="13"/>
                <w:color w:val="auto"/>
              </w:rPr>
            </w:pPr>
          </w:p>
        </w:tc>
        <w:tc>
          <w:tcPr>
            <w:tcW w:w="260" w:type="dxa"/>
            <w:vAlign w:val="bottom"/>
            <w:tcBorders>
              <w:top w:val="single" w:sz="8" w:color="auto"/>
            </w:tcBorders>
            <w:shd w:val="clear" w:color="auto" w:fill="E5E5E5"/>
          </w:tcPr>
          <w:p>
            <w:pPr>
              <w:spacing w:after="0"/>
              <w:rPr>
                <w:sz w:val="13"/>
                <w:szCs w:val="13"/>
                <w:color w:val="auto"/>
              </w:rPr>
            </w:pPr>
          </w:p>
        </w:tc>
        <w:tc>
          <w:tcPr>
            <w:tcW w:w="1140" w:type="dxa"/>
            <w:vAlign w:val="bottom"/>
            <w:tcBorders>
              <w:top w:val="single" w:sz="8" w:color="auto"/>
            </w:tcBorders>
            <w:shd w:val="clear" w:color="auto" w:fill="E5E5E5"/>
          </w:tcPr>
          <w:p>
            <w:pPr>
              <w:spacing w:after="0"/>
              <w:rPr>
                <w:sz w:val="13"/>
                <w:szCs w:val="13"/>
                <w:color w:val="auto"/>
              </w:rPr>
            </w:pPr>
          </w:p>
        </w:tc>
        <w:tc>
          <w:tcPr>
            <w:tcW w:w="280" w:type="dxa"/>
            <w:vAlign w:val="bottom"/>
            <w:tcBorders>
              <w:top w:val="single" w:sz="8" w:color="auto"/>
            </w:tcBorders>
            <w:shd w:val="clear" w:color="auto" w:fill="E5E5E5"/>
          </w:tcPr>
          <w:p>
            <w:pPr>
              <w:spacing w:after="0"/>
              <w:rPr>
                <w:sz w:val="13"/>
                <w:szCs w:val="13"/>
                <w:color w:val="auto"/>
              </w:rPr>
            </w:pPr>
          </w:p>
        </w:tc>
        <w:tc>
          <w:tcPr>
            <w:tcW w:w="820" w:type="dxa"/>
            <w:vAlign w:val="bottom"/>
            <w:tcBorders>
              <w:top w:val="single" w:sz="8" w:color="auto"/>
            </w:tcBorders>
            <w:shd w:val="clear" w:color="auto" w:fill="E5E5E5"/>
          </w:tcPr>
          <w:p>
            <w:pPr>
              <w:spacing w:after="0"/>
              <w:rPr>
                <w:sz w:val="13"/>
                <w:szCs w:val="13"/>
                <w:color w:val="auto"/>
              </w:rPr>
            </w:pPr>
          </w:p>
        </w:tc>
        <w:tc>
          <w:tcPr>
            <w:tcW w:w="440" w:type="dxa"/>
            <w:vAlign w:val="bottom"/>
            <w:tcBorders>
              <w:top w:val="single" w:sz="8" w:color="auto"/>
            </w:tcBorders>
            <w:shd w:val="clear" w:color="auto" w:fill="E5E5E5"/>
          </w:tcPr>
          <w:p>
            <w:pPr>
              <w:spacing w:after="0"/>
              <w:rPr>
                <w:sz w:val="13"/>
                <w:szCs w:val="13"/>
                <w:color w:val="auto"/>
              </w:rPr>
            </w:pPr>
          </w:p>
        </w:tc>
        <w:tc>
          <w:tcPr>
            <w:tcW w:w="280" w:type="dxa"/>
            <w:vAlign w:val="bottom"/>
            <w:tcBorders>
              <w:top w:val="single" w:sz="8" w:color="auto"/>
            </w:tcBorders>
            <w:shd w:val="clear" w:color="auto" w:fill="E5E5E5"/>
          </w:tcPr>
          <w:p>
            <w:pPr>
              <w:spacing w:after="0"/>
              <w:rPr>
                <w:sz w:val="13"/>
                <w:szCs w:val="13"/>
                <w:color w:val="auto"/>
              </w:rPr>
            </w:pPr>
          </w:p>
        </w:tc>
        <w:tc>
          <w:tcPr>
            <w:tcW w:w="820" w:type="dxa"/>
            <w:vAlign w:val="bottom"/>
            <w:tcBorders>
              <w:top w:val="single" w:sz="8" w:color="auto"/>
            </w:tcBorders>
            <w:shd w:val="clear" w:color="auto" w:fill="E5E5E5"/>
          </w:tcPr>
          <w:p>
            <w:pPr>
              <w:spacing w:after="0"/>
              <w:rPr>
                <w:sz w:val="13"/>
                <w:szCs w:val="13"/>
                <w:color w:val="auto"/>
              </w:rPr>
            </w:pPr>
          </w:p>
        </w:tc>
        <w:tc>
          <w:tcPr>
            <w:tcW w:w="400" w:type="dxa"/>
            <w:vAlign w:val="bottom"/>
            <w:tcBorders>
              <w:top w:val="single" w:sz="8" w:color="auto"/>
            </w:tcBorders>
            <w:shd w:val="clear" w:color="auto" w:fill="E5E5E5"/>
          </w:tcPr>
          <w:p>
            <w:pPr>
              <w:spacing w:after="0"/>
              <w:rPr>
                <w:sz w:val="13"/>
                <w:szCs w:val="13"/>
                <w:color w:val="auto"/>
              </w:rPr>
            </w:pPr>
          </w:p>
        </w:tc>
        <w:tc>
          <w:tcPr>
            <w:tcW w:w="220" w:type="dxa"/>
            <w:vAlign w:val="bottom"/>
            <w:tcBorders>
              <w:top w:val="single" w:sz="8" w:color="auto"/>
            </w:tcBorders>
            <w:shd w:val="clear" w:color="auto" w:fill="E5E5E5"/>
          </w:tcPr>
          <w:p>
            <w:pPr>
              <w:spacing w:after="0"/>
              <w:rPr>
                <w:sz w:val="13"/>
                <w:szCs w:val="13"/>
                <w:color w:val="auto"/>
              </w:rPr>
            </w:pPr>
          </w:p>
        </w:tc>
        <w:tc>
          <w:tcPr>
            <w:tcW w:w="980" w:type="dxa"/>
            <w:vAlign w:val="bottom"/>
            <w:tcBorders>
              <w:top w:val="single" w:sz="8" w:color="auto"/>
            </w:tcBorders>
            <w:shd w:val="clear" w:color="auto" w:fill="E5E5E5"/>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Qualified Defined Benefit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969,593</w:t>
            </w:r>
          </w:p>
        </w:tc>
        <w:tc>
          <w:tcPr>
            <w:tcW w:w="440" w:type="dxa"/>
            <w:vAlign w:val="bottom"/>
          </w:tcPr>
          <w:p>
            <w:pPr>
              <w:ind w:left="20"/>
              <w:spacing w:after="0"/>
              <w:rPr>
                <w:sz w:val="20"/>
                <w:szCs w:val="20"/>
                <w:color w:val="auto"/>
              </w:rPr>
            </w:pPr>
            <w:r>
              <w:rPr>
                <w:rFonts w:ascii="Arial" w:cs="Arial" w:eastAsia="Arial" w:hAnsi="Arial"/>
                <w:sz w:val="14"/>
                <w:szCs w:val="14"/>
                <w:color w:val="auto"/>
              </w:rPr>
              <w:t>(2)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477,937</w:t>
            </w:r>
          </w:p>
        </w:tc>
        <w:tc>
          <w:tcPr>
            <w:tcW w:w="440" w:type="dxa"/>
            <w:vAlign w:val="bottom"/>
          </w:tcPr>
          <w:p>
            <w:pPr>
              <w:ind w:left="20"/>
              <w:spacing w:after="0"/>
              <w:rPr>
                <w:sz w:val="20"/>
                <w:szCs w:val="20"/>
                <w:color w:val="auto"/>
              </w:rPr>
            </w:pPr>
            <w:r>
              <w:rPr>
                <w:rFonts w:ascii="Arial" w:cs="Arial" w:eastAsia="Arial" w:hAnsi="Arial"/>
                <w:sz w:val="14"/>
                <w:szCs w:val="14"/>
                <w:color w:val="auto"/>
              </w:rPr>
              <w:t>(3)</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945,262 (4)</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945,262</w:t>
            </w:r>
          </w:p>
        </w:tc>
        <w:tc>
          <w:tcPr>
            <w:tcW w:w="440" w:type="dxa"/>
            <w:vAlign w:val="bottom"/>
          </w:tcPr>
          <w:p>
            <w:pPr>
              <w:ind w:left="20"/>
              <w:spacing w:after="0"/>
              <w:rPr>
                <w:sz w:val="20"/>
                <w:szCs w:val="20"/>
                <w:color w:val="auto"/>
              </w:rPr>
            </w:pPr>
            <w:r>
              <w:rPr>
                <w:rFonts w:ascii="Arial" w:cs="Arial" w:eastAsia="Arial" w:hAnsi="Arial"/>
                <w:sz w:val="14"/>
                <w:szCs w:val="14"/>
                <w:color w:val="auto"/>
              </w:rPr>
              <w:t>(4)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945,262</w:t>
            </w:r>
          </w:p>
        </w:tc>
        <w:tc>
          <w:tcPr>
            <w:tcW w:w="400" w:type="dxa"/>
            <w:vAlign w:val="bottom"/>
          </w:tcPr>
          <w:p>
            <w:pPr>
              <w:ind w:left="20"/>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18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609,677</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(5)</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231,880</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(3)</w:t>
            </w:r>
          </w:p>
        </w:tc>
        <w:tc>
          <w:tcPr>
            <w:tcW w:w="260" w:type="dxa"/>
            <w:vAlign w:val="bottom"/>
            <w:shd w:val="clear" w:color="auto" w:fill="E5E5E5"/>
          </w:tcPr>
          <w:p>
            <w:pPr>
              <w:ind w:left="18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458,831 (4)</w:t>
            </w:r>
          </w:p>
        </w:tc>
        <w:tc>
          <w:tcPr>
            <w:tcW w:w="280" w:type="dxa"/>
            <w:vAlign w:val="bottom"/>
            <w:shd w:val="clear" w:color="auto" w:fill="E5E5E5"/>
          </w:tcPr>
          <w:p>
            <w:pPr>
              <w:ind w:lef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458,831</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(4)</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458,831</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(4)</w:t>
            </w:r>
          </w:p>
        </w:tc>
        <w:tc>
          <w:tcPr>
            <w:tcW w:w="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458,831 (4)</w:t>
            </w: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80"/>
              <w:spacing w:after="0"/>
              <w:rPr>
                <w:sz w:val="20"/>
                <w:szCs w:val="20"/>
                <w:color w:val="auto"/>
              </w:rPr>
            </w:pPr>
            <w:r>
              <w:rPr>
                <w:rFonts w:ascii="Arial" w:cs="Arial" w:eastAsia="Arial" w:hAnsi="Arial"/>
                <w:sz w:val="14"/>
                <w:szCs w:val="14"/>
                <w:color w:val="auto"/>
              </w:rPr>
              <w:t>Pension Plan II</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183,587</w:t>
            </w:r>
          </w:p>
        </w:tc>
        <w:tc>
          <w:tcPr>
            <w:tcW w:w="440" w:type="dxa"/>
            <w:vAlign w:val="bottom"/>
          </w:tcPr>
          <w:p>
            <w:pPr>
              <w:ind w:left="20"/>
              <w:spacing w:after="0"/>
              <w:rPr>
                <w:sz w:val="20"/>
                <w:szCs w:val="20"/>
                <w:color w:val="auto"/>
              </w:rPr>
            </w:pPr>
            <w:r>
              <w:rPr>
                <w:rFonts w:ascii="Arial" w:cs="Arial" w:eastAsia="Arial" w:hAnsi="Arial"/>
                <w:sz w:val="14"/>
                <w:szCs w:val="14"/>
                <w:color w:val="auto"/>
              </w:rPr>
              <w:t>(5)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117,864</w:t>
            </w:r>
          </w:p>
        </w:tc>
        <w:tc>
          <w:tcPr>
            <w:tcW w:w="440" w:type="dxa"/>
            <w:vAlign w:val="bottom"/>
          </w:tcPr>
          <w:p>
            <w:pPr>
              <w:ind w:left="20"/>
              <w:spacing w:after="0"/>
              <w:rPr>
                <w:sz w:val="20"/>
                <w:szCs w:val="20"/>
                <w:color w:val="auto"/>
              </w:rPr>
            </w:pPr>
            <w:r>
              <w:rPr>
                <w:rFonts w:ascii="Arial" w:cs="Arial" w:eastAsia="Arial" w:hAnsi="Arial"/>
                <w:sz w:val="14"/>
                <w:szCs w:val="14"/>
                <w:color w:val="auto"/>
              </w:rPr>
              <w:t>(3)</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232,893 (4)</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232,893</w:t>
            </w:r>
          </w:p>
        </w:tc>
        <w:tc>
          <w:tcPr>
            <w:tcW w:w="440" w:type="dxa"/>
            <w:vAlign w:val="bottom"/>
          </w:tcPr>
          <w:p>
            <w:pPr>
              <w:ind w:left="20"/>
              <w:spacing w:after="0"/>
              <w:rPr>
                <w:sz w:val="20"/>
                <w:szCs w:val="20"/>
                <w:color w:val="auto"/>
              </w:rPr>
            </w:pPr>
            <w:r>
              <w:rPr>
                <w:rFonts w:ascii="Arial" w:cs="Arial" w:eastAsia="Arial" w:hAnsi="Arial"/>
                <w:sz w:val="14"/>
                <w:szCs w:val="14"/>
                <w:color w:val="auto"/>
              </w:rPr>
              <w:t>(4)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232,893</w:t>
            </w:r>
          </w:p>
        </w:tc>
        <w:tc>
          <w:tcPr>
            <w:tcW w:w="400" w:type="dxa"/>
            <w:vAlign w:val="bottom"/>
          </w:tcPr>
          <w:p>
            <w:pPr>
              <w:ind w:left="20"/>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Survivor Benefit Plan</w:t>
            </w:r>
          </w:p>
        </w:tc>
        <w:tc>
          <w:tcPr>
            <w:tcW w:w="38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809,305</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(6)</w:t>
            </w: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Deferred Compensation (7)</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2,111,257</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RSUs</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40,378,149</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40,378,149</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60" w:type="dxa"/>
            <w:vAlign w:val="bottom"/>
            <w:shd w:val="clear" w:color="auto" w:fill="E5E5E5"/>
          </w:tcPr>
          <w:p>
            <w:pPr>
              <w:ind w:left="18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11,340,000 (9)</w:t>
            </w:r>
          </w:p>
        </w:tc>
        <w:tc>
          <w:tcPr>
            <w:tcW w:w="280" w:type="dxa"/>
            <w:vAlign w:val="bottom"/>
            <w:shd w:val="clear" w:color="auto" w:fill="E5E5E5"/>
          </w:tcPr>
          <w:p>
            <w:pPr>
              <w:ind w:lef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40,378,149</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(10)</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40,378,149</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(10)</w:t>
            </w:r>
          </w:p>
        </w:tc>
        <w:tc>
          <w:tcPr>
            <w:tcW w:w="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w w:val="98"/>
              </w:rPr>
              <w:t>11,340,000 (9)</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138,672,687</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138,672,687</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138,672,687</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138,672,687</w:t>
            </w:r>
          </w:p>
        </w:tc>
        <w:tc>
          <w:tcPr>
            <w:tcW w:w="400" w:type="dxa"/>
            <w:vAlign w:val="bottom"/>
          </w:tcPr>
          <w:p>
            <w:pPr>
              <w:ind w:left="20"/>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b w:val="1"/>
                <w:bCs w:val="1"/>
                <w:color w:val="auto"/>
              </w:rPr>
              <w:t>R. K. Templeton Total</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180,813,693</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182,799,079</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ind w:left="180"/>
              <w:spacing w:after="0"/>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b w:val="1"/>
                <w:bCs w:val="1"/>
                <w:color w:val="auto"/>
              </w:rPr>
              <w:t>12,976,986</w:t>
            </w:r>
          </w:p>
        </w:tc>
        <w:tc>
          <w:tcPr>
            <w:tcW w:w="280" w:type="dxa"/>
            <w:vAlign w:val="bottom"/>
            <w:shd w:val="clear" w:color="auto" w:fill="E5E5E5"/>
          </w:tcPr>
          <w:p>
            <w:pPr>
              <w:ind w:left="18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180,687,822</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180,687,822</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b w:val="1"/>
                <w:bCs w:val="1"/>
                <w:color w:val="auto"/>
                <w:w w:val="96"/>
              </w:rPr>
              <w:t>11,798,831</w:t>
            </w: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R. R. Lizardi</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rPr>
              <w:t>Qualified Defined Benefit</w:t>
            </w:r>
          </w:p>
        </w:tc>
        <w:tc>
          <w:tcPr>
            <w:tcW w:w="3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18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Pension Plan II</w:t>
            </w:r>
          </w:p>
        </w:tc>
        <w:tc>
          <w:tcPr>
            <w:tcW w:w="38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Survivor Benefit Plan</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Deferred Compensation (7)</w:t>
            </w:r>
          </w:p>
        </w:tc>
        <w:tc>
          <w:tcPr>
            <w:tcW w:w="38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410,678</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RSUs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4,344,071</w:t>
            </w:r>
          </w:p>
        </w:tc>
        <w:tc>
          <w:tcPr>
            <w:tcW w:w="440" w:type="dxa"/>
            <w:vAlign w:val="bottom"/>
          </w:tcPr>
          <w:p>
            <w:pPr>
              <w:ind w:left="20"/>
              <w:spacing w:after="0"/>
              <w:rPr>
                <w:sz w:val="20"/>
                <w:szCs w:val="20"/>
                <w:color w:val="auto"/>
              </w:rPr>
            </w:pPr>
            <w:r>
              <w:rPr>
                <w:rFonts w:ascii="Arial" w:cs="Arial" w:eastAsia="Arial" w:hAnsi="Arial"/>
                <w:sz w:val="14"/>
                <w:szCs w:val="14"/>
                <w:color w:val="auto"/>
              </w:rPr>
              <w:t>(8)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4,344,071</w:t>
            </w:r>
          </w:p>
        </w:tc>
        <w:tc>
          <w:tcPr>
            <w:tcW w:w="440" w:type="dxa"/>
            <w:vAlign w:val="bottom"/>
          </w:tcPr>
          <w:p>
            <w:pPr>
              <w:ind w:left="20"/>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Stock Options</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4,527,383</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4,527,383</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ind w:lef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2,970,564</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(12)</w:t>
            </w: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280"/>
              <w:spacing w:after="0"/>
              <w:rPr>
                <w:sz w:val="20"/>
                <w:szCs w:val="20"/>
                <w:color w:val="auto"/>
              </w:rPr>
            </w:pPr>
            <w:r>
              <w:rPr>
                <w:rFonts w:ascii="Arial" w:cs="Arial" w:eastAsia="Arial" w:hAnsi="Arial"/>
                <w:sz w:val="14"/>
                <w:szCs w:val="14"/>
                <w:b w:val="1"/>
                <w:bCs w:val="1"/>
                <w:color w:val="auto"/>
              </w:rPr>
              <w:t>R. R. Lizardi Total</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8,871,454</w:t>
            </w: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9,282,132</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2,970,564</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N. Anderskouv</w:t>
            </w:r>
          </w:p>
        </w:tc>
        <w:tc>
          <w:tcPr>
            <w:tcW w:w="38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Qualified Defined Benefit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18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80"/>
              <w:spacing w:after="0"/>
              <w:rPr>
                <w:sz w:val="20"/>
                <w:szCs w:val="20"/>
                <w:color w:val="auto"/>
              </w:rPr>
            </w:pPr>
            <w:r>
              <w:rPr>
                <w:rFonts w:ascii="Arial" w:cs="Arial" w:eastAsia="Arial" w:hAnsi="Arial"/>
                <w:sz w:val="14"/>
                <w:szCs w:val="14"/>
                <w:color w:val="auto"/>
              </w:rPr>
              <w:t>Pension Plan II</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Survivor Benefit Plan</w:t>
            </w:r>
          </w:p>
        </w:tc>
        <w:tc>
          <w:tcPr>
            <w:tcW w:w="38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Deferred Compensation (7)</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341,952</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RSUs</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8,138,435</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8,138,435</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5,549,463</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5,549,463</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404,424</w:t>
            </w:r>
          </w:p>
        </w:tc>
        <w:tc>
          <w:tcPr>
            <w:tcW w:w="440" w:type="dxa"/>
            <w:vAlign w:val="bottom"/>
          </w:tcPr>
          <w:p>
            <w:pPr>
              <w:ind w:left="20"/>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b w:val="1"/>
                <w:bCs w:val="1"/>
                <w:color w:val="auto"/>
              </w:rPr>
              <w:t>N. Anderskouv Total</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13,687,898</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14,029,850</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E5E5E5"/>
          </w:tcPr>
          <w:p>
            <w:pPr>
              <w:ind w:left="18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404,424</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R. G. Delagi (1)</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rPr>
              <w:t>Qualified Defined Benefit</w:t>
            </w:r>
          </w:p>
        </w:tc>
        <w:tc>
          <w:tcPr>
            <w:tcW w:w="3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2,125,327</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(2)</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812,270</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(3)</w:t>
            </w:r>
          </w:p>
        </w:tc>
        <w:tc>
          <w:tcPr>
            <w:tcW w:w="260" w:type="dxa"/>
            <w:vAlign w:val="bottom"/>
            <w:shd w:val="clear" w:color="auto" w:fill="E5E5E5"/>
          </w:tcPr>
          <w:p>
            <w:pPr>
              <w:ind w:left="18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1,544,816 (4)</w:t>
            </w:r>
          </w:p>
        </w:tc>
        <w:tc>
          <w:tcPr>
            <w:tcW w:w="280" w:type="dxa"/>
            <w:vAlign w:val="bottom"/>
            <w:shd w:val="clear" w:color="auto" w:fill="E5E5E5"/>
          </w:tcPr>
          <w:p>
            <w:pPr>
              <w:ind w:lef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1,544,816</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(4)</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1,544,816</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(4)</w:t>
            </w:r>
          </w:p>
        </w:tc>
        <w:tc>
          <w:tcPr>
            <w:tcW w:w="22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522,241</w:t>
            </w:r>
          </w:p>
        </w:tc>
        <w:tc>
          <w:tcPr>
            <w:tcW w:w="440" w:type="dxa"/>
            <w:vAlign w:val="bottom"/>
          </w:tcPr>
          <w:p>
            <w:pPr>
              <w:ind w:left="20"/>
              <w:spacing w:after="0"/>
              <w:rPr>
                <w:sz w:val="20"/>
                <w:szCs w:val="20"/>
                <w:color w:val="auto"/>
              </w:rPr>
            </w:pPr>
            <w:r>
              <w:rPr>
                <w:rFonts w:ascii="Arial" w:cs="Arial" w:eastAsia="Arial" w:hAnsi="Arial"/>
                <w:sz w:val="14"/>
                <w:szCs w:val="14"/>
                <w:color w:val="auto"/>
              </w:rPr>
              <w:t>(5)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166,995</w:t>
            </w:r>
          </w:p>
        </w:tc>
        <w:tc>
          <w:tcPr>
            <w:tcW w:w="440" w:type="dxa"/>
            <w:vAlign w:val="bottom"/>
          </w:tcPr>
          <w:p>
            <w:pPr>
              <w:ind w:left="20"/>
              <w:spacing w:after="0"/>
              <w:rPr>
                <w:sz w:val="20"/>
                <w:szCs w:val="20"/>
                <w:color w:val="auto"/>
              </w:rPr>
            </w:pPr>
            <w:r>
              <w:rPr>
                <w:rFonts w:ascii="Arial" w:cs="Arial" w:eastAsia="Arial" w:hAnsi="Arial"/>
                <w:sz w:val="14"/>
                <w:szCs w:val="14"/>
                <w:color w:val="auto"/>
              </w:rPr>
              <w:t>(3)</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318,025 (4)</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318,025</w:t>
            </w:r>
          </w:p>
        </w:tc>
        <w:tc>
          <w:tcPr>
            <w:tcW w:w="440" w:type="dxa"/>
            <w:vAlign w:val="bottom"/>
          </w:tcPr>
          <w:p>
            <w:pPr>
              <w:ind w:left="20"/>
              <w:spacing w:after="0"/>
              <w:rPr>
                <w:sz w:val="20"/>
                <w:szCs w:val="20"/>
                <w:color w:val="auto"/>
              </w:rPr>
            </w:pPr>
            <w:r>
              <w:rPr>
                <w:rFonts w:ascii="Arial" w:cs="Arial" w:eastAsia="Arial" w:hAnsi="Arial"/>
                <w:sz w:val="14"/>
                <w:szCs w:val="14"/>
                <w:color w:val="auto"/>
              </w:rPr>
              <w:t>(4)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318,025</w:t>
            </w:r>
          </w:p>
        </w:tc>
        <w:tc>
          <w:tcPr>
            <w:tcW w:w="400" w:type="dxa"/>
            <w:vAlign w:val="bottom"/>
          </w:tcPr>
          <w:p>
            <w:pPr>
              <w:ind w:left="20"/>
              <w:spacing w:after="0"/>
              <w:rPr>
                <w:sz w:val="20"/>
                <w:szCs w:val="20"/>
                <w:color w:val="auto"/>
              </w:rPr>
            </w:pPr>
            <w:r>
              <w:rPr>
                <w:rFonts w:ascii="Arial" w:cs="Arial" w:eastAsia="Arial" w:hAnsi="Arial"/>
                <w:sz w:val="14"/>
                <w:szCs w:val="14"/>
                <w:color w:val="auto"/>
              </w:rPr>
              <w:t>(4)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318,025 (4)</w:t>
            </w:r>
          </w:p>
        </w:tc>
      </w:tr>
      <w:tr>
        <w:trPr>
          <w:trHeight w:val="149"/>
        </w:trPr>
        <w:tc>
          <w:tcPr>
            <w:tcW w:w="20" w:type="dxa"/>
            <w:vAlign w:val="bottom"/>
          </w:tcPr>
          <w:p>
            <w:pPr>
              <w:spacing w:after="0"/>
              <w:rPr>
                <w:sz w:val="12"/>
                <w:szCs w:val="12"/>
                <w:color w:val="auto"/>
              </w:rPr>
            </w:pPr>
          </w:p>
        </w:tc>
        <w:tc>
          <w:tcPr>
            <w:tcW w:w="218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Pension Plan II</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9,228,073</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(5)</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4,346,377</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(3)</w:t>
            </w:r>
          </w:p>
        </w:tc>
        <w:tc>
          <w:tcPr>
            <w:tcW w:w="260" w:type="dxa"/>
            <w:vAlign w:val="bottom"/>
            <w:shd w:val="clear" w:color="auto" w:fill="E5E5E5"/>
          </w:tcPr>
          <w:p>
            <w:pPr>
              <w:ind w:left="18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8,265,752 (4)</w:t>
            </w:r>
          </w:p>
        </w:tc>
        <w:tc>
          <w:tcPr>
            <w:tcW w:w="280" w:type="dxa"/>
            <w:vAlign w:val="bottom"/>
            <w:shd w:val="clear" w:color="auto" w:fill="E5E5E5"/>
          </w:tcPr>
          <w:p>
            <w:pPr>
              <w:ind w:lef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8,265,752</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(4)</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8,265,752</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(4)</w:t>
            </w:r>
          </w:p>
        </w:tc>
        <w:tc>
          <w:tcPr>
            <w:tcW w:w="22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Survivor Benefit Plan</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4,802,951</w:t>
            </w:r>
          </w:p>
        </w:tc>
        <w:tc>
          <w:tcPr>
            <w:tcW w:w="440" w:type="dxa"/>
            <w:vAlign w:val="bottom"/>
          </w:tcPr>
          <w:p>
            <w:pPr>
              <w:ind w:left="20"/>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Deferred Compensation (7)</w:t>
            </w:r>
          </w:p>
        </w:tc>
        <w:tc>
          <w:tcPr>
            <w:tcW w:w="38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RSUs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10,057,824</w:t>
            </w:r>
          </w:p>
        </w:tc>
        <w:tc>
          <w:tcPr>
            <w:tcW w:w="440" w:type="dxa"/>
            <w:vAlign w:val="bottom"/>
          </w:tcPr>
          <w:p>
            <w:pPr>
              <w:ind w:left="20"/>
              <w:spacing w:after="0"/>
              <w:rPr>
                <w:sz w:val="20"/>
                <w:szCs w:val="20"/>
                <w:color w:val="auto"/>
              </w:rPr>
            </w:pPr>
            <w:r>
              <w:rPr>
                <w:rFonts w:ascii="Arial" w:cs="Arial" w:eastAsia="Arial" w:hAnsi="Arial"/>
                <w:sz w:val="14"/>
                <w:szCs w:val="14"/>
                <w:color w:val="auto"/>
              </w:rPr>
              <w:t>(8)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10,057,824</w:t>
            </w:r>
          </w:p>
        </w:tc>
        <w:tc>
          <w:tcPr>
            <w:tcW w:w="440" w:type="dxa"/>
            <w:vAlign w:val="bottom"/>
          </w:tcPr>
          <w:p>
            <w:pPr>
              <w:ind w:left="20"/>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10,057,824</w:t>
            </w:r>
          </w:p>
        </w:tc>
        <w:tc>
          <w:tcPr>
            <w:tcW w:w="440" w:type="dxa"/>
            <w:vAlign w:val="bottom"/>
          </w:tcPr>
          <w:p>
            <w:pPr>
              <w:ind w:left="20"/>
              <w:spacing w:after="0"/>
              <w:rPr>
                <w:sz w:val="20"/>
                <w:szCs w:val="20"/>
                <w:color w:val="auto"/>
              </w:rPr>
            </w:pPr>
            <w:r>
              <w:rPr>
                <w:rFonts w:ascii="Arial" w:cs="Arial" w:eastAsia="Arial" w:hAnsi="Arial"/>
                <w:sz w:val="14"/>
                <w:szCs w:val="14"/>
                <w:color w:val="auto"/>
              </w:rPr>
              <w:t>(10)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10,057,824 (10)</w:t>
            </w: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Stock Options</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60,938,587</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60,938,587</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ind w:lef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60,938,587</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60,938,587</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280"/>
              <w:spacing w:after="0"/>
              <w:rPr>
                <w:sz w:val="20"/>
                <w:szCs w:val="20"/>
                <w:color w:val="auto"/>
              </w:rPr>
            </w:pPr>
            <w:r>
              <w:rPr>
                <w:rFonts w:ascii="Arial" w:cs="Arial" w:eastAsia="Arial" w:hAnsi="Arial"/>
                <w:sz w:val="14"/>
                <w:szCs w:val="14"/>
                <w:b w:val="1"/>
                <w:bCs w:val="1"/>
                <w:color w:val="auto"/>
              </w:rPr>
              <w:t>R. G. Delagi</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82,872,052</w:t>
            </w: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81,125,004</w:t>
            </w:r>
          </w:p>
        </w:tc>
        <w:tc>
          <w:tcPr>
            <w:tcW w:w="4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auto"/>
              </w:rPr>
              <w:t>10,128,593</w:t>
            </w:r>
          </w:p>
        </w:tc>
        <w:tc>
          <w:tcPr>
            <w:tcW w:w="2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81,125,004</w:t>
            </w:r>
          </w:p>
        </w:tc>
        <w:tc>
          <w:tcPr>
            <w:tcW w:w="4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81,125,004</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318,025</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H. Ilan</w:t>
            </w:r>
          </w:p>
        </w:tc>
        <w:tc>
          <w:tcPr>
            <w:tcW w:w="38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Qualified Defined Benefit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18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80"/>
              <w:spacing w:after="0"/>
              <w:rPr>
                <w:sz w:val="20"/>
                <w:szCs w:val="20"/>
                <w:color w:val="auto"/>
              </w:rPr>
            </w:pPr>
            <w:r>
              <w:rPr>
                <w:rFonts w:ascii="Arial" w:cs="Arial" w:eastAsia="Arial" w:hAnsi="Arial"/>
                <w:sz w:val="14"/>
                <w:szCs w:val="14"/>
                <w:color w:val="auto"/>
              </w:rPr>
              <w:t>Pension Plan II</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Survivor Benefit Plan</w:t>
            </w:r>
          </w:p>
        </w:tc>
        <w:tc>
          <w:tcPr>
            <w:tcW w:w="38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Deferred Compensation (7)</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675,041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RSUs</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8,138,435</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8,138,435</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5,549,463</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5,549,463</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404,424</w:t>
            </w:r>
          </w:p>
        </w:tc>
        <w:tc>
          <w:tcPr>
            <w:tcW w:w="440" w:type="dxa"/>
            <w:vAlign w:val="bottom"/>
          </w:tcPr>
          <w:p>
            <w:pPr>
              <w:ind w:left="20"/>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b w:val="1"/>
                <w:bCs w:val="1"/>
                <w:color w:val="auto"/>
              </w:rPr>
              <w:t>H. Ilan Total</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13,687,898</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14,362,939</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E5E5E5"/>
          </w:tcPr>
          <w:p>
            <w:pPr>
              <w:ind w:left="18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404,424</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B. T. Crutcher (13)</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rPr>
              <w:t>Qualified Defined Benefit</w:t>
            </w:r>
          </w:p>
        </w:tc>
        <w:tc>
          <w:tcPr>
            <w:tcW w:w="3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ind w:lef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4,696</w:t>
            </w:r>
          </w:p>
        </w:tc>
        <w:tc>
          <w:tcPr>
            <w:tcW w:w="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(14)</w:t>
            </w: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80"/>
              <w:spacing w:after="0"/>
              <w:rPr>
                <w:sz w:val="20"/>
                <w:szCs w:val="20"/>
                <w:color w:val="auto"/>
              </w:rPr>
            </w:pPr>
            <w:r>
              <w:rPr>
                <w:rFonts w:ascii="Arial" w:cs="Arial" w:eastAsia="Arial" w:hAnsi="Arial"/>
                <w:sz w:val="14"/>
                <w:szCs w:val="14"/>
                <w:color w:val="auto"/>
              </w:rPr>
              <w:t>Pension Plan</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18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rPr>
              <w:t>Non-Qual. Defined Benefit</w:t>
            </w:r>
          </w:p>
        </w:tc>
        <w:tc>
          <w:tcPr>
            <w:tcW w:w="3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Pension Plan II</w:t>
            </w:r>
          </w:p>
        </w:tc>
        <w:tc>
          <w:tcPr>
            <w:tcW w:w="38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Survivor Benefit Plan</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Deferred Compensation</w:t>
            </w:r>
          </w:p>
        </w:tc>
        <w:tc>
          <w:tcPr>
            <w:tcW w:w="38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RSUs</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1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Stock Options</w:t>
            </w:r>
          </w:p>
        </w:tc>
        <w:tc>
          <w:tcPr>
            <w:tcW w:w="38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Pr>
          <w:p>
            <w:pPr>
              <w:spacing w:after="0"/>
              <w:rPr>
                <w:sz w:val="17"/>
                <w:szCs w:val="17"/>
                <w:color w:val="auto"/>
              </w:rPr>
            </w:pPr>
          </w:p>
        </w:tc>
        <w:tc>
          <w:tcPr>
            <w:tcW w:w="2180" w:type="dxa"/>
            <w:vAlign w:val="bottom"/>
          </w:tcPr>
          <w:p>
            <w:pPr>
              <w:ind w:left="280"/>
              <w:spacing w:after="0"/>
              <w:rPr>
                <w:sz w:val="20"/>
                <w:szCs w:val="20"/>
                <w:color w:val="auto"/>
              </w:rPr>
            </w:pPr>
            <w:r>
              <w:rPr>
                <w:rFonts w:ascii="Arial" w:cs="Arial" w:eastAsia="Arial" w:hAnsi="Arial"/>
                <w:sz w:val="14"/>
                <w:szCs w:val="14"/>
                <w:b w:val="1"/>
                <w:bCs w:val="1"/>
                <w:color w:val="auto"/>
              </w:rPr>
              <w:t>B. T. Crutcher Total</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4,696</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r>
    </w:tbl>
    <w:p>
      <w:pPr>
        <w:spacing w:after="0" w:line="86" w:lineRule="exact"/>
        <w:rPr>
          <w:sz w:val="20"/>
          <w:szCs w:val="20"/>
          <w:color w:val="auto"/>
        </w:rPr>
      </w:pPr>
    </w:p>
    <w:p>
      <w:pPr>
        <w:sectPr>
          <w:pgSz w:w="11900" w:h="16838" w:orient="portrait"/>
          <w:cols w:equalWidth="0" w:num="1">
            <w:col w:w="11240"/>
          </w:cols>
          <w:pgMar w:left="240" w:top="455" w:right="419" w:bottom="1440" w:gutter="0" w:footer="0" w:header="0"/>
        </w:sect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40"/>
          </w:cols>
          <w:pgMar w:left="240" w:top="455" w:right="41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40" w:right="20" w:hanging="436"/>
        <w:spacing w:after="0" w:line="27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Messrs. Templeton and Delagi were retirement eligible for purposes of TI’s defined benefit pension plans and under the terms of their equity compensation awards as of December 31, 2018.</w:t>
      </w:r>
    </w:p>
    <w:p>
      <w:pPr>
        <w:spacing w:after="0" w:line="50" w:lineRule="exact"/>
        <w:rPr>
          <w:rFonts w:ascii="Arial" w:cs="Arial" w:eastAsia="Arial" w:hAnsi="Arial"/>
          <w:sz w:val="18"/>
          <w:szCs w:val="18"/>
          <w:color w:val="auto"/>
        </w:rPr>
      </w:pPr>
    </w:p>
    <w:p>
      <w:pPr>
        <w:ind w:left="640" w:right="60" w:hanging="436"/>
        <w:spacing w:after="0" w:line="245"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to the named executive officer in the event of termination as of December 31, 2018,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2018 and are described in Note 6 to the 2018 pension benefits table.</w:t>
      </w:r>
    </w:p>
    <w:p>
      <w:pPr>
        <w:spacing w:after="0" w:line="77" w:lineRule="exact"/>
        <w:rPr>
          <w:rFonts w:ascii="Arial" w:cs="Arial" w:eastAsia="Arial" w:hAnsi="Arial"/>
          <w:sz w:val="18"/>
          <w:szCs w:val="18"/>
          <w:color w:val="auto"/>
        </w:rPr>
      </w:pPr>
    </w:p>
    <w:p>
      <w:pPr>
        <w:ind w:left="640" w:right="80" w:hanging="436"/>
        <w:spacing w:after="0" w:line="255"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69" w:lineRule="exact"/>
        <w:rPr>
          <w:rFonts w:ascii="Arial" w:cs="Arial" w:eastAsia="Arial" w:hAnsi="Arial"/>
          <w:sz w:val="18"/>
          <w:szCs w:val="18"/>
          <w:color w:val="auto"/>
        </w:rPr>
      </w:pPr>
    </w:p>
    <w:p>
      <w:pPr>
        <w:ind w:left="640" w:right="400" w:hanging="436"/>
        <w:spacing w:after="0" w:line="27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Lump-sum value of the accrued benefit as of December 31, 2018, calculated as required by the terms of the plans assuming the earliest possible payment date.</w:t>
      </w:r>
    </w:p>
    <w:p>
      <w:pPr>
        <w:spacing w:after="0" w:line="50" w:lineRule="exact"/>
        <w:rPr>
          <w:rFonts w:ascii="Arial" w:cs="Arial" w:eastAsia="Arial" w:hAnsi="Arial"/>
          <w:sz w:val="18"/>
          <w:szCs w:val="18"/>
          <w:color w:val="auto"/>
        </w:rPr>
      </w:pPr>
    </w:p>
    <w:p>
      <w:pPr>
        <w:ind w:left="640" w:right="380" w:hanging="436"/>
        <w:spacing w:after="0" w:line="27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in the case of the Non-Qualified Defined Benefit Pension Plan, or separation from service in the case of Plan II. The assumptions used are the same as those described in Note 2.</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as required by the terms of the plan assuming the earliest possible payment date.</w:t>
      </w:r>
    </w:p>
    <w:p>
      <w:pPr>
        <w:spacing w:after="0" w:line="117" w:lineRule="exact"/>
        <w:rPr>
          <w:rFonts w:ascii="Arial" w:cs="Arial" w:eastAsia="Arial" w:hAnsi="Arial"/>
          <w:sz w:val="18"/>
          <w:szCs w:val="18"/>
          <w:color w:val="auto"/>
        </w:rPr>
      </w:pPr>
    </w:p>
    <w:p>
      <w:pPr>
        <w:ind w:left="640" w:right="80" w:hanging="436"/>
        <w:spacing w:after="0" w:line="248"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event of death, a participant’s deferred compensation balance becomes payable immediately. The amount shown in the column titled “Death” is the balance as of December 31, 2018, under the non-qualified deferred compensation plan. For all separation events other than death, balances are distributed in accordance with the participant’s distribution election as discussed in the narrative following the 2018 non-qualified deferred compensation table.</w:t>
      </w:r>
    </w:p>
    <w:p>
      <w:pPr>
        <w:spacing w:after="0" w:line="76" w:lineRule="exact"/>
        <w:rPr>
          <w:rFonts w:ascii="Arial" w:cs="Arial" w:eastAsia="Arial" w:hAnsi="Arial"/>
          <w:sz w:val="18"/>
          <w:szCs w:val="18"/>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by multiplying the number of outstanding RSUs by the closing price of TI common stock as of December 31, 2018</w:t>
      </w:r>
    </w:p>
    <w:p>
      <w:pPr>
        <w:spacing w:after="0" w:line="17" w:lineRule="exact"/>
        <w:rPr>
          <w:rFonts w:ascii="Arial" w:cs="Arial" w:eastAsia="Arial" w:hAnsi="Arial"/>
          <w:sz w:val="18"/>
          <w:szCs w:val="18"/>
          <w:color w:val="auto"/>
        </w:rPr>
      </w:pPr>
    </w:p>
    <w:p>
      <w:pPr>
        <w:ind w:left="640" w:right="160"/>
        <w:spacing w:after="0" w:line="242" w:lineRule="auto"/>
        <w:rPr>
          <w:rFonts w:ascii="Arial" w:cs="Arial" w:eastAsia="Arial" w:hAnsi="Arial"/>
          <w:sz w:val="18"/>
          <w:szCs w:val="18"/>
          <w:color w:val="auto"/>
        </w:rPr>
      </w:pPr>
      <w:r>
        <w:rPr>
          <w:rFonts w:ascii="Arial" w:cs="Arial" w:eastAsia="Arial" w:hAnsi="Arial"/>
          <w:sz w:val="18"/>
          <w:szCs w:val="18"/>
          <w:color w:val="auto"/>
        </w:rPr>
        <w:t>($94.50). In the event of termination due to disability or death, all outstanding awards will continue to vest according to their terms. See the first table under “Outstanding equity awards at fiscal year-end 2018” for the number of unvested RSUs as of December 31, 2018, and the related discussion following that table of an additional outstanding RSU award held by Mr. Templeton.</w:t>
      </w:r>
    </w:p>
    <w:p>
      <w:pPr>
        <w:spacing w:after="0" w:line="81" w:lineRule="exact"/>
        <w:rPr>
          <w:rFonts w:ascii="Arial" w:cs="Arial" w:eastAsia="Arial" w:hAnsi="Arial"/>
          <w:sz w:val="18"/>
          <w:szCs w:val="18"/>
          <w:color w:val="auto"/>
        </w:rPr>
      </w:pPr>
    </w:p>
    <w:p>
      <w:pPr>
        <w:ind w:left="640" w:right="1120" w:hanging="436"/>
        <w:spacing w:after="0" w:line="27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by multiplying the previously discussed 120,000 vested RSUs by the closing price of TI common stock as of December 31, 2018 ($94.50).</w:t>
      </w:r>
    </w:p>
    <w:p>
      <w:pPr>
        <w:spacing w:after="0" w:line="50" w:lineRule="exact"/>
        <w:rPr>
          <w:rFonts w:ascii="Arial" w:cs="Arial" w:eastAsia="Arial" w:hAnsi="Arial"/>
          <w:sz w:val="18"/>
          <w:szCs w:val="18"/>
          <w:color w:val="auto"/>
        </w:rPr>
      </w:pPr>
    </w:p>
    <w:p>
      <w:pPr>
        <w:ind w:left="640" w:right="20" w:hanging="436"/>
        <w:spacing w:after="0" w:line="255"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Due to retirement eligibility, calculated by multiplying the number of outstanding RSUs held at such termination by the closing price of TI common stock as of December 31, 2018 ($94.50). RSU awards stay in effect and pay out shares according to the vesting schedule.</w:t>
      </w:r>
    </w:p>
    <w:p>
      <w:pPr>
        <w:spacing w:after="0" w:line="69" w:lineRule="exact"/>
        <w:rPr>
          <w:rFonts w:ascii="Arial" w:cs="Arial" w:eastAsia="Arial" w:hAnsi="Arial"/>
          <w:sz w:val="18"/>
          <w:szCs w:val="18"/>
          <w:color w:val="auto"/>
        </w:rPr>
      </w:pPr>
    </w:p>
    <w:p>
      <w:pPr>
        <w:ind w:left="640" w:right="440" w:hanging="436"/>
        <w:spacing w:after="0" w:line="306"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outstanding in-the-money options and the closing price of TI common stock as of December 31, 2018 ($94.50), multiplied by the number of shares under such options as of December 31, 2018.</w:t>
      </w:r>
    </w:p>
    <w:p>
      <w:pPr>
        <w:spacing w:after="0" w:line="28" w:lineRule="exact"/>
        <w:rPr>
          <w:rFonts w:ascii="Arial" w:cs="Arial" w:eastAsia="Arial" w:hAnsi="Arial"/>
          <w:sz w:val="17"/>
          <w:szCs w:val="17"/>
          <w:color w:val="auto"/>
        </w:rPr>
      </w:pPr>
    </w:p>
    <w:p>
      <w:pPr>
        <w:ind w:left="640" w:right="460" w:hanging="436"/>
        <w:spacing w:after="0" w:line="306"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exercisable in-the-money options and the closing price of TI common stock as of December 31, 2018 ($94.50), multiplied by the number of shares under such options as of December 31, 2018.</w:t>
      </w:r>
    </w:p>
    <w:p>
      <w:pPr>
        <w:spacing w:after="0" w:line="28" w:lineRule="exact"/>
        <w:rPr>
          <w:rFonts w:ascii="Arial" w:cs="Arial" w:eastAsia="Arial" w:hAnsi="Arial"/>
          <w:sz w:val="17"/>
          <w:szCs w:val="17"/>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Crutcher resigned from the company effective July 17, 2018.</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Benefit paid to Mr. Crutcher on November 1, 2018, as required by the terms of the Plan.</w:t>
      </w:r>
    </w:p>
    <w:p>
      <w:pPr>
        <w:spacing w:after="0" w:line="145"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43</w:t>
            </w:r>
          </w:p>
        </w:tc>
      </w:tr>
    </w:tbl>
    <w:p>
      <w:pPr>
        <w:sectPr>
          <w:pgSz w:w="11900" w:h="16838" w:orient="portrait"/>
          <w:cols w:equalWidth="0" w:num="1">
            <w:col w:w="11220"/>
          </w:cols>
          <w:pgMar w:left="24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Pay ratio</w:t>
      </w:r>
    </w:p>
    <w:p>
      <w:pPr>
        <w:spacing w:after="0" w:line="21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For 2018, the median of annual total compensation of all employees of our company (other than our CEO), was $83,905. The annual total compensation of our CEO was $17,596,997. Based on this information, the ratio of the annual total compensation of our CEO to the median of the annual total compensation of all employees was approximately 210 to 1.</w:t>
      </w:r>
    </w:p>
    <w:p>
      <w:pPr>
        <w:spacing w:after="0" w:line="164" w:lineRule="exact"/>
        <w:rPr>
          <w:sz w:val="20"/>
          <w:szCs w:val="20"/>
          <w:color w:val="auto"/>
        </w:rPr>
      </w:pPr>
    </w:p>
    <w:p>
      <w:pPr>
        <w:ind w:left="200" w:right="200"/>
        <w:spacing w:after="0" w:line="248" w:lineRule="auto"/>
        <w:rPr>
          <w:sz w:val="20"/>
          <w:szCs w:val="20"/>
          <w:color w:val="auto"/>
        </w:rPr>
      </w:pPr>
      <w:r>
        <w:rPr>
          <w:rFonts w:ascii="Arial" w:cs="Arial" w:eastAsia="Arial" w:hAnsi="Arial"/>
          <w:sz w:val="18"/>
          <w:szCs w:val="18"/>
          <w:color w:val="auto"/>
        </w:rPr>
        <w:t>There has been no change in the company’s employee population or employee compensation arrangements that would result in a significant change in the pay ratio disclosure. Further, there has been no change in the circumstances of the employee identified as the median employee in 2017. Accordingly, the pay ratio calculation has been made using the 2018 compensation for the median employee identified in 2017.</w:t>
      </w:r>
    </w:p>
    <w:p>
      <w:pPr>
        <w:spacing w:after="0" w:line="17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we used the following methodology and material assumptions, adjustments and estimates to identify the median employee in 2017:</w:t>
      </w:r>
    </w:p>
    <w:p>
      <w:pPr>
        <w:spacing w:after="0" w:line="191" w:lineRule="exact"/>
        <w:rPr>
          <w:sz w:val="20"/>
          <w:szCs w:val="20"/>
          <w:color w:val="auto"/>
        </w:rPr>
      </w:pPr>
    </w:p>
    <w:p>
      <w:pPr>
        <w:ind w:left="960" w:hanging="540"/>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selected October 5, 2017, as the date upon which we would identify the “median employee.”</w:t>
      </w:r>
    </w:p>
    <w:p>
      <w:pPr>
        <w:spacing w:after="0" w:line="17"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this date, our employee population consisted of approximately 29,973 individuals working at the company and consolidated subsidiaries, excluding employees on leaves of absence who are not expected to return to work.</w:t>
      </w:r>
    </w:p>
    <w:p>
      <w:pPr>
        <w:spacing w:after="0" w:line="1" w:lineRule="exact"/>
        <w:rPr>
          <w:rFonts w:ascii="Arial" w:cs="Arial" w:eastAsia="Arial" w:hAnsi="Arial"/>
          <w:sz w:val="18"/>
          <w:szCs w:val="18"/>
          <w:color w:val="auto"/>
        </w:rPr>
      </w:pPr>
    </w:p>
    <w:p>
      <w:pPr>
        <w:ind w:left="960" w:right="160" w:hanging="540"/>
        <w:spacing w:after="0" w:line="234"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identify the “median employee,” we used base salary and profit sharing information, each of which is paid to all employees. Salaries were annualized for all permanent employees who were employees for less than the full fiscal year or who were on an unpaid leave of absence during a portion of the year.</w:t>
      </w:r>
    </w:p>
    <w:p>
      <w:pPr>
        <w:spacing w:after="0" w:line="2"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identified and calculated the elements of the median employee’s compensation for 2017 in accordance with the requirements of Item 402(c)(2)(x) of Regulation S-K, including the value of the employee’s health and welfare benefits (estimated for the employee and the employee’s eligible dependents) and retirement-related benefits.</w:t>
      </w:r>
    </w:p>
    <w:p>
      <w:pPr>
        <w:spacing w:after="0" w:line="2" w:lineRule="exact"/>
        <w:rPr>
          <w:rFonts w:ascii="Arial" w:cs="Arial" w:eastAsia="Arial" w:hAnsi="Arial"/>
          <w:sz w:val="18"/>
          <w:szCs w:val="18"/>
          <w:color w:val="auto"/>
        </w:rPr>
      </w:pPr>
    </w:p>
    <w:p>
      <w:pPr>
        <w:ind w:left="960" w:right="340" w:hanging="540"/>
        <w:spacing w:after="0" w:line="251"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applied the exchange rate that we utilize in our payroll system, as of the identification date, to convert foreign currency to U.S. dollars.</w:t>
      </w:r>
    </w:p>
    <w:p>
      <w:pPr>
        <w:spacing w:after="0" w:line="166"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annual total compensation of our CEO is the amount reported in the “Total” column of our 2018 summary compensation table, adding in the value of health and welfare benefits (estimated for our CEO and his eligible dependents) and retirement-related benefits. This resulted in annual total compensation for purposes of determining the ratio in the amount of $17,596,997.</w:t>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Audit Committee report</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12" w:lineRule="exact"/>
        <w:rPr>
          <w:sz w:val="20"/>
          <w:szCs w:val="20"/>
          <w:color w:val="auto"/>
        </w:rPr>
      </w:pPr>
    </w:p>
    <w:p>
      <w:pPr>
        <w:ind w:left="200" w:right="60"/>
        <w:spacing w:after="0" w:line="245" w:lineRule="auto"/>
        <w:rPr>
          <w:sz w:val="20"/>
          <w:szCs w:val="20"/>
          <w:color w:val="auto"/>
        </w:rPr>
      </w:pPr>
      <w:r>
        <w:rPr>
          <w:rFonts w:ascii="Arial" w:cs="Arial" w:eastAsia="Arial" w:hAnsi="Arial"/>
          <w:sz w:val="18"/>
          <w:szCs w:val="18"/>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7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64" w:lineRule="exact"/>
        <w:rPr>
          <w:sz w:val="20"/>
          <w:szCs w:val="20"/>
          <w:color w:val="auto"/>
        </w:rPr>
      </w:pPr>
    </w:p>
    <w:p>
      <w:pPr>
        <w:ind w:left="200" w:right="600"/>
        <w:spacing w:after="0" w:line="276" w:lineRule="auto"/>
        <w:rPr>
          <w:sz w:val="20"/>
          <w:szCs w:val="20"/>
          <w:color w:val="auto"/>
        </w:rPr>
      </w:pPr>
      <w:r>
        <w:rPr>
          <w:rFonts w:ascii="Arial" w:cs="Arial" w:eastAsia="Arial" w:hAnsi="Arial"/>
          <w:sz w:val="18"/>
          <w:szCs w:val="18"/>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45" w:lineRule="exact"/>
        <w:rPr>
          <w:sz w:val="20"/>
          <w:szCs w:val="20"/>
          <w:color w:val="auto"/>
        </w:rPr>
      </w:pPr>
    </w:p>
    <w:p>
      <w:pPr>
        <w:ind w:left="200" w:right="160"/>
        <w:spacing w:after="0" w:line="248" w:lineRule="auto"/>
        <w:rPr>
          <w:sz w:val="20"/>
          <w:szCs w:val="20"/>
          <w:color w:val="auto"/>
        </w:rPr>
      </w:pPr>
      <w:r>
        <w:rPr>
          <w:rFonts w:ascii="Arial" w:cs="Arial" w:eastAsia="Arial" w:hAnsi="Arial"/>
          <w:sz w:val="18"/>
          <w:szCs w:val="18"/>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04"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00"/>
          </w:cols>
          <w:pgMar w:left="24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260"/>
        <w:spacing w:after="0" w:line="276"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2018 for filing with the SEC.</w:t>
      </w:r>
    </w:p>
    <w:p>
      <w:pPr>
        <w:spacing w:after="0" w:line="172" w:lineRule="exact"/>
        <w:rPr>
          <w:sz w:val="20"/>
          <w:szCs w:val="20"/>
          <w:color w:val="auto"/>
        </w:rPr>
      </w:pPr>
    </w:p>
    <w:p>
      <w:pPr>
        <w:ind w:left="1000"/>
        <w:spacing w:after="0"/>
        <w:tabs>
          <w:tab w:leader="none" w:pos="4240" w:val="left"/>
          <w:tab w:leader="none" w:pos="6760" w:val="left"/>
          <w:tab w:leader="none" w:pos="9460" w:val="left"/>
        </w:tabs>
        <w:rPr>
          <w:sz w:val="20"/>
          <w:szCs w:val="20"/>
          <w:color w:val="auto"/>
        </w:rPr>
      </w:pPr>
      <w:r>
        <w:rPr>
          <w:rFonts w:ascii="Arial" w:cs="Arial" w:eastAsia="Arial" w:hAnsi="Arial"/>
          <w:sz w:val="18"/>
          <w:szCs w:val="18"/>
          <w:color w:val="auto"/>
        </w:rPr>
        <w:t>Mark A. Blinn, Chair</w:t>
      </w:r>
      <w:r>
        <w:rPr>
          <w:sz w:val="20"/>
          <w:szCs w:val="20"/>
          <w:color w:val="auto"/>
        </w:rPr>
        <w:tab/>
      </w:r>
      <w:r>
        <w:rPr>
          <w:rFonts w:ascii="Arial" w:cs="Arial" w:eastAsia="Arial" w:hAnsi="Arial"/>
          <w:sz w:val="18"/>
          <w:szCs w:val="18"/>
          <w:color w:val="auto"/>
        </w:rPr>
        <w:t>Todd M. Bluedorn</w:t>
      </w:r>
      <w:r>
        <w:rPr>
          <w:sz w:val="20"/>
          <w:szCs w:val="20"/>
          <w:color w:val="auto"/>
        </w:rPr>
        <w:tab/>
      </w:r>
      <w:r>
        <w:rPr>
          <w:rFonts w:ascii="Arial" w:cs="Arial" w:eastAsia="Arial" w:hAnsi="Arial"/>
          <w:sz w:val="18"/>
          <w:szCs w:val="18"/>
          <w:color w:val="auto"/>
        </w:rPr>
        <w:t>Martin S. Craighead</w:t>
      </w:r>
      <w:r>
        <w:rPr>
          <w:sz w:val="20"/>
          <w:szCs w:val="20"/>
          <w:color w:val="auto"/>
        </w:rPr>
        <w:tab/>
      </w:r>
      <w:r>
        <w:rPr>
          <w:rFonts w:ascii="Arial" w:cs="Arial" w:eastAsia="Arial" w:hAnsi="Arial"/>
          <w:sz w:val="17"/>
          <w:szCs w:val="17"/>
          <w:color w:val="auto"/>
        </w:rPr>
        <w:t>Jean M. Hobby</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Proposal to ratify appointment of independent registered public accounting firm</w:t>
      </w:r>
    </w:p>
    <w:p>
      <w:pPr>
        <w:spacing w:after="0" w:line="22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2019.</w:t>
      </w:r>
    </w:p>
    <w:p>
      <w:pPr>
        <w:spacing w:after="0" w:line="164"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TI has engaged Ernst &amp; Young or a predecessor firm to serve as the company’s independent registered public accounting firm for over 60 years. In order to assure continuing auditor independence, the Audit Committee periodically considers whether the annual audit of TI’s financial statements should be conducted by another firm.</w:t>
      </w:r>
    </w:p>
    <w:p>
      <w:pPr>
        <w:spacing w:after="0" w:line="164" w:lineRule="exact"/>
        <w:rPr>
          <w:sz w:val="20"/>
          <w:szCs w:val="20"/>
          <w:color w:val="auto"/>
        </w:rPr>
      </w:pPr>
    </w:p>
    <w:p>
      <w:pPr>
        <w:ind w:left="200" w:right="200"/>
        <w:spacing w:after="0" w:line="276" w:lineRule="auto"/>
        <w:rPr>
          <w:sz w:val="20"/>
          <w:szCs w:val="20"/>
          <w:color w:val="auto"/>
        </w:rPr>
      </w:pPr>
      <w:r>
        <w:rPr>
          <w:rFonts w:ascii="Arial" w:cs="Arial" w:eastAsia="Arial" w:hAnsi="Arial"/>
          <w:sz w:val="18"/>
          <w:szCs w:val="18"/>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45" w:lineRule="exact"/>
        <w:rPr>
          <w:sz w:val="20"/>
          <w:szCs w:val="20"/>
          <w:color w:val="auto"/>
        </w:rPr>
      </w:pPr>
    </w:p>
    <w:p>
      <w:pPr>
        <w:ind w:left="200" w:right="300"/>
        <w:spacing w:after="0" w:line="248"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Representatives of Ernst &amp; Young are expected to be present and available to respond to appropriate questions at the annual meeting.</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They have the opportunity to make a statement if they desire to do so; they have indicated that, as of this date, they do not.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fees for services provided by Ernst &amp; Young to the company are described below:</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8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r>
      <w:tr>
        <w:trPr>
          <w:trHeight w:val="196"/>
        </w:trPr>
        <w:tc>
          <w:tcPr>
            <w:tcW w:w="20" w:type="dxa"/>
            <w:vAlign w:val="bottom"/>
          </w:tcPr>
          <w:p>
            <w:pPr>
              <w:spacing w:after="0"/>
              <w:rPr>
                <w:sz w:val="17"/>
                <w:szCs w:val="17"/>
                <w:color w:val="auto"/>
              </w:rPr>
            </w:pPr>
          </w:p>
        </w:tc>
        <w:tc>
          <w:tcPr>
            <w:tcW w:w="48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Audit</w:t>
            </w:r>
          </w:p>
        </w:tc>
        <w:tc>
          <w:tcPr>
            <w:tcW w:w="38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94"/>
              <w:spacing w:after="0" w:line="196" w:lineRule="exact"/>
              <w:rPr>
                <w:sz w:val="20"/>
                <w:szCs w:val="20"/>
                <w:color w:val="auto"/>
              </w:rPr>
            </w:pPr>
            <w:r>
              <w:rPr>
                <w:rFonts w:ascii="Arial" w:cs="Arial" w:eastAsia="Arial" w:hAnsi="Arial"/>
                <w:sz w:val="18"/>
                <w:szCs w:val="18"/>
                <w:color w:val="auto"/>
              </w:rPr>
              <w:t>10,166,000</w:t>
            </w:r>
          </w:p>
        </w:tc>
        <w:tc>
          <w:tcPr>
            <w:tcW w:w="3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9,774,000</w:t>
            </w:r>
          </w:p>
        </w:tc>
      </w:tr>
      <w:tr>
        <w:trPr>
          <w:trHeight w:val="203"/>
        </w:trPr>
        <w:tc>
          <w:tcPr>
            <w:tcW w:w="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Audit-Related</w:t>
            </w:r>
          </w:p>
        </w:tc>
        <w:tc>
          <w:tcPr>
            <w:tcW w:w="3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811,000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722,000</w:t>
            </w:r>
          </w:p>
        </w:tc>
      </w:tr>
      <w:tr>
        <w:trPr>
          <w:trHeight w:val="203"/>
        </w:trPr>
        <w:tc>
          <w:tcPr>
            <w:tcW w:w="20" w:type="dxa"/>
            <w:vAlign w:val="bottom"/>
          </w:tcPr>
          <w:p>
            <w:pPr>
              <w:spacing w:after="0"/>
              <w:rPr>
                <w:sz w:val="17"/>
                <w:szCs w:val="17"/>
                <w:color w:val="auto"/>
              </w:rPr>
            </w:pPr>
          </w:p>
        </w:tc>
        <w:tc>
          <w:tcPr>
            <w:tcW w:w="4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Tax</w:t>
            </w:r>
          </w:p>
        </w:tc>
        <w:tc>
          <w:tcPr>
            <w:tcW w:w="3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3,313,000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3,088,000</w:t>
            </w:r>
          </w:p>
        </w:tc>
      </w:tr>
      <w:tr>
        <w:trPr>
          <w:trHeight w:val="243"/>
        </w:trPr>
        <w:tc>
          <w:tcPr>
            <w:tcW w:w="2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All Other</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24,000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23,000</w:t>
            </w:r>
          </w:p>
        </w:tc>
      </w:tr>
    </w:tbl>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services provided were as follows:</w:t>
      </w:r>
    </w:p>
    <w:p>
      <w:pPr>
        <w:spacing w:after="0" w:line="212" w:lineRule="exact"/>
        <w:rPr>
          <w:sz w:val="20"/>
          <w:szCs w:val="20"/>
          <w:color w:val="auto"/>
        </w:rPr>
      </w:pPr>
    </w:p>
    <w:p>
      <w:pPr>
        <w:ind w:left="200" w:right="320"/>
        <w:spacing w:after="0" w:line="276" w:lineRule="auto"/>
        <w:rPr>
          <w:sz w:val="20"/>
          <w:szCs w:val="20"/>
          <w:color w:val="auto"/>
        </w:rPr>
      </w:pPr>
      <w:r>
        <w:rPr>
          <w:rFonts w:ascii="Arial" w:cs="Arial" w:eastAsia="Arial" w:hAnsi="Arial"/>
          <w:sz w:val="18"/>
          <w:szCs w:val="18"/>
          <w:color w:val="auto"/>
        </w:rPr>
        <w:t>Audit: our annual audit, including the audit of internal control over financial reporting, reports on Form 10-Q, assistance with public debt offerings, statutory audits required internationally and accounting consultations.</w:t>
      </w:r>
    </w:p>
    <w:p>
      <w:pPr>
        <w:spacing w:after="0" w:line="145" w:lineRule="exact"/>
        <w:rPr>
          <w:sz w:val="20"/>
          <w:szCs w:val="20"/>
          <w:color w:val="auto"/>
        </w:rPr>
      </w:pPr>
    </w:p>
    <w:p>
      <w:pPr>
        <w:ind w:left="200" w:right="340"/>
        <w:spacing w:after="0" w:line="276" w:lineRule="auto"/>
        <w:rPr>
          <w:sz w:val="20"/>
          <w:szCs w:val="20"/>
          <w:color w:val="auto"/>
        </w:rPr>
      </w:pPr>
      <w:r>
        <w:rPr>
          <w:rFonts w:ascii="Arial" w:cs="Arial" w:eastAsia="Arial" w:hAnsi="Arial"/>
          <w:sz w:val="18"/>
          <w:szCs w:val="18"/>
          <w:color w:val="auto"/>
        </w:rPr>
        <w:t>Audit-related: including employee benefit plan audits and certification procedures relating to compliance with local-government or other regulatory standards for various non-U.S. subsidiaries.</w:t>
      </w:r>
    </w:p>
    <w:p>
      <w:pPr>
        <w:spacing w:after="0" w:line="145" w:lineRule="exact"/>
        <w:rPr>
          <w:sz w:val="20"/>
          <w:szCs w:val="20"/>
          <w:color w:val="auto"/>
        </w:rPr>
      </w:pPr>
    </w:p>
    <w:p>
      <w:pPr>
        <w:ind w:left="200" w:right="60"/>
        <w:spacing w:after="0" w:line="276" w:lineRule="auto"/>
        <w:rPr>
          <w:sz w:val="20"/>
          <w:szCs w:val="20"/>
          <w:color w:val="auto"/>
        </w:rPr>
      </w:pPr>
      <w:r>
        <w:rPr>
          <w:rFonts w:ascii="Arial" w:cs="Arial" w:eastAsia="Arial" w:hAnsi="Arial"/>
          <w:sz w:val="18"/>
          <w:szCs w:val="18"/>
          <w:color w:val="auto"/>
        </w:rPr>
        <w:t>Tax: professional services for tax compliance (preparation and review of income tax returns and other tax-related filings) and tax advice on U.S. and foreign tax matters.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Other: TI Foundation audit and training.</w:t>
      </w:r>
    </w:p>
    <w:p>
      <w:pPr>
        <w:spacing w:after="0" w:line="212" w:lineRule="exact"/>
        <w:rPr>
          <w:sz w:val="20"/>
          <w:szCs w:val="20"/>
          <w:color w:val="auto"/>
        </w:rPr>
      </w:pPr>
    </w:p>
    <w:p>
      <w:pPr>
        <w:ind w:left="200" w:right="100"/>
        <w:spacing w:after="0" w:line="276" w:lineRule="auto"/>
        <w:rPr>
          <w:sz w:val="20"/>
          <w:szCs w:val="20"/>
          <w:color w:val="auto"/>
        </w:rPr>
      </w:pPr>
      <w:r>
        <w:rPr>
          <w:rFonts w:ascii="Arial" w:cs="Arial" w:eastAsia="Arial" w:hAnsi="Arial"/>
          <w:sz w:val="18"/>
          <w:szCs w:val="18"/>
          <w:u w:val="single" w:color="auto"/>
          <w:color w:val="auto"/>
        </w:rPr>
        <w:t>Pre-approval policy</w:t>
      </w:r>
      <w:r>
        <w:rPr>
          <w:rFonts w:ascii="Arial" w:cs="Arial" w:eastAsia="Arial" w:hAnsi="Arial"/>
          <w:sz w:val="18"/>
          <w:szCs w:val="18"/>
          <w:color w:val="auto"/>
        </w:rPr>
        <w:t>. The Audit Committee is required to pre-approve the audit and non-audit services to be performed by the independent registered public accounting firm to assure that the provision of such services does not impair the firm’s independence.</w:t>
      </w:r>
    </w:p>
    <w:p>
      <w:pPr>
        <w:spacing w:after="0" w:line="145" w:lineRule="exact"/>
        <w:rPr>
          <w:sz w:val="20"/>
          <w:szCs w:val="20"/>
          <w:color w:val="auto"/>
        </w:rPr>
      </w:pPr>
    </w:p>
    <w:p>
      <w:pPr>
        <w:ind w:left="200" w:right="100"/>
        <w:spacing w:after="0" w:line="245" w:lineRule="auto"/>
        <w:rPr>
          <w:sz w:val="20"/>
          <w:szCs w:val="20"/>
          <w:color w:val="auto"/>
        </w:rPr>
      </w:pPr>
      <w:r>
        <w:rPr>
          <w:rFonts w:ascii="Arial" w:cs="Arial" w:eastAsia="Arial" w:hAnsi="Arial"/>
          <w:sz w:val="18"/>
          <w:szCs w:val="18"/>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w:t>
      </w:r>
    </w:p>
    <w:p>
      <w:pPr>
        <w:spacing w:after="0" w:line="106"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45</w:t>
            </w:r>
          </w:p>
        </w:tc>
      </w:tr>
    </w:tbl>
    <w:p>
      <w:pPr>
        <w:sectPr>
          <w:pgSz w:w="11900" w:h="16838" w:orient="portrait"/>
          <w:cols w:equalWidth="0" w:num="1">
            <w:col w:w="11240"/>
          </w:cols>
          <w:pgMar w:left="240" w:top="455" w:right="41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be provided. The term of any pre-approval is 12 months from the date of pre -approval,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171"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 Committee or its Chair pre-approved all services provided by Ernst &amp; Young during 2018.</w:t>
      </w:r>
    </w:p>
    <w:p>
      <w:pPr>
        <w:spacing w:after="0" w:line="210" w:lineRule="exact"/>
        <w:rPr>
          <w:sz w:val="20"/>
          <w:szCs w:val="20"/>
          <w:color w:val="auto"/>
        </w:rPr>
      </w:pPr>
    </w:p>
    <w:p>
      <w:pPr>
        <w:ind w:left="200" w:right="860"/>
        <w:spacing w:after="0" w:line="288"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Additional information</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Voting securities</w:t>
      </w:r>
    </w:p>
    <w:p>
      <w:pPr>
        <w:spacing w:after="0" w:line="21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As stated in the notice of annual meeting, holders of record of the common stock at the close of business on February 25, 2019, may vote at the meeting or any adjournment of the meeting. As of February 25, 2019, 938,617,664 shares of TI common stock were outstanding. This is the only class of capital stock entitled to vote at the meeting. Each holder of common stock has one vote for each share held.</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Security ownership of certain beneficial owners</w:t>
      </w:r>
    </w:p>
    <w:p>
      <w:pPr>
        <w:spacing w:after="0" w:line="211" w:lineRule="exact"/>
        <w:rPr>
          <w:sz w:val="20"/>
          <w:szCs w:val="20"/>
          <w:color w:val="auto"/>
        </w:rPr>
      </w:pPr>
    </w:p>
    <w:p>
      <w:pPr>
        <w:jc w:val="both"/>
        <w:ind w:left="200" w:right="220"/>
        <w:spacing w:after="0" w:line="255" w:lineRule="auto"/>
        <w:rPr>
          <w:sz w:val="20"/>
          <w:szCs w:val="20"/>
          <w:color w:val="auto"/>
        </w:rPr>
      </w:pPr>
      <w:r>
        <w:rPr>
          <w:rFonts w:ascii="Arial" w:cs="Arial" w:eastAsia="Arial" w:hAnsi="Arial"/>
          <w:sz w:val="18"/>
          <w:szCs w:val="18"/>
          <w:color w:val="auto"/>
        </w:rPr>
        <w:t>The following table shows the only persons who have reported beneficial ownership of more than 5 percent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360" w:type="dxa"/>
            <w:vAlign w:val="bottom"/>
          </w:tcPr>
          <w:p>
            <w:pPr>
              <w:jc w:val="right"/>
              <w:ind w:right="459"/>
              <w:spacing w:after="0"/>
              <w:rPr>
                <w:sz w:val="20"/>
                <w:szCs w:val="20"/>
                <w:color w:val="auto"/>
              </w:rPr>
            </w:pPr>
            <w:r>
              <w:rPr>
                <w:rFonts w:ascii="Arial" w:cs="Arial" w:eastAsia="Arial" w:hAnsi="Arial"/>
                <w:sz w:val="14"/>
                <w:szCs w:val="14"/>
                <w:b w:val="1"/>
                <w:bCs w:val="1"/>
                <w:color w:val="auto"/>
              </w:rPr>
              <w:t>Shares Owned at</w:t>
            </w:r>
          </w:p>
        </w:tc>
        <w:tc>
          <w:tcPr>
            <w:tcW w:w="1060" w:type="dxa"/>
            <w:vAlign w:val="bottom"/>
          </w:tcPr>
          <w:p>
            <w:pPr>
              <w:jc w:val="right"/>
              <w:ind w:right="179"/>
              <w:spacing w:after="0"/>
              <w:rPr>
                <w:sz w:val="20"/>
                <w:szCs w:val="20"/>
                <w:color w:val="auto"/>
              </w:rPr>
            </w:pPr>
            <w:r>
              <w:rPr>
                <w:rFonts w:ascii="Arial" w:cs="Arial" w:eastAsia="Arial" w:hAnsi="Arial"/>
                <w:sz w:val="14"/>
                <w:szCs w:val="14"/>
                <w:b w:val="1"/>
                <w:bCs w:val="1"/>
                <w:color w:val="auto"/>
              </w:rPr>
              <w:t>Percent</w:t>
            </w:r>
          </w:p>
        </w:tc>
      </w:tr>
      <w:tr>
        <w:trPr>
          <w:trHeight w:val="191"/>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2360" w:type="dxa"/>
            <w:vAlign w:val="bottom"/>
          </w:tcPr>
          <w:p>
            <w:pPr>
              <w:jc w:val="right"/>
              <w:ind w:right="399"/>
              <w:spacing w:after="0"/>
              <w:rPr>
                <w:sz w:val="20"/>
                <w:szCs w:val="20"/>
                <w:color w:val="auto"/>
              </w:rPr>
            </w:pPr>
            <w:r>
              <w:rPr>
                <w:rFonts w:ascii="Arial" w:cs="Arial" w:eastAsia="Arial" w:hAnsi="Arial"/>
                <w:sz w:val="14"/>
                <w:szCs w:val="14"/>
                <w:b w:val="1"/>
                <w:bCs w:val="1"/>
                <w:color w:val="auto"/>
              </w:rPr>
              <w:t>December 31, 2018</w:t>
            </w:r>
          </w:p>
        </w:tc>
        <w:tc>
          <w:tcPr>
            <w:tcW w:w="1060" w:type="dxa"/>
            <w:vAlign w:val="bottom"/>
          </w:tcPr>
          <w:p>
            <w:pPr>
              <w:jc w:val="right"/>
              <w:ind w:right="159"/>
              <w:spacing w:after="0"/>
              <w:rPr>
                <w:sz w:val="20"/>
                <w:szCs w:val="20"/>
                <w:color w:val="auto"/>
              </w:rPr>
            </w:pPr>
            <w:r>
              <w:rPr>
                <w:rFonts w:ascii="Arial" w:cs="Arial" w:eastAsia="Arial" w:hAnsi="Arial"/>
                <w:sz w:val="14"/>
                <w:szCs w:val="14"/>
                <w:b w:val="1"/>
                <w:bCs w:val="1"/>
                <w:color w:val="auto"/>
              </w:rPr>
              <w:t>of Class</w:t>
            </w:r>
          </w:p>
        </w:tc>
      </w:tr>
      <w:tr>
        <w:trPr>
          <w:trHeight w:val="173"/>
        </w:trPr>
        <w:tc>
          <w:tcPr>
            <w:tcW w:w="20" w:type="dxa"/>
            <w:vAlign w:val="bottom"/>
          </w:tcPr>
          <w:p>
            <w:pPr>
              <w:spacing w:after="0"/>
              <w:rPr>
                <w:sz w:val="15"/>
                <w:szCs w:val="15"/>
                <w:color w:val="auto"/>
              </w:rPr>
            </w:pPr>
          </w:p>
        </w:tc>
        <w:tc>
          <w:tcPr>
            <w:tcW w:w="7600" w:type="dxa"/>
            <w:vAlign w:val="bottom"/>
            <w:tcBorders>
              <w:top w:val="single" w:sz="8" w:color="auto"/>
            </w:tcBorders>
            <w:shd w:val="clear" w:color="auto" w:fill="E5E5E5"/>
          </w:tcPr>
          <w:p>
            <w:pPr>
              <w:spacing w:after="0" w:line="173" w:lineRule="exact"/>
              <w:rPr>
                <w:sz w:val="20"/>
                <w:szCs w:val="20"/>
                <w:color w:val="auto"/>
              </w:rPr>
            </w:pPr>
            <w:r>
              <w:rPr>
                <w:rFonts w:ascii="Arial" w:cs="Arial" w:eastAsia="Arial" w:hAnsi="Arial"/>
                <w:sz w:val="18"/>
                <w:szCs w:val="18"/>
                <w:color w:val="auto"/>
              </w:rPr>
              <w:t>The Vanguard Group</w:t>
            </w:r>
          </w:p>
        </w:tc>
        <w:tc>
          <w:tcPr>
            <w:tcW w:w="2360" w:type="dxa"/>
            <w:vAlign w:val="bottom"/>
            <w:tcBorders>
              <w:top w:val="single" w:sz="8" w:color="auto"/>
            </w:tcBorders>
            <w:shd w:val="clear" w:color="auto" w:fill="E5E5E5"/>
          </w:tcPr>
          <w:p>
            <w:pPr>
              <w:spacing w:after="0"/>
              <w:rPr>
                <w:sz w:val="15"/>
                <w:szCs w:val="15"/>
                <w:color w:val="auto"/>
              </w:rPr>
            </w:pPr>
          </w:p>
        </w:tc>
        <w:tc>
          <w:tcPr>
            <w:tcW w:w="1060" w:type="dxa"/>
            <w:vAlign w:val="bottom"/>
            <w:tcBorders>
              <w:top w:val="single" w:sz="8" w:color="auto"/>
            </w:tcBorders>
            <w:shd w:val="clear" w:color="auto" w:fill="E5E5E5"/>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100 Vanguard Blvd.</w:t>
            </w:r>
          </w:p>
        </w:tc>
        <w:tc>
          <w:tcPr>
            <w:tcW w:w="236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7600" w:type="dxa"/>
            <w:vAlign w:val="bottom"/>
            <w:shd w:val="clear" w:color="auto" w:fill="E5E5E5"/>
          </w:tcPr>
          <w:p>
            <w:pPr>
              <w:spacing w:after="0"/>
              <w:rPr>
                <w:sz w:val="20"/>
                <w:szCs w:val="20"/>
                <w:color w:val="auto"/>
              </w:rPr>
            </w:pPr>
            <w:r>
              <w:rPr>
                <w:rFonts w:ascii="Arial" w:cs="Arial" w:eastAsia="Arial" w:hAnsi="Arial"/>
                <w:sz w:val="18"/>
                <w:szCs w:val="18"/>
                <w:color w:val="auto"/>
              </w:rPr>
              <w:t>Malvern, PA 19355</w:t>
            </w:r>
          </w:p>
        </w:tc>
        <w:tc>
          <w:tcPr>
            <w:tcW w:w="236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86,707,861 (1)</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9.17%</w:t>
            </w:r>
          </w:p>
        </w:tc>
      </w:tr>
      <w:tr>
        <w:trPr>
          <w:trHeight w:val="287"/>
        </w:trPr>
        <w:tc>
          <w:tcPr>
            <w:tcW w:w="762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2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620" w:type="dxa"/>
            <w:vAlign w:val="bottom"/>
            <w:gridSpan w:val="2"/>
          </w:tcPr>
          <w:p>
            <w:pPr>
              <w:spacing w:after="0" w:line="203" w:lineRule="exact"/>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2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3"/>
        </w:trPr>
        <w:tc>
          <w:tcPr>
            <w:tcW w:w="762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2360" w:type="dxa"/>
            <w:vAlign w:val="bottom"/>
          </w:tcPr>
          <w:p>
            <w:pPr>
              <w:jc w:val="right"/>
              <w:ind w:right="179"/>
              <w:spacing w:after="0"/>
              <w:rPr>
                <w:sz w:val="20"/>
                <w:szCs w:val="20"/>
                <w:color w:val="auto"/>
              </w:rPr>
            </w:pPr>
            <w:r>
              <w:rPr>
                <w:rFonts w:ascii="Arial" w:cs="Arial" w:eastAsia="Arial" w:hAnsi="Arial"/>
                <w:sz w:val="18"/>
                <w:szCs w:val="18"/>
                <w:color w:val="auto"/>
              </w:rPr>
              <w:t>65,177,834 (2)</w:t>
            </w: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81" w:lineRule="exact"/>
        <w:rPr>
          <w:sz w:val="20"/>
          <w:szCs w:val="20"/>
          <w:color w:val="auto"/>
        </w:rPr>
      </w:pPr>
    </w:p>
    <w:p>
      <w:pPr>
        <w:ind w:left="640" w:right="300" w:hanging="436"/>
        <w:spacing w:after="0" w:line="276"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According to its Form 13G filing, The Vanguard Group has sole voting power for 1,197,221, shared voting power for 229,036, sole dispositive power for 85,313,858 and shared dispositive power for 1,394,003 of these shares.</w:t>
      </w:r>
    </w:p>
    <w:p>
      <w:pPr>
        <w:spacing w:after="0" w:line="50" w:lineRule="exact"/>
        <w:rPr>
          <w:rFonts w:ascii="Arial" w:cs="Arial" w:eastAsia="Arial" w:hAnsi="Arial"/>
          <w:sz w:val="18"/>
          <w:szCs w:val="18"/>
          <w:color w:val="auto"/>
        </w:rPr>
      </w:pPr>
    </w:p>
    <w:p>
      <w:pPr>
        <w:ind w:left="640" w:right="700" w:hanging="436"/>
        <w:spacing w:after="0" w:line="276"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According to its Form 13G filing, BlackRock, Inc. has sole voting power for 55,435,118 shares, and sole dispositive power for 65,177,834 shares.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Security ownership of directors and management</w:t>
      </w:r>
    </w:p>
    <w:p>
      <w:pPr>
        <w:spacing w:after="0" w:line="211" w:lineRule="exact"/>
        <w:rPr>
          <w:sz w:val="20"/>
          <w:szCs w:val="20"/>
          <w:color w:val="auto"/>
        </w:rPr>
      </w:pPr>
    </w:p>
    <w:p>
      <w:pPr>
        <w:ind w:left="200" w:right="80"/>
        <w:spacing w:after="0" w:line="245" w:lineRule="auto"/>
        <w:rPr>
          <w:sz w:val="20"/>
          <w:szCs w:val="20"/>
          <w:color w:val="auto"/>
        </w:rPr>
      </w:pPr>
      <w:r>
        <w:rPr>
          <w:rFonts w:ascii="Arial" w:cs="Arial" w:eastAsia="Arial" w:hAnsi="Arial"/>
          <w:sz w:val="18"/>
          <w:szCs w:val="18"/>
          <w:color w:val="auto"/>
        </w:rPr>
        <w:t>The following table shows the beneficial ownership of TI common stock by directors, the named executive officers and all executive officers and directors as a group. Each director and named executive officer has sole voting power (except for shares obtainable within 60 days, shares subject to RSUs and shares credited to deferred compensation accounts as detailed in the footnotes to the table) and sole investment power with respect to the shares owned. The table excludes shares held by a family member if a director or executive officer has disclaimed beneficial ownership. No director or executive officer has pledged shares of TI common stock.</w:t>
      </w:r>
    </w:p>
    <w:p>
      <w:pPr>
        <w:spacing w:after="0" w:line="106"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40"/>
          </w:cols>
          <w:pgMar w:left="240" w:top="455" w:right="41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8440"/>
        <w:spacing w:after="0"/>
        <w:tabs>
          <w:tab w:leader="none" w:pos="10600" w:val="left"/>
        </w:tabs>
        <w:rPr>
          <w:sz w:val="20"/>
          <w:szCs w:val="20"/>
          <w:color w:val="auto"/>
        </w:rPr>
      </w:pPr>
      <w:r>
        <w:rPr>
          <w:rFonts w:ascii="Arial" w:cs="Arial" w:eastAsia="Arial" w:hAnsi="Arial"/>
          <w:sz w:val="14"/>
          <w:szCs w:val="14"/>
          <w:b w:val="1"/>
          <w:bCs w:val="1"/>
          <w:color w:val="auto"/>
        </w:rPr>
        <w:t>Shares Owned at</w:t>
      </w:r>
      <w:r>
        <w:rPr>
          <w:sz w:val="20"/>
          <w:szCs w:val="20"/>
          <w:color w:val="auto"/>
        </w:rPr>
        <w:tab/>
      </w:r>
      <w:r>
        <w:rPr>
          <w:rFonts w:ascii="Arial" w:cs="Arial" w:eastAsia="Arial" w:hAnsi="Arial"/>
          <w:sz w:val="14"/>
          <w:szCs w:val="14"/>
          <w:b w:val="1"/>
          <w:bCs w:val="1"/>
          <w:color w:val="auto"/>
        </w:rPr>
        <w:t>Percent</w:t>
      </w:r>
    </w:p>
    <w:p>
      <w:pPr>
        <w:spacing w:after="0" w:line="21" w:lineRule="exact"/>
        <w:rPr>
          <w:sz w:val="20"/>
          <w:szCs w:val="20"/>
          <w:color w:val="auto"/>
        </w:rPr>
      </w:pPr>
    </w:p>
    <w:p>
      <w:pPr>
        <w:ind w:left="200"/>
        <w:spacing w:after="0"/>
        <w:tabs>
          <w:tab w:leader="none" w:pos="8360" w:val="left"/>
          <w:tab w:leader="none" w:pos="105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December 31, 2018</w:t>
      </w:r>
      <w:r>
        <w:rPr>
          <w:sz w:val="20"/>
          <w:szCs w:val="20"/>
          <w:color w:val="auto"/>
        </w:rPr>
        <w:tab/>
      </w:r>
      <w:r>
        <w:rPr>
          <w:rFonts w:ascii="Arial" w:cs="Arial" w:eastAsia="Arial" w:hAnsi="Arial"/>
          <w:sz w:val="14"/>
          <w:szCs w:val="14"/>
          <w:b w:val="1"/>
          <w:bCs w:val="1"/>
          <w:color w:val="auto"/>
        </w:rPr>
        <w:t>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699770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(1)</w:t>
      </w:r>
    </w:p>
    <w:p>
      <w:pPr>
        <w:ind w:left="200"/>
        <w:spacing w:after="0" w:line="234" w:lineRule="auto"/>
        <w:rPr>
          <w:sz w:val="20"/>
          <w:szCs w:val="20"/>
          <w:color w:val="auto"/>
        </w:rPr>
      </w:pPr>
      <w:r>
        <w:rPr>
          <w:rFonts w:ascii="Arial" w:cs="Arial" w:eastAsia="Arial" w:hAnsi="Arial"/>
          <w:sz w:val="18"/>
          <w:szCs w:val="18"/>
          <w:color w:val="auto"/>
        </w:rPr>
        <w:t>R. W. Babb, Jr.</w:t>
      </w:r>
    </w:p>
    <w:p>
      <w:pPr>
        <w:ind w:left="200"/>
        <w:spacing w:after="0" w:line="235" w:lineRule="auto"/>
        <w:rPr>
          <w:sz w:val="20"/>
          <w:szCs w:val="20"/>
          <w:color w:val="auto"/>
        </w:rPr>
      </w:pPr>
      <w:r>
        <w:rPr>
          <w:rFonts w:ascii="Arial" w:cs="Arial" w:eastAsia="Arial" w:hAnsi="Arial"/>
          <w:sz w:val="18"/>
          <w:szCs w:val="18"/>
          <w:color w:val="auto"/>
        </w:rPr>
        <w:t>M.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T. M. Bluedorn</w:t>
      </w:r>
    </w:p>
    <w:p>
      <w:pPr>
        <w:ind w:left="200"/>
        <w:spacing w:after="0" w:line="235" w:lineRule="auto"/>
        <w:rPr>
          <w:sz w:val="20"/>
          <w:szCs w:val="20"/>
          <w:color w:val="auto"/>
        </w:rPr>
      </w:pPr>
      <w:r>
        <w:rPr>
          <w:rFonts w:ascii="Arial" w:cs="Arial" w:eastAsia="Arial" w:hAnsi="Arial"/>
          <w:sz w:val="18"/>
          <w:szCs w:val="18"/>
          <w:color w:val="auto"/>
        </w:rPr>
        <w:t>D. 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J. F. Clark</w:t>
      </w:r>
    </w:p>
    <w:p>
      <w:pPr>
        <w:ind w:left="200"/>
        <w:spacing w:after="0" w:line="235" w:lineRule="auto"/>
        <w:rPr>
          <w:sz w:val="20"/>
          <w:szCs w:val="20"/>
          <w:color w:val="auto"/>
        </w:rPr>
      </w:pPr>
      <w:r>
        <w:rPr>
          <w:rFonts w:ascii="Arial" w:cs="Arial" w:eastAsia="Arial" w:hAnsi="Arial"/>
          <w:sz w:val="18"/>
          <w:szCs w:val="18"/>
          <w:color w:val="auto"/>
        </w:rPr>
        <w:t>C.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M. S. Craighead</w:t>
      </w:r>
    </w:p>
    <w:p>
      <w:pPr>
        <w:ind w:left="200"/>
        <w:spacing w:after="0" w:line="235" w:lineRule="auto"/>
        <w:rPr>
          <w:sz w:val="20"/>
          <w:szCs w:val="20"/>
          <w:color w:val="auto"/>
        </w:rPr>
      </w:pPr>
      <w:r>
        <w:rPr>
          <w:rFonts w:ascii="Arial" w:cs="Arial" w:eastAsia="Arial" w:hAnsi="Arial"/>
          <w:sz w:val="18"/>
          <w:szCs w:val="18"/>
          <w:color w:val="auto"/>
        </w:rPr>
        <w:t>J. M. Hobby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R. Kirk</w:t>
      </w:r>
    </w:p>
    <w:p>
      <w:pPr>
        <w:ind w:left="200"/>
        <w:spacing w:after="0" w:line="234" w:lineRule="auto"/>
        <w:rPr>
          <w:sz w:val="20"/>
          <w:szCs w:val="20"/>
          <w:color w:val="auto"/>
        </w:rPr>
      </w:pPr>
      <w:r>
        <w:rPr>
          <w:rFonts w:ascii="Arial" w:cs="Arial" w:eastAsia="Arial" w:hAnsi="Arial"/>
          <w:sz w:val="18"/>
          <w:szCs w:val="18"/>
          <w:color w:val="auto"/>
        </w:rPr>
        <w:t>P.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R. E. Sanchez</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(3)</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right="6880" w:firstLine="4"/>
        <w:spacing w:after="0" w:line="248" w:lineRule="auto"/>
        <w:tabs>
          <w:tab w:leader="none" w:pos="43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Anderskouv R. G. Delagi H. Ilan</w:t>
      </w:r>
    </w:p>
    <w:p>
      <w:pPr>
        <w:spacing w:after="0" w:line="1" w:lineRule="exact"/>
        <w:rPr>
          <w:rFonts w:ascii="Arial" w:cs="Arial" w:eastAsia="Arial" w:hAnsi="Arial"/>
          <w:sz w:val="17"/>
          <w:szCs w:val="17"/>
          <w:color w:val="auto"/>
        </w:rPr>
      </w:pPr>
    </w:p>
    <w:p>
      <w:pPr>
        <w:ind w:left="200"/>
        <w:spacing w:after="0" w:line="234" w:lineRule="auto"/>
        <w:rPr>
          <w:rFonts w:ascii="Arial" w:cs="Arial" w:eastAsia="Arial" w:hAnsi="Arial"/>
          <w:sz w:val="17"/>
          <w:szCs w:val="17"/>
          <w:color w:val="auto"/>
        </w:rPr>
      </w:pPr>
      <w:r>
        <w:rPr>
          <w:rFonts w:ascii="Arial" w:cs="Arial" w:eastAsia="Arial" w:hAnsi="Arial"/>
          <w:sz w:val="18"/>
          <w:szCs w:val="18"/>
          <w:color w:val="auto"/>
        </w:rPr>
        <w:t>B. T. Crutcher</w:t>
      </w:r>
    </w:p>
    <w:p>
      <w:pPr>
        <w:ind w:left="200"/>
        <w:spacing w:after="0"/>
        <w:rPr>
          <w:rFonts w:ascii="Arial" w:cs="Arial" w:eastAsia="Arial" w:hAnsi="Arial"/>
          <w:sz w:val="17"/>
          <w:szCs w:val="17"/>
          <w:color w:val="auto"/>
        </w:rPr>
      </w:pPr>
      <w:r>
        <w:rPr>
          <w:rFonts w:ascii="Arial" w:cs="Arial" w:eastAsia="Arial" w:hAnsi="Arial"/>
          <w:sz w:val="18"/>
          <w:szCs w:val="18"/>
          <w:color w:val="auto"/>
        </w:rPr>
        <w:t>All executive officers and directors as a group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-516255</wp:posOffset>
            </wp:positionV>
            <wp:extent cx="699770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-259080</wp:posOffset>
            </wp:positionV>
            <wp:extent cx="699770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75"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17" w:lineRule="exact"/>
        <w:rPr>
          <w:sz w:val="20"/>
          <w:szCs w:val="20"/>
          <w:color w:val="auto"/>
        </w:rPr>
      </w:pPr>
    </w:p>
    <w:p>
      <w:pPr>
        <w:ind w:left="640" w:hanging="43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00" w:lineRule="exact"/>
        <w:rPr>
          <w:sz w:val="20"/>
          <w:szCs w:val="20"/>
          <w:color w:val="auto"/>
        </w:rPr>
      </w:pPr>
    </w:p>
    <w:p>
      <w:pPr>
        <w:spacing w:after="0" w:line="38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Shares</w:t>
      </w:r>
    </w:p>
    <w:p>
      <w:pPr>
        <w:spacing w:after="0" w:line="21"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Obtainable</w:t>
      </w:r>
    </w:p>
    <w:p>
      <w:pPr>
        <w:jc w:val="both"/>
        <w:ind w:left="640"/>
        <w:spacing w:after="0" w:line="236" w:lineRule="auto"/>
        <w:tabs>
          <w:tab w:leader="none" w:pos="7240" w:val="left"/>
        </w:tabs>
        <w:rPr>
          <w:sz w:val="20"/>
          <w:szCs w:val="20"/>
          <w:color w:val="auto"/>
        </w:rPr>
      </w:pPr>
      <w:r>
        <w:rPr>
          <w:rFonts w:ascii="Arial" w:cs="Arial" w:eastAsia="Arial" w:hAnsi="Arial"/>
          <w:sz w:val="14"/>
          <w:szCs w:val="14"/>
          <w:b w:val="1"/>
          <w:bCs w:val="1"/>
          <w:color w:val="auto"/>
        </w:rPr>
        <w:t>Directors</w:t>
      </w:r>
      <w:r>
        <w:rPr>
          <w:sz w:val="20"/>
          <w:szCs w:val="20"/>
          <w:color w:val="auto"/>
        </w:rPr>
        <w:tab/>
      </w:r>
      <w:r>
        <w:rPr>
          <w:rFonts w:ascii="Arial" w:cs="Arial" w:eastAsia="Arial" w:hAnsi="Arial"/>
          <w:sz w:val="14"/>
          <w:szCs w:val="14"/>
          <w:b w:val="1"/>
          <w:bCs w:val="1"/>
          <w:color w:val="auto"/>
        </w:rPr>
        <w:t>within 60 Days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7"/>
        </w:trPr>
        <w:tc>
          <w:tcPr>
            <w:tcW w:w="820" w:type="dxa"/>
            <w:vAlign w:val="bottom"/>
          </w:tcPr>
          <w:p>
            <w:pPr>
              <w:jc w:val="right"/>
              <w:spacing w:after="0"/>
              <w:rPr>
                <w:sz w:val="20"/>
                <w:szCs w:val="20"/>
                <w:color w:val="auto"/>
              </w:rPr>
            </w:pPr>
            <w:r>
              <w:rPr>
                <w:rFonts w:ascii="Arial" w:cs="Arial" w:eastAsia="Arial" w:hAnsi="Arial"/>
                <w:sz w:val="18"/>
                <w:szCs w:val="18"/>
                <w:color w:val="auto"/>
              </w:rPr>
              <w:t>64,554</w:t>
            </w:r>
          </w:p>
        </w:tc>
        <w:tc>
          <w:tcPr>
            <w:tcW w:w="8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26,040</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3,983</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129,996</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21,796</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112,893</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13,100</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8,276</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46,604</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154,878</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59,819</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43"/>
        </w:trPr>
        <w:tc>
          <w:tcPr>
            <w:tcW w:w="820" w:type="dxa"/>
            <w:vAlign w:val="bottom"/>
          </w:tcPr>
          <w:p>
            <w:pPr>
              <w:jc w:val="right"/>
              <w:spacing w:after="0"/>
              <w:rPr>
                <w:sz w:val="20"/>
                <w:szCs w:val="20"/>
                <w:color w:val="auto"/>
              </w:rPr>
            </w:pPr>
            <w:r>
              <w:rPr>
                <w:rFonts w:ascii="Arial" w:cs="Arial" w:eastAsia="Arial" w:hAnsi="Arial"/>
                <w:sz w:val="18"/>
                <w:szCs w:val="18"/>
                <w:color w:val="auto"/>
                <w:w w:val="97"/>
              </w:rPr>
              <w:t>4,447,398</w:t>
            </w:r>
          </w:p>
        </w:tc>
        <w:tc>
          <w:tcPr>
            <w:tcW w:w="86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73"/>
        </w:trPr>
        <w:tc>
          <w:tcPr>
            <w:tcW w:w="820" w:type="dxa"/>
            <w:vAlign w:val="bottom"/>
          </w:tcPr>
          <w:p>
            <w:pPr>
              <w:jc w:val="right"/>
              <w:spacing w:after="0"/>
              <w:rPr>
                <w:sz w:val="20"/>
                <w:szCs w:val="20"/>
                <w:color w:val="auto"/>
              </w:rPr>
            </w:pPr>
            <w:r>
              <w:rPr>
                <w:rFonts w:ascii="Arial" w:cs="Arial" w:eastAsia="Arial" w:hAnsi="Arial"/>
                <w:sz w:val="18"/>
                <w:szCs w:val="18"/>
                <w:color w:val="auto"/>
              </w:rPr>
              <w:t>174,855</w:t>
            </w:r>
          </w:p>
        </w:tc>
        <w:tc>
          <w:tcPr>
            <w:tcW w:w="8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227,852</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7"/>
              </w:rPr>
              <w:t>1,279,546</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236,471</w:t>
            </w:r>
          </w:p>
        </w:tc>
        <w:tc>
          <w:tcPr>
            <w:tcW w:w="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86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(4)</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43"/>
        </w:trPr>
        <w:tc>
          <w:tcPr>
            <w:tcW w:w="820" w:type="dxa"/>
            <w:vAlign w:val="bottom"/>
          </w:tcPr>
          <w:p>
            <w:pPr>
              <w:jc w:val="right"/>
              <w:spacing w:after="0"/>
              <w:rPr>
                <w:sz w:val="20"/>
                <w:szCs w:val="20"/>
                <w:color w:val="auto"/>
              </w:rPr>
            </w:pPr>
            <w:r>
              <w:rPr>
                <w:rFonts w:ascii="Arial" w:cs="Arial" w:eastAsia="Arial" w:hAnsi="Arial"/>
                <w:sz w:val="18"/>
                <w:szCs w:val="18"/>
                <w:color w:val="auto"/>
                <w:w w:val="97"/>
              </w:rPr>
              <w:t>8,392,065</w:t>
            </w:r>
          </w:p>
        </w:tc>
        <w:tc>
          <w:tcPr>
            <w:tcW w:w="8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auto"/>
              </w:rPr>
              <w:t>Shares</w:t>
            </w:r>
          </w:p>
        </w:tc>
      </w:tr>
      <w:tr>
        <w:trPr>
          <w:trHeight w:val="162"/>
        </w:trPr>
        <w:tc>
          <w:tcPr>
            <w:tcW w:w="10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Credited</w:t>
            </w:r>
          </w:p>
        </w:tc>
      </w:tr>
      <w:tr>
        <w:trPr>
          <w:trHeight w:val="162"/>
        </w:trPr>
        <w:tc>
          <w:tcPr>
            <w:tcW w:w="10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to Deferred</w:t>
            </w:r>
          </w:p>
        </w:tc>
      </w:tr>
      <w:tr>
        <w:trPr>
          <w:trHeight w:val="162"/>
        </w:trPr>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RSUs</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auto"/>
              </w:rPr>
              <w:t>Compensation</w:t>
            </w:r>
          </w:p>
        </w:tc>
      </w:tr>
      <w:tr>
        <w:trPr>
          <w:trHeight w:val="191"/>
        </w:trPr>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rPr>
              <w:t>(in Shares) (a)</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auto"/>
              </w:rPr>
              <w:t>Accounts (b)</w:t>
            </w:r>
          </w:p>
        </w:tc>
      </w:tr>
    </w:tbl>
    <w:p>
      <w:pPr>
        <w:spacing w:after="0" w:line="1" w:lineRule="exact"/>
        <w:rPr>
          <w:sz w:val="20"/>
          <w:szCs w:val="20"/>
          <w:color w:val="auto"/>
        </w:rPr>
      </w:pPr>
    </w:p>
    <w:p>
      <w:pPr>
        <w:sectPr>
          <w:pgSz w:w="11900" w:h="16838" w:orient="portrait"/>
          <w:cols w:equalWidth="0" w:num="2">
            <w:col w:w="8260" w:space="400"/>
            <w:col w:w="2560"/>
          </w:cols>
          <w:pgMar w:left="240" w:top="455" w:right="439" w:bottom="1440" w:gutter="0" w:footer="0" w:header="0"/>
          <w:type w:val="continuous"/>
        </w:sectPr>
      </w:pPr>
    </w:p>
    <w:tbl>
      <w:tblPr>
        <w:tblLayout w:type="fixed"/>
        <w:tblInd w:w="6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94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R. W. Babb, Jr.</w:t>
            </w:r>
          </w:p>
        </w:tc>
        <w:tc>
          <w:tcPr>
            <w:tcW w:w="3780" w:type="dxa"/>
            <w:vAlign w:val="bottom"/>
            <w:tcBorders>
              <w:top w:val="single" w:sz="8" w:color="auto"/>
            </w:tcBorders>
            <w:shd w:val="clear" w:color="auto" w:fill="E5E5E5"/>
          </w:tcPr>
          <w:p>
            <w:pPr>
              <w:jc w:val="right"/>
              <w:ind w:right="250"/>
              <w:spacing w:after="0" w:line="196" w:lineRule="exact"/>
              <w:rPr>
                <w:sz w:val="20"/>
                <w:szCs w:val="20"/>
                <w:color w:val="auto"/>
              </w:rPr>
            </w:pPr>
            <w:r>
              <w:rPr>
                <w:rFonts w:ascii="Arial" w:cs="Arial" w:eastAsia="Arial" w:hAnsi="Arial"/>
                <w:sz w:val="18"/>
                <w:szCs w:val="18"/>
                <w:color w:val="auto"/>
              </w:rPr>
              <w:t>22,139</w:t>
            </w:r>
          </w:p>
        </w:tc>
        <w:tc>
          <w:tcPr>
            <w:tcW w:w="1340" w:type="dxa"/>
            <w:vAlign w:val="bottom"/>
            <w:tcBorders>
              <w:top w:val="single" w:sz="8" w:color="auto"/>
            </w:tcBorders>
            <w:shd w:val="clear" w:color="auto" w:fill="E5E5E5"/>
          </w:tcPr>
          <w:p>
            <w:pPr>
              <w:jc w:val="right"/>
              <w:ind w:right="230"/>
              <w:spacing w:after="0" w:line="196" w:lineRule="exact"/>
              <w:rPr>
                <w:sz w:val="20"/>
                <w:szCs w:val="20"/>
                <w:color w:val="auto"/>
              </w:rPr>
            </w:pPr>
            <w:r>
              <w:rPr>
                <w:rFonts w:ascii="Arial" w:cs="Arial" w:eastAsia="Arial" w:hAnsi="Arial"/>
                <w:sz w:val="18"/>
                <w:szCs w:val="18"/>
                <w:color w:val="auto"/>
              </w:rPr>
              <w:t>19,203</w:t>
            </w:r>
          </w:p>
        </w:tc>
        <w:tc>
          <w:tcPr>
            <w:tcW w:w="1060" w:type="dxa"/>
            <w:vAlign w:val="bottom"/>
            <w:tcBorders>
              <w:top w:val="single" w:sz="8" w:color="auto"/>
            </w:tcBorders>
            <w:shd w:val="clear" w:color="auto" w:fill="E5E5E5"/>
          </w:tcPr>
          <w:p>
            <w:pPr>
              <w:jc w:val="right"/>
              <w:ind w:right="90"/>
              <w:spacing w:after="0" w:line="196" w:lineRule="exact"/>
              <w:rPr>
                <w:sz w:val="20"/>
                <w:szCs w:val="20"/>
                <w:color w:val="auto"/>
              </w:rPr>
            </w:pPr>
            <w:r>
              <w:rPr>
                <w:rFonts w:ascii="Arial" w:cs="Arial" w:eastAsia="Arial" w:hAnsi="Arial"/>
                <w:sz w:val="18"/>
                <w:szCs w:val="18"/>
                <w:color w:val="auto"/>
              </w:rPr>
              <w:t>22,212</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3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7,724</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10,178</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8,138</w:t>
            </w:r>
          </w:p>
        </w:tc>
      </w:tr>
      <w:tr>
        <w:trPr>
          <w:trHeight w:val="203"/>
        </w:trPr>
        <w:tc>
          <w:tcPr>
            <w:tcW w:w="20" w:type="dxa"/>
            <w:vAlign w:val="bottom"/>
          </w:tcPr>
          <w:p>
            <w:pPr>
              <w:spacing w:after="0"/>
              <w:rPr>
                <w:sz w:val="17"/>
                <w:szCs w:val="17"/>
                <w:color w:val="auto"/>
              </w:rPr>
            </w:pPr>
          </w:p>
        </w:tc>
        <w:tc>
          <w:tcPr>
            <w:tcW w:w="3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 M. Bluedorn</w:t>
            </w:r>
          </w:p>
        </w:tc>
        <w:tc>
          <w:tcPr>
            <w:tcW w:w="378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color w:val="auto"/>
              </w:rPr>
              <w:t>1,076</w:t>
            </w:r>
          </w:p>
        </w:tc>
        <w:tc>
          <w:tcPr>
            <w:tcW w:w="134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color w:val="auto"/>
              </w:rPr>
              <w:t>2,907</w:t>
            </w:r>
          </w:p>
        </w:tc>
        <w:tc>
          <w:tcPr>
            <w:tcW w:w="106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D. A. Carp</w:t>
            </w:r>
          </w:p>
        </w:tc>
        <w:tc>
          <w:tcPr>
            <w:tcW w:w="3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49,187</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35,867</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44,942</w:t>
            </w:r>
          </w:p>
        </w:tc>
      </w:tr>
      <w:tr>
        <w:trPr>
          <w:trHeight w:val="203"/>
        </w:trPr>
        <w:tc>
          <w:tcPr>
            <w:tcW w:w="20" w:type="dxa"/>
            <w:vAlign w:val="bottom"/>
          </w:tcPr>
          <w:p>
            <w:pPr>
              <w:spacing w:after="0"/>
              <w:rPr>
                <w:sz w:val="17"/>
                <w:szCs w:val="17"/>
                <w:color w:val="auto"/>
              </w:rPr>
            </w:pPr>
          </w:p>
        </w:tc>
        <w:tc>
          <w:tcPr>
            <w:tcW w:w="3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 F. Clark</w:t>
            </w:r>
          </w:p>
        </w:tc>
        <w:tc>
          <w:tcPr>
            <w:tcW w:w="378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color w:val="auto"/>
              </w:rPr>
              <w:t>11,600</w:t>
            </w:r>
          </w:p>
        </w:tc>
        <w:tc>
          <w:tcPr>
            <w:tcW w:w="134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color w:val="auto"/>
              </w:rPr>
              <w:t>6,057</w:t>
            </w:r>
          </w:p>
        </w:tc>
        <w:tc>
          <w:tcPr>
            <w:tcW w:w="106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4,139</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3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78,345</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29,203</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2,206</w:t>
            </w:r>
          </w:p>
        </w:tc>
      </w:tr>
      <w:tr>
        <w:trPr>
          <w:trHeight w:val="203"/>
        </w:trPr>
        <w:tc>
          <w:tcPr>
            <w:tcW w:w="20" w:type="dxa"/>
            <w:vAlign w:val="bottom"/>
          </w:tcPr>
          <w:p>
            <w:pPr>
              <w:spacing w:after="0"/>
              <w:rPr>
                <w:sz w:val="17"/>
                <w:szCs w:val="17"/>
                <w:color w:val="auto"/>
              </w:rPr>
            </w:pPr>
          </w:p>
        </w:tc>
        <w:tc>
          <w:tcPr>
            <w:tcW w:w="3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 S. Craighead</w:t>
            </w:r>
          </w:p>
        </w:tc>
        <w:tc>
          <w:tcPr>
            <w:tcW w:w="378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color w:val="auto"/>
              </w:rPr>
              <w:t>2,000</w:t>
            </w:r>
          </w:p>
        </w:tc>
        <w:tc>
          <w:tcPr>
            <w:tcW w:w="106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3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4,108</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4,168</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Kirk</w:t>
            </w:r>
          </w:p>
        </w:tc>
        <w:tc>
          <w:tcPr>
            <w:tcW w:w="378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color w:val="auto"/>
              </w:rPr>
              <w:t>34,438</w:t>
            </w:r>
          </w:p>
        </w:tc>
        <w:tc>
          <w:tcPr>
            <w:tcW w:w="134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color w:val="auto"/>
              </w:rPr>
              <w:t>5,910</w:t>
            </w:r>
          </w:p>
        </w:tc>
        <w:tc>
          <w:tcPr>
            <w:tcW w:w="106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1,988</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3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78,345</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7,910</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47,330</w:t>
            </w:r>
          </w:p>
        </w:tc>
      </w:tr>
      <w:tr>
        <w:trPr>
          <w:trHeight w:val="203"/>
        </w:trPr>
        <w:tc>
          <w:tcPr>
            <w:tcW w:w="20" w:type="dxa"/>
            <w:vAlign w:val="bottom"/>
          </w:tcPr>
          <w:p>
            <w:pPr>
              <w:spacing w:after="0"/>
              <w:rPr>
                <w:sz w:val="17"/>
                <w:szCs w:val="17"/>
                <w:color w:val="auto"/>
              </w:rPr>
            </w:pPr>
          </w:p>
        </w:tc>
        <w:tc>
          <w:tcPr>
            <w:tcW w:w="3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E. Sanchez</w:t>
            </w:r>
          </w:p>
        </w:tc>
        <w:tc>
          <w:tcPr>
            <w:tcW w:w="378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color w:val="auto"/>
              </w:rPr>
              <w:t>34,438</w:t>
            </w:r>
          </w:p>
        </w:tc>
        <w:tc>
          <w:tcPr>
            <w:tcW w:w="134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color w:val="auto"/>
              </w:rPr>
              <w:t>5,910</w:t>
            </w:r>
          </w:p>
        </w:tc>
        <w:tc>
          <w:tcPr>
            <w:tcW w:w="106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9,065</w:t>
            </w: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 K. Templeton</w:t>
            </w:r>
          </w:p>
        </w:tc>
        <w:tc>
          <w:tcPr>
            <w:tcW w:w="3780" w:type="dxa"/>
            <w:vAlign w:val="bottom"/>
          </w:tcPr>
          <w:p>
            <w:pPr>
              <w:jc w:val="right"/>
              <w:ind w:right="250"/>
              <w:spacing w:after="0"/>
              <w:rPr>
                <w:sz w:val="20"/>
                <w:szCs w:val="20"/>
                <w:color w:val="auto"/>
              </w:rPr>
            </w:pPr>
            <w:r>
              <w:rPr>
                <w:rFonts w:ascii="Arial" w:cs="Arial" w:eastAsia="Arial" w:hAnsi="Arial"/>
                <w:sz w:val="18"/>
                <w:szCs w:val="18"/>
                <w:color w:val="auto"/>
              </w:rPr>
              <w:t>2,717,706</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427,282</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58" w:lineRule="exact"/>
        <w:rPr>
          <w:sz w:val="20"/>
          <w:szCs w:val="20"/>
          <w:color w:val="auto"/>
        </w:rPr>
      </w:pPr>
    </w:p>
    <w:p>
      <w:pPr>
        <w:ind w:left="1060" w:right="440" w:hanging="424"/>
        <w:spacing w:after="0" w:line="255"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69"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145"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47</w:t>
            </w:r>
          </w:p>
        </w:tc>
      </w:tr>
    </w:tbl>
    <w:p>
      <w:pPr>
        <w:sectPr>
          <w:pgSz w:w="11900" w:h="16838" w:orient="portrait"/>
          <w:cols w:equalWidth="0" w:num="1">
            <w:col w:w="11220"/>
          </w:cols>
          <w:pgMar w:left="240" w:top="455" w:right="4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40" w:right="380" w:hanging="436"/>
        <w:spacing w:after="0" w:line="276"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13,117 shares credited to Mr. Templeton’s 401(k) account and 917,701 shares held by the Richard and Mary Templeton Foundation, a charitable foundation. Mr. Templeton has no pecuniary interest in the Foundation’s shares.</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880" w:type="dxa"/>
            <w:vAlign w:val="bottom"/>
          </w:tcPr>
          <w:p>
            <w:pPr>
              <w:jc w:val="center"/>
              <w:ind w:left="2277"/>
              <w:spacing w:after="0"/>
              <w:rPr>
                <w:sz w:val="20"/>
                <w:szCs w:val="20"/>
                <w:color w:val="auto"/>
              </w:rPr>
            </w:pPr>
            <w:r>
              <w:rPr>
                <w:rFonts w:ascii="Arial" w:cs="Arial" w:eastAsia="Arial" w:hAnsi="Arial"/>
                <w:sz w:val="14"/>
                <w:szCs w:val="14"/>
                <w:b w:val="1"/>
                <w:bCs w:val="1"/>
                <w:color w:val="auto"/>
              </w:rPr>
              <w:t>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Credited to</w:t>
            </w: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880" w:type="dxa"/>
            <w:vAlign w:val="bottom"/>
          </w:tcPr>
          <w:p>
            <w:pPr>
              <w:jc w:val="center"/>
              <w:ind w:left="2257"/>
              <w:spacing w:after="0"/>
              <w:rPr>
                <w:sz w:val="20"/>
                <w:szCs w:val="20"/>
                <w:color w:val="auto"/>
              </w:rPr>
            </w:pPr>
            <w:r>
              <w:rPr>
                <w:rFonts w:ascii="Arial" w:cs="Arial" w:eastAsia="Arial" w:hAnsi="Arial"/>
                <w:sz w:val="14"/>
                <w:szCs w:val="14"/>
                <w:b w:val="1"/>
                <w:bCs w:val="1"/>
                <w:color w:val="auto"/>
              </w:rPr>
              <w:t>Obtainable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401(k)</w:t>
            </w: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RSUs</w:t>
            </w:r>
          </w:p>
        </w:tc>
      </w:tr>
      <w:tr>
        <w:trPr>
          <w:trHeight w:val="19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3880" w:type="dxa"/>
            <w:vAlign w:val="bottom"/>
          </w:tcPr>
          <w:p>
            <w:pPr>
              <w:jc w:val="center"/>
              <w:ind w:left="2277"/>
              <w:spacing w:after="0"/>
              <w:rPr>
                <w:sz w:val="20"/>
                <w:szCs w:val="20"/>
                <w:color w:val="auto"/>
              </w:rPr>
            </w:pPr>
            <w:r>
              <w:rPr>
                <w:rFonts w:ascii="Arial" w:cs="Arial" w:eastAsia="Arial" w:hAnsi="Arial"/>
                <w:sz w:val="14"/>
                <w:szCs w:val="14"/>
                <w:b w:val="1"/>
                <w:bCs w:val="1"/>
                <w:color w:val="auto"/>
              </w:rPr>
              <w:t>within 60 Days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9"/>
              </w:rPr>
              <w:t>Account</w:t>
            </w:r>
          </w:p>
        </w:tc>
        <w:tc>
          <w:tcPr>
            <w:tcW w:w="1140" w:type="dxa"/>
            <w:vAlign w:val="bottom"/>
          </w:tcPr>
          <w:p>
            <w:pPr>
              <w:jc w:val="right"/>
              <w:ind w:right="35"/>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20" w:type="dxa"/>
            <w:vAlign w:val="bottom"/>
          </w:tcPr>
          <w:p>
            <w:pPr>
              <w:spacing w:after="0"/>
              <w:rPr>
                <w:sz w:val="17"/>
                <w:szCs w:val="17"/>
                <w:color w:val="auto"/>
              </w:rPr>
            </w:pPr>
          </w:p>
        </w:tc>
        <w:tc>
          <w:tcPr>
            <w:tcW w:w="378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R. R. Lizardi</w:t>
            </w:r>
          </w:p>
        </w:tc>
        <w:tc>
          <w:tcPr>
            <w:tcW w:w="3880" w:type="dxa"/>
            <w:vAlign w:val="bottom"/>
            <w:tcBorders>
              <w:top w:val="single" w:sz="8" w:color="auto"/>
            </w:tcBorders>
            <w:shd w:val="clear" w:color="auto" w:fill="E5E5E5"/>
          </w:tcPr>
          <w:p>
            <w:pPr>
              <w:jc w:val="right"/>
              <w:ind w:right="317"/>
              <w:spacing w:after="0" w:line="196" w:lineRule="exact"/>
              <w:rPr>
                <w:sz w:val="20"/>
                <w:szCs w:val="20"/>
                <w:color w:val="auto"/>
              </w:rPr>
            </w:pPr>
            <w:r>
              <w:rPr>
                <w:rFonts w:ascii="Arial" w:cs="Arial" w:eastAsia="Arial" w:hAnsi="Arial"/>
                <w:sz w:val="18"/>
                <w:szCs w:val="18"/>
                <w:color w:val="auto"/>
              </w:rPr>
              <w:t>117,173</w:t>
            </w:r>
          </w:p>
        </w:tc>
        <w:tc>
          <w:tcPr>
            <w:tcW w:w="1320" w:type="dxa"/>
            <w:vAlign w:val="bottom"/>
            <w:tcBorders>
              <w:top w:val="single" w:sz="8" w:color="auto"/>
            </w:tcBorders>
            <w:shd w:val="clear" w:color="auto" w:fill="E5E5E5"/>
          </w:tcPr>
          <w:p>
            <w:pPr>
              <w:jc w:val="right"/>
              <w:ind w:right="358"/>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E5E5E5"/>
          </w:tcPr>
          <w:p>
            <w:pPr>
              <w:jc w:val="right"/>
              <w:ind w:right="115"/>
              <w:spacing w:after="0" w:line="196" w:lineRule="exact"/>
              <w:rPr>
                <w:sz w:val="20"/>
                <w:szCs w:val="20"/>
                <w:color w:val="auto"/>
              </w:rPr>
            </w:pPr>
            <w:r>
              <w:rPr>
                <w:rFonts w:ascii="Arial" w:cs="Arial" w:eastAsia="Arial" w:hAnsi="Arial"/>
                <w:sz w:val="18"/>
                <w:szCs w:val="18"/>
                <w:color w:val="auto"/>
              </w:rPr>
              <w:t>45,969</w:t>
            </w:r>
          </w:p>
        </w:tc>
      </w:tr>
      <w:tr>
        <w:trPr>
          <w:trHeight w:val="203"/>
        </w:trPr>
        <w:tc>
          <w:tcPr>
            <w:tcW w:w="2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N. Anderskouv</w:t>
            </w:r>
          </w:p>
        </w:tc>
        <w:tc>
          <w:tcPr>
            <w:tcW w:w="388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137,746</w:t>
            </w:r>
          </w:p>
        </w:tc>
        <w:tc>
          <w:tcPr>
            <w:tcW w:w="1320" w:type="dxa"/>
            <w:vAlign w:val="bottom"/>
          </w:tcPr>
          <w:p>
            <w:pPr>
              <w:jc w:val="right"/>
              <w:ind w:right="358"/>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86,121</w:t>
            </w:r>
          </w:p>
        </w:tc>
      </w:tr>
      <w:tr>
        <w:trPr>
          <w:trHeight w:val="203"/>
        </w:trPr>
        <w:tc>
          <w:tcPr>
            <w:tcW w:w="20" w:type="dxa"/>
            <w:vAlign w:val="bottom"/>
          </w:tcPr>
          <w:p>
            <w:pPr>
              <w:spacing w:after="0"/>
              <w:rPr>
                <w:sz w:val="17"/>
                <w:szCs w:val="17"/>
                <w:color w:val="auto"/>
              </w:rPr>
            </w:pPr>
          </w:p>
        </w:tc>
        <w:tc>
          <w:tcPr>
            <w:tcW w:w="3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G. Delagi</w:t>
            </w:r>
          </w:p>
        </w:tc>
        <w:tc>
          <w:tcPr>
            <w:tcW w:w="3880" w:type="dxa"/>
            <w:vAlign w:val="bottom"/>
            <w:shd w:val="clear" w:color="auto" w:fill="E5E5E5"/>
          </w:tcPr>
          <w:p>
            <w:pPr>
              <w:jc w:val="right"/>
              <w:ind w:right="317"/>
              <w:spacing w:after="0" w:line="202" w:lineRule="exact"/>
              <w:rPr>
                <w:sz w:val="20"/>
                <w:szCs w:val="20"/>
                <w:color w:val="auto"/>
              </w:rPr>
            </w:pPr>
            <w:r>
              <w:rPr>
                <w:rFonts w:ascii="Arial" w:cs="Arial" w:eastAsia="Arial" w:hAnsi="Arial"/>
                <w:sz w:val="18"/>
                <w:szCs w:val="18"/>
                <w:color w:val="auto"/>
              </w:rPr>
              <w:t>1,157,478</w:t>
            </w:r>
          </w:p>
        </w:tc>
        <w:tc>
          <w:tcPr>
            <w:tcW w:w="1320" w:type="dxa"/>
            <w:vAlign w:val="bottom"/>
            <w:shd w:val="clear" w:color="auto" w:fill="E5E5E5"/>
          </w:tcPr>
          <w:p>
            <w:pPr>
              <w:jc w:val="right"/>
              <w:ind w:right="358"/>
              <w:spacing w:after="0" w:line="202" w:lineRule="exact"/>
              <w:rPr>
                <w:sz w:val="20"/>
                <w:szCs w:val="20"/>
                <w:color w:val="auto"/>
              </w:rPr>
            </w:pPr>
            <w:r>
              <w:rPr>
                <w:rFonts w:ascii="Arial" w:cs="Arial" w:eastAsia="Arial" w:hAnsi="Arial"/>
                <w:sz w:val="18"/>
                <w:szCs w:val="18"/>
                <w:color w:val="auto"/>
              </w:rPr>
              <w:t>12,241</w:t>
            </w:r>
          </w:p>
        </w:tc>
        <w:tc>
          <w:tcPr>
            <w:tcW w:w="1140" w:type="dxa"/>
            <w:vAlign w:val="bottom"/>
            <w:shd w:val="clear" w:color="auto" w:fill="E5E5E5"/>
          </w:tcPr>
          <w:p>
            <w:pPr>
              <w:jc w:val="right"/>
              <w:ind w:right="115"/>
              <w:spacing w:after="0" w:line="202" w:lineRule="exact"/>
              <w:rPr>
                <w:sz w:val="20"/>
                <w:szCs w:val="20"/>
                <w:color w:val="auto"/>
              </w:rPr>
            </w:pPr>
            <w:r>
              <w:rPr>
                <w:rFonts w:ascii="Arial" w:cs="Arial" w:eastAsia="Arial" w:hAnsi="Arial"/>
                <w:sz w:val="18"/>
                <w:szCs w:val="18"/>
                <w:color w:val="auto"/>
              </w:rPr>
              <w:t>106,432</w:t>
            </w:r>
          </w:p>
        </w:tc>
      </w:tr>
      <w:tr>
        <w:trPr>
          <w:trHeight w:val="203"/>
        </w:trPr>
        <w:tc>
          <w:tcPr>
            <w:tcW w:w="2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H. Ilan</w:t>
            </w:r>
          </w:p>
        </w:tc>
        <w:tc>
          <w:tcPr>
            <w:tcW w:w="388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137,691</w:t>
            </w:r>
          </w:p>
        </w:tc>
        <w:tc>
          <w:tcPr>
            <w:tcW w:w="1320" w:type="dxa"/>
            <w:vAlign w:val="bottom"/>
          </w:tcPr>
          <w:p>
            <w:pPr>
              <w:jc w:val="right"/>
              <w:ind w:right="358"/>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86,121</w:t>
            </w:r>
          </w:p>
        </w:tc>
      </w:tr>
      <w:tr>
        <w:trPr>
          <w:trHeight w:val="203"/>
        </w:trPr>
        <w:tc>
          <w:tcPr>
            <w:tcW w:w="20" w:type="dxa"/>
            <w:vAlign w:val="bottom"/>
          </w:tcPr>
          <w:p>
            <w:pPr>
              <w:spacing w:after="0"/>
              <w:rPr>
                <w:sz w:val="17"/>
                <w:szCs w:val="17"/>
                <w:color w:val="auto"/>
              </w:rPr>
            </w:pPr>
          </w:p>
        </w:tc>
        <w:tc>
          <w:tcPr>
            <w:tcW w:w="3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 T. Crutcher</w:t>
            </w:r>
          </w:p>
        </w:tc>
        <w:tc>
          <w:tcPr>
            <w:tcW w:w="3880" w:type="dxa"/>
            <w:vAlign w:val="bottom"/>
            <w:shd w:val="clear" w:color="auto" w:fill="E5E5E5"/>
          </w:tcPr>
          <w:p>
            <w:pPr>
              <w:jc w:val="right"/>
              <w:ind w:right="317"/>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358"/>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15"/>
              <w:spacing w:after="0" w:line="202" w:lineRule="exact"/>
              <w:rPr>
                <w:sz w:val="20"/>
                <w:szCs w:val="20"/>
                <w:color w:val="auto"/>
              </w:rPr>
            </w:pPr>
            <w:r>
              <w:rPr>
                <w:rFonts w:ascii="Arial" w:cs="Arial" w:eastAsia="Arial" w:hAnsi="Arial"/>
                <w:sz w:val="18"/>
                <w:szCs w:val="18"/>
                <w:color w:val="auto"/>
              </w:rPr>
              <w:t>—</w:t>
            </w:r>
          </w:p>
        </w:tc>
      </w:tr>
    </w:tbl>
    <w:p>
      <w:pPr>
        <w:spacing w:after="0" w:line="99" w:lineRule="exact"/>
        <w:rPr>
          <w:sz w:val="20"/>
          <w:szCs w:val="20"/>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of the date of his resignation from the company.</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w:t>
      </w:r>
    </w:p>
    <w:p>
      <w:pPr>
        <w:spacing w:after="0" w:line="117" w:lineRule="exact"/>
        <w:rPr>
          <w:rFonts w:ascii="Arial" w:cs="Arial" w:eastAsia="Arial" w:hAnsi="Arial"/>
          <w:sz w:val="18"/>
          <w:szCs w:val="18"/>
          <w:color w:val="auto"/>
        </w:rPr>
      </w:pPr>
    </w:p>
    <w:p>
      <w:pPr>
        <w:ind w:left="1060" w:hanging="424"/>
        <w:spacing w:after="0"/>
        <w:tabs>
          <w:tab w:leader="none" w:pos="10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5,526,373 shares obtainable within 60 days;</w:t>
      </w:r>
    </w:p>
    <w:p>
      <w:pPr>
        <w:spacing w:after="0" w:line="117" w:lineRule="exact"/>
        <w:rPr>
          <w:rFonts w:ascii="Arial" w:cs="Arial" w:eastAsia="Arial" w:hAnsi="Arial"/>
          <w:sz w:val="18"/>
          <w:szCs w:val="18"/>
          <w:color w:val="auto"/>
        </w:rPr>
      </w:pPr>
    </w:p>
    <w:p>
      <w:pPr>
        <w:ind w:left="1060" w:hanging="424"/>
        <w:spacing w:after="0"/>
        <w:tabs>
          <w:tab w:leader="none" w:pos="10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26,070 shares credited to 401(k) accounts;</w:t>
      </w:r>
    </w:p>
    <w:p>
      <w:pPr>
        <w:spacing w:after="0" w:line="117" w:lineRule="exact"/>
        <w:rPr>
          <w:rFonts w:ascii="Arial" w:cs="Arial" w:eastAsia="Arial" w:hAnsi="Arial"/>
          <w:sz w:val="18"/>
          <w:szCs w:val="18"/>
          <w:color w:val="auto"/>
        </w:rPr>
      </w:pPr>
    </w:p>
    <w:p>
      <w:pPr>
        <w:ind w:left="1060" w:hanging="424"/>
        <w:spacing w:after="0"/>
        <w:tabs>
          <w:tab w:leader="none" w:pos="10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1,204,347 shares subject to RSU awards; for the terms of these RSUs, see pages 16 and 35-36; and</w:t>
      </w:r>
    </w:p>
    <w:p>
      <w:pPr>
        <w:spacing w:after="0" w:line="117" w:lineRule="exact"/>
        <w:rPr>
          <w:rFonts w:ascii="Arial" w:cs="Arial" w:eastAsia="Arial" w:hAnsi="Arial"/>
          <w:sz w:val="18"/>
          <w:szCs w:val="18"/>
          <w:color w:val="auto"/>
        </w:rPr>
      </w:pPr>
    </w:p>
    <w:p>
      <w:pPr>
        <w:ind w:left="1060" w:right="80" w:hanging="424"/>
        <w:spacing w:after="0" w:line="276" w:lineRule="auto"/>
        <w:tabs>
          <w:tab w:leader="none" w:pos="10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140,020 shares credited to certain non-employee directors’ deferred compensation accounts; shares in deferred compensation accounts are issued following a director’s termination of service.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Related person transactions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Because we believe that company transactions with directors and executive officers of TI or with persons related to TI directors</w:t>
      </w:r>
    </w:p>
    <w:p>
      <w:pPr>
        <w:spacing w:after="0" w:line="18" w:lineRule="exact"/>
        <w:rPr>
          <w:sz w:val="20"/>
          <w:szCs w:val="20"/>
          <w:color w:val="auto"/>
        </w:rPr>
      </w:pPr>
    </w:p>
    <w:p>
      <w:pPr>
        <w:ind w:left="200" w:right="20"/>
        <w:spacing w:after="0" w:line="242" w:lineRule="auto"/>
        <w:rPr>
          <w:sz w:val="20"/>
          <w:szCs w:val="20"/>
          <w:color w:val="auto"/>
        </w:rPr>
      </w:pPr>
      <w:r>
        <w:rPr>
          <w:rFonts w:ascii="Arial" w:cs="Arial" w:eastAsia="Arial" w:hAnsi="Arial"/>
          <w:sz w:val="18"/>
          <w:szCs w:val="18"/>
          <w:color w:val="auto"/>
        </w:rPr>
        <w:t>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81"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TI or any TI subsidiary is or will be a participant;</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involved exceeds or is expected to exceed $120,000 in a fiscal year; and</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of the following (a “related person”) has or will have a direct or indirect interest:</w:t>
      </w:r>
    </w:p>
    <w:p>
      <w:pPr>
        <w:spacing w:after="0" w:line="117" w:lineRule="exact"/>
        <w:rPr>
          <w:rFonts w:ascii="Arial" w:cs="Arial" w:eastAsia="Arial" w:hAnsi="Arial"/>
          <w:sz w:val="18"/>
          <w:szCs w:val="18"/>
          <w:color w:val="auto"/>
        </w:rPr>
      </w:pPr>
    </w:p>
    <w:p>
      <w:pPr>
        <w:ind w:left="1060" w:hanging="424"/>
        <w:spacing w:after="0"/>
        <w:tabs>
          <w:tab w:leader="none" w:pos="10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TI director or executive officer, or an Immediate Family Member of a director or executive officer;</w:t>
      </w:r>
    </w:p>
    <w:p>
      <w:pPr>
        <w:spacing w:after="0" w:line="117" w:lineRule="exact"/>
        <w:rPr>
          <w:rFonts w:ascii="Arial" w:cs="Arial" w:eastAsia="Arial" w:hAnsi="Arial"/>
          <w:sz w:val="18"/>
          <w:szCs w:val="18"/>
          <w:color w:val="auto"/>
        </w:rPr>
      </w:pPr>
    </w:p>
    <w:p>
      <w:pPr>
        <w:ind w:left="1060" w:hanging="424"/>
        <w:spacing w:after="0" w:line="243" w:lineRule="auto"/>
        <w:tabs>
          <w:tab w:leader="none" w:pos="10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w:t>
      </w:r>
    </w:p>
    <w:p>
      <w:pPr>
        <w:spacing w:after="0" w:line="1"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“5 percent holder”); or</w:t>
      </w:r>
    </w:p>
    <w:p>
      <w:pPr>
        <w:spacing w:after="0" w:line="95" w:lineRule="exact"/>
        <w:rPr>
          <w:rFonts w:ascii="Arial" w:cs="Arial" w:eastAsia="Arial" w:hAnsi="Arial"/>
          <w:sz w:val="18"/>
          <w:szCs w:val="18"/>
          <w:color w:val="auto"/>
        </w:rPr>
      </w:pPr>
    </w:p>
    <w:p>
      <w:pPr>
        <w:ind w:left="1060" w:right="160" w:hanging="424"/>
        <w:spacing w:after="0" w:line="276" w:lineRule="auto"/>
        <w:tabs>
          <w:tab w:leader="none" w:pos="10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 entity in which someone listed in (a) above has a 5 percent or greater ownership interest, by which someone listed in (a) is employed, or of which someone listed in (a) is a director, principal or partner.</w:t>
      </w:r>
    </w:p>
    <w:p>
      <w:pPr>
        <w:spacing w:after="0" w:line="145" w:lineRule="exact"/>
        <w:rPr>
          <w:sz w:val="20"/>
          <w:szCs w:val="20"/>
          <w:color w:val="auto"/>
        </w:rPr>
      </w:pPr>
    </w:p>
    <w:p>
      <w:pPr>
        <w:ind w:left="200" w:right="520"/>
        <w:spacing w:after="0" w:line="255" w:lineRule="auto"/>
        <w:rPr>
          <w:sz w:val="20"/>
          <w:szCs w:val="20"/>
          <w:color w:val="auto"/>
        </w:rPr>
      </w:pPr>
      <w:r>
        <w:rPr>
          <w:rFonts w:ascii="Arial" w:cs="Arial" w:eastAsia="Arial" w:hAnsi="Arial"/>
          <w:sz w:val="18"/>
          <w:szCs w:val="18"/>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164" w:lineRule="exact"/>
        <w:rPr>
          <w:sz w:val="20"/>
          <w:szCs w:val="20"/>
          <w:color w:val="auto"/>
        </w:rPr>
      </w:pPr>
    </w:p>
    <w:p>
      <w:pPr>
        <w:ind w:left="200" w:right="180"/>
        <w:spacing w:after="0" w:line="276" w:lineRule="auto"/>
        <w:rPr>
          <w:sz w:val="20"/>
          <w:szCs w:val="20"/>
          <w:color w:val="auto"/>
        </w:rPr>
      </w:pPr>
      <w:r>
        <w:rPr>
          <w:rFonts w:ascii="Arial" w:cs="Arial" w:eastAsia="Arial" w:hAnsi="Arial"/>
          <w:sz w:val="18"/>
          <w:szCs w:val="18"/>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7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required approvals are as follows:</w:t>
      </w:r>
    </w:p>
    <w:p>
      <w:pPr>
        <w:spacing w:after="0" w:line="246"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5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Arrangement Involving:</w:t>
            </w:r>
          </w:p>
        </w:tc>
        <w:tc>
          <w:tcPr>
            <w:tcW w:w="372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Approval Required by:</w:t>
            </w:r>
          </w:p>
        </w:tc>
      </w:tr>
      <w:tr>
        <w:trPr>
          <w:trHeight w:val="173"/>
        </w:trPr>
        <w:tc>
          <w:tcPr>
            <w:tcW w:w="5320" w:type="dxa"/>
            <w:vAlign w:val="bottom"/>
          </w:tcPr>
          <w:p>
            <w:pPr>
              <w:ind w:left="80"/>
              <w:spacing w:after="0" w:line="173" w:lineRule="exact"/>
              <w:rPr>
                <w:sz w:val="20"/>
                <w:szCs w:val="20"/>
                <w:color w:val="auto"/>
              </w:rPr>
            </w:pPr>
            <w:r>
              <w:rPr>
                <w:rFonts w:ascii="Arial" w:cs="Arial" w:eastAsia="Arial" w:hAnsi="Arial"/>
                <w:sz w:val="18"/>
                <w:szCs w:val="18"/>
                <w:color w:val="auto"/>
              </w:rPr>
              <w:t>Executive officer who is also a member of the TI board, an</w:t>
            </w:r>
          </w:p>
        </w:tc>
        <w:tc>
          <w:tcPr>
            <w:tcW w:w="3720" w:type="dxa"/>
            <w:vAlign w:val="bottom"/>
          </w:tcPr>
          <w:p>
            <w:pPr>
              <w:ind w:left="1200"/>
              <w:spacing w:after="0" w:line="173" w:lineRule="exact"/>
              <w:rPr>
                <w:sz w:val="20"/>
                <w:szCs w:val="20"/>
                <w:color w:val="auto"/>
              </w:rPr>
            </w:pPr>
            <w:r>
              <w:rPr>
                <w:rFonts w:ascii="Arial" w:cs="Arial" w:eastAsia="Arial" w:hAnsi="Arial"/>
                <w:sz w:val="18"/>
                <w:szCs w:val="18"/>
                <w:color w:val="auto"/>
              </w:rPr>
              <w:t>GSR Committee</w:t>
            </w:r>
          </w:p>
        </w:tc>
      </w:tr>
      <w:tr>
        <w:trPr>
          <w:trHeight w:val="203"/>
        </w:trPr>
        <w:tc>
          <w:tcPr>
            <w:tcW w:w="5320" w:type="dxa"/>
            <w:vAlign w:val="bottom"/>
          </w:tcPr>
          <w:p>
            <w:pPr>
              <w:ind w:left="80"/>
              <w:spacing w:after="0" w:line="202" w:lineRule="exact"/>
              <w:rPr>
                <w:sz w:val="20"/>
                <w:szCs w:val="20"/>
                <w:color w:val="auto"/>
              </w:rPr>
            </w:pPr>
            <w:r>
              <w:rPr>
                <w:rFonts w:ascii="Arial" w:cs="Arial" w:eastAsia="Arial" w:hAnsi="Arial"/>
                <w:sz w:val="18"/>
                <w:szCs w:val="18"/>
                <w:color w:val="auto"/>
              </w:rPr>
              <w:t>Immediate Family Member of such person, or an entity in</w:t>
            </w:r>
          </w:p>
        </w:tc>
        <w:tc>
          <w:tcPr>
            <w:tcW w:w="3720" w:type="dxa"/>
            <w:vAlign w:val="bottom"/>
          </w:tcPr>
          <w:p>
            <w:pPr>
              <w:spacing w:after="0"/>
              <w:rPr>
                <w:sz w:val="17"/>
                <w:szCs w:val="17"/>
                <w:color w:val="auto"/>
              </w:rPr>
            </w:pPr>
          </w:p>
        </w:tc>
      </w:tr>
      <w:tr>
        <w:trPr>
          <w:trHeight w:val="203"/>
        </w:trPr>
        <w:tc>
          <w:tcPr>
            <w:tcW w:w="5320" w:type="dxa"/>
            <w:vAlign w:val="bottom"/>
          </w:tcPr>
          <w:p>
            <w:pPr>
              <w:ind w:left="80"/>
              <w:spacing w:after="0" w:line="202" w:lineRule="exact"/>
              <w:rPr>
                <w:sz w:val="20"/>
                <w:szCs w:val="20"/>
                <w:color w:val="auto"/>
              </w:rPr>
            </w:pPr>
            <w:r>
              <w:rPr>
                <w:rFonts w:ascii="Arial" w:cs="Arial" w:eastAsia="Arial" w:hAnsi="Arial"/>
                <w:sz w:val="18"/>
                <w:szCs w:val="18"/>
                <w:color w:val="auto"/>
              </w:rPr>
              <w:t>which any of the foregoing has a 5 percent or greater</w:t>
            </w:r>
          </w:p>
        </w:tc>
        <w:tc>
          <w:tcPr>
            <w:tcW w:w="3720" w:type="dxa"/>
            <w:vAlign w:val="bottom"/>
          </w:tcPr>
          <w:p>
            <w:pPr>
              <w:spacing w:after="0"/>
              <w:rPr>
                <w:sz w:val="17"/>
                <w:szCs w:val="17"/>
                <w:color w:val="auto"/>
              </w:rPr>
            </w:pPr>
          </w:p>
        </w:tc>
      </w:tr>
      <w:tr>
        <w:trPr>
          <w:trHeight w:val="243"/>
        </w:trPr>
        <w:tc>
          <w:tcPr>
            <w:tcW w:w="5320" w:type="dxa"/>
            <w:vAlign w:val="bottom"/>
          </w:tcPr>
          <w:p>
            <w:pPr>
              <w:ind w:left="80"/>
              <w:spacing w:after="0"/>
              <w:rPr>
                <w:sz w:val="20"/>
                <w:szCs w:val="20"/>
                <w:color w:val="auto"/>
              </w:rPr>
            </w:pPr>
            <w:r>
              <w:rPr>
                <w:rFonts w:ascii="Arial" w:cs="Arial" w:eastAsia="Arial" w:hAnsi="Arial"/>
                <w:sz w:val="18"/>
                <w:szCs w:val="18"/>
                <w:color w:val="auto"/>
              </w:rPr>
              <w:t>ownership interest</w:t>
            </w:r>
          </w:p>
        </w:tc>
        <w:tc>
          <w:tcPr>
            <w:tcW w:w="3720" w:type="dxa"/>
            <w:vAlign w:val="bottom"/>
          </w:tcPr>
          <w:p>
            <w:pPr>
              <w:spacing w:after="0"/>
              <w:rPr>
                <w:sz w:val="21"/>
                <w:szCs w:val="21"/>
                <w:color w:val="auto"/>
              </w:rPr>
            </w:pPr>
          </w:p>
        </w:tc>
      </w:tr>
      <w:tr>
        <w:trPr>
          <w:trHeight w:val="37"/>
        </w:trPr>
        <w:tc>
          <w:tcPr>
            <w:tcW w:w="532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8"/>
        </w:trPr>
        <w:tc>
          <w:tcPr>
            <w:tcW w:w="5320" w:type="dxa"/>
            <w:vAlign w:val="bottom"/>
            <w:shd w:val="clear" w:color="auto" w:fill="E5E5E5"/>
          </w:tcPr>
          <w:p>
            <w:pPr>
              <w:ind w:left="80"/>
              <w:spacing w:after="0"/>
              <w:rPr>
                <w:sz w:val="20"/>
                <w:szCs w:val="20"/>
                <w:color w:val="auto"/>
              </w:rPr>
            </w:pPr>
            <w:r>
              <w:rPr>
                <w:rFonts w:ascii="Arial" w:cs="Arial" w:eastAsia="Arial" w:hAnsi="Arial"/>
                <w:sz w:val="18"/>
                <w:szCs w:val="18"/>
                <w:color w:val="auto"/>
              </w:rPr>
              <w:t>Chair of the GSR Committee, chief compliance officer, any of his</w:t>
            </w:r>
          </w:p>
        </w:tc>
        <w:tc>
          <w:tcPr>
            <w:tcW w:w="3720" w:type="dxa"/>
            <w:vAlign w:val="bottom"/>
            <w:shd w:val="clear" w:color="auto" w:fill="E5E5E5"/>
          </w:tcPr>
          <w:p>
            <w:pPr>
              <w:ind w:left="1200"/>
              <w:spacing w:after="0"/>
              <w:rPr>
                <w:sz w:val="20"/>
                <w:szCs w:val="20"/>
                <w:color w:val="auto"/>
              </w:rPr>
            </w:pPr>
            <w:r>
              <w:rPr>
                <w:rFonts w:ascii="Arial" w:cs="Arial" w:eastAsia="Arial" w:hAnsi="Arial"/>
                <w:sz w:val="18"/>
                <w:szCs w:val="18"/>
                <w:color w:val="auto"/>
              </w:rPr>
              <w:t>GSR Committee</w:t>
            </w:r>
          </w:p>
        </w:tc>
      </w:tr>
      <w:tr>
        <w:trPr>
          <w:trHeight w:val="203"/>
        </w:trPr>
        <w:tc>
          <w:tcPr>
            <w:tcW w:w="53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or her Immediate Family Members, or an entity in which any of</w:t>
            </w:r>
          </w:p>
        </w:tc>
        <w:tc>
          <w:tcPr>
            <w:tcW w:w="3720" w:type="dxa"/>
            <w:vAlign w:val="bottom"/>
            <w:shd w:val="clear" w:color="auto" w:fill="E5E5E5"/>
          </w:tcPr>
          <w:p>
            <w:pPr>
              <w:spacing w:after="0"/>
              <w:rPr>
                <w:sz w:val="17"/>
                <w:szCs w:val="17"/>
                <w:color w:val="auto"/>
              </w:rPr>
            </w:pPr>
          </w:p>
        </w:tc>
      </w:tr>
      <w:tr>
        <w:trPr>
          <w:trHeight w:val="243"/>
        </w:trPr>
        <w:tc>
          <w:tcPr>
            <w:tcW w:w="5320" w:type="dxa"/>
            <w:vAlign w:val="bottom"/>
            <w:shd w:val="clear" w:color="auto" w:fill="E5E5E5"/>
          </w:tcPr>
          <w:p>
            <w:pPr>
              <w:ind w:left="80"/>
              <w:spacing w:after="0"/>
              <w:rPr>
                <w:sz w:val="20"/>
                <w:szCs w:val="20"/>
                <w:color w:val="auto"/>
              </w:rPr>
            </w:pPr>
            <w:r>
              <w:rPr>
                <w:rFonts w:ascii="Arial" w:cs="Arial" w:eastAsia="Arial" w:hAnsi="Arial"/>
                <w:sz w:val="18"/>
                <w:szCs w:val="18"/>
                <w:color w:val="auto"/>
              </w:rPr>
              <w:t>the foregoing has a 5 percent or greater ownership interest</w:t>
            </w:r>
          </w:p>
        </w:tc>
        <w:tc>
          <w:tcPr>
            <w:tcW w:w="3720" w:type="dxa"/>
            <w:vAlign w:val="bottom"/>
            <w:shd w:val="clear" w:color="auto" w:fill="E5E5E5"/>
          </w:tcPr>
          <w:p>
            <w:pPr>
              <w:spacing w:after="0"/>
              <w:rPr>
                <w:sz w:val="21"/>
                <w:szCs w:val="21"/>
                <w:color w:val="auto"/>
              </w:rPr>
            </w:pPr>
          </w:p>
        </w:tc>
      </w:tr>
      <w:tr>
        <w:trPr>
          <w:trHeight w:val="118"/>
        </w:trPr>
        <w:tc>
          <w:tcPr>
            <w:tcW w:w="5320" w:type="dxa"/>
            <w:vAlign w:val="bottom"/>
            <w:shd w:val="clear" w:color="auto" w:fill="E5E5E5"/>
          </w:tcPr>
          <w:p>
            <w:pPr>
              <w:spacing w:after="0"/>
              <w:rPr>
                <w:sz w:val="10"/>
                <w:szCs w:val="10"/>
                <w:color w:val="auto"/>
              </w:rPr>
            </w:pPr>
          </w:p>
        </w:tc>
        <w:tc>
          <w:tcPr>
            <w:tcW w:w="3720" w:type="dxa"/>
            <w:vAlign w:val="bottom"/>
            <w:shd w:val="clear" w:color="auto" w:fill="E5E5E5"/>
          </w:tcPr>
          <w:p>
            <w:pPr>
              <w:spacing w:after="0"/>
              <w:rPr>
                <w:sz w:val="10"/>
                <w:szCs w:val="10"/>
                <w:color w:val="auto"/>
              </w:rPr>
            </w:pPr>
          </w:p>
        </w:tc>
      </w:tr>
    </w:tbl>
    <w:p>
      <w:pPr>
        <w:spacing w:after="0" w:line="45" w:lineRule="exact"/>
        <w:rPr>
          <w:sz w:val="20"/>
          <w:szCs w:val="20"/>
          <w:color w:val="auto"/>
        </w:rPr>
      </w:pPr>
    </w:p>
    <w:p>
      <w:pPr>
        <w:sectPr>
          <w:pgSz w:w="11900" w:h="16838" w:orient="portrait"/>
          <w:cols w:equalWidth="0" w:num="1">
            <w:col w:w="11220"/>
          </w:cols>
          <w:pgMar w:left="240" w:top="455" w:right="439" w:bottom="1440" w:gutter="0" w:footer="0" w:header="0"/>
        </w:sectPr>
      </w:pPr>
    </w:p>
    <w:p>
      <w:pPr>
        <w:ind w:left="1280" w:right="500"/>
        <w:spacing w:after="0" w:line="255" w:lineRule="auto"/>
        <w:rPr>
          <w:sz w:val="20"/>
          <w:szCs w:val="20"/>
          <w:color w:val="auto"/>
        </w:rPr>
      </w:pPr>
      <w:r>
        <w:rPr>
          <w:rFonts w:ascii="Arial" w:cs="Arial" w:eastAsia="Arial" w:hAnsi="Arial"/>
          <w:sz w:val="18"/>
          <w:szCs w:val="18"/>
          <w:color w:val="auto"/>
        </w:rPr>
        <w:t>Any other director or executive officer, an Immediate Family Member of such person, or an entity in which any of the foregoing has a 5 percent or greater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15875</wp:posOffset>
            </wp:positionV>
            <wp:extent cx="5737225" cy="283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37225" cy="283210"/>
                    </a:xfrm>
                    <a:prstGeom prst="rect">
                      <a:avLst/>
                    </a:prstGeom>
                    <a:noFill/>
                  </pic:spPr>
                </pic:pic>
              </a:graphicData>
            </a:graphic>
          </wp:anchor>
        </w:drawing>
      </w:r>
    </w:p>
    <w:p>
      <w:pPr>
        <w:spacing w:after="0" w:line="9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5 percent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Compliance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 consultation with the</w:t>
      </w:r>
    </w:p>
    <w:p>
      <w:pPr>
        <w:spacing w:after="0"/>
        <w:rPr>
          <w:sz w:val="20"/>
          <w:szCs w:val="20"/>
          <w:color w:val="auto"/>
        </w:rPr>
      </w:pPr>
      <w:r>
        <w:rPr>
          <w:rFonts w:ascii="Arial" w:cs="Arial" w:eastAsia="Arial" w:hAnsi="Arial"/>
          <w:sz w:val="18"/>
          <w:szCs w:val="18"/>
          <w:color w:val="auto"/>
        </w:rPr>
        <w:t>Chair of the GSR Committee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GSR Committee</w:t>
      </w:r>
    </w:p>
    <w:p>
      <w:pPr>
        <w:spacing w:after="0" w:line="200" w:lineRule="exact"/>
        <w:rPr>
          <w:sz w:val="20"/>
          <w:szCs w:val="20"/>
          <w:color w:val="auto"/>
        </w:rPr>
      </w:pPr>
    </w:p>
    <w:p>
      <w:pPr>
        <w:sectPr>
          <w:pgSz w:w="11900" w:h="16838" w:orient="portrait"/>
          <w:cols w:equalWidth="0" w:num="2">
            <w:col w:w="7000" w:space="720"/>
            <w:col w:w="3500"/>
          </w:cols>
          <w:pgMar w:left="240" w:top="455" w:right="439" w:bottom="1440" w:gutter="0" w:footer="0" w:header="0"/>
          <w:type w:val="continuous"/>
        </w:sectPr>
      </w:pPr>
    </w:p>
    <w:p>
      <w:pPr>
        <w:spacing w:after="0" w:line="147" w:lineRule="exact"/>
        <w:rPr>
          <w:sz w:val="20"/>
          <w:szCs w:val="20"/>
          <w:color w:val="auto"/>
        </w:rPr>
      </w:pPr>
    </w:p>
    <w:p>
      <w:pPr>
        <w:ind w:left="200" w:right="220"/>
        <w:spacing w:after="0" w:line="276" w:lineRule="auto"/>
        <w:rPr>
          <w:sz w:val="20"/>
          <w:szCs w:val="20"/>
          <w:color w:val="auto"/>
        </w:rPr>
      </w:pPr>
      <w:r>
        <w:rPr>
          <w:rFonts w:ascii="Arial" w:cs="Arial" w:eastAsia="Arial" w:hAnsi="Arial"/>
          <w:sz w:val="18"/>
          <w:szCs w:val="18"/>
          <w:color w:val="auto"/>
        </w:rPr>
        <w:t>No member of the GSR Committee will participate in the consideration of a related person arrangement in which such member or any of his or her Immediate Family Members is the related person.</w:t>
      </w:r>
    </w:p>
    <w:p>
      <w:pPr>
        <w:spacing w:after="0" w:line="145"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179" w:lineRule="exact"/>
        <w:rPr>
          <w:sz w:val="20"/>
          <w:szCs w:val="20"/>
          <w:color w:val="auto"/>
        </w:rPr>
      </w:pPr>
    </w:p>
    <w:p>
      <w:pPr>
        <w:ind w:left="200"/>
        <w:spacing w:after="0" w:line="276" w:lineRule="auto"/>
        <w:rPr>
          <w:sz w:val="20"/>
          <w:szCs w:val="20"/>
          <w:color w:val="auto"/>
        </w:rPr>
      </w:pPr>
      <w:r>
        <w:rPr>
          <w:rFonts w:ascii="Arial" w:cs="Arial" w:eastAsia="Arial" w:hAnsi="Arial"/>
          <w:sz w:val="18"/>
          <w:szCs w:val="18"/>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45"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64" w:lineRule="exact"/>
        <w:rPr>
          <w:sz w:val="20"/>
          <w:szCs w:val="20"/>
          <w:color w:val="auto"/>
        </w:rPr>
      </w:pPr>
    </w:p>
    <w:p>
      <w:pPr>
        <w:ind w:left="200" w:right="260"/>
        <w:spacing w:after="0" w:line="276" w:lineRule="auto"/>
        <w:rPr>
          <w:sz w:val="20"/>
          <w:szCs w:val="20"/>
          <w:color w:val="auto"/>
        </w:rPr>
      </w:pPr>
      <w:r>
        <w:rPr>
          <w:rFonts w:ascii="Arial" w:cs="Arial" w:eastAsia="Arial" w:hAnsi="Arial"/>
          <w:sz w:val="18"/>
          <w:szCs w:val="18"/>
          <w:color w:val="auto"/>
        </w:rPr>
        <w:t>The board has determined that the following types of transactions pose little risk of a conflict of interest and therefore has deemed them approved:</w:t>
      </w:r>
    </w:p>
    <w:p>
      <w:pPr>
        <w:spacing w:after="0" w:line="172" w:lineRule="exact"/>
        <w:rPr>
          <w:sz w:val="20"/>
          <w:szCs w:val="20"/>
          <w:color w:val="auto"/>
        </w:rPr>
      </w:pPr>
    </w:p>
    <w:p>
      <w:pPr>
        <w:ind w:left="960" w:right="640" w:hanging="540"/>
        <w:spacing w:after="0" w:line="24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Compensation paid to a TI director or executive officer for services as such, or where the sole interest in a related person transaction of a TI director, executive officer or 5 percent holder is their position as such;</w:t>
      </w:r>
    </w:p>
    <w:p>
      <w:pPr>
        <w:spacing w:after="0" w:line="1" w:lineRule="exact"/>
        <w:rPr>
          <w:rFonts w:ascii="Arial" w:cs="Arial" w:eastAsia="Arial" w:hAnsi="Arial"/>
          <w:sz w:val="18"/>
          <w:szCs w:val="18"/>
          <w:color w:val="auto"/>
        </w:rPr>
      </w:pPr>
    </w:p>
    <w:p>
      <w:pPr>
        <w:ind w:left="960" w:right="420" w:hanging="540"/>
        <w:spacing w:after="0" w:line="234"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1" w:lineRule="exact"/>
        <w:rPr>
          <w:rFonts w:ascii="Arial" w:cs="Arial" w:eastAsia="Arial" w:hAnsi="Arial"/>
          <w:sz w:val="18"/>
          <w:szCs w:val="18"/>
          <w:color w:val="auto"/>
        </w:rPr>
      </w:pPr>
    </w:p>
    <w:p>
      <w:pPr>
        <w:ind w:left="960" w:right="120" w:hanging="540"/>
        <w:spacing w:after="0" w:line="234"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Transactions involving services as a bank depository of funds, transfer agent, registrar, trustee under a trust indenture or similar services;</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Interests of a related person arising only from:</w:t>
      </w:r>
    </w:p>
    <w:p>
      <w:pPr>
        <w:ind w:left="1280" w:right="80" w:hanging="312"/>
        <w:spacing w:after="0" w:line="234" w:lineRule="auto"/>
        <w:tabs>
          <w:tab w:leader="none" w:pos="1280" w:val="left"/>
        </w:tabs>
        <w:numPr>
          <w:ilvl w:val="1"/>
          <w:numId w:val="73"/>
        </w:numPr>
        <w:rPr>
          <w:rFonts w:ascii="Times New Roman" w:cs="Times New Roman" w:eastAsia="Times New Roman" w:hAnsi="Times New Roman"/>
          <w:sz w:val="15"/>
          <w:szCs w:val="15"/>
          <w:color w:val="auto"/>
        </w:rPr>
      </w:pPr>
      <w:r>
        <w:rPr>
          <w:rFonts w:ascii="Arial" w:cs="Arial" w:eastAsia="Arial" w:hAnsi="Arial"/>
          <w:sz w:val="18"/>
          <w:szCs w:val="18"/>
          <w:color w:val="auto"/>
        </w:rPr>
        <w:t>the direct or indirect ownership in another party to the transaction and that ownership, when combined with the ownership of all the other individuals specified in 3(a)-(c) above, is less than 5 percent of the outstanding equity of such party;</w:t>
      </w:r>
    </w:p>
    <w:p>
      <w:pPr>
        <w:spacing w:after="0" w:line="1" w:lineRule="exact"/>
        <w:rPr>
          <w:rFonts w:ascii="Times New Roman" w:cs="Times New Roman" w:eastAsia="Times New Roman" w:hAnsi="Times New Roman"/>
          <w:sz w:val="15"/>
          <w:szCs w:val="15"/>
          <w:color w:val="auto"/>
        </w:rPr>
      </w:pPr>
    </w:p>
    <w:p>
      <w:pPr>
        <w:ind w:left="1280" w:hanging="312"/>
        <w:spacing w:after="0" w:line="234" w:lineRule="auto"/>
        <w:tabs>
          <w:tab w:leader="none" w:pos="1280" w:val="left"/>
        </w:tabs>
        <w:numPr>
          <w:ilvl w:val="1"/>
          <w:numId w:val="73"/>
        </w:numPr>
        <w:rPr>
          <w:rFonts w:ascii="Times New Roman" w:cs="Times New Roman" w:eastAsia="Times New Roman" w:hAnsi="Times New Roman"/>
          <w:sz w:val="15"/>
          <w:szCs w:val="15"/>
          <w:color w:val="auto"/>
        </w:rPr>
      </w:pPr>
      <w:r>
        <w:rPr>
          <w:rFonts w:ascii="Arial" w:cs="Arial" w:eastAsia="Arial" w:hAnsi="Arial"/>
          <w:sz w:val="18"/>
          <w:szCs w:val="18"/>
          <w:color w:val="auto"/>
        </w:rPr>
        <w:t>an interest as a limited partner in a partnership, and that ownership interest, when combined with all the other ownership interests of the other individuals specified in 3(a)-(c) above, is less than 5 percent of the total ownership interest of the limited partnership;</w:t>
      </w:r>
    </w:p>
    <w:p>
      <w:pPr>
        <w:spacing w:after="0" w:line="2" w:lineRule="exact"/>
        <w:rPr>
          <w:rFonts w:ascii="Times New Roman" w:cs="Times New Roman" w:eastAsia="Times New Roman" w:hAnsi="Times New Roman"/>
          <w:sz w:val="15"/>
          <w:szCs w:val="15"/>
          <w:color w:val="auto"/>
        </w:rPr>
      </w:pPr>
    </w:p>
    <w:p>
      <w:pPr>
        <w:ind w:left="1280" w:hanging="312"/>
        <w:spacing w:after="0" w:line="234" w:lineRule="auto"/>
        <w:tabs>
          <w:tab w:leader="none" w:pos="1280" w:val="left"/>
        </w:tabs>
        <w:numPr>
          <w:ilvl w:val="1"/>
          <w:numId w:val="73"/>
        </w:numPr>
        <w:rPr>
          <w:rFonts w:ascii="Times New Roman" w:cs="Times New Roman" w:eastAsia="Times New Roman" w:hAnsi="Times New Roman"/>
          <w:sz w:val="15"/>
          <w:szCs w:val="15"/>
          <w:color w:val="auto"/>
        </w:rPr>
      </w:pPr>
      <w:r>
        <w:rPr>
          <w:rFonts w:ascii="Arial" w:cs="Arial" w:eastAsia="Arial" w:hAnsi="Arial"/>
          <w:sz w:val="18"/>
          <w:szCs w:val="18"/>
          <w:color w:val="auto"/>
        </w:rPr>
        <w:t>their position as a director of another corporation or organization;</w:t>
      </w:r>
    </w:p>
    <w:p>
      <w:pPr>
        <w:ind w:left="1280" w:hanging="312"/>
        <w:spacing w:after="0" w:line="234" w:lineRule="auto"/>
        <w:tabs>
          <w:tab w:leader="none" w:pos="1280" w:val="left"/>
        </w:tabs>
        <w:numPr>
          <w:ilvl w:val="1"/>
          <w:numId w:val="73"/>
        </w:numPr>
        <w:rPr>
          <w:rFonts w:ascii="Times New Roman" w:cs="Times New Roman" w:eastAsia="Times New Roman" w:hAnsi="Times New Roman"/>
          <w:sz w:val="15"/>
          <w:szCs w:val="15"/>
          <w:color w:val="auto"/>
        </w:rPr>
      </w:pPr>
      <w:r>
        <w:rPr>
          <w:rFonts w:ascii="Arial" w:cs="Arial" w:eastAsia="Arial" w:hAnsi="Arial"/>
          <w:sz w:val="18"/>
          <w:szCs w:val="18"/>
          <w:color w:val="auto"/>
        </w:rPr>
        <w:t>the ownership of TI stock and all holders of that class of stock receive the same benefit on a pro-rata basis;</w:t>
      </w:r>
    </w:p>
    <w:p>
      <w:pPr>
        <w:ind w:left="960" w:right="820" w:hanging="540"/>
        <w:spacing w:after="0" w:line="279" w:lineRule="auto"/>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Transactions in the ordinary course of business where the only relationship of a TI director or executive officer, or their Immediate Family Member, is as an employee (other than an executive officer) and/or less than a 10 percent beneficial</w:t>
      </w:r>
    </w:p>
    <w:p>
      <w:pPr>
        <w:spacing w:after="0" w:line="78"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49</w:t>
            </w:r>
          </w:p>
        </w:tc>
      </w:tr>
    </w:tbl>
    <w:p>
      <w:pPr>
        <w:sectPr>
          <w:pgSz w:w="11900" w:h="16838" w:orient="portrait"/>
          <w:cols w:equalWidth="0" w:num="1">
            <w:col w:w="11220"/>
          </w:cols>
          <w:pgMar w:left="240" w:top="455" w:right="4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owner of the other entity if (i) the TI director or executive officer is not involved in negotiating the terms of the transaction and</w:t>
      </w:r>
    </w:p>
    <w:p>
      <w:pPr>
        <w:spacing w:after="0" w:line="18" w:lineRule="exact"/>
        <w:rPr>
          <w:sz w:val="20"/>
          <w:szCs w:val="20"/>
          <w:color w:val="auto"/>
        </w:rPr>
      </w:pPr>
    </w:p>
    <w:p>
      <w:pPr>
        <w:ind w:left="860" w:right="520" w:hanging="8"/>
        <w:spacing w:after="0" w:line="234" w:lineRule="auto"/>
        <w:tabs>
          <w:tab w:leader="none" w:pos="111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amounts involved for the fiscal year do not exceed the greater of $200,000 or 2 percent of the entity’s consolidated gross revenues for that year;</w:t>
      </w:r>
    </w:p>
    <w:p>
      <w:pPr>
        <w:spacing w:after="0" w:line="1" w:lineRule="exact"/>
        <w:rPr>
          <w:rFonts w:ascii="Arial" w:cs="Arial" w:eastAsia="Arial" w:hAnsi="Arial"/>
          <w:sz w:val="18"/>
          <w:szCs w:val="18"/>
          <w:color w:val="auto"/>
        </w:rPr>
      </w:pPr>
    </w:p>
    <w:p>
      <w:pPr>
        <w:ind w:left="960" w:right="60" w:hanging="540"/>
        <w:spacing w:after="0" w:line="234"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percent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3" w:lineRule="exact"/>
        <w:rPr>
          <w:rFonts w:ascii="Arial" w:cs="Arial" w:eastAsia="Arial" w:hAnsi="Arial"/>
          <w:sz w:val="18"/>
          <w:szCs w:val="18"/>
          <w:color w:val="auto"/>
        </w:rPr>
      </w:pPr>
    </w:p>
    <w:p>
      <w:pPr>
        <w:ind w:left="960" w:right="260" w:hanging="540"/>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176" w:lineRule="exact"/>
        <w:rPr>
          <w:sz w:val="20"/>
          <w:szCs w:val="20"/>
          <w:color w:val="auto"/>
        </w:rPr>
      </w:pPr>
    </w:p>
    <w:p>
      <w:pPr>
        <w:jc w:val="both"/>
        <w:ind w:left="200" w:right="380"/>
        <w:spacing w:after="0" w:line="255" w:lineRule="auto"/>
        <w:rPr>
          <w:sz w:val="20"/>
          <w:szCs w:val="20"/>
          <w:color w:val="auto"/>
        </w:rPr>
      </w:pPr>
      <w:r>
        <w:rPr>
          <w:rFonts w:ascii="Arial" w:cs="Arial" w:eastAsia="Arial" w:hAnsi="Arial"/>
          <w:sz w:val="18"/>
          <w:szCs w:val="18"/>
          <w:color w:val="auto"/>
        </w:rPr>
        <w:t>During 2018, two sons of R. Gregory Delagi (Senior Vice President) were employed in our facilities and manufacturing organizations. Mr. Delagi was not involved in any decisions regarding his sons’ employment at TI, and their compensation was consistent with that of similarly situated employees and was determined on a basis consistent with the company’s human resources policies.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2018, Messrs. Carp and Sanchez and Mses. Cox and Patsley served on the Compensation Committee. No committee member</w:t>
      </w:r>
    </w:p>
    <w:p>
      <w:pPr>
        <w:spacing w:after="0" w:line="18" w:lineRule="exact"/>
        <w:rPr>
          <w:sz w:val="20"/>
          <w:szCs w:val="20"/>
          <w:color w:val="auto"/>
        </w:rPr>
      </w:pPr>
    </w:p>
    <w:p>
      <w:pPr>
        <w:ind w:left="200" w:firstLine="4"/>
        <w:spacing w:after="0"/>
        <w:tabs>
          <w:tab w:leader="none" w:pos="41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Cost of solicitation</w:t>
      </w:r>
    </w:p>
    <w:p>
      <w:pPr>
        <w:spacing w:after="0" w:line="211"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64" w:lineRule="exact"/>
        <w:rPr>
          <w:sz w:val="20"/>
          <w:szCs w:val="20"/>
          <w:color w:val="auto"/>
        </w:rPr>
      </w:pPr>
    </w:p>
    <w:p>
      <w:pPr>
        <w:jc w:val="both"/>
        <w:ind w:left="200" w:right="440"/>
        <w:spacing w:after="0" w:line="255" w:lineRule="auto"/>
        <w:rPr>
          <w:sz w:val="20"/>
          <w:szCs w:val="20"/>
          <w:color w:val="auto"/>
        </w:rPr>
      </w:pPr>
      <w:r>
        <w:rPr>
          <w:rFonts w:ascii="Arial" w:cs="Arial" w:eastAsia="Arial" w:hAnsi="Arial"/>
          <w:sz w:val="18"/>
          <w:szCs w:val="18"/>
          <w:color w:val="auto"/>
        </w:rPr>
        <w:t>Without receiving additional compensation, directors, officers and employees of TI may solicit proxies personally, by telephone, fax or email, from some stockholders if proxies are not promptly received. We have also hired Georgeson Inc. to assist in the solicitation of proxies at a cost of $12,000 plus out-of-pocket expenses.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Stockholder proposals and nominations for 2020</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shows the deadlines for stockholders to submit proposals or director nominations for next year’s annual meeting.</w:t>
      </w:r>
    </w:p>
    <w:p>
      <w:pPr>
        <w:spacing w:after="0" w:line="246"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Other Proposals/Nominees to be</w:t>
      </w:r>
    </w:p>
    <w:p>
      <w:pPr>
        <w:spacing w:after="0" w:line="21" w:lineRule="exact"/>
        <w:rPr>
          <w:sz w:val="20"/>
          <w:szCs w:val="20"/>
          <w:color w:val="auto"/>
        </w:rPr>
      </w:pPr>
    </w:p>
    <w:p>
      <w:pPr>
        <w:ind w:left="5920"/>
        <w:spacing w:after="0"/>
        <w:tabs>
          <w:tab w:leader="none" w:pos="8700" w:val="left"/>
        </w:tabs>
        <w:rPr>
          <w:sz w:val="20"/>
          <w:szCs w:val="20"/>
          <w:color w:val="auto"/>
        </w:rPr>
      </w:pPr>
      <w:r>
        <w:rPr>
          <w:rFonts w:ascii="Arial" w:cs="Arial" w:eastAsia="Arial" w:hAnsi="Arial"/>
          <w:sz w:val="14"/>
          <w:szCs w:val="14"/>
          <w:b w:val="1"/>
          <w:bCs w:val="1"/>
          <w:color w:val="auto"/>
        </w:rPr>
        <w:t>Director Nominees for Inclusion</w:t>
      </w:r>
      <w:r>
        <w:rPr>
          <w:sz w:val="20"/>
          <w:szCs w:val="20"/>
          <w:color w:val="auto"/>
        </w:rPr>
        <w:tab/>
      </w:r>
      <w:r>
        <w:rPr>
          <w:rFonts w:ascii="Arial" w:cs="Arial" w:eastAsia="Arial" w:hAnsi="Arial"/>
          <w:sz w:val="14"/>
          <w:szCs w:val="14"/>
          <w:b w:val="1"/>
          <w:bCs w:val="1"/>
          <w:color w:val="auto"/>
        </w:rPr>
        <w:t>Presented at 2020 Annual Meeting</w:t>
      </w:r>
    </w:p>
    <w:p>
      <w:pPr>
        <w:spacing w:after="0" w:line="1" w:lineRule="exact"/>
        <w:rPr>
          <w:sz w:val="20"/>
          <w:szCs w:val="20"/>
          <w:color w:val="auto"/>
        </w:rPr>
      </w:pPr>
    </w:p>
    <w:p>
      <w:pPr>
        <w:ind w:left="3420"/>
        <w:spacing w:after="0"/>
        <w:tabs>
          <w:tab w:leader="none" w:pos="6360" w:val="left"/>
          <w:tab w:leader="none" w:pos="9040" w:val="left"/>
        </w:tabs>
        <w:rPr>
          <w:sz w:val="20"/>
          <w:szCs w:val="20"/>
          <w:color w:val="auto"/>
        </w:rPr>
      </w:pPr>
      <w:r>
        <w:rPr>
          <w:rFonts w:ascii="Arial" w:cs="Arial" w:eastAsia="Arial" w:hAnsi="Arial"/>
          <w:sz w:val="14"/>
          <w:szCs w:val="14"/>
          <w:b w:val="1"/>
          <w:bCs w:val="1"/>
          <w:color w:val="auto"/>
        </w:rPr>
        <w:t>Proposals for Inclusion in</w:t>
      </w:r>
      <w:r>
        <w:rPr>
          <w:sz w:val="20"/>
          <w:szCs w:val="20"/>
          <w:color w:val="auto"/>
        </w:rPr>
        <w:tab/>
      </w:r>
      <w:r>
        <w:rPr>
          <w:rFonts w:ascii="Arial" w:cs="Arial" w:eastAsia="Arial" w:hAnsi="Arial"/>
          <w:sz w:val="14"/>
          <w:szCs w:val="14"/>
          <w:b w:val="1"/>
          <w:bCs w:val="1"/>
          <w:color w:val="auto"/>
        </w:rPr>
        <w:t>in 2020 Proxy Materials</w:t>
      </w:r>
      <w:r>
        <w:rPr>
          <w:sz w:val="20"/>
          <w:szCs w:val="20"/>
          <w:color w:val="auto"/>
        </w:rPr>
        <w:tab/>
      </w:r>
      <w:r>
        <w:rPr>
          <w:rFonts w:ascii="Arial" w:cs="Arial" w:eastAsia="Arial" w:hAnsi="Arial"/>
          <w:sz w:val="14"/>
          <w:szCs w:val="14"/>
          <w:b w:val="1"/>
          <w:bCs w:val="1"/>
          <w:color w:val="auto"/>
        </w:rPr>
        <w:t>(and Not for Inclusion in</w:t>
      </w:r>
    </w:p>
    <w:p>
      <w:pPr>
        <w:spacing w:after="0" w:line="1" w:lineRule="exact"/>
        <w:rPr>
          <w:sz w:val="20"/>
          <w:szCs w:val="20"/>
          <w:color w:val="auto"/>
        </w:rPr>
      </w:pPr>
    </w:p>
    <w:p>
      <w:pPr>
        <w:ind w:left="3600"/>
        <w:spacing w:after="0"/>
        <w:tabs>
          <w:tab w:leader="none" w:pos="6640" w:val="left"/>
          <w:tab w:leader="none" w:pos="9320" w:val="left"/>
        </w:tabs>
        <w:rPr>
          <w:sz w:val="20"/>
          <w:szCs w:val="20"/>
          <w:color w:val="auto"/>
        </w:rPr>
      </w:pPr>
      <w:r>
        <w:rPr>
          <w:rFonts w:ascii="Arial" w:cs="Arial" w:eastAsia="Arial" w:hAnsi="Arial"/>
          <w:sz w:val="14"/>
          <w:szCs w:val="14"/>
          <w:b w:val="1"/>
          <w:bCs w:val="1"/>
          <w:color w:val="auto"/>
        </w:rPr>
        <w:t>2020 Proxy Materials</w:t>
      </w:r>
      <w:r>
        <w:rPr>
          <w:sz w:val="20"/>
          <w:szCs w:val="20"/>
          <w:color w:val="auto"/>
        </w:rPr>
        <w:tab/>
      </w:r>
      <w:r>
        <w:rPr>
          <w:rFonts w:ascii="Arial" w:cs="Arial" w:eastAsia="Arial" w:hAnsi="Arial"/>
          <w:sz w:val="14"/>
          <w:szCs w:val="14"/>
          <w:b w:val="1"/>
          <w:bCs w:val="1"/>
          <w:color w:val="auto"/>
        </w:rPr>
        <w:t>(Proxy Access)</w:t>
      </w:r>
      <w:r>
        <w:rPr>
          <w:sz w:val="20"/>
          <w:szCs w:val="20"/>
          <w:color w:val="auto"/>
        </w:rPr>
        <w:tab/>
      </w:r>
      <w:r>
        <w:rPr>
          <w:rFonts w:ascii="Arial" w:cs="Arial" w:eastAsia="Arial" w:hAnsi="Arial"/>
          <w:sz w:val="14"/>
          <w:szCs w:val="14"/>
          <w:b w:val="1"/>
          <w:bCs w:val="1"/>
          <w:color w:val="auto"/>
        </w:rPr>
        <w:t>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6997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18" w:lineRule="exact"/>
        <w:rPr>
          <w:sz w:val="20"/>
          <w:szCs w:val="20"/>
          <w:color w:val="auto"/>
        </w:rPr>
      </w:pPr>
    </w:p>
    <w:p>
      <w:pPr>
        <w:ind w:left="200"/>
        <w:spacing w:after="0"/>
        <w:tabs>
          <w:tab w:leader="none" w:pos="3140" w:val="left"/>
        </w:tabs>
        <w:rPr>
          <w:sz w:val="20"/>
          <w:szCs w:val="20"/>
          <w:color w:val="auto"/>
        </w:rPr>
      </w:pPr>
      <w:r>
        <w:rPr>
          <w:rFonts w:ascii="Arial" w:cs="Arial" w:eastAsia="Arial" w:hAnsi="Arial"/>
          <w:sz w:val="18"/>
          <w:szCs w:val="18"/>
          <w:color w:val="auto"/>
        </w:rPr>
        <w:t>When proposal must be</w:t>
      </w:r>
      <w:r>
        <w:rPr>
          <w:sz w:val="20"/>
          <w:szCs w:val="20"/>
          <w:color w:val="auto"/>
        </w:rPr>
        <w:tab/>
      </w:r>
      <w:r>
        <w:rPr>
          <w:rFonts w:ascii="Arial" w:cs="Arial" w:eastAsia="Arial" w:hAnsi="Arial"/>
          <w:sz w:val="18"/>
          <w:szCs w:val="18"/>
          <w:color w:val="auto"/>
        </w:rPr>
        <w:t>On or before November 13, 2019 No earlier than October 14,</w:t>
      </w:r>
    </w:p>
    <w:p>
      <w:pPr>
        <w:ind w:left="200"/>
        <w:spacing w:after="0" w:line="234" w:lineRule="auto"/>
        <w:tabs>
          <w:tab w:leader="none" w:pos="5880" w:val="left"/>
        </w:tabs>
        <w:rPr>
          <w:sz w:val="20"/>
          <w:szCs w:val="20"/>
          <w:color w:val="auto"/>
        </w:rPr>
      </w:pPr>
      <w:r>
        <w:rPr>
          <w:rFonts w:ascii="Arial" w:cs="Arial" w:eastAsia="Arial" w:hAnsi="Arial"/>
          <w:sz w:val="18"/>
          <w:szCs w:val="18"/>
          <w:color w:val="auto"/>
        </w:rPr>
        <w:t>received by Texas Instruments</w:t>
      </w:r>
      <w:r>
        <w:rPr>
          <w:sz w:val="20"/>
          <w:szCs w:val="20"/>
          <w:color w:val="auto"/>
        </w:rPr>
        <w:tab/>
      </w:r>
      <w:r>
        <w:rPr>
          <w:rFonts w:ascii="Arial" w:cs="Arial" w:eastAsia="Arial" w:hAnsi="Arial"/>
          <w:sz w:val="18"/>
          <w:szCs w:val="18"/>
          <w:color w:val="auto"/>
        </w:rPr>
        <w:t>2019, and no later than</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November 13, 2019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No earlier than December 27, 2019, and no later than January 26, 2020</w:t>
      </w:r>
    </w:p>
    <w:p>
      <w:pPr>
        <w:spacing w:after="0" w:line="174" w:lineRule="exact"/>
        <w:rPr>
          <w:sz w:val="20"/>
          <w:szCs w:val="20"/>
          <w:color w:val="auto"/>
        </w:rPr>
      </w:pPr>
    </w:p>
    <w:p>
      <w:pPr>
        <w:sectPr>
          <w:pgSz w:w="11900" w:h="16838" w:orient="portrait"/>
          <w:cols w:equalWidth="0" w:num="2">
            <w:col w:w="8080" w:space="480"/>
            <w:col w:w="2660"/>
          </w:cols>
          <w:pgMar w:left="240" w:top="455" w:right="43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Proposals are to be sent to: Texas Instruments Incorporated, 12500 TI Boulevard, MS 8658, Dallas, TX 75243, Attn: Secretary.</w:t>
      </w:r>
    </w:p>
    <w:p>
      <w:pPr>
        <w:spacing w:after="0" w:line="212" w:lineRule="exact"/>
        <w:rPr>
          <w:sz w:val="20"/>
          <w:szCs w:val="20"/>
          <w:color w:val="auto"/>
        </w:rPr>
      </w:pPr>
    </w:p>
    <w:p>
      <w:pPr>
        <w:ind w:left="200" w:right="180"/>
        <w:spacing w:after="0" w:line="276" w:lineRule="auto"/>
        <w:rPr>
          <w:sz w:val="20"/>
          <w:szCs w:val="20"/>
          <w:color w:val="auto"/>
        </w:rPr>
      </w:pPr>
      <w:r>
        <w:rPr>
          <w:rFonts w:ascii="Arial" w:cs="Arial" w:eastAsia="Arial" w:hAnsi="Arial"/>
          <w:sz w:val="18"/>
          <w:szCs w:val="18"/>
          <w:color w:val="auto"/>
        </w:rPr>
        <w:t>We reserve the right to reject, rule out of order, or take any other appropriate action with respect to any proposal or nomination that does not comply with these and other applicable requirements.</w:t>
      </w:r>
    </w:p>
    <w:p>
      <w:pPr>
        <w:spacing w:after="0" w:line="145" w:lineRule="exact"/>
        <w:rPr>
          <w:sz w:val="20"/>
          <w:szCs w:val="20"/>
          <w:color w:val="auto"/>
        </w:rPr>
      </w:pPr>
    </w:p>
    <w:p>
      <w:pPr>
        <w:ind w:left="200" w:right="260"/>
        <w:spacing w:after="0" w:line="245" w:lineRule="auto"/>
        <w:rPr>
          <w:sz w:val="20"/>
          <w:szCs w:val="20"/>
          <w:color w:val="auto"/>
        </w:rPr>
      </w:pPr>
      <w:r>
        <w:rPr>
          <w:rFonts w:ascii="Arial" w:cs="Arial" w:eastAsia="Arial" w:hAnsi="Arial"/>
          <w:sz w:val="18"/>
          <w:szCs w:val="18"/>
          <w:color w:val="auto"/>
        </w:rPr>
        <w:t>In addition, all suggestions from stockholders concerning the company’s business are welcome and will be carefully considered by TI’s management. To ensure that your suggestions receive appropriate review, the GSR Committee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See “Communications with the board” for information on contacting the board.</w:t>
      </w:r>
    </w:p>
    <w:p>
      <w:pPr>
        <w:spacing w:after="0" w:line="106"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50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Benefit plan voting</w:t>
      </w:r>
    </w:p>
    <w:p>
      <w:pPr>
        <w:spacing w:after="0" w:line="211"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22, 2019, in the manner described in the notice of annual meeting.</w:t>
      </w:r>
    </w:p>
    <w:p>
      <w:pPr>
        <w:spacing w:after="0" w:line="171" w:lineRule="exact"/>
        <w:rPr>
          <w:sz w:val="20"/>
          <w:szCs w:val="20"/>
          <w:color w:val="auto"/>
        </w:rPr>
      </w:pPr>
    </w:p>
    <w:p>
      <w:pPr>
        <w:ind w:left="200" w:right="120"/>
        <w:spacing w:after="0" w:line="248"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22, 2019, will be voted in the same proportions as the shares in the plans for which voting instructions have been received by that date unless otherwise required by law.</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Section 16(a) beneficial ownership reporting compliance</w:t>
      </w:r>
    </w:p>
    <w:p>
      <w:pPr>
        <w:spacing w:after="0" w:line="211" w:lineRule="exact"/>
        <w:rPr>
          <w:sz w:val="20"/>
          <w:szCs w:val="20"/>
          <w:color w:val="auto"/>
        </w:rPr>
      </w:pPr>
    </w:p>
    <w:p>
      <w:pPr>
        <w:jc w:val="both"/>
        <w:ind w:left="200" w:right="380"/>
        <w:spacing w:after="0" w:line="255" w:lineRule="auto"/>
        <w:rPr>
          <w:sz w:val="20"/>
          <w:szCs w:val="20"/>
          <w:color w:val="auto"/>
        </w:rPr>
      </w:pPr>
      <w:r>
        <w:rPr>
          <w:rFonts w:ascii="Arial" w:cs="Arial" w:eastAsia="Arial" w:hAnsi="Arial"/>
          <w:sz w:val="18"/>
          <w:szCs w:val="18"/>
          <w:color w:val="auto"/>
        </w:rPr>
        <w:t>Section 16(a) of the Securities Exchange Act requires certain persons, including the company’s directors and executive officers, to file reports with the SEC regarding beneficial ownership of certain equity securities of the company. The company believes that all reports during 2018 were timely filed by its directors and executive officers.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Telephone and internet voting</w:t>
      </w:r>
    </w:p>
    <w:p>
      <w:pPr>
        <w:spacing w:after="0" w:line="21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u w:val="single" w:color="auto"/>
          <w:color w:val="auto"/>
        </w:rPr>
        <w:t>Registered stockholders and benefit plan participants</w:t>
      </w:r>
      <w:r>
        <w:rPr>
          <w:rFonts w:ascii="Arial" w:cs="Arial" w:eastAsia="Arial" w:hAnsi="Arial"/>
          <w:sz w:val="18"/>
          <w:szCs w:val="18"/>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164" w:lineRule="exact"/>
        <w:rPr>
          <w:sz w:val="20"/>
          <w:szCs w:val="20"/>
          <w:color w:val="auto"/>
        </w:rPr>
      </w:pPr>
    </w:p>
    <w:p>
      <w:pPr>
        <w:ind w:left="200" w:right="440"/>
        <w:spacing w:after="0" w:line="276"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w:t>
      </w:r>
    </w:p>
    <w:p>
      <w:pPr>
        <w:spacing w:after="0" w:line="145"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u w:val="single" w:color="auto"/>
          <w:color w:val="auto"/>
        </w:rPr>
        <w:t>Stockholders with shares registered in the name of a brokerage firm or bank</w:t>
      </w:r>
      <w:r>
        <w:rPr>
          <w:rFonts w:ascii="Arial" w:cs="Arial" w:eastAsia="Arial" w:hAnsi="Arial"/>
          <w:sz w:val="18"/>
          <w:szCs w:val="18"/>
          <w:color w:val="auto"/>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64" w:lineRule="exact"/>
        <w:rPr>
          <w:sz w:val="20"/>
          <w:szCs w:val="20"/>
          <w:color w:val="auto"/>
        </w:rPr>
      </w:pPr>
    </w:p>
    <w:p>
      <w:pPr>
        <w:ind w:left="200" w:right="100"/>
        <w:spacing w:after="0" w:line="276"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Stockholders sharing the same address</w:t>
      </w:r>
    </w:p>
    <w:p>
      <w:pPr>
        <w:spacing w:after="0" w:line="211" w:lineRule="exact"/>
        <w:rPr>
          <w:sz w:val="20"/>
          <w:szCs w:val="20"/>
          <w:color w:val="auto"/>
        </w:rPr>
      </w:pPr>
    </w:p>
    <w:p>
      <w:pPr>
        <w:ind w:left="200" w:right="60"/>
        <w:spacing w:after="0" w:line="241" w:lineRule="auto"/>
        <w:rPr>
          <w:sz w:val="20"/>
          <w:szCs w:val="20"/>
          <w:color w:val="auto"/>
        </w:rPr>
      </w:pPr>
      <w:r>
        <w:rPr>
          <w:rFonts w:ascii="Arial" w:cs="Arial" w:eastAsia="Arial" w:hAnsi="Arial"/>
          <w:sz w:val="18"/>
          <w:szCs w:val="18"/>
          <w:color w:val="auto"/>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 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(866) 540-7095 or writing to Investor Relations at the address given above.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Electronic delivery of proxy materials and copies of our Form 10-K</w:t>
      </w:r>
    </w:p>
    <w:p>
      <w:pPr>
        <w:spacing w:after="0" w:line="211"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visit www-us.computershare.com/investor or call TI Investor Relations at (214) 479-3773 for more information. If you are a participant in a TI benefit plan and would like to request electronic delivery, call TI Investor Relations for more information.</w:t>
      </w:r>
    </w:p>
    <w:p>
      <w:pPr>
        <w:spacing w:after="0" w:line="113"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51</w:t>
            </w:r>
          </w:p>
        </w:tc>
      </w:tr>
    </w:tbl>
    <w:p>
      <w:pPr>
        <w:sectPr>
          <w:pgSz w:w="11900" w:h="16838" w:orient="portrait"/>
          <w:cols w:equalWidth="0" w:num="1">
            <w:col w:w="11220"/>
          </w:cols>
          <w:pgMar w:left="24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200"/>
        <w:spacing w:after="0" w:line="288"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25, 2019. This 2019 proxy statement and the company’s 2018 annual report are accessible at: www.proxyvote.com.</w:t>
      </w:r>
    </w:p>
    <w:p>
      <w:pPr>
        <w:spacing w:after="0" w:line="126" w:lineRule="exact"/>
        <w:rPr>
          <w:sz w:val="20"/>
          <w:szCs w:val="20"/>
          <w:color w:val="auto"/>
        </w:rPr>
      </w:pPr>
    </w:p>
    <w:p>
      <w:pPr>
        <w:ind w:left="200" w:right="260"/>
        <w:spacing w:after="0" w:line="262" w:lineRule="auto"/>
        <w:rPr>
          <w:sz w:val="20"/>
          <w:szCs w:val="20"/>
          <w:color w:val="auto"/>
        </w:rPr>
      </w:pPr>
      <w:r>
        <w:rPr>
          <w:rFonts w:ascii="Arial" w:cs="Arial" w:eastAsia="Arial" w:hAnsi="Arial"/>
          <w:sz w:val="17"/>
          <w:szCs w:val="17"/>
          <w:color w:val="auto"/>
        </w:rPr>
        <w:t xml:space="preserve">The company’s annual report to stockholders, which contains consolidated financial statements for the year ended December 31, 2018, accompanies this proxy statement. </w:t>
      </w:r>
      <w:r>
        <w:rPr>
          <w:rFonts w:ascii="Arial" w:cs="Arial" w:eastAsia="Arial" w:hAnsi="Arial"/>
          <w:sz w:val="17"/>
          <w:szCs w:val="17"/>
          <w:b w:val="1"/>
          <w:bCs w:val="1"/>
          <w:color w:val="auto"/>
        </w:rPr>
        <w:t>You may also obtain a copy of the company’s annual report on Form 10-K for the year ended</w:t>
      </w:r>
    </w:p>
    <w:p>
      <w:pPr>
        <w:ind w:left="200" w:right="600"/>
        <w:spacing w:after="0" w:line="260" w:lineRule="auto"/>
        <w:rPr>
          <w:sz w:val="20"/>
          <w:szCs w:val="20"/>
          <w:color w:val="auto"/>
        </w:rPr>
      </w:pPr>
      <w:r>
        <w:rPr>
          <w:rFonts w:ascii="Arial" w:cs="Arial" w:eastAsia="Arial" w:hAnsi="Arial"/>
          <w:sz w:val="18"/>
          <w:szCs w:val="18"/>
          <w:b w:val="1"/>
          <w:bCs w:val="1"/>
          <w:color w:val="auto"/>
        </w:rPr>
        <w:t xml:space="preserve">December 31, 2018, that was filed with the SEC without charge by writing to Investor Relations, P.O. Box 660199, MS 8657, Dallas, TX 75266-0199. </w:t>
      </w:r>
      <w:r>
        <w:rPr>
          <w:rFonts w:ascii="Arial" w:cs="Arial" w:eastAsia="Arial" w:hAnsi="Arial"/>
          <w:sz w:val="18"/>
          <w:szCs w:val="18"/>
          <w:color w:val="auto"/>
        </w:rPr>
        <w:t>Our Form 10-K is also available in the “Investor Relations” section of our website at www.ti.com.</w:t>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166370</wp:posOffset>
            </wp:positionV>
            <wp:extent cx="2066925" cy="6000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669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Cynthia Hoff Trochu</w:t>
      </w:r>
    </w:p>
    <w:p>
      <w:pPr>
        <w:spacing w:after="0" w:line="1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Senior Vice President,</w:t>
      </w:r>
    </w:p>
    <w:p>
      <w:pPr>
        <w:ind w:left="7280"/>
        <w:spacing w:after="0"/>
        <w:rPr>
          <w:sz w:val="20"/>
          <w:szCs w:val="20"/>
          <w:color w:val="auto"/>
        </w:rPr>
      </w:pPr>
      <w:r>
        <w:rPr>
          <w:rFonts w:ascii="Arial" w:cs="Arial" w:eastAsia="Arial" w:hAnsi="Arial"/>
          <w:sz w:val="18"/>
          <w:szCs w:val="18"/>
          <w:color w:val="auto"/>
        </w:rPr>
        <w:t>Secretary and General Counsel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12, 2019</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Dallas, Texas</w:t>
      </w:r>
    </w:p>
    <w:p>
      <w:pPr>
        <w:spacing w:after="0" w:line="3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20"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This proxy statement includes forward-looking statements intended to qualify for the safe harbor from liability established by the Private Securities Litigation Reform Act of 1995. Statements herein that describe TI’s business strategy, plans, goals, future capital spending levels and potential for growth, improved profit margins and cash generation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2018. The forward-looking statements included in this proxy statement are made only as of the date of this proxy statement, and we undertake no obligation to update the forward-looking statements to reflect subsequent events or circumstances.</w:t>
      </w:r>
    </w:p>
    <w:p>
      <w:pPr>
        <w:spacing w:after="0" w:line="114"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52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2019 PROXY STATEMENT</w:t>
      </w:r>
    </w:p>
    <w:p>
      <w:pPr>
        <w:sectPr>
          <w:pgSz w:w="11900" w:h="16838" w:orient="portrait"/>
          <w:cols w:equalWidth="0" w:num="1">
            <w:col w:w="11220"/>
          </w:cols>
          <w:pgMar w:left="24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Directions and other annual meeting information</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Directions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From DFW airport: </w:t>
      </w:r>
      <w:r>
        <w:rPr>
          <w:rFonts w:ascii="Arial" w:cs="Arial" w:eastAsia="Arial" w:hAnsi="Arial"/>
          <w:sz w:val="18"/>
          <w:szCs w:val="18"/>
          <w:color w:val="auto"/>
        </w:rPr>
        <w:t>Take the North Airport exit to IH-635E. Take IH-635E to the Greenville Avenue exit. Turn right (South) on Greenville.</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Turn right (West) on Forest Lane. Texas Instruments will be on your right at the second traffic light.</w:t>
      </w:r>
    </w:p>
    <w:p>
      <w:pPr>
        <w:spacing w:after="0" w:line="190" w:lineRule="exact"/>
        <w:rPr>
          <w:sz w:val="20"/>
          <w:szCs w:val="20"/>
          <w:color w:val="auto"/>
        </w:rPr>
      </w:pPr>
    </w:p>
    <w:p>
      <w:pPr>
        <w:ind w:left="200" w:right="120"/>
        <w:spacing w:after="0" w:line="276" w:lineRule="auto"/>
        <w:rPr>
          <w:sz w:val="20"/>
          <w:szCs w:val="20"/>
          <w:color w:val="auto"/>
        </w:rPr>
      </w:pPr>
      <w:r>
        <w:rPr>
          <w:rFonts w:ascii="Arial" w:cs="Arial" w:eastAsia="Arial" w:hAnsi="Arial"/>
          <w:sz w:val="18"/>
          <w:szCs w:val="18"/>
          <w:i w:val="1"/>
          <w:iCs w:val="1"/>
          <w:color w:val="auto"/>
        </w:rPr>
        <w:t xml:space="preserve">From Love Field airport: </w:t>
      </w:r>
      <w:r>
        <w:rPr>
          <w:rFonts w:ascii="Arial" w:cs="Arial" w:eastAsia="Arial" w:hAnsi="Arial"/>
          <w:sz w:val="18"/>
          <w:szCs w:val="18"/>
          <w:color w:val="auto"/>
        </w:rPr>
        <w:t>Take Mockingbird Lane East to US-75N (Central Expressway). Travel North on 75N to the Forest Lane exit. Turn</w:t>
      </w:r>
      <w:r>
        <w:rPr>
          <w:rFonts w:ascii="Arial" w:cs="Arial" w:eastAsia="Arial" w:hAnsi="Arial"/>
          <w:sz w:val="18"/>
          <w:szCs w:val="18"/>
          <w:i w:val="1"/>
          <w:iCs w:val="1"/>
          <w:color w:val="auto"/>
        </w:rPr>
        <w:t xml:space="preserve"> </w:t>
      </w:r>
      <w:r>
        <w:rPr>
          <w:rFonts w:ascii="Arial" w:cs="Arial" w:eastAsia="Arial" w:hAnsi="Arial"/>
          <w:sz w:val="18"/>
          <w:szCs w:val="18"/>
          <w:color w:val="auto"/>
        </w:rPr>
        <w:t>right (East) on Forest Lane. You will pass two traffic lights. At the third light, the entrance to Texas Instruments will be on your left.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Parking</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visitors should park at the South Lobby, where reserved parking will be available.</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Security</w:t>
      </w:r>
    </w:p>
    <w:p>
      <w:pPr>
        <w:spacing w:after="0" w:line="211" w:lineRule="exact"/>
        <w:rPr>
          <w:sz w:val="20"/>
          <w:szCs w:val="20"/>
          <w:color w:val="auto"/>
        </w:rPr>
      </w:pPr>
    </w:p>
    <w:p>
      <w:pPr>
        <w:ind w:left="200" w:right="540"/>
        <w:spacing w:after="0" w:line="276" w:lineRule="auto"/>
        <w:rPr>
          <w:sz w:val="20"/>
          <w:szCs w:val="20"/>
          <w:color w:val="auto"/>
        </w:rPr>
      </w:pPr>
      <w:r>
        <w:rPr>
          <w:rFonts w:ascii="Arial" w:cs="Arial" w:eastAsia="Arial" w:hAnsi="Arial"/>
          <w:sz w:val="18"/>
          <w:szCs w:val="18"/>
          <w:color w:val="auto"/>
        </w:rPr>
        <w:t>Be advised that TI’s security policy forbids weapons, cameras and audio/video recording devices inside TI buildings. All bags will be subject to search upon entry into the building.</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Attendance</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additional information about attending the annual meeting see the discussion under “Attendance requirements” on page 4.</w:t>
      </w:r>
    </w:p>
    <w:p>
      <w:pPr>
        <w:spacing w:after="0" w:line="145" w:lineRule="exact"/>
        <w:rPr>
          <w:sz w:val="20"/>
          <w:szCs w:val="20"/>
          <w:color w:val="auto"/>
        </w:rPr>
      </w:pPr>
    </w:p>
    <w:tbl>
      <w:tblPr>
        <w:tblLayout w:type="fixed"/>
        <w:tblInd w:w="412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3"/>
                <w:szCs w:val="13"/>
                <w:color w:val="666666"/>
              </w:rPr>
              <w:t>TEXAS INSTRUMENTS  •  2019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53</w:t>
            </w:r>
          </w:p>
        </w:tc>
      </w:tr>
    </w:tbl>
    <w:p>
      <w:pPr>
        <w:sectPr>
          <w:pgSz w:w="11900" w:h="16838" w:orient="portrait"/>
          <w:cols w:equalWidth="0" w:num="1">
            <w:col w:w="11220"/>
          </w:cols>
          <w:pgMar w:left="24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Appendix A</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Non-GAAP reconciliations</w:t>
      </w:r>
    </w:p>
    <w:p>
      <w:pPr>
        <w:spacing w:after="0" w:line="211"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color w:val="auto"/>
        </w:rPr>
        <w:t>This proxy statement refers to ratios based on free cash flow. These are financial measures that were not prepared in accordance with generally accepted accounting principles in the U.S. (GAAP). Free cash flow is a non-GAAP measure calculated by subtracting capital expenditures from the most directly comparable GAAP measure, cash flows from operating activities (also referred to as cash flow from operations). We believe free cash flow and these ratios based on it provide insight into our liquidity, our cash-generating capability and the amount of cash potentially available to return to shareholders, as well as insight into our financial performance. These non-GAAP measures are supplemental to the comparable GAAP measures and are reconciled in the table below to the most directly comparable GAAP measures.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Percentage of Revenue</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4"/>
          </w:tcPr>
          <w:p>
            <w:pPr>
              <w:ind w:left="340"/>
              <w:spacing w:after="0" w:line="141" w:lineRule="exact"/>
              <w:rPr>
                <w:sz w:val="20"/>
                <w:szCs w:val="20"/>
                <w:color w:val="auto"/>
              </w:rPr>
            </w:pPr>
            <w:r>
              <w:rPr>
                <w:rFonts w:ascii="Arial" w:cs="Arial" w:eastAsia="Arial" w:hAnsi="Arial"/>
                <w:sz w:val="14"/>
                <w:szCs w:val="14"/>
                <w:b w:val="1"/>
                <w:bCs w:val="1"/>
                <w:color w:val="auto"/>
              </w:rPr>
              <w:t>For Years Ended</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Free Cash Flow as a Percentage of Revenue</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rPr>
              <w:t>For Years Ended December 31,</w:t>
            </w:r>
          </w:p>
        </w:tc>
        <w:tc>
          <w:tcPr>
            <w:tcW w:w="100" w:type="dxa"/>
            <w:vAlign w:val="bottom"/>
          </w:tcPr>
          <w:p>
            <w:pPr>
              <w:spacing w:after="0"/>
              <w:rPr>
                <w:sz w:val="15"/>
                <w:szCs w:val="15"/>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460" w:type="dxa"/>
            <w:vAlign w:val="bottom"/>
            <w:tcBorders>
              <w:bottom w:val="single" w:sz="8" w:color="auto"/>
            </w:tcBorders>
            <w:gridSpan w:val="2"/>
            <w:vMerge w:val="continue"/>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(Millions of dollars)</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w:t>
            </w:r>
          </w:p>
        </w:tc>
        <w:tc>
          <w:tcPr>
            <w:tcW w:w="1200" w:type="dxa"/>
            <w:vAlign w:val="bottom"/>
            <w:gridSpan w:val="3"/>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15,784</w:t>
            </w:r>
          </w:p>
        </w:tc>
        <w:tc>
          <w:tcPr>
            <w:tcW w:w="100" w:type="dxa"/>
            <w:vAlign w:val="bottom"/>
            <w:shd w:val="clear" w:color="auto" w:fill="E5E5E5"/>
          </w:tcPr>
          <w:p>
            <w:pPr>
              <w:spacing w:after="0"/>
              <w:rPr>
                <w:sz w:val="17"/>
                <w:szCs w:val="17"/>
                <w:color w:val="auto"/>
              </w:rPr>
            </w:pPr>
          </w:p>
        </w:tc>
        <w:tc>
          <w:tcPr>
            <w:tcW w:w="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14,961</w:t>
            </w:r>
          </w:p>
        </w:tc>
        <w:tc>
          <w:tcPr>
            <w:tcW w:w="140" w:type="dxa"/>
            <w:vAlign w:val="bottom"/>
            <w:shd w:val="clear" w:color="auto" w:fill="E5E5E5"/>
          </w:tcPr>
          <w:p>
            <w:pPr>
              <w:spacing w:after="0"/>
              <w:rPr>
                <w:sz w:val="17"/>
                <w:szCs w:val="17"/>
                <w:color w:val="auto"/>
              </w:rPr>
            </w:pPr>
          </w:p>
        </w:tc>
        <w:tc>
          <w:tcPr>
            <w:tcW w:w="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13,370</w:t>
            </w:r>
          </w:p>
        </w:tc>
        <w:tc>
          <w:tcPr>
            <w:tcW w:w="1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$ 44,115</w:t>
            </w:r>
          </w:p>
        </w:tc>
        <w:tc>
          <w:tcPr>
            <w:tcW w:w="2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Cash flow from operations (GAAP)</w:t>
            </w:r>
          </w:p>
        </w:tc>
        <w:tc>
          <w:tcPr>
            <w:tcW w:w="12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7,189</w:t>
            </w:r>
          </w:p>
        </w:tc>
        <w:tc>
          <w:tcPr>
            <w:tcW w:w="10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5,363</w:t>
            </w:r>
          </w:p>
        </w:tc>
        <w:tc>
          <w:tcPr>
            <w:tcW w:w="14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4,614</w:t>
            </w:r>
          </w:p>
        </w:tc>
        <w:tc>
          <w:tcPr>
            <w:tcW w:w="1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$ 17,166</w:t>
            </w:r>
          </w:p>
        </w:tc>
        <w:tc>
          <w:tcPr>
            <w:tcW w:w="220" w:type="dxa"/>
            <w:vAlign w:val="bottom"/>
          </w:tcPr>
          <w:p>
            <w:pPr>
              <w:spacing w:after="0"/>
              <w:rPr>
                <w:sz w:val="17"/>
                <w:szCs w:val="17"/>
                <w:color w:val="auto"/>
              </w:rPr>
            </w:pPr>
          </w:p>
        </w:tc>
        <w:tc>
          <w:tcPr>
            <w:tcW w:w="660" w:type="dxa"/>
            <w:vAlign w:val="bottom"/>
          </w:tcPr>
          <w:p>
            <w:pPr>
              <w:jc w:val="right"/>
              <w:ind w:right="22"/>
              <w:spacing w:after="0" w:line="202" w:lineRule="exact"/>
              <w:rPr>
                <w:sz w:val="20"/>
                <w:szCs w:val="20"/>
                <w:color w:val="auto"/>
              </w:rPr>
            </w:pPr>
            <w:r>
              <w:rPr>
                <w:rFonts w:ascii="Arial" w:cs="Arial" w:eastAsia="Arial" w:hAnsi="Arial"/>
                <w:sz w:val="18"/>
                <w:szCs w:val="18"/>
                <w:b w:val="1"/>
                <w:bCs w:val="1"/>
                <w:color w:val="auto"/>
              </w:rPr>
              <w:t>45.5%</w:t>
            </w:r>
          </w:p>
        </w:tc>
        <w:tc>
          <w:tcPr>
            <w:tcW w:w="720" w:type="dxa"/>
            <w:vAlign w:val="bottom"/>
          </w:tcPr>
          <w:p>
            <w:pPr>
              <w:ind w:left="100"/>
              <w:spacing w:after="0" w:line="202" w:lineRule="exact"/>
              <w:rPr>
                <w:sz w:val="20"/>
                <w:szCs w:val="20"/>
                <w:color w:val="auto"/>
              </w:rPr>
            </w:pPr>
            <w:r>
              <w:rPr>
                <w:rFonts w:ascii="Arial" w:cs="Arial" w:eastAsia="Arial" w:hAnsi="Arial"/>
                <w:sz w:val="18"/>
                <w:szCs w:val="18"/>
                <w:color w:val="auto"/>
              </w:rPr>
              <w:t>35.8%</w:t>
            </w: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34.5%</w:t>
            </w:r>
          </w:p>
        </w:tc>
        <w:tc>
          <w:tcPr>
            <w:tcW w:w="64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Capital expenditures</w:t>
            </w:r>
          </w:p>
        </w:tc>
        <w:tc>
          <w:tcPr>
            <w:tcW w:w="10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(1,131)</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(695)</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(531)</w:t>
            </w:r>
          </w:p>
        </w:tc>
        <w:tc>
          <w:tcPr>
            <w:tcW w:w="1020" w:type="dxa"/>
            <w:vAlign w:val="bottom"/>
            <w:gridSpan w:val="3"/>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(2,357)</w:t>
            </w:r>
          </w:p>
        </w:tc>
        <w:tc>
          <w:tcPr>
            <w:tcW w:w="6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8"/>
                <w:szCs w:val="18"/>
                <w:color w:val="auto"/>
              </w:rPr>
              <w:t>Free cash flow (non-GAAP)</w:t>
            </w:r>
          </w:p>
        </w:tc>
        <w:tc>
          <w:tcPr>
            <w:tcW w:w="10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$ 14,809</w:t>
            </w:r>
          </w:p>
        </w:tc>
        <w:tc>
          <w:tcPr>
            <w:tcW w:w="220" w:type="dxa"/>
            <w:vAlign w:val="bottom"/>
          </w:tcPr>
          <w:p>
            <w:pPr>
              <w:spacing w:after="0"/>
              <w:rPr>
                <w:sz w:val="18"/>
                <w:szCs w:val="18"/>
                <w:color w:val="auto"/>
              </w:rPr>
            </w:pPr>
          </w:p>
        </w:tc>
        <w:tc>
          <w:tcPr>
            <w:tcW w:w="660" w:type="dxa"/>
            <w:vAlign w:val="bottom"/>
          </w:tcPr>
          <w:p>
            <w:pPr>
              <w:jc w:val="right"/>
              <w:ind w:right="22"/>
              <w:spacing w:after="0"/>
              <w:rPr>
                <w:sz w:val="20"/>
                <w:szCs w:val="20"/>
                <w:color w:val="auto"/>
              </w:rPr>
            </w:pPr>
            <w:r>
              <w:rPr>
                <w:rFonts w:ascii="Arial" w:cs="Arial" w:eastAsia="Arial" w:hAnsi="Arial"/>
                <w:sz w:val="18"/>
                <w:szCs w:val="18"/>
                <w:b w:val="1"/>
                <w:bCs w:val="1"/>
                <w:color w:val="auto"/>
              </w:rPr>
              <w:t>38.4%</w:t>
            </w:r>
          </w:p>
        </w:tc>
        <w:tc>
          <w:tcPr>
            <w:tcW w:w="720" w:type="dxa"/>
            <w:vAlign w:val="bottom"/>
          </w:tcPr>
          <w:p>
            <w:pPr>
              <w:ind w:left="100"/>
              <w:spacing w:after="0"/>
              <w:rPr>
                <w:sz w:val="20"/>
                <w:szCs w:val="20"/>
                <w:color w:val="auto"/>
              </w:rPr>
            </w:pPr>
            <w:r>
              <w:rPr>
                <w:rFonts w:ascii="Arial" w:cs="Arial" w:eastAsia="Arial" w:hAnsi="Arial"/>
                <w:sz w:val="18"/>
                <w:szCs w:val="18"/>
                <w:color w:val="auto"/>
              </w:rPr>
              <w:t>31.2%</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3"/>
                <w:szCs w:val="13"/>
                <w:color w:val="666666"/>
              </w:rPr>
              <w:t>A-1</w:t>
            </w:r>
          </w:p>
        </w:tc>
        <w:tc>
          <w:tcPr>
            <w:tcW w:w="1900" w:type="dxa"/>
            <w:vAlign w:val="bottom"/>
            <w:gridSpan w:val="5"/>
          </w:tcPr>
          <w:p>
            <w:pPr>
              <w:jc w:val="right"/>
              <w:ind w:right="80"/>
              <w:spacing w:after="0"/>
              <w:rPr>
                <w:sz w:val="20"/>
                <w:szCs w:val="20"/>
                <w:color w:val="auto"/>
              </w:rPr>
            </w:pPr>
            <w:r>
              <w:rPr>
                <w:rFonts w:ascii="Arial" w:cs="Arial" w:eastAsia="Arial" w:hAnsi="Arial"/>
                <w:sz w:val="13"/>
                <w:szCs w:val="13"/>
                <w:color w:val="666666"/>
              </w:rPr>
              <w:t>TEXAS INSTRUMENTS</w:t>
            </w:r>
          </w:p>
        </w:tc>
        <w:tc>
          <w:tcPr>
            <w:tcW w:w="220" w:type="dxa"/>
            <w:vAlign w:val="bottom"/>
            <w:gridSpan w:val="2"/>
          </w:tcPr>
          <w:p>
            <w:pPr>
              <w:jc w:val="right"/>
              <w:ind w:right="30"/>
              <w:spacing w:after="0"/>
              <w:rPr>
                <w:sz w:val="20"/>
                <w:szCs w:val="20"/>
                <w:color w:val="auto"/>
              </w:rPr>
            </w:pPr>
            <w:r>
              <w:rPr>
                <w:rFonts w:ascii="Arial" w:cs="Arial" w:eastAsia="Arial" w:hAnsi="Arial"/>
                <w:sz w:val="13"/>
                <w:szCs w:val="13"/>
                <w:color w:val="666666"/>
              </w:rPr>
              <w:t>•</w:t>
            </w:r>
          </w:p>
        </w:tc>
        <w:tc>
          <w:tcPr>
            <w:tcW w:w="1700" w:type="dxa"/>
            <w:vAlign w:val="bottom"/>
            <w:gridSpan w:val="6"/>
          </w:tcPr>
          <w:p>
            <w:pPr>
              <w:jc w:val="right"/>
              <w:ind w:right="160"/>
              <w:spacing w:after="0"/>
              <w:rPr>
                <w:sz w:val="20"/>
                <w:szCs w:val="20"/>
                <w:color w:val="auto"/>
              </w:rPr>
            </w:pPr>
            <w:r>
              <w:rPr>
                <w:rFonts w:ascii="Arial" w:cs="Arial" w:eastAsia="Arial" w:hAnsi="Arial"/>
                <w:sz w:val="13"/>
                <w:szCs w:val="13"/>
                <w:color w:val="666666"/>
                <w:w w:val="94"/>
              </w:rPr>
              <w:t>2019 PROXY STATEMENT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56" w:name="page57"/>
    <w:bookmarkEnd w:id="5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-599440</wp:posOffset>
            </wp:positionV>
            <wp:extent cx="1311910" cy="4457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11910" cy="445770"/>
                    </a:xfrm>
                    <a:prstGeom prst="rect">
                      <a:avLst/>
                    </a:prstGeom>
                    <a:noFill/>
                  </pic:spPr>
                </pic:pic>
              </a:graphicData>
            </a:graphic>
          </wp:anchor>
        </w:drawing>
      </w:r>
    </w:p>
    <w:p>
      <w:pPr>
        <w:ind w:left="580"/>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ATTN: JANE NAHRA</w:t>
      </w:r>
    </w:p>
    <w:p>
      <w:pPr>
        <w:ind w:left="580"/>
        <w:spacing w:after="0" w:line="222" w:lineRule="auto"/>
        <w:rPr>
          <w:sz w:val="20"/>
          <w:szCs w:val="20"/>
          <w:color w:val="auto"/>
        </w:rPr>
      </w:pPr>
      <w:r>
        <w:rPr>
          <w:rFonts w:ascii="Times New Roman" w:cs="Times New Roman" w:eastAsia="Times New Roman" w:hAnsi="Times New Roman"/>
          <w:sz w:val="14"/>
          <w:szCs w:val="14"/>
          <w:b w:val="1"/>
          <w:bCs w:val="1"/>
          <w:i w:val="1"/>
          <w:iCs w:val="1"/>
          <w:color w:val="auto"/>
        </w:rPr>
        <w:t>P.O. BOX 655474</w:t>
      </w:r>
    </w:p>
    <w:p>
      <w:pPr>
        <w:ind w:left="580"/>
        <w:spacing w:after="0" w:line="221" w:lineRule="auto"/>
        <w:rPr>
          <w:sz w:val="20"/>
          <w:szCs w:val="20"/>
          <w:color w:val="auto"/>
        </w:rPr>
      </w:pPr>
      <w:r>
        <w:rPr>
          <w:rFonts w:ascii="Times New Roman" w:cs="Times New Roman" w:eastAsia="Times New Roman" w:hAnsi="Times New Roman"/>
          <w:sz w:val="14"/>
          <w:szCs w:val="14"/>
          <w:b w:val="1"/>
          <w:bCs w:val="1"/>
          <w:i w:val="1"/>
          <w:iCs w:val="1"/>
          <w:color w:val="auto"/>
        </w:rPr>
        <w:t>MS 3999</w:t>
      </w: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For registered shares, your proxy must be received by 11:59 P.M. (Eastern time) on </w:t>
      </w:r>
      <w:r>
        <w:rPr>
          <w:rFonts w:ascii="Times New Roman" w:cs="Times New Roman" w:eastAsia="Times New Roman" w:hAnsi="Times New Roman"/>
          <w:sz w:val="14"/>
          <w:szCs w:val="14"/>
          <w:b w:val="1"/>
          <w:bCs w:val="1"/>
          <w:i w:val="1"/>
          <w:iCs w:val="1"/>
          <w:color w:val="auto"/>
        </w:rPr>
        <w:t>April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24, 2019</w:t>
      </w: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shares allocable to a benefit plan account, your proxy must be received by 11:59 P.M.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(Eastern time) on </w:t>
      </w:r>
      <w:r>
        <w:rPr>
          <w:rFonts w:ascii="Times New Roman" w:cs="Times New Roman" w:eastAsia="Times New Roman" w:hAnsi="Times New Roman"/>
          <w:sz w:val="14"/>
          <w:szCs w:val="14"/>
          <w:b w:val="1"/>
          <w:bCs w:val="1"/>
          <w:i w:val="1"/>
          <w:iCs w:val="1"/>
          <w:color w:val="auto"/>
        </w:rPr>
        <w:t>April 22, 2019</w:t>
      </w:r>
      <w:r>
        <w:rPr>
          <w:rFonts w:ascii="Times New Roman" w:cs="Times New Roman" w:eastAsia="Times New Roman" w:hAnsi="Times New Roman"/>
          <w:sz w:val="14"/>
          <w:szCs w:val="14"/>
          <w:b w:val="1"/>
          <w:bCs w:val="1"/>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VOTE BY INTERNET - </w:t>
      </w:r>
      <w:r>
        <w:rPr>
          <w:rFonts w:ascii="Times New Roman" w:cs="Times New Roman" w:eastAsia="Times New Roman" w:hAnsi="Times New Roman"/>
          <w:sz w:val="14"/>
          <w:szCs w:val="14"/>
          <w:b w:val="1"/>
          <w:bCs w:val="1"/>
          <w:u w:val="single" w:color="auto"/>
          <w:color w:val="auto"/>
        </w:rPr>
        <w:t>www.proxyvote.com</w:t>
      </w:r>
    </w:p>
    <w:p>
      <w:pPr>
        <w:spacing w:after="0" w:line="98"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the applicable cut-off date and time above. Have your proxy card in hand when you access the web site and follow the instructions to obtain your records and to create an electronic voting instruction form.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98"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98"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until the applicable cut-off date and time above. Have your proxy card in hand when you call and then follow the instructions.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 NY 11717, so that it is received by the applicable date and time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MEETING ADVANCE REGISTRATION</w:t>
      </w:r>
    </w:p>
    <w:p>
      <w:pPr>
        <w:spacing w:after="0" w:line="98"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14"/>
          <w:szCs w:val="14"/>
          <w:color w:val="auto"/>
        </w:rPr>
        <w:t>You must register and print your advance registration form by 11:59 P.M. (Eastern time) on April 24, 2019 at the stockholder meeting registration site: www.proxyvote.com. If you are unable to print your advance registration form, please call Stockholder Meeting Registration Phone Support (Toll Free) 1-844-318-0137 or (International Toll Call) 1-925-331-6070 for assistance.</w:t>
      </w:r>
    </w:p>
    <w:p>
      <w:pPr>
        <w:spacing w:after="0" w:line="200" w:lineRule="exact"/>
        <w:rPr>
          <w:sz w:val="20"/>
          <w:szCs w:val="20"/>
          <w:color w:val="auto"/>
        </w:rPr>
      </w:pPr>
    </w:p>
    <w:p>
      <w:pPr>
        <w:sectPr>
          <w:pgSz w:w="11900" w:h="16838" w:orient="portrait"/>
          <w:cols w:equalWidth="0" w:num="2">
            <w:col w:w="5100" w:space="720"/>
            <w:col w:w="5600"/>
          </w:cols>
          <w:pgMar w:left="240" w:top="455" w:right="2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spacing w:after="0" w:line="4" w:lineRule="exact"/>
        <w:rPr>
          <w:sz w:val="20"/>
          <w:szCs w:val="20"/>
          <w:color w:val="auto"/>
        </w:rPr>
      </w:pPr>
    </w:p>
    <w:p>
      <w:pPr>
        <w:jc w:val="right"/>
        <w:spacing w:after="0"/>
        <w:tabs>
          <w:tab w:leader="none" w:pos="2800" w:val="left"/>
        </w:tabs>
        <w:rPr>
          <w:sz w:val="20"/>
          <w:szCs w:val="20"/>
          <w:color w:val="auto"/>
        </w:rPr>
      </w:pPr>
      <w:r>
        <w:rPr>
          <w:rFonts w:ascii="Times New Roman" w:cs="Times New Roman" w:eastAsia="Times New Roman" w:hAnsi="Times New Roman"/>
          <w:sz w:val="14"/>
          <w:szCs w:val="14"/>
          <w:color w:val="auto"/>
        </w:rPr>
        <w:t>E58362-P17025</w:t>
      </w:r>
      <w:r>
        <w:rPr>
          <w:sz w:val="20"/>
          <w:szCs w:val="20"/>
          <w:color w:val="auto"/>
        </w:rPr>
        <w:tab/>
      </w:r>
      <w:r>
        <w:rPr>
          <w:rFonts w:ascii="Times New Roman" w:cs="Times New Roman" w:eastAsia="Times New Roman" w:hAnsi="Times New Roman"/>
          <w:sz w:val="14"/>
          <w:szCs w:val="14"/>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72720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6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5985" cy="35071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5985" cy="3507105"/>
                    </a:xfrm>
                    <a:prstGeom prst="rect">
                      <a:avLst/>
                    </a:prstGeom>
                    <a:noFill/>
                  </pic:spPr>
                </pic:pic>
              </a:graphicData>
            </a:graphic>
          </wp:anchor>
        </w:drawing>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TEXAS INSTRUMENTS INCORPORATED</w:t>
      </w:r>
    </w:p>
    <w:p>
      <w:pPr>
        <w:spacing w:after="0" w:line="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 xml:space="preserve">The Board of Directors recommends you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each of</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 xml:space="preserve">the nominees for Director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Proposals 2 and 3.</w:t>
      </w:r>
    </w:p>
    <w:p>
      <w:pPr>
        <w:sectPr>
          <w:pgSz w:w="11900" w:h="16838" w:orient="portrait"/>
          <w:cols w:equalWidth="0" w:num="1">
            <w:col w:w="11420"/>
          </w:cols>
          <w:pgMar w:left="240" w:top="455" w:right="239" w:bottom="1440" w:gutter="0" w:footer="0" w:header="0"/>
          <w:type w:val="continuous"/>
        </w:sectPr>
      </w:pPr>
    </w:p>
    <w:p>
      <w:pPr>
        <w:spacing w:after="0" w:line="80"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Election of Directors</w:t>
            </w:r>
          </w:p>
        </w:tc>
        <w:tc>
          <w:tcPr>
            <w:tcW w:w="1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57"/>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144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For</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44"/>
        </w:trPr>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1a.</w:t>
            </w:r>
          </w:p>
        </w:tc>
        <w:tc>
          <w:tcPr>
            <w:tcW w:w="2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 A. Blinn</w:t>
            </w:r>
          </w:p>
        </w:tc>
        <w:tc>
          <w:tcPr>
            <w:tcW w:w="144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1b.</w:t>
            </w:r>
          </w:p>
        </w:tc>
        <w:tc>
          <w:tcPr>
            <w:tcW w:w="2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 M. Bluedorn</w:t>
            </w:r>
          </w:p>
        </w:tc>
        <w:tc>
          <w:tcPr>
            <w:tcW w:w="144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1c.</w:t>
            </w:r>
          </w:p>
        </w:tc>
        <w:tc>
          <w:tcPr>
            <w:tcW w:w="2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 F. Clark</w:t>
            </w:r>
          </w:p>
        </w:tc>
        <w:tc>
          <w:tcPr>
            <w:tcW w:w="144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1d.</w:t>
            </w:r>
          </w:p>
        </w:tc>
        <w:tc>
          <w:tcPr>
            <w:tcW w:w="2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 S. Cox</w:t>
            </w:r>
          </w:p>
        </w:tc>
        <w:tc>
          <w:tcPr>
            <w:tcW w:w="144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1e.</w:t>
            </w:r>
          </w:p>
        </w:tc>
        <w:tc>
          <w:tcPr>
            <w:tcW w:w="2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 S. Craighead</w:t>
            </w:r>
          </w:p>
        </w:tc>
        <w:tc>
          <w:tcPr>
            <w:tcW w:w="144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1f.</w:t>
            </w:r>
          </w:p>
        </w:tc>
        <w:tc>
          <w:tcPr>
            <w:tcW w:w="2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 M. Hobby</w:t>
            </w:r>
          </w:p>
        </w:tc>
        <w:tc>
          <w:tcPr>
            <w:tcW w:w="144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1g.</w:t>
            </w:r>
          </w:p>
        </w:tc>
        <w:tc>
          <w:tcPr>
            <w:tcW w:w="2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 Kirk</w:t>
            </w:r>
          </w:p>
        </w:tc>
        <w:tc>
          <w:tcPr>
            <w:tcW w:w="144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1h.</w:t>
            </w:r>
          </w:p>
        </w:tc>
        <w:tc>
          <w:tcPr>
            <w:tcW w:w="2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 H. Patsley</w:t>
            </w:r>
          </w:p>
        </w:tc>
        <w:tc>
          <w:tcPr>
            <w:tcW w:w="144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1i.</w:t>
            </w:r>
          </w:p>
        </w:tc>
        <w:tc>
          <w:tcPr>
            <w:tcW w:w="2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 E. Sanchez</w:t>
            </w:r>
          </w:p>
        </w:tc>
        <w:tc>
          <w:tcPr>
            <w:tcW w:w="144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1j.</w:t>
            </w:r>
          </w:p>
        </w:tc>
        <w:tc>
          <w:tcPr>
            <w:tcW w:w="2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 K. Templeton</w:t>
            </w:r>
          </w:p>
        </w:tc>
        <w:tc>
          <w:tcPr>
            <w:tcW w:w="144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0" w:hanging="290"/>
        <w:spacing w:after="0" w:line="262" w:lineRule="auto"/>
        <w:tabs>
          <w:tab w:leader="none" w:pos="28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proposal regarding advisory approval of the Company’s executive compensation.</w:t>
      </w:r>
    </w:p>
    <w:p>
      <w:pPr>
        <w:spacing w:after="0" w:line="53" w:lineRule="exact"/>
        <w:rPr>
          <w:rFonts w:ascii="Times New Roman" w:cs="Times New Roman" w:eastAsia="Times New Roman" w:hAnsi="Times New Roman"/>
          <w:sz w:val="14"/>
          <w:szCs w:val="14"/>
          <w:color w:val="auto"/>
        </w:rPr>
      </w:pPr>
    </w:p>
    <w:p>
      <w:pPr>
        <w:ind w:left="290" w:right="200" w:hanging="290"/>
        <w:spacing w:after="0" w:line="241" w:lineRule="auto"/>
        <w:tabs>
          <w:tab w:leader="none" w:pos="28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proposal to ratify the appointment of Ernst &amp; Young LLP as the Company’s independent registered public accounting firm for 2019.</w:t>
      </w:r>
    </w:p>
    <w:p>
      <w:pPr>
        <w:spacing w:after="0" w:line="175" w:lineRule="exact"/>
        <w:rPr>
          <w:sz w:val="20"/>
          <w:szCs w:val="20"/>
          <w:color w:val="auto"/>
        </w:rPr>
      </w:pPr>
    </w:p>
    <w:p>
      <w:pPr>
        <w:ind w:left="10" w:right="3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Such other business as may properly come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or any adjournment thereof.</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b w:val="1"/>
          <w:bCs w:val="1"/>
          <w:color w:val="auto"/>
        </w:rPr>
        <w:t>For</w:t>
        <w:tab/>
        <w:t>Against Abstain</w:t>
      </w:r>
    </w:p>
    <w:p>
      <w:pPr>
        <w:spacing w:after="0" w:line="101" w:lineRule="exact"/>
        <w:rPr>
          <w:sz w:val="20"/>
          <w:szCs w:val="20"/>
          <w:color w:val="auto"/>
        </w:rPr>
      </w:pPr>
    </w:p>
    <w:p>
      <w:pPr>
        <w:ind w:left="40"/>
        <w:spacing w:after="0" w:line="141" w:lineRule="exact"/>
        <w:tabs>
          <w:tab w:leader="none" w:pos="500" w:val="left"/>
          <w:tab w:leader="none" w:pos="11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65" w:lineRule="exact"/>
        <w:rPr>
          <w:sz w:val="20"/>
          <w:szCs w:val="20"/>
          <w:color w:val="auto"/>
        </w:rPr>
      </w:pPr>
    </w:p>
    <w:p>
      <w:pPr>
        <w:ind w:left="40"/>
        <w:spacing w:after="0" w:line="141" w:lineRule="exact"/>
        <w:tabs>
          <w:tab w:leader="none" w:pos="500" w:val="left"/>
          <w:tab w:leader="none" w:pos="11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946" w:lineRule="exact"/>
        <w:rPr>
          <w:sz w:val="20"/>
          <w:szCs w:val="20"/>
          <w:color w:val="auto"/>
        </w:rPr>
      </w:pPr>
    </w:p>
    <w:p>
      <w:pPr>
        <w:sectPr>
          <w:pgSz w:w="11900" w:h="16838" w:orient="portrait"/>
          <w:cols w:equalWidth="0" w:num="3">
            <w:col w:w="5460" w:space="370"/>
            <w:col w:w="3890" w:space="180"/>
            <w:col w:w="1520"/>
          </w:cols>
          <w:pgMar w:left="240" w:top="455" w:right="239" w:bottom="1440" w:gutter="0" w:footer="0" w:header="0"/>
          <w:type w:val="continuous"/>
        </w:sectPr>
      </w:pPr>
    </w:p>
    <w:p>
      <w:pPr>
        <w:spacing w:after="0" w:line="30" w:lineRule="exact"/>
        <w:rPr>
          <w:sz w:val="20"/>
          <w:szCs w:val="20"/>
          <w:color w:val="auto"/>
        </w:rPr>
      </w:pPr>
    </w:p>
    <w:p>
      <w:pPr>
        <w:ind w:left="380" w:right="1980"/>
        <w:spacing w:after="0" w:line="242" w:lineRule="auto"/>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0"/>
        <w:spacing w:after="0"/>
        <w:tabs>
          <w:tab w:leader="none" w:pos="3280" w:val="left"/>
          <w:tab w:leader="none" w:pos="5820" w:val="left"/>
          <w:tab w:leader="none" w:pos="948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4"/>
          <w:szCs w:val="14"/>
          <w:color w:val="auto"/>
        </w:rPr>
        <w:t>Date</w:t>
      </w:r>
    </w:p>
    <w:p>
      <w:pPr>
        <w:sectPr>
          <w:pgSz w:w="11900" w:h="16838" w:orient="portrait"/>
          <w:cols w:equalWidth="0" w:num="1">
            <w:col w:w="11420"/>
          </w:cols>
          <w:pgMar w:left="240" w:top="455" w:right="23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208280</wp:posOffset>
            </wp:positionV>
            <wp:extent cx="1311910" cy="4457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119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25, 2019</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You are invited to attend the 2019 annual meeting of stockholders on Thursday, April 25, 2019, in the auditorium on our property at 12500 TI Boulevard, Dallas, Texas, at 8:30 a.m. (Central time). At the meeting we will consider the election of directors, advisory approval of the Company’s executive compensation, ratification of the appointment of Ernst &amp; Young LLP as the Company’s independent registered public accounting firm for 2019 and such other matters as may properly come before the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Electronic Delivery of Proxy Materials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2019 Notice and Proxy Statement and 2018 Annual Report are also available at www.proxyvote.com.</w:t>
      </w: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E58363-P17025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3329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332930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ANNUAL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APRIL 25,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07" w:lineRule="exact"/>
        <w:rPr>
          <w:sz w:val="20"/>
          <w:szCs w:val="20"/>
          <w:color w:val="auto"/>
        </w:rPr>
      </w:pPr>
    </w:p>
    <w:p>
      <w:pPr>
        <w:ind w:left="240" w:right="200"/>
        <w:spacing w:after="0" w:line="255" w:lineRule="auto"/>
        <w:rPr>
          <w:sz w:val="20"/>
          <w:szCs w:val="20"/>
          <w:color w:val="auto"/>
        </w:rPr>
      </w:pPr>
      <w:r>
        <w:rPr>
          <w:rFonts w:ascii="Times New Roman" w:cs="Times New Roman" w:eastAsia="Times New Roman" w:hAnsi="Times New Roman"/>
          <w:sz w:val="18"/>
          <w:szCs w:val="18"/>
          <w:color w:val="auto"/>
        </w:rPr>
        <w:t xml:space="preserve">The undersigned hereby appoints MARK A. BLINN, RONALD KIRK, PAMELA H. PATSLEY, RICHARD K. TEMPLETON, or any one or more of them, the true and lawful attorneys of the undersigned with power of substitution, to vote as proxies for the undersigned at the annual meeting of stockholders of Texas Instruments Incorporated to be held in Dallas, Texas, on April 25, 2019, at 8:30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Times New Roman" w:cs="Times New Roman" w:eastAsia="Times New Roman" w:hAnsi="Times New Roman"/>
          <w:sz w:val="18"/>
          <w:szCs w:val="18"/>
          <w:b w:val="1"/>
          <w:bCs w:val="1"/>
          <w:color w:val="auto"/>
        </w:rPr>
        <w:t>If no contrary indication is made, this proxy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voted FOR the election of each director nominee and FOR Proposals 2 and 3. </w:t>
      </w:r>
      <w:r>
        <w:rPr>
          <w:rFonts w:ascii="Times New Roman" w:cs="Times New Roman" w:eastAsia="Times New Roman" w:hAnsi="Times New Roman"/>
          <w:sz w:val="18"/>
          <w:szCs w:val="18"/>
          <w:color w:val="auto"/>
        </w:rPr>
        <w:t>If other matters come before the meeting, this proxy will be voted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discretion of the named proxies.</w:t>
      </w:r>
    </w:p>
    <w:p>
      <w:pPr>
        <w:spacing w:after="0" w:line="189" w:lineRule="exact"/>
        <w:rPr>
          <w:sz w:val="20"/>
          <w:szCs w:val="20"/>
          <w:color w:val="auto"/>
        </w:rPr>
      </w:pPr>
    </w:p>
    <w:p>
      <w:pPr>
        <w:ind w:left="240" w:right="140"/>
        <w:spacing w:after="0" w:line="255" w:lineRule="auto"/>
        <w:rPr>
          <w:sz w:val="20"/>
          <w:szCs w:val="20"/>
          <w:color w:val="auto"/>
        </w:rPr>
      </w:pPr>
      <w:r>
        <w:rPr>
          <w:rFonts w:ascii="Times New Roman" w:cs="Times New Roman" w:eastAsia="Times New Roman" w:hAnsi="Times New Roman"/>
          <w:sz w:val="18"/>
          <w:szCs w:val="18"/>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22, 2019,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 On the reverse side of this card are procedures on how to vote the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consider voting by Internet or telephone.</w:t>
      </w:r>
    </w:p>
    <w:sectPr>
      <w:pgSz w:w="11900" w:h="16838" w:orient="portrait"/>
      <w:cols w:equalWidth="0" w:num="1">
        <w:col w:w="11420"/>
      </w:cols>
      <w:pgMar w:left="240" w:top="4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lvl w:ilvl="1">
      <w:lvlJc w:val="left"/>
      <w:lvlText w:val="(%2)"/>
      <w:numFmt w:val="decimal"/>
      <w:start w:val="1"/>
    </w:lvl>
  </w:abstractNum>
  <w:abstractNum w:abstractNumId="5">
    <w:nsid w:val="153EA438"/>
    <w:multiLevelType w:val="hybridMultilevel"/>
    <w:lvl w:ilvl="0">
      <w:lvlJc w:val="left"/>
      <w:lvlText w:val="(%1)"/>
      <w:numFmt w:val="decimal"/>
      <w:start w:val="2"/>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0">
    <w:nsid w:val="32FFF90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1">
    <w:nsid w:val="684A481A"/>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2">
    <w:nsid w:val="579478FE"/>
    <w:multiLevelType w:val="hybridMultilevel"/>
    <w:lvl w:ilvl="0">
      <w:lvlJc w:val="left"/>
      <w:lvlText w:val="%1"/>
      <w:numFmt w:val="upperLetter"/>
      <w:start w:val="1"/>
    </w:lvl>
    <w:lvl w:ilvl="1">
      <w:lvlJc w:val="left"/>
      <w:lvlText w:val="%2."/>
      <w:numFmt w:val="decimal"/>
      <w:start w:val="4"/>
    </w:lvl>
  </w:abstractNum>
  <w:abstractNum w:abstractNumId="23">
    <w:nsid w:val="749ABB43"/>
    <w:multiLevelType w:val="hybridMultilevel"/>
    <w:lvl w:ilvl="0">
      <w:lvlJc w:val="left"/>
      <w:lvlText w:val="%1."/>
      <w:numFmt w:val="upperLetter"/>
      <w:start w:val="3"/>
    </w:lvl>
    <w:lvl w:ilvl="1">
      <w:lvlJc w:val="left"/>
      <w:lvlText w:val="%2."/>
      <w:numFmt w:val="decimal"/>
      <w:start w:val="1"/>
    </w:lvl>
  </w:abstractNum>
  <w:abstractNum w:abstractNumId="24">
    <w:nsid w:val="3DC240FB"/>
    <w:multiLevelType w:val="hybridMultilevel"/>
    <w:lvl w:ilvl="0">
      <w:lvlJc w:val="left"/>
      <w:lvlText w:val="•"/>
      <w:numFmt w:val="bullet"/>
      <w:start w:val="1"/>
    </w:lvl>
    <w:lvl w:ilvl="1">
      <w:lvlJc w:val="left"/>
      <w:lvlText w:val="¡"/>
      <w:numFmt w:val="bullet"/>
      <w:start w:val="1"/>
    </w:lvl>
  </w:abstractNum>
  <w:abstractNum w:abstractNumId="25">
    <w:nsid w:val="1BA026FA"/>
    <w:multiLevelType w:val="hybridMultilevel"/>
    <w:lvl w:ilvl="0">
      <w:lvlJc w:val="left"/>
      <w:lvlText w:val="•"/>
      <w:numFmt w:val="bullet"/>
      <w:start w:val="1"/>
    </w:lvl>
    <w:lvl w:ilvl="1">
      <w:lvlJc w:val="left"/>
      <w:lvlText w:val="¡"/>
      <w:numFmt w:val="bullet"/>
      <w:start w:val="1"/>
    </w:lvl>
  </w:abstractNum>
  <w:abstractNum w:abstractNumId="26">
    <w:nsid w:val="79A1DEAA"/>
    <w:multiLevelType w:val="hybridMultilevel"/>
    <w:lvl w:ilvl="0">
      <w:lvlJc w:val="left"/>
      <w:lvlText w:val="•"/>
      <w:numFmt w:val="bullet"/>
      <w:start w:val="1"/>
    </w:lvl>
    <w:lvl w:ilvl="1">
      <w:lvlJc w:val="left"/>
      <w:lvlText w:val="¡"/>
      <w:numFmt w:val="bullet"/>
      <w:start w:val="1"/>
    </w:lvl>
  </w:abstractNum>
  <w:abstractNum w:abstractNumId="27">
    <w:nsid w:val="75C6C33A"/>
    <w:multiLevelType w:val="hybridMultilevel"/>
    <w:lvl w:ilvl="0">
      <w:lvlJc w:val="left"/>
      <w:lvlText w:val="•"/>
      <w:numFmt w:val="bullet"/>
      <w:start w:val="1"/>
    </w:lvl>
    <w:lvl w:ilvl="1">
      <w:lvlJc w:val="left"/>
      <w:lvlText w:val="¡"/>
      <w:numFmt w:val="bullet"/>
      <w:start w:val="1"/>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4"/>
    </w:lvl>
  </w:abstractNum>
  <w:abstractNum w:abstractNumId="33">
    <w:nsid w:val="23F9C13C"/>
    <w:multiLevelType w:val="hybridMultilevel"/>
    <w:lvl w:ilvl="0">
      <w:lvlJc w:val="left"/>
      <w:lvlText w:val="(%1)"/>
      <w:numFmt w:val="decimal"/>
      <w:start w:val="5"/>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lvl w:ilvl="1">
      <w:lvlJc w:val="left"/>
      <w:lvlText w:val="¡"/>
      <w:numFmt w:val="bullet"/>
      <w:start w:val="1"/>
    </w:lvl>
  </w:abstractNum>
  <w:abstractNum w:abstractNumId="36">
    <w:nsid w:val="39386575"/>
    <w:multiLevelType w:val="hybridMultilevel"/>
    <w:lvl w:ilvl="0">
      <w:lvlJc w:val="left"/>
      <w:lvlText w:val="•"/>
      <w:numFmt w:val="bullet"/>
      <w:start w:val="1"/>
    </w:lvl>
    <w:lvl w:ilvl="1">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lowerRoman"/>
      <w:start w:val="2"/>
    </w:lvl>
  </w:abstractNum>
  <w:abstractNum w:abstractNumId="41">
    <w:nsid w:val="354FE9F9"/>
    <w:multiLevelType w:val="hybridMultilevel"/>
    <w:lvl w:ilvl="0">
      <w:lvlJc w:val="left"/>
      <w:lvlText w:val="%1"/>
      <w:numFmt w:val="decimal"/>
      <w:start w:val="1"/>
    </w:lvl>
    <w:lvl w:ilvl="1">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lvl w:ilvl="1">
      <w:lvlJc w:val="left"/>
      <w:lvlText w:val="¡"/>
      <w:numFmt w:val="bullet"/>
      <w:start w:val="1"/>
    </w:lvl>
  </w:abstractNum>
  <w:abstractNum w:abstractNumId="44">
    <w:nsid w:val="D34B6A8"/>
    <w:multiLevelType w:val="hybridMultilevel"/>
    <w:lvl w:ilvl="0">
      <w:lvlJc w:val="left"/>
      <w:lvlText w:val="•"/>
      <w:numFmt w:val="bullet"/>
      <w:start w:val="1"/>
    </w:lvl>
    <w:lvl w:ilvl="1">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2"/>
      <w:numFmt w:val="bullet"/>
      <w:start w:val="1"/>
    </w:lvl>
  </w:abstractNum>
  <w:abstractNum w:abstractNumId="48">
    <w:nsid w:val="7E0C57B1"/>
    <w:multiLevelType w:val="hybridMultilevel"/>
    <w:lvl w:ilvl="0">
      <w:lvlJc w:val="left"/>
      <w:lvlText w:val="•"/>
      <w:numFmt w:val="bullet"/>
      <w:start w:val="1"/>
    </w:lvl>
    <w:lvl w:ilvl="1">
      <w:lvlJc w:val="left"/>
      <w:lvlText w:val="¡"/>
      <w:numFmt w:val="bullet"/>
      <w:start w:val="1"/>
    </w:lvl>
  </w:abstractNum>
  <w:abstractNum w:abstractNumId="49">
    <w:nsid w:val="77AE35EB"/>
    <w:multiLevelType w:val="hybridMultilevel"/>
    <w:lvl w:ilvl="0">
      <w:lvlJc w:val="left"/>
      <w:lvlText w:val="3"/>
      <w:numFmt w:val="bullet"/>
      <w:start w:val="1"/>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4"/>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decimal"/>
      <w:start w:val="7"/>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1)"/>
      <w:numFmt w:val="lowerRoman"/>
      <w:start w:val="2"/>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decimal"/>
      <w:start w:val="3"/>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lowerRoman"/>
      <w:start w:val="1"/>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1."/>
      <w:numFmt w:val="upperLetter"/>
      <w:start w:val="14"/>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1)"/>
      <w:numFmt w:val="decimal"/>
      <w:start w:val="1"/>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decimal"/>
      <w:start w:val="2"/>
    </w:lvl>
  </w:abstractNum>
  <w:abstractNum w:abstractNumId="70">
    <w:nsid w:val="661E3F1E"/>
    <w:multiLevelType w:val="hybridMultilevel"/>
    <w:lvl w:ilvl="0">
      <w:lvlJc w:val="left"/>
      <w:lvlText w:val="(%1)"/>
      <w:numFmt w:val="decimal"/>
      <w:start w:val="4"/>
    </w:lvl>
    <w:lvl w:ilvl="1">
      <w:lvlJc w:val="left"/>
      <w:lvlText w:val="(%2)"/>
      <w:numFmt w:val="lowerLetter"/>
      <w:start w:val="1"/>
    </w:lvl>
  </w:abstractNum>
  <w:abstractNum w:abstractNumId="71">
    <w:nsid w:val="5DC79EA8"/>
    <w:multiLevelType w:val="hybridMultilevel"/>
    <w:lvl w:ilvl="0">
      <w:lvlJc w:val="left"/>
      <w:lvlText w:val="%1."/>
      <w:numFmt w:val="decimal"/>
      <w:start w:val="1"/>
    </w:lvl>
    <w:lvl w:ilvl="1">
      <w:lvlJc w:val="left"/>
      <w:lvlText w:val="(%2)"/>
      <w:numFmt w:val="lowerLetter"/>
      <w:start w:val="1"/>
    </w:lvl>
  </w:abstractNum>
  <w:abstractNum w:abstractNumId="72">
    <w:nsid w:val="540A471C"/>
    <w:multiLevelType w:val="hybridMultilevel"/>
    <w:lvl w:ilvl="0">
      <w:lvlJc w:val="left"/>
      <w:lvlText w:val="•"/>
      <w:numFmt w:val="bullet"/>
      <w:start w:val="1"/>
    </w:lvl>
    <w:lvl w:ilvl="1">
      <w:lvlJc w:val="left"/>
      <w:lvlText w:val="¡"/>
      <w:numFmt w:val="bullet"/>
      <w:start w:val="1"/>
    </w:lvl>
  </w:abstractNum>
  <w:abstractNum w:abstractNumId="73">
    <w:nsid w:val="7BD3EE7B"/>
    <w:multiLevelType w:val="hybridMultilevel"/>
    <w:lvl w:ilvl="0">
      <w:lvlJc w:val="left"/>
      <w:lvlText w:val="•"/>
      <w:numFmt w:val="bullet"/>
      <w:start w:val="1"/>
    </w:lvl>
    <w:lvl w:ilvl="1">
      <w:lvlJc w:val="left"/>
      <w:lvlText w:val="(%2)"/>
      <w:numFmt w:val="lowerRoman"/>
      <w:start w:val="2"/>
    </w:lvl>
  </w:abstractNum>
  <w:abstractNum w:abstractNumId="74">
    <w:nsid w:val="51D9C564"/>
    <w:multiLevelType w:val="hybridMultilevel"/>
    <w:lvl w:ilvl="0">
      <w:lvlJc w:val="left"/>
      <w:lvlText w:val="(%1)"/>
      <w:numFmt w:val="lowerRoman"/>
      <w:start w:val="1"/>
    </w:lvl>
  </w:abstractNum>
  <w:abstractNum w:abstractNumId="75">
    <w:nsid w:val="613EFDC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2019-12-04T23:36:44Z</dcterms:created>
  <dcterms:modified xsi:type="dcterms:W3CDTF">2019-12-04T23:36:44Z</dcterms:modified>
</cp:coreProperties>
</file>