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BLINN MARK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07/21/2025</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0.334</w:t>
            </w:r>
            <w:r>
              <w:rPr>
                <w:rFonts w:ascii="Times New Roman" w:cs="Times New Roman" w:eastAsia="Times New Roman" w:hAnsi="Times New Roman"/>
                <w:sz w:val="22"/>
                <w:szCs w:val="22"/>
                <w:color w:val="008000"/>
                <w:vertAlign w:val="superscript"/>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216.745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3,046</w:t>
            </w:r>
            <w:r>
              <w:rPr>
                <w:rFonts w:ascii="Times New Roman" w:cs="Times New Roman" w:eastAsia="Times New Roman" w:hAnsi="Times New Roman"/>
                <w:sz w:val="22"/>
                <w:szCs w:val="22"/>
                <w:color w:val="008000"/>
                <w:w w:val="93"/>
                <w:vertAlign w:val="superscript"/>
              </w:rPr>
              <w:t>(2)</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11,717</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6,000</w:t>
            </w:r>
            <w:r>
              <w:rPr>
                <w:rFonts w:ascii="Times New Roman" w:cs="Times New Roman" w:eastAsia="Times New Roman" w:hAnsi="Times New Roman"/>
                <w:sz w:val="11"/>
                <w:szCs w:val="11"/>
                <w:color w:val="008000"/>
                <w:w w:val="83"/>
              </w:rPr>
              <w:t>(3)(4)</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6,000</w:t>
            </w:r>
            <w:r>
              <w:rPr>
                <w:rFonts w:ascii="Times New Roman" w:cs="Times New Roman" w:eastAsia="Times New Roman" w:hAnsi="Times New Roman"/>
                <w:sz w:val="11"/>
                <w:szCs w:val="11"/>
                <w:color w:val="008000"/>
                <w:w w:val="83"/>
              </w:rPr>
              <w:t>(4)(5)</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represents the sale of 0.334 shares acquired under a dividend reinvestment plan (DRIP), which were exempt from prior reporting under Rule 16a-11. Beneficial ownership following the transaction remains unchanged from the last reported amount.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 reporting person shares investment control. Beneficial ownership by reporting person disclaimed.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 of which reporting person is trustee. Beneficial ownership by reporting person disclaimed.</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corrects a prior Form 4 filed on February 20, 2025 to reflect that the reporting person holds shares through three, not four, trusts. A prior distribution of 1,200 shares from a family member's trust was allocated equally to two existing trusts that previously reported holding 5,400 shares each; as a result, those trusts hold 6,000 shares each. This report corrects the number of the reporting person's trusts and share allocations. No transactions occurred on the date of this filing with respect to these trusts.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the reporting person. Reporting person is the sole trustee.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Whitney, Attorney 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08/27/2025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29149"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2025-08-27T13:06:45Z</dcterms:created>
  <dcterms:modified xsi:type="dcterms:W3CDTF">2025-08-27T13:06:45Z</dcterms:modified>
</cp:coreProperties>
</file>