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DATE OF REPORT (DATE OF EARLIEST EVENT REPORTED): January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9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January 27, 2016, regarding its fourth-quarter and 2015 results of operations and financial condition is attached hereto as Exhibit 99.</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40"/>
          </w:cols>
          <w:pgMar w:left="240" w:top="341" w:right="31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10060"/>
          </w:cols>
          <w:pgMar w:left="240" w:top="341" w:right="31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Dated January 27, 2016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380" w:type="dxa"/>
            <w:vAlign w:val="bottom"/>
            <w:gridSpan w:val="2"/>
          </w:tcPr>
          <w:p>
            <w:pPr>
              <w:ind w:left="23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January 27, 2016</w:t>
            </w:r>
          </w:p>
        </w:tc>
        <w:tc>
          <w:tcPr>
            <w:tcW w:w="7380" w:type="dxa"/>
            <w:vAlign w:val="bottom"/>
            <w:gridSpan w:val="2"/>
          </w:tcPr>
          <w:p>
            <w:pPr>
              <w:ind w:left="2360"/>
              <w:spacing w:after="0"/>
              <w:rPr>
                <w:sz w:val="20"/>
                <w:szCs w:val="20"/>
                <w:color w:val="auto"/>
              </w:rPr>
            </w:pPr>
            <w:r>
              <w:rPr>
                <w:rFonts w:ascii="Arial" w:cs="Arial" w:eastAsia="Arial" w:hAnsi="Arial"/>
                <w:sz w:val="18"/>
                <w:szCs w:val="18"/>
                <w:color w:val="auto"/>
              </w:rPr>
              <w:t>By:  /s/ KEVIN P. MARCH</w:t>
            </w:r>
          </w:p>
        </w:tc>
      </w:tr>
      <w:tr>
        <w:trPr>
          <w:trHeight w:val="195"/>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4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4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4Q15 and 2015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DALLAS (Jan. 27, 2016) – Texas Instruments Incorporated (TI) (NASDAQ: TXN) today reported fourth-quarter revenue of $3.19 billion, net income of $836 million and earnings per share of 80 cents. Earnings per share included 9 cents for two items that were not in the company’s prior guidance for the quarter.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520" w:right="24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declined 2 percent from a year ago and was in line with our expectations, even though we experienced slowing demand within a sector of the personal electronics market late in the quarter.</w:t>
      </w:r>
    </w:p>
    <w:p>
      <w:pPr>
        <w:spacing w:after="0" w:line="62" w:lineRule="exact"/>
        <w:rPr>
          <w:rFonts w:ascii="Arial" w:cs="Arial" w:eastAsia="Arial" w:hAnsi="Arial"/>
          <w:sz w:val="18"/>
          <w:szCs w:val="18"/>
          <w:color w:val="auto"/>
        </w:rPr>
      </w:pPr>
    </w:p>
    <w:p>
      <w:pPr>
        <w:ind w:left="520" w:right="60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combined core businesses of Analog and Embedded Processing performed well in the quarter and comprised 87 percent of fourth-quarter revenue.</w:t>
      </w:r>
    </w:p>
    <w:p>
      <w:pPr>
        <w:spacing w:after="0" w:line="62" w:lineRule="exact"/>
        <w:rPr>
          <w:rFonts w:ascii="Arial" w:cs="Arial" w:eastAsia="Arial" w:hAnsi="Arial"/>
          <w:sz w:val="18"/>
          <w:szCs w:val="18"/>
          <w:color w:val="auto"/>
        </w:rPr>
      </w:pPr>
    </w:p>
    <w:p>
      <w:pPr>
        <w:ind w:left="520" w:right="5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58.5 percent, a new record, reflects the quality of our product portfolio as well as the efficiency of our manufacturing strategy, including the benefit of 300-millimeter Analog production.</w:t>
      </w:r>
    </w:p>
    <w:p>
      <w:pPr>
        <w:spacing w:after="0" w:line="62" w:lineRule="exact"/>
        <w:rPr>
          <w:rFonts w:ascii="Arial" w:cs="Arial" w:eastAsia="Arial" w:hAnsi="Arial"/>
          <w:sz w:val="18"/>
          <w:szCs w:val="18"/>
          <w:color w:val="auto"/>
        </w:rPr>
      </w:pPr>
    </w:p>
    <w:p>
      <w:pPr>
        <w:ind w:left="520" w:right="60" w:hanging="512"/>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once again underscored the strength of our business model. Free cash flow for the trailing 12 months was up 6 percent from a year ago to $3.7 billion. This represents 28.6 percent of revenue, up from 26.9 percent a year ago, and is consistent with our targeted range of 20-30 percent of revenue.</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returned $4.2 billion to shareholders in the past 12 months through stock repurchases and dividends.</w:t>
      </w:r>
    </w:p>
    <w:p>
      <w:pPr>
        <w:spacing w:after="0" w:line="117" w:lineRule="exact"/>
        <w:rPr>
          <w:rFonts w:ascii="Arial" w:cs="Arial" w:eastAsia="Arial" w:hAnsi="Arial"/>
          <w:sz w:val="18"/>
          <w:szCs w:val="18"/>
          <w:color w:val="auto"/>
        </w:rPr>
      </w:pPr>
    </w:p>
    <w:p>
      <w:pPr>
        <w:ind w:left="520" w:right="2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62" w:lineRule="exact"/>
        <w:rPr>
          <w:rFonts w:ascii="Arial" w:cs="Arial" w:eastAsia="Arial" w:hAnsi="Arial"/>
          <w:sz w:val="18"/>
          <w:szCs w:val="18"/>
          <w:color w:val="auto"/>
        </w:rPr>
      </w:pPr>
    </w:p>
    <w:p>
      <w:pPr>
        <w:ind w:left="520" w:right="2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$3.2 billion of cash and short-term investments at the end of the quarter, 82 percent of which was owned by the company’s U.S. entities. Inventory ended the quarter at 115 days.</w:t>
      </w:r>
    </w:p>
    <w:p>
      <w:pPr>
        <w:spacing w:after="0" w:line="62" w:lineRule="exact"/>
        <w:rPr>
          <w:rFonts w:ascii="Arial" w:cs="Arial" w:eastAsia="Arial" w:hAnsi="Arial"/>
          <w:sz w:val="18"/>
          <w:szCs w:val="18"/>
          <w:color w:val="auto"/>
        </w:rPr>
      </w:pPr>
    </w:p>
    <w:p>
      <w:pPr>
        <w:ind w:left="520" w:right="260" w:hanging="512"/>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first-quarter outlook is for revenue in the range of $2.85 billion to $3.09 billion, and earnings per share between 57 and 67 cents. This outlook includes about a $150 million decline in revenue from a year ago within a sector of the personal electronics market. Aside from this, overall expectations for the remainder of our business are about even with the first quarter of 2015.</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2016, TI’s annual effective tax rate is expected to be about 30 percent.”</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TI also announced its intentions to phase out a small, older manufacturing facility in Greenock, Scotland, over the next three years. Plans are to move production from this facility to more cost-effective 200-millimeter TI fabs in Germany, Japan and Maine.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20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4Q15</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4Q14</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22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1,142</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Earnings per share</w:t>
            </w:r>
          </w:p>
        </w:tc>
        <w:tc>
          <w:tcPr>
            <w:tcW w:w="22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0.80</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Earnings per share for the fourth quarter of 2015 included a 9-cent benefit for two items not included in the company’s prior outlook: 5 cents due to a net tax benefit as a result of the reinstatement of the R&amp;D tax credit and 4 cents for Restructuring charges/other, which included gains on sales of assets and a charge for the planned site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8"/>
                <w:szCs w:val="18"/>
                <w:color w:val="auto"/>
              </w:rPr>
              <w:t>Trailing 12 Months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62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4Q15</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4Q15</w:t>
            </w:r>
          </w:p>
        </w:tc>
        <w:tc>
          <w:tcPr>
            <w:tcW w:w="2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4Q14</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Capital expenditures</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Free cash flow % of revenue</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12 months were 4 percent of revenue. The company’s long-term expectation is about 4 percent.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color w:val="auto"/>
              </w:rPr>
              <w:t>Trailing 12 Months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340" w:type="dxa"/>
            <w:vAlign w:val="bottom"/>
            <w:tcBorders>
              <w:bottom w:val="single" w:sz="8" w:color="CFF0FC"/>
            </w:tcBorders>
          </w:tcPr>
          <w:p>
            <w:pPr>
              <w:spacing w:after="0"/>
              <w:rPr>
                <w:sz w:val="19"/>
                <w:szCs w:val="19"/>
                <w:color w:val="auto"/>
              </w:rPr>
            </w:pPr>
          </w:p>
        </w:tc>
        <w:tc>
          <w:tcPr>
            <w:tcW w:w="1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4Q15</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4Q15</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4Q14</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Stock repurchases</w:t>
            </w:r>
          </w:p>
        </w:tc>
        <w:tc>
          <w:tcPr>
            <w:tcW w:w="21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2,741</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2,831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21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targeted cash return is 100 percent of free cash flow plus proceeds from exercises of equity compensation minus net debt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For Three Months Ended</w:t>
            </w:r>
          </w:p>
        </w:tc>
        <w:tc>
          <w:tcPr>
            <w:tcW w:w="240" w:type="dxa"/>
            <w:vAlign w:val="bottom"/>
          </w:tcPr>
          <w:p>
            <w:pPr>
              <w:spacing w:after="0"/>
              <w:rPr>
                <w:sz w:val="19"/>
                <w:szCs w:val="19"/>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Acquisition charges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(68)</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(71)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1,142</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2,986</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260" w:type="dxa"/>
            <w:vAlign w:val="bottom"/>
          </w:tcPr>
          <w:p>
            <w:pPr>
              <w:spacing w:after="0"/>
              <w:rPr>
                <w:sz w:val="24"/>
                <w:szCs w:val="24"/>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diluted shares outstanding (millions)</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1,043</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4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260" w:type="dxa"/>
            <w:vAlign w:val="bottom"/>
          </w:tcPr>
          <w:p>
            <w:pPr>
              <w:spacing w:after="0"/>
              <w:rPr>
                <w:sz w:val="24"/>
                <w:szCs w:val="24"/>
                <w:color w:val="auto"/>
              </w:rPr>
            </w:pPr>
          </w:p>
        </w:tc>
        <w:tc>
          <w:tcPr>
            <w:tcW w:w="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836</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2,986</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Income allocated to RSUs</w:t>
            </w:r>
          </w:p>
        </w:tc>
        <w:tc>
          <w:tcPr>
            <w:tcW w:w="4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w:t>
            </w:r>
          </w:p>
        </w:tc>
        <w:tc>
          <w:tcPr>
            <w:tcW w:w="4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allocated to common stock for diluted EPS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5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 of allowances of ($7) and ($12)</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Work in process</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Finished goods</w:t>
            </w:r>
          </w:p>
        </w:tc>
        <w:tc>
          <w:tcPr>
            <w:tcW w:w="1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1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5,465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depreciation</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(2,869)</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Property, plant and equipment, net</w:t>
            </w:r>
          </w:p>
        </w:tc>
        <w:tc>
          <w:tcPr>
            <w:tcW w:w="1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Goodwill, net</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intangibles, net</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licenses, net</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long-term debt</w:t>
            </w:r>
          </w:p>
        </w:tc>
        <w:tc>
          <w:tcPr>
            <w:tcW w:w="226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1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current liabilities</w:t>
            </w:r>
          </w:p>
        </w:tc>
        <w:tc>
          <w:tcPr>
            <w:tcW w:w="1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credits and other liabilities</w:t>
            </w:r>
          </w:p>
        </w:tc>
        <w:tc>
          <w:tcPr>
            <w:tcW w:w="1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$25 par value. Authorized – 10,000,000 shares</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480"/>
              <w:spacing w:after="0"/>
              <w:rPr>
                <w:sz w:val="20"/>
                <w:szCs w:val="20"/>
                <w:color w:val="auto"/>
              </w:rPr>
            </w:pPr>
            <w:r>
              <w:rPr>
                <w:rFonts w:ascii="Arial" w:cs="Arial" w:eastAsia="Arial" w:hAnsi="Arial"/>
                <w:sz w:val="18"/>
                <w:szCs w:val="18"/>
                <w:color w:val="auto"/>
              </w:rPr>
              <w:t>Participating cumulative preferred – None issued</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$1 par value. Authorized – 2,400,000,000 shares</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480"/>
              <w:spacing w:after="0"/>
              <w:rPr>
                <w:sz w:val="20"/>
                <w:szCs w:val="20"/>
                <w:color w:val="auto"/>
              </w:rPr>
            </w:pPr>
            <w:r>
              <w:rPr>
                <w:rFonts w:ascii="Arial" w:cs="Arial" w:eastAsia="Arial" w:hAnsi="Arial"/>
                <w:sz w:val="18"/>
                <w:szCs w:val="18"/>
                <w:color w:val="auto"/>
              </w:rPr>
              <w:t>Shares issued – 1,740,815,939</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Paid-in capital</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31,176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common stock at cost</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480"/>
              <w:spacing w:after="0"/>
              <w:rPr>
                <w:sz w:val="20"/>
                <w:szCs w:val="20"/>
                <w:color w:val="auto"/>
              </w:rPr>
            </w:pPr>
            <w:r>
              <w:rPr>
                <w:rFonts w:ascii="Arial" w:cs="Arial" w:eastAsia="Arial" w:hAnsi="Arial"/>
                <w:sz w:val="18"/>
                <w:szCs w:val="18"/>
                <w:color w:val="auto"/>
              </w:rPr>
              <w:t>Shares: 2015 – 729,547,527; 2014 – 694,189,127</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(24,068)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 (loss), net of taxes (AOCI)</w:t>
            </w: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(532)</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1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16,230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December 31, 2015, we elected to early adopt and retrospectively apply two new accounting standards that require reclassification on our Consolidated Balance Sheets of: (1) deferred income taxes from current to noncurrent accounts, and (2) debt issuance costs from Other assets to Long-term debt. We have reclassified these amounts in the prior periods’ financial statements to conform to the 2015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For Three Months Ended</w:t>
            </w:r>
          </w:p>
        </w:tc>
        <w:tc>
          <w:tcPr>
            <w:tcW w:w="240" w:type="dxa"/>
            <w:vAlign w:val="bottom"/>
          </w:tcPr>
          <w:p>
            <w:pPr>
              <w:spacing w:after="0"/>
              <w:rPr>
                <w:sz w:val="19"/>
                <w:szCs w:val="19"/>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For Years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2,986</w:t>
            </w:r>
          </w:p>
        </w:tc>
        <w:tc>
          <w:tcPr>
            <w:tcW w:w="26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Net income: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Amortization of capitalized software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Gains on sales of assets</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(55)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Increase (decrease) from changes in:</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funded status of retirement plans</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(88)</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(164)</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(551)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Proceeds from asset sales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(1,054)</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(937)</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(2,767)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Proceeds from short-term investments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2,892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debt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(1,000)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(386)</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repurchases</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(627)</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(2,741)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Proceeds from common stock transactions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tax benefit from share-based payments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9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(133)</w:t>
            </w:r>
          </w:p>
        </w:tc>
        <w:tc>
          <w:tcPr>
            <w:tcW w:w="24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4Q15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4Q15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4Q14</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1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Embedded Processing:</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21" w:lineRule="exact"/>
        <w:rPr>
          <w:sz w:val="20"/>
          <w:szCs w:val="20"/>
          <w:color w:val="auto"/>
        </w:rPr>
      </w:pPr>
    </w:p>
    <w:p>
      <w:pPr>
        <w:ind w:left="5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decreased due to Power Management and High Performance Analog. Silicon Valley Analog also declined while High Volume Analog &amp; Logic grew.</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Microcontrollers, Processors and Connectivity)</w:t>
      </w:r>
    </w:p>
    <w:p>
      <w:pPr>
        <w:spacing w:after="0" w:line="12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due to Connectivity and Microcontrollers. Processors declined.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due to lower operating expenses as well as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 products, calculators, custom ASIC products and royalties)</w:t>
      </w:r>
    </w:p>
    <w:p>
      <w:pPr>
        <w:spacing w:after="0" w:line="12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declined due to custom ASIC products and DLP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primarily due to Restructuring charges/other, partially offset by lower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121"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Year 2015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1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8,339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8,104</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Embedded Processing:</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2,201</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prior year:</w:t>
      </w:r>
    </w:p>
    <w:p>
      <w:pPr>
        <w:spacing w:after="0" w:line="117" w:lineRule="exact"/>
        <w:rPr>
          <w:sz w:val="20"/>
          <w:szCs w:val="20"/>
          <w:color w:val="auto"/>
        </w:rPr>
      </w:pPr>
    </w:p>
    <w:p>
      <w:pPr>
        <w:ind w:left="520" w:right="600" w:hanging="512"/>
        <w:spacing w:after="0" w:line="342"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Analog revenue increased primarily due to High Volume Analog &amp; Logic. Power Management and Silicon Valley Analog also grew and High Performance Analog declined. Operating profit increased due to higher revenue and associated gross profit, and lower manufacturing costs.</w:t>
      </w:r>
    </w:p>
    <w:p>
      <w:pPr>
        <w:spacing w:after="0" w:line="15" w:lineRule="exact"/>
        <w:rPr>
          <w:rFonts w:ascii="Arial" w:cs="Arial" w:eastAsia="Arial" w:hAnsi="Arial"/>
          <w:sz w:val="16"/>
          <w:szCs w:val="16"/>
          <w:color w:val="auto"/>
        </w:rPr>
      </w:pPr>
    </w:p>
    <w:p>
      <w:pPr>
        <w:ind w:left="520" w:right="32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Embedded Processing revenue increased due to Connectivity and Microcontrollers, which together offset a decline in Processors. Operating profit increased primarily due to lower operating expenses.</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revenue declined primarily due to custom ASIC products. Revenue from DLP products also declined. Operating profit declined primarily due to lower revenue and associated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For Years Ended</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(385)</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Revenue</w:t>
            </w:r>
          </w:p>
        </w:tc>
        <w:tc>
          <w:tcPr>
            <w:tcW w:w="6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Cash flow from operations as a percent of revenue (GAAP)</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32.8%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29.8%</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11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62" w:lineRule="exact"/>
        <w:rPr>
          <w:sz w:val="20"/>
          <w:szCs w:val="20"/>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markets such as personal electronics and communications equipment;</w:t>
      </w:r>
    </w:p>
    <w:p>
      <w:pPr>
        <w:spacing w:after="0" w:line="117" w:lineRule="exact"/>
        <w:rPr>
          <w:rFonts w:ascii="Arial" w:cs="Arial" w:eastAsia="Arial" w:hAnsi="Arial"/>
          <w:sz w:val="18"/>
          <w:szCs w:val="18"/>
          <w:color w:val="auto"/>
        </w:rPr>
      </w:pPr>
    </w:p>
    <w:p>
      <w:pPr>
        <w:ind w:left="780" w:right="260" w:hanging="515"/>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17" w:lineRule="exact"/>
        <w:rPr>
          <w:rFonts w:ascii="Arial" w:cs="Arial" w:eastAsia="Arial" w:hAnsi="Arial"/>
          <w:sz w:val="18"/>
          <w:szCs w:val="18"/>
          <w:color w:val="auto"/>
        </w:rPr>
      </w:pPr>
    </w:p>
    <w:p>
      <w:pPr>
        <w:ind w:left="780" w:right="420" w:hanging="515"/>
        <w:spacing w:after="0" w:line="26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Natural events such as health epidemics, severe weather and earthquakes in the locations in which TI, its customers or its suppliers operate;</w:t>
      </w:r>
    </w:p>
    <w:p>
      <w:pPr>
        <w:spacing w:after="0" w:line="128" w:lineRule="exact"/>
        <w:rPr>
          <w:rFonts w:ascii="Arial" w:cs="Arial" w:eastAsia="Arial" w:hAnsi="Arial"/>
          <w:sz w:val="17"/>
          <w:szCs w:val="17"/>
          <w:color w:val="auto"/>
        </w:rPr>
      </w:pPr>
    </w:p>
    <w:p>
      <w:pPr>
        <w:ind w:left="780" w:hanging="515"/>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780" w:right="20" w:hanging="515"/>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62" w:lineRule="exact"/>
        <w:rPr>
          <w:rFonts w:ascii="Arial" w:cs="Arial" w:eastAsia="Arial" w:hAnsi="Arial"/>
          <w:sz w:val="18"/>
          <w:szCs w:val="18"/>
          <w:color w:val="auto"/>
        </w:rPr>
      </w:pPr>
    </w:p>
    <w:p>
      <w:pPr>
        <w:ind w:left="780" w:right="320" w:hanging="515"/>
        <w:spacing w:after="0" w:line="34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15" w:lineRule="exact"/>
        <w:rPr>
          <w:rFonts w:ascii="Arial" w:cs="Arial" w:eastAsia="Arial" w:hAnsi="Arial"/>
          <w:sz w:val="16"/>
          <w:szCs w:val="16"/>
          <w:color w:val="auto"/>
        </w:rPr>
      </w:pPr>
    </w:p>
    <w:p>
      <w:pPr>
        <w:ind w:left="780" w:hanging="515"/>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28" w:lineRule="exact"/>
        <w:rPr>
          <w:rFonts w:ascii="Arial" w:cs="Arial" w:eastAsia="Arial" w:hAnsi="Arial"/>
          <w:sz w:val="17"/>
          <w:szCs w:val="17"/>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17" w:lineRule="exact"/>
        <w:rPr>
          <w:rFonts w:ascii="Arial" w:cs="Arial" w:eastAsia="Arial" w:hAnsi="Arial"/>
          <w:sz w:val="18"/>
          <w:szCs w:val="18"/>
          <w:color w:val="auto"/>
        </w:rPr>
      </w:pPr>
    </w:p>
    <w:p>
      <w:pPr>
        <w:ind w:left="780" w:right="320" w:hanging="515"/>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recalls by TI customers for a product containing a TI part or other legal proceedings;</w:t>
      </w:r>
    </w:p>
    <w:p>
      <w:pPr>
        <w:spacing w:after="0" w:line="62"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17" w:lineRule="exact"/>
        <w:rPr>
          <w:rFonts w:ascii="Arial" w:cs="Arial" w:eastAsia="Arial" w:hAnsi="Arial"/>
          <w:sz w:val="18"/>
          <w:szCs w:val="18"/>
          <w:color w:val="auto"/>
        </w:rPr>
      </w:pPr>
    </w:p>
    <w:p>
      <w:pPr>
        <w:ind w:left="780" w:right="260" w:hanging="515"/>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17" w:lineRule="exact"/>
        <w:rPr>
          <w:rFonts w:ascii="Arial" w:cs="Arial" w:eastAsia="Arial" w:hAnsi="Arial"/>
          <w:sz w:val="18"/>
          <w:szCs w:val="18"/>
          <w:color w:val="auto"/>
        </w:rPr>
      </w:pPr>
    </w:p>
    <w:p>
      <w:pPr>
        <w:ind w:left="780" w:hanging="515"/>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780" w:hanging="5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 w:name="page13"/>
    <w:bookmarkEnd w:id="12"/>
    <w:p>
      <w:pPr>
        <w:jc w:val="both"/>
        <w:ind w:right="8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2014. The forward-looking statements included in this release are made only as of the date of this release. TI undertakes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200"/>
      </w:cols>
      <w:pgMar w:left="240" w:top="3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2019-12-05T10:54:22Z</dcterms:created>
  <dcterms:modified xsi:type="dcterms:W3CDTF">2019-12-05T10:54:22Z</dcterms:modified>
</cp:coreProperties>
</file>