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0001186342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Texas Instruments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001-03761</w:t>
      </w:r>
    </w:p>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12500 TI Boulevard</w:t>
      </w:r>
    </w:p>
    <w:p>
      <w:pPr>
        <w:spacing w:after="0" w:line="10" w:lineRule="exact"/>
        <w:rPr>
          <w:sz w:val="24"/>
          <w:szCs w:val="24"/>
          <w:color w:val="auto"/>
        </w:rPr>
      </w:pPr>
    </w:p>
    <w:p>
      <w:pPr>
        <w:spacing w:after="0"/>
        <w:rPr>
          <w:sz w:val="20"/>
          <w:szCs w:val="20"/>
          <w:color w:val="auto"/>
        </w:rPr>
      </w:pPr>
      <w:r>
        <w:rPr>
          <w:rFonts w:ascii="Arial" w:cs="Arial" w:eastAsia="Arial" w:hAnsi="Arial"/>
          <w:sz w:val="22"/>
          <w:szCs w:val="22"/>
          <w:color w:val="auto"/>
        </w:rPr>
        <w:t>Dallas</w:t>
      </w:r>
    </w:p>
    <w:p>
      <w:pPr>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75243</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2144793773</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Ronald Kirk</w:t>
      </w:r>
    </w:p>
    <w:p>
      <w:pPr>
        <w:spacing w:after="0" w:line="44" w:lineRule="exact"/>
        <w:rPr>
          <w:sz w:val="24"/>
          <w:szCs w:val="24"/>
          <w:color w:val="auto"/>
        </w:rPr>
      </w:pPr>
    </w:p>
    <w:p>
      <w:pPr>
        <w:sectPr>
          <w:pgSz w:w="11900" w:h="16838" w:orient="portrait"/>
          <w:cols w:equalWidth="0" w:num="2">
            <w:col w:w="7680" w:space="720"/>
            <w:col w:w="28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2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2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8"/>
              </w:rPr>
              <w:t>UBS Financial Services</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w:t>
            </w: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12299</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w w:val="89"/>
              </w:rPr>
              <w:t>1789547.22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6"/>
              </w:rPr>
              <w:t>Weehawken  NJ  07086</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908204093</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11/13/2023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0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1"/>
                <w:szCs w:val="21"/>
                <w:color w:val="auto"/>
              </w:rPr>
            </w:pPr>
          </w:p>
        </w:tc>
        <w:tc>
          <w:tcPr>
            <w:tcW w:w="3040" w:type="dxa"/>
            <w:vAlign w:val="bottom"/>
          </w:tcPr>
          <w:p>
            <w:pPr>
              <w:ind w:left="1780"/>
              <w:spacing w:after="0"/>
              <w:rPr>
                <w:sz w:val="20"/>
                <w:szCs w:val="20"/>
                <w:color w:val="auto"/>
              </w:rPr>
            </w:pPr>
            <w:r>
              <w:rPr>
                <w:rFonts w:ascii="Arial" w:cs="Arial" w:eastAsia="Arial" w:hAnsi="Arial"/>
                <w:sz w:val="22"/>
                <w:szCs w:val="22"/>
                <w:b w:val="1"/>
                <w:bCs w:val="1"/>
                <w:color w:val="auto"/>
                <w:w w:val="99"/>
              </w:rPr>
              <w:t>Transaction</w:t>
            </w:r>
          </w:p>
        </w:tc>
        <w:tc>
          <w:tcPr>
            <w:tcW w:w="1600" w:type="dxa"/>
            <w:vAlign w:val="bottom"/>
          </w:tcPr>
          <w:p>
            <w:pPr>
              <w:jc w:val="center"/>
              <w:ind w:left="72"/>
              <w:spacing w:after="0"/>
              <w:rPr>
                <w:sz w:val="20"/>
                <w:szCs w:val="20"/>
                <w:color w:val="auto"/>
              </w:rPr>
            </w:pPr>
            <w:r>
              <w:rPr>
                <w:rFonts w:ascii="Arial" w:cs="Arial" w:eastAsia="Arial" w:hAnsi="Arial"/>
                <w:sz w:val="22"/>
                <w:szCs w:val="22"/>
                <w:b w:val="1"/>
                <w:bCs w:val="1"/>
                <w:color w:val="auto"/>
                <w:w w:val="92"/>
              </w:rPr>
              <w:t>Whom</w:t>
            </w:r>
          </w:p>
        </w:tc>
        <w:tc>
          <w:tcPr>
            <w:tcW w:w="272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Arial" w:cs="Arial" w:eastAsia="Arial" w:hAnsi="Arial"/>
                <w:sz w:val="22"/>
                <w:szCs w:val="22"/>
                <w:b w:val="1"/>
                <w:bCs w:val="1"/>
                <w:color w:val="auto"/>
                <w:w w:val="90"/>
              </w:rPr>
              <w:t>Acquired</w:t>
            </w:r>
          </w:p>
        </w:tc>
        <w:tc>
          <w:tcPr>
            <w:tcW w:w="272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00" w:type="dxa"/>
            <w:vAlign w:val="bottom"/>
            <w:vMerge w:val="restart"/>
          </w:tcPr>
          <w:p>
            <w:pPr>
              <w:spacing w:after="0"/>
              <w:rPr>
                <w:sz w:val="20"/>
                <w:szCs w:val="20"/>
                <w:color w:val="auto"/>
              </w:rPr>
            </w:pPr>
            <w:r>
              <w:rPr>
                <w:rFonts w:ascii="Arial" w:cs="Arial" w:eastAsia="Arial" w:hAnsi="Arial"/>
                <w:sz w:val="22"/>
                <w:szCs w:val="22"/>
                <w:color w:val="auto"/>
              </w:rPr>
              <w:t>comm</w:t>
            </w:r>
          </w:p>
        </w:tc>
        <w:tc>
          <w:tcPr>
            <w:tcW w:w="3040" w:type="dxa"/>
            <w:vAlign w:val="bottom"/>
            <w:vMerge w:val="restart"/>
          </w:tcPr>
          <w:p>
            <w:pPr>
              <w:ind w:left="460"/>
              <w:spacing w:after="0"/>
              <w:rPr>
                <w:sz w:val="20"/>
                <w:szCs w:val="20"/>
                <w:color w:val="auto"/>
              </w:rPr>
            </w:pPr>
            <w:r>
              <w:rPr>
                <w:rFonts w:ascii="Arial" w:cs="Arial" w:eastAsia="Arial" w:hAnsi="Arial"/>
                <w:sz w:val="22"/>
                <w:szCs w:val="22"/>
                <w:color w:val="auto"/>
              </w:rPr>
              <w:t>01/23/2014 ESOP</w:t>
            </w:r>
          </w:p>
        </w:tc>
        <w:tc>
          <w:tcPr>
            <w:tcW w:w="1600" w:type="dxa"/>
            <w:vAlign w:val="bottom"/>
          </w:tcPr>
          <w:p>
            <w:pPr>
              <w:ind w:left="160"/>
              <w:spacing w:after="0"/>
              <w:rPr>
                <w:sz w:val="20"/>
                <w:szCs w:val="20"/>
                <w:color w:val="auto"/>
              </w:rPr>
            </w:pPr>
            <w:r>
              <w:rPr>
                <w:rFonts w:ascii="Arial" w:cs="Arial" w:eastAsia="Arial" w:hAnsi="Arial"/>
                <w:sz w:val="22"/>
                <w:szCs w:val="22"/>
                <w:color w:val="auto"/>
              </w:rPr>
              <w:t>Texas</w:t>
            </w:r>
          </w:p>
        </w:tc>
        <w:tc>
          <w:tcPr>
            <w:tcW w:w="2720" w:type="dxa"/>
            <w:vAlign w:val="bottom"/>
            <w:vMerge w:val="restart"/>
          </w:tcPr>
          <w:p>
            <w:pPr>
              <w:jc w:val="right"/>
              <w:ind w:right="532"/>
              <w:spacing w:after="0"/>
              <w:rPr>
                <w:sz w:val="20"/>
                <w:szCs w:val="20"/>
                <w:color w:val="auto"/>
              </w:rPr>
            </w:pPr>
            <w:r>
              <w:rPr>
                <w:rFonts w:ascii="Arial" w:cs="Arial" w:eastAsia="Arial" w:hAnsi="Arial"/>
                <w:sz w:val="22"/>
                <w:szCs w:val="22"/>
                <w:color w:val="auto"/>
              </w:rPr>
              <w:t>12299</w:t>
            </w:r>
          </w:p>
        </w:tc>
        <w:tc>
          <w:tcPr>
            <w:tcW w:w="1540" w:type="dxa"/>
            <w:vAlign w:val="bottom"/>
            <w:vMerge w:val="restart"/>
          </w:tcPr>
          <w:p>
            <w:pPr>
              <w:ind w:left="120"/>
              <w:spacing w:after="0"/>
              <w:rPr>
                <w:sz w:val="20"/>
                <w:szCs w:val="20"/>
                <w:color w:val="auto"/>
              </w:rPr>
            </w:pPr>
            <w:r>
              <w:rPr>
                <w:rFonts w:ascii="Arial" w:cs="Arial" w:eastAsia="Arial" w:hAnsi="Arial"/>
                <w:sz w:val="22"/>
                <w:szCs w:val="22"/>
                <w:color w:val="auto"/>
                <w:w w:val="86"/>
              </w:rPr>
              <w:t>11/13/2023 cash</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3040" w:type="dxa"/>
            <w:vAlign w:val="bottom"/>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Arial" w:cs="Arial" w:eastAsia="Arial" w:hAnsi="Arial"/>
                <w:sz w:val="22"/>
                <w:szCs w:val="22"/>
                <w:color w:val="auto"/>
                <w:w w:val="94"/>
              </w:rPr>
              <w:t>Instruments Inc</w:t>
            </w:r>
          </w:p>
        </w:tc>
        <w:tc>
          <w:tcPr>
            <w:tcW w:w="27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Remarks</w:t>
            </w:r>
          </w:p>
        </w:tc>
        <w:tc>
          <w:tcPr>
            <w:tcW w:w="1380" w:type="dxa"/>
            <w:vAlign w:val="bottom"/>
          </w:tcPr>
          <w:p>
            <w:pPr>
              <w:spacing w:after="0"/>
              <w:rPr>
                <w:sz w:val="23"/>
                <w:szCs w:val="23"/>
                <w:color w:val="auto"/>
              </w:rPr>
            </w:pP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Date of Notice</w:t>
            </w:r>
          </w:p>
        </w:tc>
        <w:tc>
          <w:tcPr>
            <w:tcW w:w="1380" w:type="dxa"/>
            <w:vAlign w:val="bottom"/>
          </w:tcPr>
          <w:p>
            <w:pPr>
              <w:jc w:val="right"/>
              <w:spacing w:after="0"/>
              <w:rPr>
                <w:sz w:val="20"/>
                <w:szCs w:val="20"/>
                <w:color w:val="auto"/>
              </w:rPr>
            </w:pPr>
            <w:r>
              <w:rPr>
                <w:rFonts w:ascii="Arial" w:cs="Arial" w:eastAsia="Arial" w:hAnsi="Arial"/>
                <w:sz w:val="22"/>
                <w:szCs w:val="22"/>
                <w:color w:val="auto"/>
              </w:rPr>
              <w:t>11/13/2023</w:t>
            </w:r>
          </w:p>
        </w:tc>
      </w:tr>
      <w:tr>
        <w:trPr>
          <w:trHeight w:val="297"/>
        </w:trPr>
        <w:tc>
          <w:tcPr>
            <w:tcW w:w="16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3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1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UBS Financial Services Inc, as attorney-in-fact for Ronald Kirk</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2023-11-13T15:18:55Z</dcterms:created>
  <dcterms:modified xsi:type="dcterms:W3CDTF">2023-11-13T15:18:55Z</dcterms:modified>
</cp:coreProperties>
</file>