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40"/>
        <w:spacing w:after="0"/>
        <w:rPr>
          <w:sz w:val="20"/>
          <w:szCs w:val="20"/>
          <w:color w:val="auto"/>
        </w:rPr>
      </w:pPr>
      <w:r>
        <w:rPr>
          <w:rFonts w:ascii="Arial" w:cs="Arial" w:eastAsia="Arial" w:hAnsi="Arial"/>
          <w:sz w:val="22"/>
          <w:szCs w:val="22"/>
          <w:b w:val="1"/>
          <w:bCs w:val="1"/>
          <w:color w:val="auto"/>
        </w:rPr>
        <w:t>DATE OF REPORT (DATE OF EARLIEST EVENT REPORTED):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5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12500 TI BOULEVARD P.O. BOX 660199</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5"/>
              </w:rPr>
              <w:t>DALLAS, TEXAS 75266-0199</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July 21, 2014, regarding its second-quarter 2014 results of operations and financial condition is attached hereto as Exhibit 99.</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attached news release includes references to the following financial measures that were not prepared in accordance with generally accepted accounting principles in the United States (non-GAAP measures): free cash flow, ratios based on free cash flow, and revenue without legacy wireless results.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Exhibits</w:t>
            </w:r>
          </w:p>
        </w:tc>
      </w:tr>
      <w:tr>
        <w:trPr>
          <w:trHeight w:val="373"/>
        </w:trPr>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Designation</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49"/>
        </w:trPr>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of Exhibit</w:t>
            </w: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60" w:type="dxa"/>
            <w:vAlign w:val="bottom"/>
          </w:tcPr>
          <w:p>
            <w:pPr>
              <w:spacing w:after="0"/>
              <w:rPr>
                <w:sz w:val="12"/>
                <w:szCs w:val="12"/>
                <w:color w:val="auto"/>
              </w:rPr>
            </w:pPr>
          </w:p>
        </w:tc>
      </w:tr>
      <w:tr>
        <w:trPr>
          <w:trHeight w:val="149"/>
        </w:trPr>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in this</w:t>
            </w: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60" w:type="dxa"/>
            <w:vAlign w:val="bottom"/>
          </w:tcPr>
          <w:p>
            <w:pPr>
              <w:spacing w:after="0"/>
              <w:rPr>
                <w:sz w:val="12"/>
                <w:szCs w:val="12"/>
                <w:color w:val="auto"/>
              </w:rPr>
            </w:pPr>
          </w:p>
        </w:tc>
      </w:tr>
      <w:tr>
        <w:trPr>
          <w:trHeight w:val="1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Report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Description of Exhibit</w:t>
            </w:r>
          </w:p>
        </w:tc>
        <w:tc>
          <w:tcPr>
            <w:tcW w:w="456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0"/>
              </w:rPr>
              <w:t>Registrant’s News Release Dated July 21, 2014 (furnished pursuant to Item 2.02)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21, 2014</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2Q14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DALLAS (July 21, 2014) – Texas Instruments Incorporated (TI) (NASDAQ: TXN) today reported second-quarter revenue of $3.29 billion, net income of $683 million and earnings per share of 62 cents.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42" w:lineRule="exact"/>
        <w:rPr>
          <w:sz w:val="20"/>
          <w:szCs w:val="20"/>
          <w:color w:val="auto"/>
        </w:rPr>
      </w:pPr>
    </w:p>
    <w:p>
      <w:pPr>
        <w:ind w:left="460" w:right="20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quarter came in just above the middle of our expected range and earnings were near the top of the range, marking another quarter of solid execution.</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delivered 8 percent year-over-year revenue growth, or 13 percent when legacy wireless revenue is excluded. Analog and Embedded Processing comprised 82 percent of second-quarter revenue, 4 points higher than a year ago.</w:t>
      </w:r>
    </w:p>
    <w:p>
      <w:pPr>
        <w:spacing w:after="0" w:line="75" w:lineRule="exact"/>
        <w:rPr>
          <w:rFonts w:ascii="Arial" w:cs="Arial" w:eastAsia="Arial" w:hAnsi="Arial"/>
          <w:sz w:val="18"/>
          <w:szCs w:val="18"/>
          <w:color w:val="auto"/>
        </w:rPr>
      </w:pPr>
    </w:p>
    <w:p>
      <w:pPr>
        <w:ind w:left="460" w:right="8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of 57.1 percent, a new record, reflects the quality of our Analog and Embedded Processing portfolio and the efficiency of our manufacturing strategy.</w:t>
      </w:r>
    </w:p>
    <w:p>
      <w:pPr>
        <w:spacing w:after="0" w:line="7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strength of our business model is reflected in our generation of cash flow from operations. Free cash flow for the trailing twelve-month period was up 10 percent from a year ago to $3.2 billion, or 25 percent of revenue. This is consistent with our target of 20-30 percent.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$4.2 billion to shareholders in the past twelve months through dividends paid and stock repurchases. Our strategy to return to shareholders all free cash flow not needed for net debt retirement, and to return proceeds from exercises of equity compensation, reflects our confidence in the long-term sustainability of our business model.</w:t>
      </w:r>
    </w:p>
    <w:p>
      <w:pPr>
        <w:spacing w:after="0" w:line="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balance sheet remains strong, with $2.8 billion of cash and short-term investments at the end of the quarter, 82 percent of which was owned by the company’s U.S. entities. Inventory days were 111, consistent with our model of 105-115 days.</w:t>
      </w:r>
    </w:p>
    <w:p>
      <w:pPr>
        <w:spacing w:after="0" w:line="75"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outlook for the third quarter of 2014 is for revenue in the range of $3.31 billion to $3.59 billion and earnings per share between $0.66 and $0.76. The annual effective tax rate for 2014 is expected to be about 28 percent, unchanged from our previous guidance.”</w:t>
      </w:r>
    </w:p>
    <w:p>
      <w:pPr>
        <w:spacing w:after="0" w:line="1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i w:val="1"/>
          <w:iCs w:val="1"/>
          <w:color w:val="auto"/>
        </w:rPr>
        <w:t>Revenue excluding legacy wireless and free cash flow are non-GAAP financial measures. Free cash flow is cash flow from operations less capital expenditures.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2Q14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2Q13</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982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906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820" w:type="dxa"/>
            <w:vAlign w:val="bottom"/>
          </w:tcPr>
          <w:p>
            <w:pPr>
              <w:spacing w:after="0"/>
              <w:rPr>
                <w:sz w:val="14"/>
                <w:szCs w:val="14"/>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w w:val="99"/>
              </w:rPr>
              <w:t>2Q14</w:t>
            </w:r>
          </w:p>
        </w:tc>
        <w:tc>
          <w:tcPr>
            <w:tcW w:w="5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color w:val="auto"/>
              </w:rPr>
              <w:t>Trailing 12 Months</w:t>
            </w:r>
          </w:p>
        </w:tc>
        <w:tc>
          <w:tcPr>
            <w:tcW w:w="440" w:type="dxa"/>
            <w:vAlign w:val="bottom"/>
            <w:vMerge w:val="restart"/>
          </w:tcPr>
          <w:p>
            <w:pPr>
              <w:spacing w:after="0"/>
              <w:rPr>
                <w:sz w:val="20"/>
                <w:szCs w:val="20"/>
                <w:color w:val="auto"/>
              </w:rPr>
            </w:pPr>
            <w:r>
              <w:rPr>
                <w:rFonts w:ascii="Arial" w:cs="Arial" w:eastAsia="Arial" w:hAnsi="Arial"/>
                <w:sz w:val="14"/>
                <w:szCs w:val="14"/>
                <w:color w:val="auto"/>
                <w:w w:val="85"/>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7"/>
              </w:rPr>
              <w:t>2Q14</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7"/>
              </w:rPr>
              <w:t>2Q13</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3,587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3,323</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427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695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2,896</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3"/>
          </w:tcPr>
          <w:p>
            <w:pPr>
              <w:ind w:left="460"/>
              <w:spacing w:after="0"/>
              <w:rPr>
                <w:sz w:val="20"/>
                <w:szCs w:val="20"/>
                <w:color w:val="auto"/>
              </w:rPr>
            </w:pPr>
            <w:r>
              <w:rPr>
                <w:rFonts w:ascii="Arial" w:cs="Arial" w:eastAsia="Arial" w:hAnsi="Arial"/>
                <w:sz w:val="18"/>
                <w:szCs w:val="18"/>
                <w:color w:val="auto"/>
              </w:rPr>
              <w:t>Free cash flow % of revenue</w:t>
            </w:r>
          </w:p>
        </w:tc>
        <w:tc>
          <w:tcPr>
            <w:tcW w:w="500" w:type="dxa"/>
            <w:vAlign w:val="bottom"/>
            <w:gridSpan w:val="2"/>
          </w:tcPr>
          <w:p>
            <w:pPr>
              <w:jc w:val="right"/>
              <w:ind w:right="14"/>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0"/>
                <w:szCs w:val="20"/>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88"/>
              </w:rPr>
              <w:t>25%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0" w:type="dxa"/>
            <w:vAlign w:val="bottom"/>
            <w:gridSpan w:val="3"/>
          </w:tcPr>
          <w:p>
            <w:pPr>
              <w:spacing w:after="0"/>
              <w:rPr>
                <w:sz w:val="20"/>
                <w:szCs w:val="20"/>
                <w:color w:val="auto"/>
              </w:rPr>
            </w:pPr>
            <w:r>
              <w:rPr>
                <w:rFonts w:ascii="Arial" w:cs="Arial" w:eastAsia="Arial" w:hAnsi="Arial"/>
                <w:sz w:val="18"/>
                <w:szCs w:val="18"/>
                <w:color w:val="auto"/>
              </w:rPr>
              <w:t>Capital expenditures for the past twelve months were 3 percent of revenue.</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6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14"/>
                <w:szCs w:val="14"/>
                <w:color w:val="auto"/>
                <w:w w:val="87"/>
              </w:rPr>
              <w:t>2Q14</w:t>
            </w:r>
          </w:p>
        </w:tc>
        <w:tc>
          <w:tcPr>
            <w:tcW w:w="460" w:type="dxa"/>
            <w:vAlign w:val="bottom"/>
            <w:vMerge w:val="restart"/>
          </w:tcPr>
          <w:p>
            <w:pPr>
              <w:spacing w:after="0"/>
              <w:rPr>
                <w:sz w:val="24"/>
                <w:szCs w:val="2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color w:val="auto"/>
              </w:rPr>
              <w:t>Trailing 12 Months</w:t>
            </w:r>
          </w:p>
        </w:tc>
        <w:tc>
          <w:tcPr>
            <w:tcW w:w="440" w:type="dxa"/>
            <w:vAlign w:val="bottom"/>
            <w:vMerge w:val="restart"/>
          </w:tcPr>
          <w:p>
            <w:pPr>
              <w:spacing w:after="0"/>
              <w:rPr>
                <w:sz w:val="20"/>
                <w:szCs w:val="20"/>
                <w:color w:val="auto"/>
              </w:rPr>
            </w:pPr>
            <w:r>
              <w:rPr>
                <w:rFonts w:ascii="Arial" w:cs="Arial" w:eastAsia="Arial" w:hAnsi="Arial"/>
                <w:sz w:val="14"/>
                <w:szCs w:val="14"/>
                <w:color w:val="auto"/>
                <w:w w:val="85"/>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2Q14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1"/>
              </w:rPr>
              <w:t>2Q13</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$1,282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Stock repurchases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743</w:t>
            </w:r>
          </w:p>
        </w:tc>
        <w:tc>
          <w:tcPr>
            <w:tcW w:w="980" w:type="dxa"/>
            <w:vAlign w:val="bottom"/>
            <w:gridSpan w:val="2"/>
          </w:tcPr>
          <w:p>
            <w:pPr>
              <w:spacing w:after="0"/>
              <w:rPr>
                <w:sz w:val="20"/>
                <w:szCs w:val="20"/>
                <w:color w:val="auto"/>
              </w:rPr>
            </w:pPr>
            <w:r>
              <w:rPr>
                <w:rFonts w:ascii="Arial" w:cs="Arial" w:eastAsia="Arial" w:hAnsi="Arial"/>
                <w:sz w:val="18"/>
                <w:szCs w:val="18"/>
                <w:color w:val="auto"/>
              </w:rPr>
              <w:t>$2,931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2,600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1,066</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3,571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company’s targeted cash return model is free cash flow minus net debt retirement plus proceeds from exercises of equity compensation.</w:t>
      </w:r>
    </w:p>
    <w:p>
      <w:pPr>
        <w:sectPr>
          <w:pgSz w:w="11900" w:h="16838" w:orient="portrait"/>
          <w:cols w:equalWidth="0" w:num="1">
            <w:col w:w="10960"/>
          </w:cols>
          <w:pgMar w:left="240" w:top="270" w:right="6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9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3,292</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1,411</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1,881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349</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472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Acquisition charges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982</w:t>
            </w: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961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278</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9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1,071</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1,086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57.1%</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14.3%</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required by accounting rule ASC 260, net income allocated to unvested restricted stock units (RSUs), on which we pay dividend equivalents, is excluded from the calculation of EPS. The amount excluded is $10 million and $11 million for the quarters ending June 30, 2014 and 2013.</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($14) and ($31)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(3,408)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17,810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19,398</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 issued.</w:t>
            </w:r>
          </w:p>
        </w:tc>
        <w:tc>
          <w:tcPr>
            <w:tcW w:w="5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1,273</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28,686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27,677</w:t>
            </w: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Treasury common stock at cost. Shares: June 30, 2014 – 673,260,360; June 30, 2013 – 639,643,135</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(20,722)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(18,877)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 of taxes</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30"/>
        </w:trPr>
        <w:tc>
          <w:tcPr>
            <w:tcW w:w="2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10,466</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$ 17,810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$ 19,398</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 have been reclassified to conform to the current presentation.</w:t>
      </w:r>
    </w:p>
    <w:p>
      <w:pPr>
        <w:sectPr>
          <w:pgSz w:w="11900" w:h="16838" w:orient="portrait"/>
          <w:cols w:equalWidth="0" w:num="1">
            <w:col w:w="11420"/>
          </w:cols>
          <w:pgMar w:left="240" w:top="2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For 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acquisition-related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Amortization of 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Gain on sales of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Increase (decrease) from changes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funded status of retirement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775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Proceeds from asset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(415)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Proceeds from 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w:t>
            </w:r>
          </w:p>
        </w:tc>
        <w:tc>
          <w:tcPr>
            <w:tcW w:w="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(323)</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repurchases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(743)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Proceeds from common stock transactions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125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share-based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(1,926)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 have been reclassified to conform to the current presentation.</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2Q14 segment results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color w:val="auto"/>
                <w:w w:val="87"/>
              </w:rPr>
              <w:t>2Q14</w:t>
            </w: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w w:val="87"/>
              </w:rPr>
              <w:t>2Q13</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Change</w:t>
            </w: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1,745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594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684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Acquisition charges and Restructuring charges/other.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35"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primarily due to Power Management. High Performance Analog, High Volume Analog &amp; Logic and Silicon Valley Analog also grew.</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r>
        <w:rPr>
          <w:rFonts w:ascii="Arial" w:cs="Arial" w:eastAsia="Arial" w:hAnsi="Arial"/>
          <w:sz w:val="18"/>
          <w:szCs w:val="18"/>
          <w:color w:val="auto"/>
        </w:rPr>
        <w:t>)</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increased primarily due to Processors and Microcontrollers, both of which grew about the same amount. Connectivity also grew.</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declined due to legacy wireless products.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due to the non-recurrence of a gain associated with the transfer of wireless connectivity technology.</w:t>
      </w:r>
    </w:p>
    <w:p>
      <w:pPr>
        <w:sectPr>
          <w:pgSz w:w="11900" w:h="16838" w:orient="portrait"/>
          <w:cols w:equalWidth="0" w:num="1">
            <w:col w:w="11040"/>
          </w:cols>
          <w:pgMar w:left="240" w:top="270" w:right="6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release includes a reference to TI’s revenue excluding legacy wireless product revenue. The company believes this measure, which was not prepared in accordance with generally accepted accounting principles in the United States (GAAP) and is supplemental to the comparable GAAP measure, provides investors with insight into TI’s underlying business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 is provided in the table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6"/>
              </w:rPr>
              <w:t>For Three Months Ended June 30,</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 (GAAP)</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Legacy wireless revenue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TI Revenue less legacy wireless revenue (non-GAAP)</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release also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For Three</w:t>
            </w: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w w:val="95"/>
              </w:rPr>
              <w:t>For Twelve Months Ended June 30,</w:t>
            </w: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5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160" w:type="dxa"/>
            <w:vAlign w:val="bottom"/>
            <w:gridSpan w:val="6"/>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58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June 30, 2014</w:t>
            </w:r>
          </w:p>
        </w:tc>
        <w:tc>
          <w:tcPr>
            <w:tcW w:w="580" w:type="dxa"/>
            <w:vAlign w:val="bottom"/>
            <w:tcBorders>
              <w:lef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3,292</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left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12,547</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7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 from operations (GAAP)</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775</w:t>
            </w:r>
          </w:p>
        </w:tc>
        <w:tc>
          <w:tcPr>
            <w:tcW w:w="740" w:type="dxa"/>
            <w:vAlign w:val="bottom"/>
            <w:tcBorders>
              <w:left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3,587</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3,323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w:t>
            </w:r>
          </w:p>
        </w:tc>
        <w:tc>
          <w:tcPr>
            <w:tcW w:w="58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Free cash flow (non-GAAP)</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w:t>
            </w:r>
          </w:p>
        </w:tc>
        <w:tc>
          <w:tcPr>
            <w:tcW w:w="360" w:type="dxa"/>
            <w:vAlign w:val="bottom"/>
          </w:tcPr>
          <w:p>
            <w:pPr>
              <w:spacing w:after="0"/>
              <w:rPr>
                <w:sz w:val="19"/>
                <w:szCs w:val="19"/>
                <w:color w:val="auto"/>
              </w:rPr>
            </w:pPr>
          </w:p>
        </w:tc>
        <w:tc>
          <w:tcPr>
            <w:tcW w:w="580" w:type="dxa"/>
            <w:vAlign w:val="bottom"/>
            <w:tcBorders>
              <w:left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3,199</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7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flow from operations as a percent of revenue (GAAP)</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w:t>
            </w:r>
          </w:p>
        </w:tc>
        <w:tc>
          <w:tcPr>
            <w:tcW w:w="5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7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142" w:lineRule="exact"/>
        <w:rPr>
          <w:rFonts w:ascii="Arial" w:cs="Arial" w:eastAsia="Arial" w:hAnsi="Arial"/>
          <w:sz w:val="17"/>
          <w:szCs w:val="17"/>
          <w:color w:val="auto"/>
        </w:rPr>
      </w:pPr>
    </w:p>
    <w:p>
      <w:pPr>
        <w:ind w:left="460" w:right="5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30" w:lineRule="exact"/>
        <w:rPr>
          <w:rFonts w:ascii="Arial" w:cs="Arial" w:eastAsia="Arial" w:hAnsi="Arial"/>
          <w:sz w:val="18"/>
          <w:szCs w:val="18"/>
          <w:color w:val="auto"/>
        </w:rPr>
      </w:pPr>
    </w:p>
    <w:p>
      <w:pPr>
        <w:ind w:left="460" w:right="220" w:hanging="452"/>
        <w:spacing w:after="0" w:line="28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460" w:right="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75" w:lineRule="exact"/>
        <w:rPr>
          <w:rFonts w:ascii="Arial" w:cs="Arial" w:eastAsia="Arial" w:hAnsi="Arial"/>
          <w:sz w:val="18"/>
          <w:szCs w:val="18"/>
          <w:color w:val="auto"/>
        </w:rPr>
      </w:pPr>
    </w:p>
    <w:p>
      <w:pPr>
        <w:ind w:left="460" w:right="10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ectPr>
          <w:pgSz w:w="11900" w:h="16838" w:orient="portrait"/>
          <w:cols w:equalWidth="0" w:num="1">
            <w:col w:w="11320"/>
          </w:cols>
          <w:pgMar w:left="240" w:top="270" w:right="339" w:bottom="1440" w:gutter="0" w:footer="0" w:header="0"/>
        </w:sectPr>
      </w:pPr>
    </w:p>
    <w:bookmarkStart w:id="12" w:name="page13"/>
    <w:bookmarkEnd w:id="12"/>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impact of inadequate or excess TI inventory that results from demand that differs from projections;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2013. The forward-looking statements included in this release are made only as of the date of this release, and TI undertakes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2019-12-05T15:18:51Z</dcterms:created>
  <dcterms:modified xsi:type="dcterms:W3CDTF">2019-12-05T15:18:51Z</dcterms:modified>
</cp:coreProperties>
</file>