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12700</wp:posOffset>
            </wp:positionV>
            <wp:extent cx="4166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27940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72" w:lineRule="exact"/>
        <w:rPr>
          <w:sz w:val="24"/>
          <w:szCs w:val="24"/>
          <w:color w:val="auto"/>
        </w:rPr>
      </w:pPr>
    </w:p>
    <w:tbl>
      <w:tblPr>
        <w:tblLayout w:type="fixed"/>
        <w:tblInd w:w="940" w:type="dxa"/>
        <w:tblCellMar>
          <w:top w:w="0" w:type="dxa"/>
          <w:left w:w="0" w:type="dxa"/>
          <w:bottom w:w="0" w:type="dxa"/>
          <w:right w:w="0" w:type="dxa"/>
        </w:tblCellMar>
      </w:tblPr>
      <w:tr>
        <w:trPr>
          <w:trHeight w:val="225"/>
        </w:trPr>
        <w:tc>
          <w:tcPr>
            <w:tcW w:w="2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8"/>
              </w:rPr>
              <w:t>DELAWARE</w:t>
            </w: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0"/>
              </w:rPr>
              <w:t>001-03761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75-0289970</w:t>
            </w:r>
          </w:p>
        </w:tc>
      </w:tr>
      <w:tr>
        <w:trPr>
          <w:trHeight w:val="144"/>
        </w:trPr>
        <w:tc>
          <w:tcPr>
            <w:tcW w:w="214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640"/>
              <w:spacing w:after="0" w:line="145" w:lineRule="exact"/>
              <w:rPr>
                <w:sz w:val="20"/>
                <w:szCs w:val="20"/>
                <w:color w:val="auto"/>
              </w:rPr>
            </w:pPr>
            <w:r>
              <w:rPr>
                <w:rFonts w:ascii="Arial" w:cs="Arial" w:eastAsia="Arial" w:hAnsi="Arial"/>
                <w:sz w:val="14"/>
                <w:szCs w:val="14"/>
                <w:b w:val="1"/>
                <w:bCs w:val="1"/>
                <w:color w:val="auto"/>
                <w:w w:val="92"/>
              </w:rPr>
              <w:t>(Commission</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of incorporation)</w:t>
            </w: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7"/>
              </w:rPr>
              <w:t>file 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511"/>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7"/>
              </w:rPr>
              <w:t>12500 TI BOULEVARD</w:t>
            </w:r>
          </w:p>
        </w:tc>
        <w:tc>
          <w:tcPr>
            <w:tcW w:w="1120" w:type="dxa"/>
            <w:vAlign w:val="bottom"/>
          </w:tcPr>
          <w:p>
            <w:pPr>
              <w:spacing w:after="0"/>
              <w:rPr>
                <w:sz w:val="24"/>
                <w:szCs w:val="24"/>
                <w:color w:val="auto"/>
              </w:rPr>
            </w:pPr>
          </w:p>
        </w:tc>
      </w:tr>
      <w:tr>
        <w:trPr>
          <w:trHeight w:val="212"/>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Arial" w:cs="Arial" w:eastAsia="Arial" w:hAnsi="Arial"/>
                <w:sz w:val="18"/>
                <w:szCs w:val="18"/>
                <w:b w:val="1"/>
                <w:bCs w:val="1"/>
                <w:color w:val="auto"/>
                <w:w w:val="96"/>
              </w:rPr>
              <w:t>DALLAS, TEXAS 75243</w:t>
            </w:r>
          </w:p>
        </w:tc>
        <w:tc>
          <w:tcPr>
            <w:tcW w:w="112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spacing w:after="0"/>
              <w:rPr>
                <w:sz w:val="16"/>
                <w:szCs w:val="16"/>
                <w:color w:val="auto"/>
              </w:rPr>
            </w:pPr>
          </w:p>
        </w:tc>
      </w:tr>
      <w:tr>
        <w:trPr>
          <w:trHeight w:val="378"/>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20" w:type="dxa"/>
            <w:vAlign w:val="bottom"/>
          </w:tcPr>
          <w:p>
            <w:pPr>
              <w:spacing w:after="0"/>
              <w:rPr>
                <w:sz w:val="24"/>
                <w:szCs w:val="24"/>
                <w:color w:val="auto"/>
              </w:rPr>
            </w:pPr>
          </w:p>
        </w:tc>
      </w:tr>
      <w:tr>
        <w:trPr>
          <w:trHeight w:val="25"/>
        </w:trPr>
        <w:tc>
          <w:tcPr>
            <w:tcW w:w="1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350" w:lineRule="exact"/>
        <w:rPr>
          <w:sz w:val="24"/>
          <w:szCs w:val="24"/>
          <w:color w:val="auto"/>
        </w:rPr>
      </w:pPr>
    </w:p>
    <w:p>
      <w:pPr>
        <w:ind w:right="380"/>
        <w:spacing w:after="0" w:line="25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7"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3"/>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360" w:type="dxa"/>
            <w:vAlign w:val="bottom"/>
            <w:gridSpan w:val="2"/>
            <w:vMerge w:val="continue"/>
          </w:tcPr>
          <w:p>
            <w:pPr>
              <w:spacing w:after="0"/>
              <w:rPr>
                <w:sz w:val="19"/>
                <w:szCs w:val="19"/>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Symbol(s)</w:t>
            </w:r>
          </w:p>
        </w:tc>
        <w:tc>
          <w:tcPr>
            <w:tcW w:w="4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32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340" w:type="dxa"/>
            <w:vAlign w:val="bottom"/>
          </w:tcPr>
          <w:p>
            <w:pPr>
              <w:spacing w:after="0"/>
              <w:rPr>
                <w:sz w:val="19"/>
                <w:szCs w:val="19"/>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29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133350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73660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April 27, 2021, regarding its first-quarter results of operations and financial condition is attached hereto as Exhibit 99.</w:t>
      </w:r>
    </w:p>
    <w:p>
      <w:pPr>
        <w:spacing w:after="0" w:line="24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jc w:val="center"/>
              <w:ind w:right="262"/>
              <w:spacing w:after="0"/>
              <w:rPr>
                <w:sz w:val="20"/>
                <w:szCs w:val="20"/>
                <w:color w:val="auto"/>
              </w:rPr>
            </w:pPr>
            <w:r>
              <w:rPr>
                <w:rFonts w:ascii="Arial" w:cs="Arial" w:eastAsia="Arial" w:hAnsi="Arial"/>
                <w:sz w:val="14"/>
                <w:szCs w:val="14"/>
                <w:color w:val="auto"/>
                <w:w w:val="91"/>
              </w:rPr>
              <w:t>Designation</w:t>
            </w: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jc w:val="center"/>
              <w:ind w:right="242"/>
              <w:spacing w:after="0" w:line="135" w:lineRule="exact"/>
              <w:rPr>
                <w:sz w:val="20"/>
                <w:szCs w:val="20"/>
                <w:color w:val="auto"/>
              </w:rPr>
            </w:pPr>
            <w:r>
              <w:rPr>
                <w:rFonts w:ascii="Arial" w:cs="Arial" w:eastAsia="Arial" w:hAnsi="Arial"/>
                <w:sz w:val="14"/>
                <w:szCs w:val="14"/>
                <w:color w:val="auto"/>
              </w:rPr>
              <w:t>of Exhibit</w:t>
            </w: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jc w:val="center"/>
              <w:ind w:right="262"/>
              <w:spacing w:after="0" w:line="135" w:lineRule="exact"/>
              <w:rPr>
                <w:sz w:val="20"/>
                <w:szCs w:val="20"/>
                <w:color w:val="auto"/>
              </w:rPr>
            </w:pPr>
            <w:r>
              <w:rPr>
                <w:rFonts w:ascii="Arial" w:cs="Arial" w:eastAsia="Arial" w:hAnsi="Arial"/>
                <w:sz w:val="14"/>
                <w:szCs w:val="14"/>
                <w:color w:val="auto"/>
                <w:w w:val="98"/>
              </w:rPr>
              <w:t>in this</w:t>
            </w:r>
          </w:p>
        </w:tc>
        <w:tc>
          <w:tcPr>
            <w:tcW w:w="9660" w:type="dxa"/>
            <w:vAlign w:val="bottom"/>
            <w:gridSpan w:val="3"/>
            <w:vMerge w:val="restart"/>
          </w:tcPr>
          <w:p>
            <w:pPr>
              <w:ind w:left="20"/>
              <w:spacing w:after="0"/>
              <w:rPr>
                <w:rFonts w:ascii="Arial" w:cs="Arial" w:eastAsia="Arial" w:hAnsi="Arial"/>
                <w:sz w:val="14"/>
                <w:szCs w:val="14"/>
                <w:color w:val="0000FF"/>
              </w:rPr>
            </w:pPr>
            <w:hyperlink w:anchor="page4">
              <w:r>
                <w:rPr>
                  <w:rFonts w:ascii="Arial" w:cs="Arial" w:eastAsia="Arial" w:hAnsi="Arial"/>
                  <w:sz w:val="14"/>
                  <w:szCs w:val="14"/>
                  <w:color w:val="0000FF"/>
                </w:rPr>
                <w:t>Description of Exhibit</w:t>
              </w:r>
            </w:hyperlink>
          </w:p>
        </w:tc>
        <w:tc>
          <w:tcPr>
            <w:tcW w:w="0" w:type="dxa"/>
            <w:vAlign w:val="bottom"/>
          </w:tcPr>
          <w:p>
            <w:pPr>
              <w:spacing w:after="0"/>
              <w:rPr>
                <w:sz w:val="1"/>
                <w:szCs w:val="1"/>
                <w:color w:val="auto"/>
              </w:rPr>
            </w:pPr>
          </w:p>
        </w:tc>
      </w:tr>
      <w:tr>
        <w:trPr>
          <w:trHeight w:val="148"/>
        </w:trPr>
        <w:tc>
          <w:tcPr>
            <w:tcW w:w="1580" w:type="dxa"/>
            <w:vAlign w:val="bottom"/>
          </w:tcPr>
          <w:p>
            <w:pPr>
              <w:jc w:val="center"/>
              <w:ind w:right="262"/>
              <w:spacing w:after="0" w:line="149" w:lineRule="exact"/>
              <w:rPr>
                <w:sz w:val="20"/>
                <w:szCs w:val="20"/>
                <w:color w:val="auto"/>
              </w:rPr>
            </w:pPr>
            <w:r>
              <w:rPr>
                <w:rFonts w:ascii="Arial" w:cs="Arial" w:eastAsia="Arial" w:hAnsi="Arial"/>
                <w:sz w:val="14"/>
                <w:szCs w:val="14"/>
                <w:color w:val="auto"/>
                <w:w w:val="95"/>
              </w:rPr>
              <w:t>Report</w:t>
            </w:r>
          </w:p>
        </w:tc>
        <w:tc>
          <w:tcPr>
            <w:tcW w:w="9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8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1580" w:type="dxa"/>
            <w:vAlign w:val="bottom"/>
          </w:tcPr>
          <w:p>
            <w:pPr>
              <w:jc w:val="right"/>
              <w:ind w:right="782"/>
              <w:spacing w:after="0"/>
              <w:rPr>
                <w:sz w:val="20"/>
                <w:szCs w:val="20"/>
                <w:color w:val="auto"/>
              </w:rPr>
            </w:pPr>
            <w:r>
              <w:rPr>
                <w:rFonts w:ascii="Arial" w:cs="Arial" w:eastAsia="Arial" w:hAnsi="Arial"/>
                <w:sz w:val="18"/>
                <w:szCs w:val="18"/>
                <w:color w:val="auto"/>
              </w:rPr>
              <w:t>99</w:t>
            </w:r>
          </w:p>
        </w:tc>
        <w:tc>
          <w:tcPr>
            <w:tcW w:w="9660" w:type="dxa"/>
            <w:vAlign w:val="bottom"/>
            <w:gridSpan w:val="3"/>
          </w:tcPr>
          <w:p>
            <w:pPr>
              <w:ind w:left="20"/>
              <w:spacing w:after="0"/>
              <w:rPr>
                <w:sz w:val="20"/>
                <w:szCs w:val="20"/>
                <w:color w:val="auto"/>
              </w:rPr>
            </w:pPr>
            <w:r>
              <w:rPr>
                <w:rFonts w:ascii="Arial" w:cs="Arial" w:eastAsia="Arial" w:hAnsi="Arial"/>
                <w:sz w:val="18"/>
                <w:szCs w:val="18"/>
                <w:color w:val="auto"/>
              </w:rPr>
              <w:t>Registrant’s News Release</w:t>
            </w: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9660" w:type="dxa"/>
            <w:vAlign w:val="bottom"/>
            <w:gridSpan w:val="3"/>
          </w:tcPr>
          <w:p>
            <w:pPr>
              <w:ind w:left="20"/>
              <w:spacing w:after="0"/>
              <w:rPr>
                <w:sz w:val="20"/>
                <w:szCs w:val="20"/>
                <w:color w:val="auto"/>
              </w:rPr>
            </w:pPr>
            <w:r>
              <w:rPr>
                <w:rFonts w:ascii="Arial" w:cs="Arial" w:eastAsia="Arial" w:hAnsi="Arial"/>
                <w:sz w:val="18"/>
                <w:szCs w:val="18"/>
                <w:color w:val="auto"/>
              </w:rPr>
              <w:t>Dated April 27, 2021 (furnished pursuant to Item 2.02)</w:t>
            </w:r>
          </w:p>
        </w:tc>
        <w:tc>
          <w:tcPr>
            <w:tcW w:w="0" w:type="dxa"/>
            <w:vAlign w:val="bottom"/>
          </w:tcPr>
          <w:p>
            <w:pPr>
              <w:spacing w:after="0"/>
              <w:rPr>
                <w:sz w:val="1"/>
                <w:szCs w:val="1"/>
                <w:color w:val="auto"/>
              </w:rPr>
            </w:pPr>
          </w:p>
        </w:tc>
      </w:tr>
      <w:tr>
        <w:trPr>
          <w:trHeight w:val="230"/>
        </w:trPr>
        <w:tc>
          <w:tcPr>
            <w:tcW w:w="1580" w:type="dxa"/>
            <w:vAlign w:val="bottom"/>
          </w:tcPr>
          <w:p>
            <w:pPr>
              <w:jc w:val="right"/>
              <w:ind w:right="742"/>
              <w:spacing w:after="0"/>
              <w:rPr>
                <w:sz w:val="20"/>
                <w:szCs w:val="20"/>
                <w:color w:val="auto"/>
              </w:rPr>
            </w:pPr>
            <w:r>
              <w:rPr>
                <w:rFonts w:ascii="Arial" w:cs="Arial" w:eastAsia="Arial" w:hAnsi="Arial"/>
                <w:sz w:val="18"/>
                <w:szCs w:val="18"/>
                <w:color w:val="auto"/>
              </w:rPr>
              <w:t>104</w:t>
            </w:r>
          </w:p>
        </w:tc>
        <w:tc>
          <w:tcPr>
            <w:tcW w:w="9660" w:type="dxa"/>
            <w:vAlign w:val="bottom"/>
            <w:gridSpan w:val="3"/>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420" w:type="dxa"/>
            <w:vAlign w:val="bottom"/>
            <w:gridSpan w:val="2"/>
          </w:tcPr>
          <w:p>
            <w:pPr>
              <w:ind w:left="2300"/>
              <w:spacing w:after="0"/>
              <w:rPr>
                <w:sz w:val="20"/>
                <w:szCs w:val="20"/>
                <w:color w:val="auto"/>
              </w:rPr>
            </w:pPr>
            <w:r>
              <w:rPr>
                <w:rFonts w:ascii="Arial" w:cs="Arial" w:eastAsia="Arial" w:hAnsi="Arial"/>
                <w:sz w:val="18"/>
                <w:szCs w:val="18"/>
                <w:color w:val="auto"/>
              </w:rPr>
              <w:t>TEXAS INSTRUMENTS INCORPORATED</w:t>
            </w:r>
          </w:p>
        </w:tc>
      </w:tr>
      <w:tr>
        <w:trPr>
          <w:trHeight w:val="459"/>
        </w:trPr>
        <w:tc>
          <w:tcPr>
            <w:tcW w:w="3780" w:type="dxa"/>
            <w:vAlign w:val="bottom"/>
          </w:tcPr>
          <w:p>
            <w:pPr>
              <w:spacing w:after="0"/>
              <w:rPr>
                <w:sz w:val="20"/>
                <w:szCs w:val="20"/>
                <w:color w:val="auto"/>
              </w:rPr>
            </w:pPr>
            <w:r>
              <w:rPr>
                <w:rFonts w:ascii="Arial" w:cs="Arial" w:eastAsia="Arial" w:hAnsi="Arial"/>
                <w:sz w:val="18"/>
                <w:szCs w:val="18"/>
                <w:color w:val="auto"/>
              </w:rPr>
              <w:t>Date: April 27, 2021</w:t>
            </w:r>
          </w:p>
        </w:tc>
        <w:tc>
          <w:tcPr>
            <w:tcW w:w="3140" w:type="dxa"/>
            <w:vAlign w:val="bottom"/>
          </w:tcPr>
          <w:p>
            <w:pPr>
              <w:ind w:left="23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22"/>
        </w:trPr>
        <w:tc>
          <w:tcPr>
            <w:tcW w:w="37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7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0"/>
        </w:trPr>
        <w:tc>
          <w:tcPr>
            <w:tcW w:w="37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first quarter 2021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DALLAS (April 27, 2021) – Texas Instruments Incorporated (TI) (Nasdaq: TXN) today reported first quarter revenue of $4.29 billion, net income of $1.75 billion and earnings per share of $1.87. Earnings per share included a 2-cent net benefit for items that were not in the company's original guidance.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Regarding the company's performance and returns to shareholders, Rich Templeton, TI's chairman, president and CEO, made the following comments:</w:t>
      </w:r>
    </w:p>
    <w:p>
      <w:pPr>
        <w:spacing w:after="0" w:line="248" w:lineRule="exact"/>
        <w:rPr>
          <w:sz w:val="20"/>
          <w:szCs w:val="20"/>
          <w:color w:val="auto"/>
        </w:rPr>
      </w:pPr>
    </w:p>
    <w:p>
      <w:pPr>
        <w:ind w:left="620" w:right="420" w:hanging="329"/>
        <w:spacing w:after="0" w:line="261"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increased 5% sequentially. In addition, revenue increased 29% from the same quarter a year ago due to strong demand in industrial, automotive and personal electronics.</w:t>
      </w:r>
    </w:p>
    <w:p>
      <w:pPr>
        <w:spacing w:after="0" w:line="170" w:lineRule="exact"/>
        <w:rPr>
          <w:rFonts w:ascii="Arial" w:cs="Arial" w:eastAsia="Arial" w:hAnsi="Arial"/>
          <w:sz w:val="18"/>
          <w:szCs w:val="18"/>
          <w:color w:val="auto"/>
        </w:rPr>
      </w:pPr>
    </w:p>
    <w:p>
      <w:pPr>
        <w:ind w:left="620" w:right="220" w:hanging="329"/>
        <w:spacing w:after="0" w:line="277"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our core businesses, Analog revenue grew 5% and Embedded Processing grew 7% sequentially. From a year ago, Analog revenue grew 33% and Embedded Processing grew 17%.</w:t>
      </w:r>
    </w:p>
    <w:p>
      <w:pPr>
        <w:spacing w:after="0" w:line="170" w:lineRule="exact"/>
        <w:rPr>
          <w:rFonts w:ascii="Arial" w:cs="Arial" w:eastAsia="Arial" w:hAnsi="Arial"/>
          <w:sz w:val="18"/>
          <w:szCs w:val="18"/>
          <w:color w:val="auto"/>
        </w:rPr>
      </w:pPr>
    </w:p>
    <w:p>
      <w:pPr>
        <w:ind w:left="620" w:right="120" w:hanging="329"/>
        <w:spacing w:after="0" w:line="263"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cash flow from operations of $7.1 billion for the trailing 12 months again underscored the strength of our business model. Free cash flow for the same period was $6.3 billion and 41% of revenue. This reflects the quality of our product portfolio, as well as the efficiency of our manufacturing strategy, including the benefit of 300-millimeter Analog production.</w:t>
      </w:r>
    </w:p>
    <w:p>
      <w:pPr>
        <w:spacing w:after="0" w:line="183" w:lineRule="exact"/>
        <w:rPr>
          <w:rFonts w:ascii="Arial" w:cs="Arial" w:eastAsia="Arial" w:hAnsi="Arial"/>
          <w:sz w:val="18"/>
          <w:szCs w:val="18"/>
          <w:color w:val="auto"/>
        </w:rPr>
      </w:pPr>
    </w:p>
    <w:p>
      <w:pPr>
        <w:ind w:left="620" w:right="860" w:hanging="329"/>
        <w:spacing w:after="0" w:line="277"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returned $4.5 billion to owners in the past 12 months through dividends and stock repurchases. Over the same period, our dividend represented 56% of free cash flow, underscoring its sustainability.</w:t>
      </w:r>
    </w:p>
    <w:p>
      <w:pPr>
        <w:spacing w:after="0" w:line="170" w:lineRule="exact"/>
        <w:rPr>
          <w:rFonts w:ascii="Arial" w:cs="Arial" w:eastAsia="Arial" w:hAnsi="Arial"/>
          <w:sz w:val="18"/>
          <w:szCs w:val="18"/>
          <w:color w:val="auto"/>
        </w:rPr>
      </w:pPr>
    </w:p>
    <w:p>
      <w:pPr>
        <w:ind w:left="620" w:right="520" w:hanging="329"/>
        <w:spacing w:after="0" w:line="277"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second quarter outlook is for revenue in the range of $4.13 billion to $4.47 billion and earnings per share between $1.68 and $1.92. We continue to expect our 2021 annual operating tax rate to be about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Q1 2021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Q1 2020</w:t>
            </w:r>
          </w:p>
        </w:tc>
        <w:tc>
          <w:tcPr>
            <w:tcW w:w="20" w:type="dxa"/>
            <w:vAlign w:val="bottom"/>
          </w:tcPr>
          <w:p>
            <w:pPr>
              <w:spacing w:after="0"/>
              <w:rPr>
                <w:sz w:val="20"/>
                <w:szCs w:val="20"/>
                <w:color w:val="auto"/>
              </w:rPr>
            </w:pPr>
          </w:p>
        </w:tc>
        <w:tc>
          <w:tcPr>
            <w:tcW w:w="1540" w:type="dxa"/>
            <w:vAlign w:val="bottom"/>
          </w:tcPr>
          <w:p>
            <w:pPr>
              <w:ind w:left="480"/>
              <w:spacing w:after="0"/>
              <w:rPr>
                <w:sz w:val="20"/>
                <w:szCs w:val="20"/>
                <w:color w:val="auto"/>
              </w:rPr>
            </w:pPr>
            <w:r>
              <w:rPr>
                <w:rFonts w:ascii="Arial" w:cs="Arial" w:eastAsia="Arial" w:hAnsi="Arial"/>
                <w:sz w:val="18"/>
                <w:szCs w:val="18"/>
                <w:color w:val="auto"/>
              </w:rPr>
              <w:t>Change</w:t>
            </w:r>
          </w:p>
        </w:tc>
      </w:tr>
      <w:tr>
        <w:trPr>
          <w:trHeight w:val="223"/>
        </w:trPr>
        <w:tc>
          <w:tcPr>
            <w:tcW w:w="4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4,289</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1,939</w:t>
            </w:r>
          </w:p>
        </w:tc>
        <w:tc>
          <w:tcPr>
            <w:tcW w:w="360" w:type="dxa"/>
            <w:vAlign w:val="bottom"/>
            <w:gridSpan w:val="5"/>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1,753</w:t>
            </w:r>
          </w:p>
        </w:tc>
        <w:tc>
          <w:tcPr>
            <w:tcW w:w="36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1.87</w:t>
            </w:r>
          </w:p>
        </w:tc>
        <w:tc>
          <w:tcPr>
            <w:tcW w:w="360" w:type="dxa"/>
            <w:vAlign w:val="bottom"/>
            <w:gridSpan w:val="5"/>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51 %</w:t>
            </w:r>
          </w:p>
        </w:tc>
      </w:tr>
      <w:tr>
        <w:trPr>
          <w:trHeight w:val="59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Cash generation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45"/>
        </w:trPr>
        <w:tc>
          <w:tcPr>
            <w:tcW w:w="494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3"/>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color w:val="auto"/>
                <w:w w:val="94"/>
              </w:rPr>
              <w:t>Trailing 12 Months</w:t>
            </w: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23"/>
        </w:trPr>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Q1 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Q1 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Q1 2020</w:t>
            </w:r>
          </w:p>
        </w:tc>
        <w:tc>
          <w:tcPr>
            <w:tcW w:w="20" w:type="dxa"/>
            <w:vAlign w:val="bottom"/>
          </w:tcPr>
          <w:p>
            <w:pPr>
              <w:spacing w:after="0"/>
              <w:rPr>
                <w:sz w:val="19"/>
                <w:szCs w:val="19"/>
                <w:color w:val="auto"/>
              </w:rPr>
            </w:pPr>
          </w:p>
        </w:tc>
        <w:tc>
          <w:tcPr>
            <w:tcW w:w="1540" w:type="dxa"/>
            <w:vAlign w:val="bottom"/>
          </w:tcPr>
          <w:p>
            <w:pPr>
              <w:ind w:left="500"/>
              <w:spacing w:after="0"/>
              <w:rPr>
                <w:sz w:val="20"/>
                <w:szCs w:val="20"/>
                <w:color w:val="auto"/>
              </w:rPr>
            </w:pPr>
            <w:r>
              <w:rPr>
                <w:rFonts w:ascii="Arial" w:cs="Arial" w:eastAsia="Arial" w:hAnsi="Arial"/>
                <w:sz w:val="18"/>
                <w:szCs w:val="18"/>
                <w:color w:val="auto"/>
              </w:rPr>
              <w:t>Change</w:t>
            </w:r>
          </w:p>
        </w:tc>
      </w:tr>
      <w:tr>
        <w:trPr>
          <w:trHeight w:val="223"/>
        </w:trPr>
        <w:tc>
          <w:tcPr>
            <w:tcW w:w="4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flow from operations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7,138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6,393</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9"/>
                <w:szCs w:val="19"/>
                <w:color w:val="auto"/>
              </w:rPr>
            </w:pPr>
          </w:p>
        </w:tc>
        <w:tc>
          <w:tcPr>
            <w:tcW w:w="360" w:type="dxa"/>
            <w:vAlign w:val="bottom"/>
            <w:gridSpan w:val="5"/>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757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6,342</w:t>
            </w:r>
          </w:p>
        </w:tc>
        <w:tc>
          <w:tcPr>
            <w:tcW w:w="80" w:type="dxa"/>
            <w:vAlign w:val="bottom"/>
            <w:shd w:val="clear" w:color="auto" w:fill="CCEEFF"/>
          </w:tcPr>
          <w:p>
            <w:pPr>
              <w:spacing w:after="0"/>
              <w:rPr>
                <w:sz w:val="19"/>
                <w:szCs w:val="19"/>
                <w:color w:val="auto"/>
              </w:rPr>
            </w:pPr>
          </w:p>
        </w:tc>
        <w:tc>
          <w:tcPr>
            <w:tcW w:w="36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Free cash flow % of revenue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41.1 %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39.9 %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580"/>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Cash return</w:t>
            </w:r>
          </w:p>
        </w:tc>
        <w:tc>
          <w:tcPr>
            <w:tcW w:w="40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5"/>
        </w:trPr>
        <w:tc>
          <w:tcPr>
            <w:tcW w:w="494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2"/>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5"/>
              </w:rPr>
              <w:t>Trailing 12 Months</w:t>
            </w: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23"/>
        </w:trPr>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Q1 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Q1 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ind w:left="160"/>
              <w:spacing w:after="0"/>
              <w:rPr>
                <w:sz w:val="20"/>
                <w:szCs w:val="20"/>
                <w:color w:val="auto"/>
              </w:rPr>
            </w:pPr>
            <w:r>
              <w:rPr>
                <w:rFonts w:ascii="Arial" w:cs="Arial" w:eastAsia="Arial" w:hAnsi="Arial"/>
                <w:sz w:val="18"/>
                <w:szCs w:val="18"/>
                <w:color w:val="auto"/>
              </w:rPr>
              <w:t>Q1 2020</w:t>
            </w:r>
          </w:p>
        </w:tc>
        <w:tc>
          <w:tcPr>
            <w:tcW w:w="20" w:type="dxa"/>
            <w:vAlign w:val="bottom"/>
          </w:tcPr>
          <w:p>
            <w:pPr>
              <w:spacing w:after="0"/>
              <w:rPr>
                <w:sz w:val="19"/>
                <w:szCs w:val="19"/>
                <w:color w:val="auto"/>
              </w:rPr>
            </w:pPr>
          </w:p>
        </w:tc>
        <w:tc>
          <w:tcPr>
            <w:tcW w:w="1540" w:type="dxa"/>
            <w:vAlign w:val="bottom"/>
          </w:tcPr>
          <w:p>
            <w:pPr>
              <w:ind w:left="480"/>
              <w:spacing w:after="0"/>
              <w:rPr>
                <w:sz w:val="20"/>
                <w:szCs w:val="20"/>
                <w:color w:val="auto"/>
              </w:rPr>
            </w:pPr>
            <w:r>
              <w:rPr>
                <w:rFonts w:ascii="Arial" w:cs="Arial" w:eastAsia="Arial" w:hAnsi="Arial"/>
                <w:sz w:val="18"/>
                <w:szCs w:val="18"/>
                <w:color w:val="auto"/>
              </w:rPr>
              <w:t>Change</w:t>
            </w:r>
          </w:p>
        </w:tc>
      </w:tr>
      <w:tr>
        <w:trPr>
          <w:trHeight w:val="223"/>
        </w:trPr>
        <w:tc>
          <w:tcPr>
            <w:tcW w:w="4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3"/>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Stock repurchases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1,012</w:t>
            </w:r>
          </w:p>
        </w:tc>
        <w:tc>
          <w:tcPr>
            <w:tcW w:w="360" w:type="dxa"/>
            <w:vAlign w:val="bottom"/>
            <w:gridSpan w:val="5"/>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cash returned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4,537</w:t>
            </w:r>
          </w:p>
        </w:tc>
        <w:tc>
          <w:tcPr>
            <w:tcW w:w="360" w:type="dxa"/>
            <w:vAlign w:val="bottom"/>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13"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6"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For Three Months Ended</w:t>
      </w:r>
    </w:p>
    <w:p>
      <w:pPr>
        <w:jc w:val="center"/>
        <w:ind w:left="778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Borders>
              <w:bottom w:val="single" w:sz="8" w:color="CCEEFF"/>
            </w:tcBorders>
          </w:tcPr>
          <w:p>
            <w:pPr>
              <w:spacing w:after="0"/>
              <w:rPr>
                <w:sz w:val="19"/>
                <w:szCs w:val="19"/>
                <w:color w:val="auto"/>
              </w:rPr>
            </w:pPr>
          </w:p>
        </w:tc>
        <w:tc>
          <w:tcPr>
            <w:tcW w:w="39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9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 (COR)</w:t>
            </w:r>
          </w:p>
        </w:tc>
        <w:tc>
          <w:tcPr>
            <w:tcW w:w="39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9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3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39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 charges</w:t>
            </w:r>
          </w:p>
        </w:tc>
        <w:tc>
          <w:tcPr>
            <w:tcW w:w="39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39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Other income (expense), net (OI&amp;E)</w:t>
            </w:r>
          </w:p>
        </w:tc>
        <w:tc>
          <w:tcPr>
            <w:tcW w:w="3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expense</w:t>
            </w:r>
          </w:p>
        </w:tc>
        <w:tc>
          <w:tcPr>
            <w:tcW w:w="39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9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Net income</w:t>
            </w:r>
          </w:p>
        </w:tc>
        <w:tc>
          <w:tcPr>
            <w:tcW w:w="394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502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3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9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Diluted</w:t>
            </w:r>
          </w:p>
        </w:tc>
        <w:tc>
          <w:tcPr>
            <w:tcW w:w="39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40" w:type="dxa"/>
            <w:vAlign w:val="bottom"/>
            <w:vMerge w:val="continue"/>
          </w:tcPr>
          <w:p>
            <w:pPr>
              <w:spacing w:after="0"/>
              <w:rPr>
                <w:sz w:val="17"/>
                <w:szCs w:val="17"/>
                <w:color w:val="auto"/>
              </w:rPr>
            </w:pPr>
          </w:p>
        </w:tc>
        <w:tc>
          <w:tcPr>
            <w:tcW w:w="39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935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4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502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3840" w:type="dxa"/>
            <w:vAlign w:val="bottom"/>
          </w:tcPr>
          <w:p>
            <w:pPr>
              <w:spacing w:after="0"/>
              <w:rPr>
                <w:sz w:val="24"/>
                <w:szCs w:val="24"/>
                <w:color w:val="auto"/>
              </w:rPr>
            </w:pPr>
          </w:p>
        </w:tc>
        <w:tc>
          <w:tcPr>
            <w:tcW w:w="5020" w:type="dxa"/>
            <w:vAlign w:val="bottom"/>
            <w:gridSpan w:val="2"/>
          </w:tcPr>
          <w:p>
            <w:pPr>
              <w:jc w:val="right"/>
              <w:ind w:right="2170"/>
              <w:spacing w:after="0"/>
              <w:rPr>
                <w:sz w:val="20"/>
                <w:szCs w:val="20"/>
                <w:color w:val="auto"/>
              </w:rPr>
            </w:pPr>
            <w:r>
              <w:rPr>
                <w:rFonts w:ascii="Arial" w:cs="Arial" w:eastAsia="Arial" w:hAnsi="Arial"/>
                <w:sz w:val="18"/>
                <w:szCs w:val="18"/>
                <w:b w:val="1"/>
                <w:bCs w:val="1"/>
                <w:color w:val="auto"/>
              </w:rPr>
              <w:t>Supplemental Information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5020" w:type="dxa"/>
            <w:vAlign w:val="bottom"/>
            <w:gridSpan w:val="2"/>
          </w:tcPr>
          <w:p>
            <w:pPr>
              <w:jc w:val="right"/>
              <w:ind w:right="2110"/>
              <w:spacing w:after="0"/>
              <w:rPr>
                <w:sz w:val="20"/>
                <w:szCs w:val="20"/>
                <w:color w:val="auto"/>
              </w:rPr>
            </w:pPr>
            <w:r>
              <w:rPr>
                <w:rFonts w:ascii="Arial" w:cs="Arial" w:eastAsia="Arial" w:hAnsi="Arial"/>
                <w:sz w:val="18"/>
                <w:szCs w:val="18"/>
                <w:b w:val="1"/>
                <w:bCs w:val="1"/>
                <w:color w:val="auto"/>
              </w:rPr>
              <w:t>(Quarterly, except as noted)</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annual operating tax rate, which does not include discrete tax items, was 14% during both periods of 2021 and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is based on the following:</w:t>
            </w: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6"/>
        </w:trPr>
        <w:tc>
          <w:tcPr>
            <w:tcW w:w="7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275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Discrete tax items</w:t>
            </w: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w w:val="99"/>
              </w:rPr>
              <w:t>(89)</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 (effective taxes)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29"/>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allocated to RSUs</w:t>
            </w: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allocated to common stock for diluted EPS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60" w:top="891" w:right="339" w:bottom="1440" w:gutter="0" w:footer="0" w:header="0"/>
        </w:sectPr>
      </w:pPr>
    </w:p>
    <w:bookmarkStart w:id="6" w:name="page7"/>
    <w:bookmarkEnd w:id="6"/>
    <w:p>
      <w:pPr>
        <w:jc w:val="center"/>
        <w:ind w:right="10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223"/>
        </w:trPr>
        <w:tc>
          <w:tcPr>
            <w:tcW w:w="76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r>
      <w:tr>
        <w:trPr>
          <w:trHeight w:val="230"/>
        </w:trPr>
        <w:tc>
          <w:tcPr>
            <w:tcW w:w="76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4,244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2,224</w:t>
            </w:r>
          </w:p>
        </w:tc>
      </w:tr>
      <w:tr>
        <w:trPr>
          <w:trHeight w:val="229"/>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($9) and ($8)</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r>
      <w:tr>
        <w:trPr>
          <w:trHeight w:val="229"/>
        </w:trPr>
        <w:tc>
          <w:tcPr>
            <w:tcW w:w="7660" w:type="dxa"/>
            <w:vAlign w:val="bottom"/>
          </w:tcPr>
          <w:p>
            <w:pPr>
              <w:ind w:left="460"/>
              <w:spacing w:after="0"/>
              <w:rPr>
                <w:sz w:val="20"/>
                <w:szCs w:val="20"/>
                <w:color w:val="auto"/>
              </w:rPr>
            </w:pPr>
            <w:r>
              <w:rPr>
                <w:rFonts w:ascii="Arial" w:cs="Arial" w:eastAsia="Arial" w:hAnsi="Arial"/>
                <w:sz w:val="18"/>
                <w:szCs w:val="18"/>
                <w:color w:val="auto"/>
              </w:rPr>
              <w:t>Raw materials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183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7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Work in process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29"/>
        </w:trPr>
        <w:tc>
          <w:tcPr>
            <w:tcW w:w="76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Finished goods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r>
      <w:tr>
        <w:trPr>
          <w:trHeight w:val="223"/>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23"/>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23"/>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10,405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Property, plant and equipment at cost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5,967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5,736</w:t>
            </w: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depreciation</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r>
      <w:tr>
        <w:trPr>
          <w:trHeight w:val="223"/>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Property, plant and equipment</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Acquisition-related intangibles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Capitalized software licenses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Overfunded retirement plans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19,639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230"/>
        </w:trPr>
        <w:tc>
          <w:tcPr>
            <w:tcW w:w="76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30"/>
        </w:trPr>
        <w:tc>
          <w:tcPr>
            <w:tcW w:w="766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278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23"/>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 liabilities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Underfunded retirement plans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9,549</w:t>
            </w:r>
          </w:p>
        </w:tc>
      </w:tr>
      <w:tr>
        <w:trPr>
          <w:trHeight w:val="210"/>
        </w:trPr>
        <w:tc>
          <w:tcPr>
            <w:tcW w:w="76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$25 par value. Authorized – 10,000,000 shares; none issued</w:t>
            </w: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tcPr>
          <w:p>
            <w:pPr>
              <w:ind w:left="220"/>
              <w:spacing w:after="0"/>
              <w:rPr>
                <w:sz w:val="20"/>
                <w:szCs w:val="20"/>
                <w:color w:val="auto"/>
              </w:rPr>
            </w:pPr>
            <w:r>
              <w:rPr>
                <w:rFonts w:ascii="Arial" w:cs="Arial" w:eastAsia="Arial" w:hAnsi="Arial"/>
                <w:sz w:val="18"/>
                <w:szCs w:val="18"/>
                <w:color w:val="auto"/>
              </w:rPr>
              <w:t>Common stock, $1 par value. Authorized – 2,400,000,000 shares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Shares issued – 1,740,815,939</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7660" w:type="dxa"/>
            <w:vAlign w:val="bottom"/>
          </w:tcPr>
          <w:p>
            <w:pPr>
              <w:ind w:left="220"/>
              <w:spacing w:after="0"/>
              <w:rPr>
                <w:sz w:val="20"/>
                <w:szCs w:val="20"/>
                <w:color w:val="auto"/>
              </w:rPr>
            </w:pPr>
            <w:r>
              <w:rPr>
                <w:rFonts w:ascii="Arial" w:cs="Arial" w:eastAsia="Arial" w:hAnsi="Arial"/>
                <w:sz w:val="18"/>
                <w:szCs w:val="18"/>
                <w:color w:val="auto"/>
              </w:rPr>
              <w:t>Paid-in capital</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2,391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2,096</w:t>
            </w: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42,860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40,227</w:t>
            </w:r>
          </w:p>
        </w:tc>
      </w:tr>
      <w:tr>
        <w:trPr>
          <w:trHeight w:val="229"/>
        </w:trPr>
        <w:tc>
          <w:tcPr>
            <w:tcW w:w="7660" w:type="dxa"/>
            <w:vAlign w:val="bottom"/>
          </w:tcPr>
          <w:p>
            <w:pPr>
              <w:ind w:left="220"/>
              <w:spacing w:after="0"/>
              <w:rPr>
                <w:sz w:val="20"/>
                <w:szCs w:val="20"/>
                <w:color w:val="auto"/>
              </w:rPr>
            </w:pPr>
            <w:r>
              <w:rPr>
                <w:rFonts w:ascii="Arial" w:cs="Arial" w:eastAsia="Arial" w:hAnsi="Arial"/>
                <w:sz w:val="18"/>
                <w:szCs w:val="18"/>
                <w:color w:val="auto"/>
              </w:rPr>
              <w:t>Treasury common stock at cost</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Shares: March 31, 2021 – 817,573,099; March 31, 2020 – 819,335,097</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(36,479)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(36,002)</w:t>
            </w:r>
          </w:p>
        </w:tc>
      </w:tr>
      <w:tr>
        <w:trPr>
          <w:trHeight w:val="229"/>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10,166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7,734</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19,639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17,283</w:t>
            </w:r>
          </w:p>
        </w:tc>
      </w:tr>
      <w:tr>
        <w:trPr>
          <w:trHeight w:val="20"/>
        </w:trPr>
        <w:tc>
          <w:tcPr>
            <w:tcW w:w="7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4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06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40"/>
          </w:cols>
          <w:pgMar w:left="420" w:top="891" w:right="339" w:bottom="1440" w:gutter="0" w:footer="0" w:header="0"/>
          <w:type w:val="continuous"/>
        </w:sectPr>
      </w:pPr>
    </w:p>
    <w:bookmarkStart w:id="7" w:name="page8"/>
    <w:bookmarkEnd w:id="7"/>
    <w:p>
      <w:pPr>
        <w:jc w:val="center"/>
        <w:ind w:right="10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(Millions of dollars)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60" w:type="dxa"/>
            <w:vAlign w:val="bottom"/>
          </w:tcPr>
          <w:p>
            <w:pPr>
              <w:spacing w:after="0"/>
              <w:rPr>
                <w:sz w:val="19"/>
                <w:szCs w:val="19"/>
                <w:color w:val="auto"/>
              </w:rPr>
            </w:pPr>
          </w:p>
        </w:tc>
        <w:tc>
          <w:tcPr>
            <w:tcW w:w="28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For Three Months Ended</w:t>
            </w:r>
          </w:p>
        </w:tc>
        <w:tc>
          <w:tcPr>
            <w:tcW w:w="600" w:type="dxa"/>
            <w:vAlign w:val="bottom"/>
          </w:tcPr>
          <w:p>
            <w:pPr>
              <w:spacing w:after="0"/>
              <w:rPr>
                <w:sz w:val="19"/>
                <w:szCs w:val="19"/>
                <w:color w:val="auto"/>
              </w:rPr>
            </w:pPr>
          </w:p>
        </w:tc>
      </w:tr>
      <w:tr>
        <w:trPr>
          <w:trHeight w:val="234"/>
        </w:trPr>
        <w:tc>
          <w:tcPr>
            <w:tcW w:w="76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r>
      <w:tr>
        <w:trPr>
          <w:trHeight w:val="223"/>
        </w:trPr>
        <w:tc>
          <w:tcPr>
            <w:tcW w:w="76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6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1,753</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29"/>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net income: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66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7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acquisition-related intangibles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660" w:type="dxa"/>
            <w:vAlign w:val="bottom"/>
          </w:tcPr>
          <w:p>
            <w:pPr>
              <w:ind w:left="460"/>
              <w:spacing w:after="0"/>
              <w:rPr>
                <w:sz w:val="20"/>
                <w:szCs w:val="20"/>
                <w:color w:val="auto"/>
              </w:rPr>
            </w:pPr>
            <w:r>
              <w:rPr>
                <w:rFonts w:ascii="Arial" w:cs="Arial" w:eastAsia="Arial" w:hAnsi="Arial"/>
                <w:sz w:val="18"/>
                <w:szCs w:val="18"/>
                <w:color w:val="auto"/>
              </w:rPr>
              <w:t>Amortization of capitalized software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 compensation</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7660" w:type="dxa"/>
            <w:vAlign w:val="bottom"/>
          </w:tcPr>
          <w:p>
            <w:pPr>
              <w:ind w:left="460"/>
              <w:spacing w:after="0"/>
              <w:rPr>
                <w:sz w:val="20"/>
                <w:szCs w:val="20"/>
                <w:color w:val="auto"/>
              </w:rPr>
            </w:pPr>
            <w:r>
              <w:rPr>
                <w:rFonts w:ascii="Arial" w:cs="Arial" w:eastAsia="Arial" w:hAnsi="Arial"/>
                <w:sz w:val="18"/>
                <w:szCs w:val="18"/>
                <w:color w:val="auto"/>
              </w:rPr>
              <w:t>Gains on sales of assets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taxes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660" w:type="dxa"/>
            <w:vAlign w:val="bottom"/>
          </w:tcPr>
          <w:p>
            <w:pPr>
              <w:ind w:left="220"/>
              <w:spacing w:after="0"/>
              <w:rPr>
                <w:sz w:val="20"/>
                <w:szCs w:val="20"/>
                <w:color w:val="auto"/>
              </w:rPr>
            </w:pPr>
            <w:r>
              <w:rPr>
                <w:rFonts w:ascii="Arial" w:cs="Arial" w:eastAsia="Arial" w:hAnsi="Arial"/>
                <w:sz w:val="18"/>
                <w:szCs w:val="18"/>
                <w:color w:val="auto"/>
              </w:rPr>
              <w:t>Increase (decrease) from changes in:</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766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7660" w:type="dxa"/>
            <w:vAlign w:val="bottom"/>
          </w:tcPr>
          <w:p>
            <w:pPr>
              <w:ind w:left="46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compensation</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29"/>
        </w:trPr>
        <w:tc>
          <w:tcPr>
            <w:tcW w:w="7660" w:type="dxa"/>
            <w:vAlign w:val="bottom"/>
          </w:tcPr>
          <w:p>
            <w:pPr>
              <w:ind w:left="460"/>
              <w:spacing w:after="0"/>
              <w:rPr>
                <w:sz w:val="20"/>
                <w:szCs w:val="20"/>
                <w:color w:val="auto"/>
              </w:rPr>
            </w:pPr>
            <w:r>
              <w:rPr>
                <w:rFonts w:ascii="Arial" w:cs="Arial" w:eastAsia="Arial" w:hAnsi="Arial"/>
                <w:sz w:val="18"/>
                <w:szCs w:val="18"/>
                <w:color w:val="auto"/>
              </w:rPr>
              <w:t>Income taxes payable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1,850</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37"/>
        </w:trPr>
        <w:tc>
          <w:tcPr>
            <w:tcW w:w="7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66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(308)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asset sales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tcPr>
          <w:p>
            <w:pPr>
              <w:ind w:left="22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8"/>
              </w:rPr>
              <w:t>(2,782)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29"/>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short-term investments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r>
      <w:tr>
        <w:trPr>
          <w:trHeight w:val="230"/>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(1,109)</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37"/>
        </w:trPr>
        <w:tc>
          <w:tcPr>
            <w:tcW w:w="7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66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debt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tcPr>
          <w:p>
            <w:pPr>
              <w:ind w:left="220"/>
              <w:spacing w:after="0"/>
              <w:rPr>
                <w:sz w:val="20"/>
                <w:szCs w:val="20"/>
                <w:color w:val="auto"/>
              </w:rPr>
            </w:pPr>
            <w:r>
              <w:rPr>
                <w:rFonts w:ascii="Arial" w:cs="Arial" w:eastAsia="Arial" w:hAnsi="Arial"/>
                <w:sz w:val="18"/>
                <w:szCs w:val="18"/>
                <w:color w:val="auto"/>
              </w:rPr>
              <w:t>Dividends paid</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(940)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repurchases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(1,641)</w:t>
            </w:r>
          </w:p>
        </w:tc>
      </w:tr>
      <w:tr>
        <w:trPr>
          <w:trHeight w:val="229"/>
        </w:trPr>
        <w:tc>
          <w:tcPr>
            <w:tcW w:w="7660" w:type="dxa"/>
            <w:vAlign w:val="bottom"/>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flows from financing activities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(1,406)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(1,596)</w:t>
            </w:r>
          </w:p>
        </w:tc>
      </w:tr>
      <w:tr>
        <w:trPr>
          <w:trHeight w:val="237"/>
        </w:trPr>
        <w:tc>
          <w:tcPr>
            <w:tcW w:w="76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(665)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3,107</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2,442</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r>
      <w:tr>
        <w:trPr>
          <w:trHeight w:val="20"/>
        </w:trPr>
        <w:tc>
          <w:tcPr>
            <w:tcW w:w="7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420" w:top="89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rPr>
              <w:t>Q1 2021</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Q1 2020</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Change</w:t>
            </w:r>
          </w:p>
        </w:tc>
      </w:t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Analog:</w:t>
            </w: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30"/>
        </w:trPr>
        <w:tc>
          <w:tcPr>
            <w:tcW w:w="6620" w:type="dxa"/>
            <w:vAlign w:val="bottom"/>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29"/>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Embedded Processing: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662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6620" w:type="dxa"/>
            <w:vAlign w:val="bottom"/>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68"/>
        </w:trPr>
        <w:tc>
          <w:tcPr>
            <w:tcW w:w="6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For 12 Months Ended</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4"/>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operations (GAAP)</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7,138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6,393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(796)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6,342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5,636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3"/>
        </w:trPr>
        <w:tc>
          <w:tcPr>
            <w:tcW w:w="63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15,421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14,118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4"/>
        </w:trPr>
        <w:tc>
          <w:tcPr>
            <w:tcW w:w="636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41.1 %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39.9 %</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9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620" w:right="720" w:hanging="329"/>
        <w:spacing w:after="0" w:line="258" w:lineRule="auto"/>
        <w:tabs>
          <w:tab w:leader="none" w:pos="61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duration and scope of the COVID-19 pandemic, government and other third-party responses to it and the consequences for the global economy, including to our business and the businesses of our suppliers, customers and distributors;</w:t>
      </w:r>
    </w:p>
    <w:p>
      <w:pPr>
        <w:ind w:left="620" w:right="60" w:hanging="329"/>
        <w:spacing w:after="0" w:line="249"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ind w:left="620" w:hanging="329"/>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20" w:lineRule="exact"/>
        <w:rPr>
          <w:rFonts w:ascii="Arial" w:cs="Arial" w:eastAsia="Arial" w:hAnsi="Arial"/>
          <w:sz w:val="17"/>
          <w:szCs w:val="17"/>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9" w:lineRule="exact"/>
        <w:rPr>
          <w:rFonts w:ascii="Arial" w:cs="Arial" w:eastAsia="Arial" w:hAnsi="Arial"/>
          <w:sz w:val="18"/>
          <w:szCs w:val="18"/>
          <w:color w:val="auto"/>
        </w:rPr>
      </w:pPr>
    </w:p>
    <w:p>
      <w:pPr>
        <w:ind w:left="620" w:right="32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10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ind w:left="620" w:hanging="329"/>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20" w:right="1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ind w:left="620" w:right="6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60" w:hanging="329"/>
        <w:spacing w:after="0" w:line="265" w:lineRule="auto"/>
        <w:tabs>
          <w:tab w:leader="none" w:pos="615"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9" w:lineRule="exact"/>
        <w:rPr>
          <w:rFonts w:ascii="Arial" w:cs="Arial" w:eastAsia="Arial" w:hAnsi="Arial"/>
          <w:sz w:val="18"/>
          <w:szCs w:val="18"/>
          <w:color w:val="auto"/>
        </w:rPr>
      </w:pPr>
    </w:p>
    <w:p>
      <w:pPr>
        <w:ind w:left="620" w:right="38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20" w:lineRule="exact"/>
        <w:rPr>
          <w:rFonts w:ascii="Arial" w:cs="Arial" w:eastAsia="Arial" w:hAnsi="Arial"/>
          <w:sz w:val="17"/>
          <w:szCs w:val="17"/>
          <w:color w:val="auto"/>
        </w:rPr>
      </w:pPr>
    </w:p>
    <w:p>
      <w:pPr>
        <w:ind w:left="620" w:right="10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60" w:hanging="329"/>
        <w:spacing w:after="0" w:line="250"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 w:cs="Arial" w:eastAsia="Arial" w:hAnsi="Arial"/>
          <w:sz w:val="17"/>
          <w:szCs w:val="17"/>
          <w:u w:val="single" w:color="auto"/>
          <w:color w:val="3A3AFF"/>
        </w:rPr>
        <w:t>TI.com</w:t>
      </w:r>
      <w:r>
        <w:rPr>
          <w:rFonts w:ascii="Arial" w:cs="Arial" w:eastAsia="Arial" w:hAnsi="Arial"/>
          <w:sz w:val="17"/>
          <w:szCs w:val="17"/>
          <w:color w:val="auto"/>
        </w:rPr>
        <w:t>.</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2021-04-27T15:27:07Z</dcterms:created>
  <dcterms:modified xsi:type="dcterms:W3CDTF">2021-04-27T15:27:07Z</dcterms:modified>
</cp:coreProperties>
</file>