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MARCH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11/18/2010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Sr. Vice President &amp; CFO</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jc w:val="right"/>
              <w:ind w:right="112"/>
              <w:spacing w:after="0"/>
              <w:rPr>
                <w:sz w:val="20"/>
                <w:szCs w:val="20"/>
                <w:color w:val="auto"/>
              </w:rPr>
            </w:pPr>
            <w:r>
              <w:rPr>
                <w:rFonts w:ascii="Arial" w:cs="Arial" w:eastAsia="Arial" w:hAnsi="Arial"/>
                <w:sz w:val="18"/>
                <w:szCs w:val="18"/>
                <w:color w:val="0000FF"/>
              </w:rPr>
              <w:t>11/18/2010</w:t>
            </w:r>
          </w:p>
        </w:tc>
        <w:tc>
          <w:tcPr>
            <w:tcW w:w="1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60" w:type="dxa"/>
            <w:vAlign w:val="bottom"/>
          </w:tcPr>
          <w:p>
            <w:pPr>
              <w:ind w:left="220"/>
              <w:spacing w:after="0"/>
              <w:rPr>
                <w:sz w:val="20"/>
                <w:szCs w:val="20"/>
                <w:color w:val="auto"/>
              </w:rPr>
            </w:pPr>
            <w:r>
              <w:rPr>
                <w:rFonts w:ascii="Arial" w:cs="Arial" w:eastAsia="Arial" w:hAnsi="Arial"/>
                <w:sz w:val="18"/>
                <w:szCs w:val="18"/>
                <w:color w:val="0000FF"/>
              </w:rPr>
              <w:t>7,820</w:t>
            </w:r>
          </w:p>
        </w:tc>
        <w:tc>
          <w:tcPr>
            <w:tcW w:w="560" w:type="dxa"/>
            <w:vAlign w:val="bottom"/>
          </w:tcPr>
          <w:p>
            <w:pPr>
              <w:ind w:left="280"/>
              <w:spacing w:after="0"/>
              <w:rPr>
                <w:sz w:val="20"/>
                <w:szCs w:val="20"/>
                <w:color w:val="auto"/>
              </w:rPr>
            </w:pPr>
            <w:r>
              <w:rPr>
                <w:rFonts w:ascii="Arial" w:cs="Arial" w:eastAsia="Arial" w:hAnsi="Arial"/>
                <w:sz w:val="18"/>
                <w:szCs w:val="18"/>
                <w:color w:val="0000FF"/>
              </w:rPr>
              <w:t>D</w:t>
            </w:r>
          </w:p>
        </w:tc>
        <w:tc>
          <w:tcPr>
            <w:tcW w:w="660" w:type="dxa"/>
            <w:vAlign w:val="bottom"/>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tcPr>
          <w:p>
            <w:pPr>
              <w:jc w:val="center"/>
              <w:spacing w:after="0"/>
              <w:rPr>
                <w:sz w:val="20"/>
                <w:szCs w:val="20"/>
                <w:color w:val="auto"/>
              </w:rPr>
            </w:pPr>
            <w:r>
              <w:rPr>
                <w:rFonts w:ascii="Arial" w:cs="Arial" w:eastAsia="Arial" w:hAnsi="Arial"/>
                <w:sz w:val="18"/>
                <w:szCs w:val="18"/>
                <w:color w:val="0000FF"/>
                <w:w w:val="86"/>
              </w:rPr>
              <w:t>218,995</w:t>
            </w:r>
          </w:p>
        </w:tc>
        <w:tc>
          <w:tcPr>
            <w:tcW w:w="960" w:type="dxa"/>
            <w:vAlign w:val="bottom"/>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4"/>
              </w:rPr>
              <w:t>1,854.38</w:t>
            </w:r>
            <w:r>
              <w:rPr>
                <w:rFonts w:ascii="Arial" w:cs="Arial" w:eastAsia="Arial" w:hAnsi="Arial"/>
                <w:sz w:val="22"/>
                <w:szCs w:val="22"/>
                <w:color w:val="008000"/>
                <w:w w:val="84"/>
                <w:vertAlign w:val="superscript"/>
              </w:rPr>
              <w:t>(2)</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2"/>
              </w:rPr>
              <w:t>39.57</w:t>
            </w:r>
            <w:r>
              <w:rPr>
                <w:rFonts w:ascii="Arial" w:cs="Arial" w:eastAsia="Arial" w:hAnsi="Arial"/>
                <w:sz w:val="22"/>
                <w:szCs w:val="22"/>
                <w:color w:val="008000"/>
                <w:w w:val="82"/>
                <w:vertAlign w:val="superscript"/>
              </w:rPr>
              <w:t>(1)</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tcPr>
          <w:p>
            <w:pPr>
              <w:ind w:left="10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9-30-2010. (Interests in this account are denominated in units. Consequently, share amount shown is an estimate.) This statement does not include changes in beneficial ownership of shares held in this account occurring after 9-30-2010 that are eligible for deferred reporting on Form 5.</w:t>
      </w:r>
    </w:p>
    <w:p>
      <w:pPr>
        <w:spacing w:after="0" w:line="30"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9-30-2010. (Interests in this account are denominated in units. Consequently, share amount shown is an estimate.) This statement does not include changes in beneficial ownership of shares held in such account occurring after 9-30-2010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12/17/2010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2019-12-17T00:48:54Z</dcterms:created>
  <dcterms:modified xsi:type="dcterms:W3CDTF">2019-12-17T00:48:54Z</dcterms:modified>
</cp:coreProperties>
</file>