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4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6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 STEPHEN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96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9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53,311.95</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2,251</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9"/>
              </w:rPr>
              <w:t>17,011.83</w:t>
            </w:r>
            <w:r>
              <w:rPr>
                <w:rFonts w:ascii="Arial" w:cs="Arial" w:eastAsia="Arial" w:hAnsi="Arial"/>
                <w:sz w:val="22"/>
                <w:szCs w:val="22"/>
                <w:color w:val="008000"/>
                <w:w w:val="89"/>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CODA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9"/>
              </w:rPr>
              <w:t>17,144.36</w:t>
            </w:r>
            <w:r>
              <w:rPr>
                <w:rFonts w:ascii="Arial" w:cs="Arial" w:eastAsia="Arial" w:hAnsi="Arial"/>
                <w:sz w:val="22"/>
                <w:szCs w:val="22"/>
                <w:color w:val="008000"/>
                <w:w w:val="89"/>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75,000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01/20/2015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75,000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has only a remainder interest in the trust, and disclaims beneficial ownership of the reported securities except to the extent of his pecuniary interest therein.</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01/24/2005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2019-12-16T02:50:45Z</dcterms:created>
  <dcterms:modified xsi:type="dcterms:W3CDTF">2019-12-16T02:50:45Z</dcterms:modified>
</cp:coreProperties>
</file>