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42"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Washington, D.C.</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20549</w:t>
      </w:r>
    </w:p>
    <w:p>
      <w:pPr>
        <w:spacing w:after="0" w:line="200" w:lineRule="exact"/>
        <w:rPr>
          <w:sz w:val="24"/>
          <w:szCs w:val="24"/>
          <w:color w:val="auto"/>
        </w:rPr>
      </w:pPr>
    </w:p>
    <w:p>
      <w:pPr>
        <w:spacing w:after="0" w:line="309"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OF THE SECURITIES EXCHANGE ACT OF 1934</w:t>
      </w:r>
    </w:p>
    <w:p>
      <w:pPr>
        <w:sectPr>
          <w:pgSz w:w="11900" w:h="16838" w:orient="portrait"/>
          <w:cols w:equalWidth="0" w:num="1">
            <w:col w:w="10239"/>
          </w:cols>
          <w:pgMar w:left="220" w:top="731" w:right="1440" w:bottom="1440" w:gutter="0" w:footer="0" w:header="0"/>
        </w:sectPr>
      </w:pP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Quarter Ended June 30, 2000</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1-3761</w:t>
      </w:r>
    </w:p>
    <w:p>
      <w:pPr>
        <w:spacing w:after="0" w:line="200" w:lineRule="exact"/>
        <w:rPr>
          <w:sz w:val="24"/>
          <w:szCs w:val="24"/>
          <w:color w:val="auto"/>
        </w:rPr>
      </w:pPr>
    </w:p>
    <w:p>
      <w:pPr>
        <w:sectPr>
          <w:pgSz w:w="11900" w:h="16838" w:orient="portrait"/>
          <w:cols w:equalWidth="0" w:num="2">
            <w:col w:w="3360" w:space="720"/>
            <w:col w:w="6159"/>
          </w:cols>
          <w:pgMar w:left="220" w:top="731" w:right="1440" w:bottom="1440" w:gutter="0" w:footer="0" w:header="0"/>
          <w:type w:val="continuous"/>
        </w:sectPr>
      </w:pPr>
    </w:p>
    <w:p>
      <w:pPr>
        <w:spacing w:after="0" w:line="309"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TEXAS INSTRUMENTS INCORPORATED</w:t>
      </w:r>
    </w:p>
    <w:p>
      <w:pPr>
        <w:spacing w:after="0" w:line="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31" w:right="1440"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75-0289970</w:t>
      </w:r>
    </w:p>
    <w:p>
      <w:pPr>
        <w:spacing w:after="0" w:line="8"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2940" w:space="720"/>
            <w:col w:w="6579"/>
          </w:cols>
          <w:pgMar w:left="220" w:top="731" w:right="1440"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spacing w:after="0"/>
        <w:tabs>
          <w:tab w:leader="none" w:pos="5900" w:val="left"/>
        </w:tabs>
        <w:rPr>
          <w:sz w:val="20"/>
          <w:szCs w:val="20"/>
          <w:color w:val="auto"/>
        </w:rPr>
      </w:pPr>
      <w:r>
        <w:rPr>
          <w:rFonts w:ascii="Courier New" w:cs="Courier New" w:eastAsia="Courier New" w:hAnsi="Courier New"/>
          <w:sz w:val="14"/>
          <w:szCs w:val="14"/>
          <w:color w:val="auto"/>
        </w:rPr>
        <w:t>12500 TI Boulevard P.O. Box 660199, Dallas, Texas</w:t>
      </w:r>
      <w:r>
        <w:rPr>
          <w:sz w:val="20"/>
          <w:szCs w:val="20"/>
          <w:color w:val="auto"/>
        </w:rPr>
        <w:tab/>
      </w:r>
      <w:r>
        <w:rPr>
          <w:rFonts w:ascii="Courier New" w:cs="Courier New" w:eastAsia="Courier New" w:hAnsi="Courier New"/>
          <w:sz w:val="14"/>
          <w:szCs w:val="14"/>
          <w:color w:val="auto"/>
        </w:rPr>
        <w:t>75266-0199</w:t>
      </w:r>
    </w:p>
    <w:p>
      <w:pPr>
        <w:sectPr>
          <w:pgSz w:w="11900" w:h="16838" w:orient="portrait"/>
          <w:cols w:equalWidth="0" w:num="1">
            <w:col w:w="10239"/>
          </w:cols>
          <w:pgMar w:left="220" w:top="731" w:right="1440" w:bottom="144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tabs>
          <w:tab w:leader="none" w:pos="572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42"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972-995-3773</w:t>
      </w:r>
    </w:p>
    <w:p>
      <w:pPr>
        <w:spacing w:after="0" w:line="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Indicate by</w:t>
            </w:r>
          </w:p>
        </w:tc>
        <w:tc>
          <w:tcPr>
            <w:tcW w:w="45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check mark whether the Registrant (1) has filed all</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reports</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required to</w:t>
            </w:r>
          </w:p>
        </w:tc>
        <w:tc>
          <w:tcPr>
            <w:tcW w:w="3340" w:type="dxa"/>
            <w:vAlign w:val="bottom"/>
          </w:tcPr>
          <w:p>
            <w:pPr>
              <w:ind w:left="60"/>
              <w:spacing w:after="0"/>
              <w:rPr>
                <w:sz w:val="20"/>
                <w:szCs w:val="20"/>
                <w:color w:val="auto"/>
              </w:rPr>
            </w:pPr>
            <w:r>
              <w:rPr>
                <w:rFonts w:ascii="Courier New" w:cs="Courier New" w:eastAsia="Courier New" w:hAnsi="Courier New"/>
                <w:sz w:val="14"/>
                <w:szCs w:val="14"/>
                <w:color w:val="auto"/>
              </w:rPr>
              <w:t>be filed by Section 13 or 15(d) of the</w:t>
            </w:r>
          </w:p>
        </w:tc>
        <w:tc>
          <w:tcPr>
            <w:tcW w:w="23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Securities Exchange Act of</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1934 during</w:t>
            </w:r>
          </w:p>
        </w:tc>
        <w:tc>
          <w:tcPr>
            <w:tcW w:w="45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the preceding 12 months (or for such shorter period</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that the</w:t>
            </w:r>
          </w:p>
        </w:tc>
      </w:tr>
      <w:tr>
        <w:trPr>
          <w:trHeight w:val="167"/>
        </w:trPr>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Registrant was required to file such reports), and</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has been</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subject to</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such filing</w:t>
            </w:r>
          </w:p>
        </w:tc>
        <w:tc>
          <w:tcPr>
            <w:tcW w:w="3340" w:type="dxa"/>
            <w:vAlign w:val="bottom"/>
          </w:tcPr>
          <w:p>
            <w:pPr>
              <w:ind w:left="60"/>
              <w:spacing w:after="0"/>
              <w:rPr>
                <w:sz w:val="20"/>
                <w:szCs w:val="20"/>
                <w:color w:val="auto"/>
              </w:rPr>
            </w:pPr>
            <w:r>
              <w:rPr>
                <w:rFonts w:ascii="Courier New" w:cs="Courier New" w:eastAsia="Courier New" w:hAnsi="Courier New"/>
                <w:sz w:val="14"/>
                <w:szCs w:val="14"/>
                <w:color w:val="auto"/>
              </w:rPr>
              <w:t>requirements for the past 90 days. Yes</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X</w:t>
            </w:r>
          </w:p>
        </w:tc>
        <w:tc>
          <w:tcPr>
            <w:tcW w:w="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No</w:t>
            </w:r>
          </w:p>
        </w:tc>
        <w:tc>
          <w:tcPr>
            <w:tcW w:w="1180" w:type="dxa"/>
            <w:vAlign w:val="bottom"/>
          </w:tcPr>
          <w:p>
            <w:pPr>
              <w:spacing w:after="0"/>
              <w:rPr>
                <w:sz w:val="14"/>
                <w:szCs w:val="14"/>
                <w:color w:val="auto"/>
              </w:rPr>
            </w:pPr>
          </w:p>
        </w:tc>
      </w:tr>
      <w:tr>
        <w:trPr>
          <w:trHeight w:val="167"/>
        </w:trPr>
        <w:tc>
          <w:tcPr>
            <w:tcW w:w="10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r>
      <w:tr>
        <w:trPr>
          <w:trHeight w:val="334"/>
        </w:trPr>
        <w:tc>
          <w:tcPr>
            <w:tcW w:w="1000" w:type="dxa"/>
            <w:vAlign w:val="bottom"/>
          </w:tcPr>
          <w:p>
            <w:pPr>
              <w:spacing w:after="0"/>
              <w:rPr>
                <w:sz w:val="24"/>
                <w:szCs w:val="24"/>
                <w:color w:val="auto"/>
              </w:rPr>
            </w:pPr>
          </w:p>
        </w:tc>
        <w:tc>
          <w:tcPr>
            <w:tcW w:w="3340" w:type="dxa"/>
            <w:vAlign w:val="bottom"/>
          </w:tcPr>
          <w:p>
            <w:pPr>
              <w:ind w:left="1960"/>
              <w:spacing w:after="0"/>
              <w:rPr>
                <w:sz w:val="20"/>
                <w:szCs w:val="20"/>
                <w:color w:val="auto"/>
              </w:rPr>
            </w:pPr>
            <w:r>
              <w:rPr>
                <w:rFonts w:ascii="Courier New" w:cs="Courier New" w:eastAsia="Courier New" w:hAnsi="Courier New"/>
                <w:sz w:val="14"/>
                <w:szCs w:val="14"/>
                <w:color w:val="auto"/>
              </w:rPr>
              <w:t>1,640,486,689</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Number of shares of Registrant's common stock outstanding as of</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June 30, 2000</w:t>
      </w:r>
    </w:p>
    <w:p>
      <w:pPr>
        <w:sectPr>
          <w:pgSz w:w="11900" w:h="16838" w:orient="portrait"/>
          <w:cols w:equalWidth="0" w:num="1">
            <w:col w:w="10239"/>
          </w:cols>
          <w:pgMar w:left="220" w:top="731"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PART I - FINANCIAL INFORMATION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(In millions of dollars, except per-share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68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For Three Months Ended</w:t>
            </w:r>
          </w:p>
        </w:tc>
        <w:tc>
          <w:tcPr>
            <w:tcW w:w="21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For Six Months Ended</w:t>
            </w:r>
          </w:p>
        </w:tc>
      </w:tr>
      <w:tr>
        <w:trPr>
          <w:trHeight w:val="167"/>
        </w:trPr>
        <w:tc>
          <w:tcPr>
            <w:tcW w:w="4700" w:type="dxa"/>
            <w:vAlign w:val="bottom"/>
          </w:tcPr>
          <w:p>
            <w:pPr>
              <w:spacing w:after="0"/>
              <w:rPr>
                <w:sz w:val="14"/>
                <w:szCs w:val="14"/>
                <w:color w:val="auto"/>
              </w:rPr>
            </w:pPr>
          </w:p>
        </w:tc>
        <w:tc>
          <w:tcPr>
            <w:tcW w:w="1560" w:type="dxa"/>
            <w:vAlign w:val="bottom"/>
            <w:gridSpan w:val="2"/>
          </w:tcPr>
          <w:p>
            <w:pPr>
              <w:ind w:left="520"/>
              <w:spacing w:after="0"/>
              <w:rPr>
                <w:sz w:val="20"/>
                <w:szCs w:val="20"/>
                <w:color w:val="auto"/>
              </w:rPr>
            </w:pPr>
            <w:r>
              <w:rPr>
                <w:rFonts w:ascii="Courier New" w:cs="Courier New" w:eastAsia="Courier New" w:hAnsi="Courier New"/>
                <w:sz w:val="11"/>
                <w:szCs w:val="11"/>
                <w:color w:val="auto"/>
                <w:w w:val="70"/>
              </w:rPr>
              <w: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15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June 30</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June 30</w:t>
            </w:r>
          </w:p>
        </w:tc>
        <w:tc>
          <w:tcPr>
            <w:tcW w:w="1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June 30</w:t>
            </w:r>
          </w:p>
        </w:tc>
        <w:tc>
          <w:tcPr>
            <w:tcW w:w="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c>
          <w:tcPr>
            <w:tcW w:w="1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w w:val="94"/>
              </w:rPr>
              <w:t>Net revenues...............................................</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$ 2,843</w:t>
            </w:r>
          </w:p>
        </w:tc>
        <w:tc>
          <w:tcPr>
            <w:tcW w:w="11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$ 2,395</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$ 5,497</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$ 4,477</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Cost of revenues.........................................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1,448</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1,222</w:t>
            </w: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2,818</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2,355</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365</w:t>
            </w: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676</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Marketing, general and administrative....................</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345</w:t>
            </w: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676</w:t>
            </w:r>
          </w:p>
        </w:tc>
      </w:tr>
      <w:tr>
        <w:trPr>
          <w:trHeight w:val="167"/>
        </w:trPr>
        <w:tc>
          <w:tcPr>
            <w:tcW w:w="470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Total..................................................</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2,220</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1,932</w:t>
            </w: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4,352</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3,707</w:t>
            </w:r>
          </w:p>
        </w:tc>
      </w:tr>
      <w:tr>
        <w:trPr>
          <w:trHeight w:val="167"/>
        </w:trPr>
        <w:tc>
          <w:tcPr>
            <w:tcW w:w="470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Profit from operations.....................................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623</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463</w:t>
            </w: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1,145</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770</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 net.................................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1,341</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w:t>
            </w: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1,466</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Interest on loans..........................................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w:t>
            </w:r>
          </w:p>
        </w:tc>
      </w:tr>
      <w:tr>
        <w:trPr>
          <w:trHeight w:val="167"/>
        </w:trPr>
        <w:tc>
          <w:tcPr>
            <w:tcW w:w="470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1,947</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511</w:t>
            </w: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2,574</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889</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181</w:t>
            </w: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869</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w:t>
            </w:r>
          </w:p>
        </w:tc>
      </w:tr>
      <w:tr>
        <w:trPr>
          <w:trHeight w:val="167"/>
        </w:trPr>
        <w:tc>
          <w:tcPr>
            <w:tcW w:w="470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w w:val="94"/>
              </w:rPr>
              <w:t>Net income.................................................</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$ 1,278</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330</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$ 1,705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586</w:t>
            </w:r>
          </w:p>
        </w:tc>
      </w:tr>
      <w:tr>
        <w:trPr>
          <w:trHeight w:val="167"/>
        </w:trPr>
        <w:tc>
          <w:tcPr>
            <w:tcW w:w="470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w w:val="94"/>
              </w:rPr>
              <w:t>Diluted earnings per common share..........................</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w w:val="94"/>
              </w:rPr>
              <w:t>Basic earnings per common share............................</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w w:val="94"/>
              </w:rPr>
              <w:t>Cash dividends declared per share of common stock..........</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.021</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.043</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w w:val="75"/>
              </w:rPr>
              <w:t>Net cash provided by operating activities..............................................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$ 1,042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560</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5"/>
              </w:rPr>
              <w:t>Additions to property, plant and equipment...........................................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(1,194)</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(517)</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5"/>
              </w:rPr>
              <w:t>Purchases of short-term investments..................................................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(2,640)</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(1,063)</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5"/>
              </w:rPr>
              <w:t>Sales and maturities of short-term investments.......................................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1,867</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1,260</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5"/>
              </w:rPr>
              <w:t>Purchases of noncurrent investments..................................................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5"/>
              </w:rPr>
              <w:t>Sales of noncurrent investments .....................................................</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1,613</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5"/>
              </w:rPr>
              <w:t>Acquisition of businesses, net of cash acquired......................................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(382)</w:t>
            </w:r>
          </w:p>
        </w:tc>
      </w:tr>
      <w:tr>
        <w:trPr>
          <w:trHeight w:val="167"/>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w w:val="75"/>
              </w:rPr>
              <w:t>Net cash used in investing activities..................................................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(542)</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5"/>
              </w:rPr>
              <w:t>Payments on long-term debt...........................................................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5"/>
              </w:rPr>
              <w:t>Dividends paid on common stock.......................................................</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5"/>
              </w:rPr>
              <w:t>Sales and other common stock transactions............................................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w:t>
            </w:r>
          </w:p>
        </w:tc>
      </w:tr>
      <w:tr>
        <w:trPr>
          <w:trHeight w:val="167"/>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5"/>
              </w:rPr>
              <w:t>Common stock repurchase program......................................................</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w:t>
            </w:r>
          </w:p>
        </w:tc>
      </w:tr>
      <w:tr>
        <w:trPr>
          <w:trHeight w:val="167"/>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w w:val="75"/>
              </w:rPr>
              <w:t>Net cash provided by (used in) financing activities....................................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(269)</w:t>
            </w:r>
          </w:p>
        </w:tc>
      </w:tr>
      <w:tr>
        <w:trPr>
          <w:trHeight w:val="334"/>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w w:val="75"/>
              </w:rPr>
              <w:t>Effect of exchange rate changes on cash................................................</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w:t>
            </w:r>
          </w:p>
        </w:tc>
        <w:tc>
          <w:tcPr>
            <w:tcW w:w="18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r>
      <w:tr>
        <w:trPr>
          <w:trHeight w:val="167"/>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w w:val="75"/>
              </w:rPr>
              <w:t>Net increase (decrease) in cash and cash equivalents...................................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668</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w w:val="75"/>
              </w:rPr>
              <w:t>Cash and cash equivalents, January 1...................................................</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662</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632</w:t>
            </w:r>
          </w:p>
        </w:tc>
      </w:tr>
      <w:tr>
        <w:trPr>
          <w:trHeight w:val="167"/>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w w:val="75"/>
              </w:rPr>
              <w:t>Cash and cash equivalents, June 30.....................................................</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$ 1,330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343</w:t>
            </w:r>
          </w:p>
        </w:tc>
      </w:tr>
      <w:tr>
        <w:trPr>
          <w:trHeight w:val="167"/>
        </w:trPr>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 w:name="page3"/>
    <w:bookmarkEnd w:id="2"/>
    <w:p>
      <w:pPr>
        <w:jc w:val="center"/>
        <w:ind w:right="3199"/>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(In millions of dollars, except per-share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June 30</w:t>
            </w:r>
          </w:p>
        </w:tc>
        <w:tc>
          <w:tcPr>
            <w:tcW w:w="9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 31</w:t>
            </w: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Balance Sheet</w:t>
            </w:r>
          </w:p>
        </w:tc>
        <w:tc>
          <w:tcPr>
            <w:tcW w:w="22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$ 1,330</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Short-term investments.............................................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less allowance for losses of</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 million in 2000 and $67 million in 1999......................</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1,843</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Raw materials....................................................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171</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Work in process..................................................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565</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463</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Finished goods...................................................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Inventories....................................................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1,019</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845</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Prepaid expenses...................................................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116</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556</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605</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current assets.............................................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7,887</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6,055</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plant and equipment........................................</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7,973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7,120</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Less accumulated depreciation......................................</w:t>
            </w: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(3,485)</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(3,285)</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plant and equipment (net)..............................</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4,488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3,835</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Investments..........................................................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6,281</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4,204</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Goodwill and other acquisition-related intangibles...................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466</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503</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assets.........................................................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387</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w:t>
            </w: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$19,558</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$15,028</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Loans payable and current portion long-term debt...................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385</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313</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payable...................................................</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757</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668</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and other current liabilities..............................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1,961</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1,647</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current liabilities........................................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3,103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2,628</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966</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1,097</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retirement costs.............................................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797</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1,762</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credits and other liabilities...............................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257</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$25 par value. Authorized - 10,000,000 shares.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Participating cumulative preferred. None issued..................</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Common stock, $1 par value. Authorized -  2,400,000,000 shares.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issued: 2000 - 1,641,386,479; 1999 - 813,926,025..........</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1,641</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814</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Paid-in capital....................................................</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219</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822</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7,813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6,175</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Less treasury common stock at cost.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2000 - 899,790; 1999 - 1,034,757.........................</w:t>
            </w: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income.............................</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3,093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1,553</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stockholders' equity.......................................</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12,670</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9,255</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$19,558</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$15,028</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3" w:name="page4"/>
    <w:bookmarkEnd w:id="3"/>
    <w:p>
      <w:pPr>
        <w:jc w:val="center"/>
        <w:ind w:right="3179"/>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Notes to Financial Statements</w:t>
      </w:r>
    </w:p>
    <w:p>
      <w:pPr>
        <w:spacing w:after="0" w:line="342" w:lineRule="exact"/>
        <w:rPr>
          <w:sz w:val="20"/>
          <w:szCs w:val="20"/>
          <w:color w:val="auto"/>
        </w:rPr>
      </w:pPr>
    </w:p>
    <w:p>
      <w:pPr>
        <w:ind w:right="3279" w:firstLine="9"/>
        <w:spacing w:after="0" w:line="254" w:lineRule="auto"/>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per common share are based on average common and dilutive potential common shares outstanding (1,708.3 and 1,658.7 million shares for the second quarters of 2000 and 1999, and 1,705.8 and 1,654.6 million shares for the six months ended June 30, 2000 and 1999). Share amounts have been retroactively adjusted for the 2000 two-for-one stock split which was effective May 22, 2000.</w:t>
      </w:r>
    </w:p>
    <w:p>
      <w:pPr>
        <w:spacing w:after="0" w:line="162" w:lineRule="exact"/>
        <w:rPr>
          <w:rFonts w:ascii="Courier New" w:cs="Courier New" w:eastAsia="Courier New" w:hAnsi="Courier New"/>
          <w:sz w:val="14"/>
          <w:szCs w:val="14"/>
          <w:color w:val="auto"/>
        </w:rPr>
      </w:pPr>
    </w:p>
    <w:p>
      <w:pPr>
        <w:ind w:right="3979" w:firstLine="9"/>
        <w:spacing w:after="0" w:line="255" w:lineRule="auto"/>
        <w:tabs>
          <w:tab w:leader="none" w:pos="2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June 21, 2000, TI entered into an agreement to purchase Burr-Brown Corporation for approximately 88 million shares of TI common stock in a stock-for-stock transaction, including options and convertible notes.</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On June 23, 2000, TI entered into an agreement to purchase Alantro Communications, Inc., in a stock-for-stock transaction with an aggregate value as of that date, including stock options and warrants, of approximately $300 million.</w:t>
      </w:r>
    </w:p>
    <w:p>
      <w:pPr>
        <w:spacing w:after="0" w:line="163"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On June 29, 2000, TI entered into an agreement to purchase Dot Wireless, Inc., in a stock-for-stock transaction with an aggregate value as of that date, including stock options, of approximately $475 million.</w:t>
      </w:r>
    </w:p>
    <w:p>
      <w:pPr>
        <w:spacing w:after="0" w:line="162" w:lineRule="exact"/>
        <w:rPr>
          <w:sz w:val="20"/>
          <w:szCs w:val="20"/>
          <w:color w:val="auto"/>
        </w:rPr>
      </w:pPr>
    </w:p>
    <w:p>
      <w:pPr>
        <w:ind w:right="3379" w:firstLine="9"/>
        <w:spacing w:after="0" w:line="254"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second quarter of 2000, the company realized a pretax investment gain of $1211 million, included in other income, from the sale of 20 million shares of Micron Technology, Inc. common stock which were part of the consideration received in the company's 1998 divestiture of its memory business to Micron.</w:t>
      </w:r>
    </w:p>
    <w:p>
      <w:pPr>
        <w:spacing w:after="0" w:line="163" w:lineRule="exact"/>
        <w:rPr>
          <w:rFonts w:ascii="Courier New" w:cs="Courier New" w:eastAsia="Courier New" w:hAnsi="Courier New"/>
          <w:sz w:val="14"/>
          <w:szCs w:val="14"/>
          <w:color w:val="auto"/>
        </w:rPr>
      </w:pPr>
    </w:p>
    <w:p>
      <w:pPr>
        <w:ind w:right="3539" w:firstLine="9"/>
        <w:spacing w:after="0" w:line="253"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2000, the company recorded pretax charges of $29 million, associated with actions including the closing of the Materials and Controls manufacturing facility in Versailles, Kentucky, and TI's acquisition of Toccata Technology ApS. Of the $29 million charge, $12 million was for severance for the elimination of 480 jobs in Kentucky. As of June 30, 2000, none of the severance costs had been paid. Of the $29 million charge, $20 million is included in cost of revenues, $6 million in marketing, general and administrative expense, and $3 million in research and development expense.</w:t>
      </w:r>
    </w:p>
    <w:p>
      <w:pPr>
        <w:spacing w:after="0" w:line="164" w:lineRule="exact"/>
        <w:rPr>
          <w:rFonts w:ascii="Courier New" w:cs="Courier New" w:eastAsia="Courier New" w:hAnsi="Courier New"/>
          <w:sz w:val="14"/>
          <w:szCs w:val="14"/>
          <w:color w:val="auto"/>
        </w:rPr>
      </w:pPr>
    </w:p>
    <w:p>
      <w:pPr>
        <w:ind w:right="3459" w:firstLine="9"/>
        <w:spacing w:after="0" w:line="253"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1999, the company announced a consolidation of semiconductor manufacturing operations in Japan to improve manufacturing efficiencies and reduce costs. The action resulted in a pretax charge of $14 million in the first quarter, of which $13 million was for severance for the elimination of 153 jobs in Hatagoya, Japan and $1 million for other related costs. At year-end 1999, this program was complete. Of the $14 million charge, $11 million was included in cost of revenues and $3 million in marketing, general and administrative expense.</w:t>
      </w:r>
    </w:p>
    <w:p>
      <w:pPr>
        <w:spacing w:after="0" w:line="164"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comprehensive income, i.e., net income plus investment and pension</w:t>
      </w:r>
    </w:p>
    <w:p>
      <w:pPr>
        <w:spacing w:after="0" w:line="8" w:lineRule="exact"/>
        <w:rPr>
          <w:rFonts w:ascii="Courier New" w:cs="Courier New" w:eastAsia="Courier New" w:hAnsi="Courier New"/>
          <w:sz w:val="14"/>
          <w:szCs w:val="14"/>
          <w:color w:val="auto"/>
        </w:rPr>
      </w:pPr>
    </w:p>
    <w:p>
      <w:pPr>
        <w:ind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adjustments to stockholders' equity, for the second quarters of 2000 and 1999 was $1,394 million and $154 million. For the six months ended June 30, 2000 and 1999, it was $3,245 million and $421 million.</w:t>
      </w:r>
    </w:p>
    <w:p>
      <w:pPr>
        <w:spacing w:after="0" w:line="162" w:lineRule="exact"/>
        <w:rPr>
          <w:rFonts w:ascii="Courier New" w:cs="Courier New" w:eastAsia="Courier New" w:hAnsi="Courier New"/>
          <w:sz w:val="14"/>
          <w:szCs w:val="14"/>
          <w:color w:val="auto"/>
        </w:rPr>
      </w:pPr>
    </w:p>
    <w:p>
      <w:pPr>
        <w:ind w:right="4159" w:firstLine="9"/>
        <w:spacing w:after="0" w:line="258"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significant change in the status of the audit and investigation concerning grants from the Italian government.</w:t>
      </w:r>
    </w:p>
    <w:p>
      <w:pPr>
        <w:spacing w:after="0" w:line="159" w:lineRule="exact"/>
        <w:rPr>
          <w:rFonts w:ascii="Courier New" w:cs="Courier New" w:eastAsia="Courier New" w:hAnsi="Courier New"/>
          <w:sz w:val="14"/>
          <w:szCs w:val="14"/>
          <w:color w:val="auto"/>
        </w:rPr>
      </w:pPr>
    </w:p>
    <w:p>
      <w:pPr>
        <w:ind w:right="3459" w:firstLine="9"/>
        <w:spacing w:after="0" w:line="254"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1999, the Securities and Exchange Commission issued Staff Accounting Bulletin (SAB) No. 101 on revenue recognition. TI is currently evaluating the impact of SAB No. 101, which is effective in the fourth quarter of 2000, and expects any effect to be immaterial.</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4" w:name="page5"/>
    <w:bookmarkEnd w:id="4"/>
    <w:p>
      <w:pPr>
        <w:ind w:right="3539" w:firstLine="9"/>
        <w:spacing w:after="0" w:line="254" w:lineRule="auto"/>
        <w:tabs>
          <w:tab w:leader="none" w:pos="2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of income, statements of cash flows and balance sheet at June 30, 2000, are not audited but reflect all adjustments which are of a normal recurring nature and are, in the opinion of management, necessary to a fair statement of the results of the periods shown.</w:t>
      </w:r>
    </w:p>
    <w:p>
      <w:pPr>
        <w:spacing w:after="0" w:line="16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segment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Courier New" w:cs="Courier New" w:eastAsia="Courier New" w:hAnsi="Courier New"/>
                <w:sz w:val="14"/>
                <w:szCs w:val="14"/>
                <w:color w:val="auto"/>
              </w:rPr>
              <w:t>For Three Months Ended</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Six Months Ended</w:t>
            </w:r>
          </w:p>
        </w:tc>
      </w:tr>
      <w:tr>
        <w:trPr>
          <w:trHeight w:val="167"/>
        </w:trPr>
        <w:tc>
          <w:tcPr>
            <w:tcW w:w="35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1"/>
                <w:szCs w:val="11"/>
                <w:color w:val="auto"/>
                <w:w w:val="70"/>
              </w:rPr>
              <w:t>----------------------</w:t>
            </w:r>
          </w:p>
        </w:tc>
        <w:tc>
          <w:tcPr>
            <w:tcW w:w="13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June 30</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Business Segment Net Revenues</w:t>
            </w:r>
          </w:p>
        </w:tc>
        <w:tc>
          <w:tcPr>
            <w:tcW w:w="44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2000</w:t>
            </w:r>
          </w:p>
        </w:tc>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(millions of dollars)</w:t>
            </w: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1"/>
        </w:trPr>
        <w:tc>
          <w:tcPr>
            <w:tcW w:w="3560" w:type="dxa"/>
            <w:vAlign w:val="bottom"/>
          </w:tcPr>
          <w:p>
            <w:pPr>
              <w:spacing w:after="0"/>
              <w:rPr>
                <w:sz w:val="20"/>
                <w:szCs w:val="20"/>
                <w:color w:val="auto"/>
              </w:rPr>
            </w:pPr>
            <w:r>
              <w:rPr>
                <w:rFonts w:ascii="Courier New" w:cs="Courier New" w:eastAsia="Courier New" w:hAnsi="Courier New"/>
                <w:sz w:val="14"/>
                <w:szCs w:val="14"/>
                <w:color w:val="auto"/>
              </w:rPr>
              <w:t>Semiconductor</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w w:val="97"/>
              </w:rPr>
              <w:t>Trade....................................</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2,410</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$ 1,972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$ 4,675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$ 3,710</w:t>
            </w: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Intersegment.............................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r>
      <w:tr>
        <w:trPr>
          <w:trHeight w:val="167"/>
        </w:trPr>
        <w:tc>
          <w:tcPr>
            <w:tcW w:w="356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2,414</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1,975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3,717</w:t>
            </w:r>
          </w:p>
        </w:tc>
      </w:tr>
      <w:tr>
        <w:trPr>
          <w:trHeight w:val="167"/>
        </w:trPr>
        <w:tc>
          <w:tcPr>
            <w:tcW w:w="356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Materials &amp; Controls</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Trade....................................</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256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w:t>
            </w: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Intersegment.............................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256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w:t>
            </w:r>
          </w:p>
        </w:tc>
      </w:tr>
      <w:tr>
        <w:trPr>
          <w:trHeight w:val="167"/>
        </w:trPr>
        <w:tc>
          <w:tcPr>
            <w:tcW w:w="356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Educational &amp; Productivity Solutions</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Trade....................................</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153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w:t>
            </w:r>
          </w:p>
        </w:tc>
      </w:tr>
      <w:tr>
        <w:trPr>
          <w:trHeight w:val="334"/>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Corporate activities.......................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Divested activities........................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r>
      <w:tr>
        <w:trPr>
          <w:trHeight w:val="167"/>
        </w:trPr>
        <w:tc>
          <w:tcPr>
            <w:tcW w:w="356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w w:val="97"/>
              </w:rPr>
              <w:t>Total......................................</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2,843</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$ 2,395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$ 5,497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$ 4,477</w:t>
            </w:r>
          </w:p>
        </w:tc>
      </w:tr>
      <w:tr>
        <w:trPr>
          <w:trHeight w:val="167"/>
        </w:trPr>
        <w:tc>
          <w:tcPr>
            <w:tcW w:w="356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Beginning in 2000, management decided to assess profit performance of its business segments excluding the effect of acquisition-related amortization. Accordingly, 2000 business segment profit amounts exclude this amortization ($25 million for the second quarter and $50 million year-to-date). Business segment profit amounts for 1999 include the amortization ($9 million for the second quarter and $19 million year-to-date).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Profit (Loss)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 of dollars)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Semiconductor..............................</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606</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481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$ 1,183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812</w:t>
            </w:r>
          </w:p>
        </w:tc>
      </w:tr>
      <w:tr>
        <w:trPr>
          <w:trHeight w:val="167"/>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Materials &amp; Controls.......................</w:t>
            </w:r>
          </w:p>
        </w:tc>
        <w:tc>
          <w:tcPr>
            <w:tcW w:w="2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w:t>
            </w:r>
          </w:p>
        </w:tc>
        <w:tc>
          <w:tcPr>
            <w:tcW w:w="3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w:t>
            </w:r>
          </w:p>
        </w:tc>
        <w:tc>
          <w:tcPr>
            <w:tcW w:w="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w:t>
            </w:r>
          </w:p>
        </w:tc>
      </w:tr>
      <w:tr>
        <w:trPr>
          <w:trHeight w:val="167"/>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Educational &amp; Productivity Solutions.......</w:t>
            </w:r>
          </w:p>
        </w:tc>
        <w:tc>
          <w:tcPr>
            <w:tcW w:w="2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c>
          <w:tcPr>
            <w:tcW w:w="3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w:t>
            </w:r>
          </w:p>
        </w:tc>
        <w:tc>
          <w:tcPr>
            <w:tcW w:w="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w:t>
            </w:r>
          </w:p>
        </w:tc>
      </w:tr>
      <w:tr>
        <w:trPr>
          <w:trHeight w:val="167"/>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Corporate activities.......................</w:t>
            </w:r>
          </w:p>
        </w:tc>
        <w:tc>
          <w:tcPr>
            <w:tcW w:w="2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c>
          <w:tcPr>
            <w:tcW w:w="3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Special charges/gains and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acquisition-related amortization,</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net of applicable profit sharing.........</w:t>
            </w:r>
          </w:p>
        </w:tc>
        <w:tc>
          <w:tcPr>
            <w:tcW w:w="2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1,186</w:t>
            </w:r>
          </w:p>
        </w:tc>
        <w:tc>
          <w:tcPr>
            <w:tcW w:w="3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1,132</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Interest on loans/other income</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(expense) net, excluding a second quarter</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2000 gain of $1,211 million included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above in Special charges/gains and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acquisition-related amortization.........</w:t>
            </w:r>
          </w:p>
        </w:tc>
        <w:tc>
          <w:tcPr>
            <w:tcW w:w="2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w:t>
            </w:r>
          </w:p>
        </w:tc>
        <w:tc>
          <w:tcPr>
            <w:tcW w:w="3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w:t>
            </w:r>
          </w:p>
        </w:tc>
        <w:tc>
          <w:tcPr>
            <w:tcW w:w="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w:t>
            </w:r>
          </w:p>
        </w:tc>
      </w:tr>
      <w:tr>
        <w:trPr>
          <w:trHeight w:val="167"/>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Divested activities........................</w:t>
            </w:r>
          </w:p>
        </w:tc>
        <w:tc>
          <w:tcPr>
            <w:tcW w:w="2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32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7"/>
        </w:trPr>
        <w:tc>
          <w:tcPr>
            <w:tcW w:w="3780" w:type="dxa"/>
            <w:vAlign w:val="bottom"/>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Income before provision for income taxes...</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1,947</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511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$ 2,574</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889</w:t>
            </w:r>
          </w:p>
        </w:tc>
      </w:tr>
      <w:tr>
        <w:trPr>
          <w:trHeight w:val="167"/>
        </w:trPr>
        <w:tc>
          <w:tcPr>
            <w:tcW w:w="3780" w:type="dxa"/>
            <w:vAlign w:val="bottom"/>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 w:name="page6"/>
    <w:bookmarkEnd w:id="5"/>
    <w:p>
      <w:pPr>
        <w:ind w:right="3379" w:firstLine="9"/>
        <w:spacing w:after="0" w:line="253" w:lineRule="auto"/>
        <w:tabs>
          <w:tab w:leader="none" w:pos="34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Acquisition-related purchased in-process R&amp;D charges were $79 million in 1999. These charges are for the value of acquired in-process research and development from business purchase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Significant assumptions, detailed in the following table, used in determining the value of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in-process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Millions of Dollars</w:t>
      </w:r>
    </w:p>
    <w:p>
      <w:pPr>
        <w:spacing w:after="0" w:line="8"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Cost/time to</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complete R&amp;D projects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w:t>
            </w: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Purchased</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cash flows</w:t>
            </w:r>
          </w:p>
        </w:tc>
      </w:tr>
      <w:tr>
        <w:trPr>
          <w:trHeight w:val="167"/>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Entity</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Consid-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Other</w:t>
            </w:r>
          </w:p>
        </w:tc>
        <w:tc>
          <w:tcPr>
            <w:tcW w:w="190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in-process Appraisal</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R&amp;D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Discount</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At</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At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projected</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acquired</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eration</w:t>
            </w:r>
          </w:p>
        </w:tc>
        <w:tc>
          <w:tcPr>
            <w:tcW w:w="2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Goodwill intangibles R&amp;D charge</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method</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focus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rate</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acquisition June 2000</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to begin</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542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 -------- ----------- ---------- --------- -----</w:t>
            </w:r>
          </w:p>
        </w:tc>
        <w:tc>
          <w:tcPr>
            <w:tcW w:w="3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Butterfly</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First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$ 52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Exclusion</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Short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$5/264</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$.7M/50</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VLSI,</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quarter</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approach</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distance</w:t>
            </w:r>
          </w:p>
        </w:tc>
        <w:tc>
          <w:tcPr>
            <w:tcW w:w="780" w:type="dxa"/>
            <w:vAlign w:val="bottom"/>
          </w:tcPr>
          <w:p>
            <w:pPr>
              <w:spacing w:after="0"/>
              <w:rPr>
                <w:sz w:val="14"/>
                <w:szCs w:val="14"/>
                <w:color w:val="auto"/>
              </w:rPr>
            </w:pP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engineer</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engineer</w:t>
            </w:r>
          </w:p>
        </w:tc>
        <w:tc>
          <w:tcPr>
            <w:tcW w:w="1040" w:type="dxa"/>
            <w:vAlign w:val="bottom"/>
          </w:tcPr>
          <w:p>
            <w:pPr>
              <w:spacing w:after="0"/>
              <w:rPr>
                <w:sz w:val="14"/>
                <w:szCs w:val="14"/>
                <w:color w:val="auto"/>
              </w:rPr>
            </w:pPr>
          </w:p>
        </w:tc>
      </w:tr>
      <w:tr>
        <w:trPr>
          <w:trHeight w:val="167"/>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Ltd.</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wireless</w:t>
            </w:r>
          </w:p>
        </w:tc>
        <w:tc>
          <w:tcPr>
            <w:tcW w:w="78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months</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months</w:t>
            </w: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technology</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for voice-</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plus-data</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transmission</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products</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Libit Signal</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Second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$365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207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5"/>
              </w:rPr>
              <w:t>106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Exclusion</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Silicon</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$5/492</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Project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Processing</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quarter</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approach</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Solutions</w:t>
            </w:r>
          </w:p>
        </w:tc>
        <w:tc>
          <w:tcPr>
            <w:tcW w:w="780" w:type="dxa"/>
            <w:vAlign w:val="bottom"/>
          </w:tcPr>
          <w:p>
            <w:pPr>
              <w:spacing w:after="0"/>
              <w:rPr>
                <w:sz w:val="14"/>
                <w:szCs w:val="14"/>
                <w:color w:val="auto"/>
              </w:rPr>
            </w:pP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engineer</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completed</w:t>
            </w:r>
          </w:p>
        </w:tc>
        <w:tc>
          <w:tcPr>
            <w:tcW w:w="1040" w:type="dxa"/>
            <w:vAlign w:val="bottom"/>
          </w:tcPr>
          <w:p>
            <w:pPr>
              <w:spacing w:after="0"/>
              <w:rPr>
                <w:sz w:val="14"/>
                <w:szCs w:val="14"/>
                <w:color w:val="auto"/>
              </w:rPr>
            </w:pPr>
          </w:p>
        </w:tc>
      </w:tr>
      <w:tr>
        <w:trPr>
          <w:trHeight w:val="167"/>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Ltd.</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and</w:t>
            </w:r>
          </w:p>
        </w:tc>
        <w:tc>
          <w:tcPr>
            <w:tcW w:w="78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months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Internet</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telephony</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software</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for cable</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modems, etc.</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 Internet</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access</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Integrated</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Third</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$ 67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Exclusion</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Intel-</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$4/233</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Project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Sensor</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quarter</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approach</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ligent</w:t>
            </w:r>
          </w:p>
        </w:tc>
        <w:tc>
          <w:tcPr>
            <w:tcW w:w="780" w:type="dxa"/>
            <w:vAlign w:val="bottom"/>
          </w:tcPr>
          <w:p>
            <w:pPr>
              <w:spacing w:after="0"/>
              <w:rPr>
                <w:sz w:val="14"/>
                <w:szCs w:val="14"/>
                <w:color w:val="auto"/>
              </w:rPr>
            </w:pP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engineer</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completed</w:t>
            </w:r>
          </w:p>
        </w:tc>
        <w:tc>
          <w:tcPr>
            <w:tcW w:w="1040" w:type="dxa"/>
            <w:vAlign w:val="bottom"/>
          </w:tcPr>
          <w:p>
            <w:pPr>
              <w:spacing w:after="0"/>
              <w:rPr>
                <w:sz w:val="14"/>
                <w:szCs w:val="14"/>
                <w:color w:val="auto"/>
              </w:rPr>
            </w:pPr>
          </w:p>
        </w:tc>
      </w:tr>
      <w:tr>
        <w:trPr>
          <w:trHeight w:val="167"/>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Solutions,</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sensors</w:t>
            </w:r>
          </w:p>
        </w:tc>
        <w:tc>
          <w:tcPr>
            <w:tcW w:w="78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months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for</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auto/ind.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markets</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1"/>
        </w:trPr>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7</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380"/>
          </w:cols>
          <w:pgMar w:left="220" w:top="1121" w:right="299" w:bottom="1440" w:gutter="0" w:footer="0" w:header="0"/>
        </w:sectPr>
      </w:pPr>
    </w:p>
    <w:bookmarkStart w:id="7" w:name="page8"/>
    <w:bookmarkEnd w:id="7"/>
    <w:p>
      <w:pPr>
        <w:ind w:right="4760" w:firstLine="9"/>
        <w:spacing w:after="0" w:line="258" w:lineRule="auto"/>
        <w:tabs>
          <w:tab w:leader="none" w:pos="34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is a reconciliation of individual restructuring accruals (in millions of dollars).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Year of Charge</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60" w:type="dxa"/>
            <w:vAlign w:val="bottom"/>
            <w:gridSpan w:val="14"/>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w:t>
            </w: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12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8"/>
              </w:rPr>
              <w:t>Divest.</w:t>
            </w:r>
          </w:p>
        </w:tc>
        <w:tc>
          <w:tcPr>
            <w:tcW w:w="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M&amp;C</w:t>
            </w:r>
          </w:p>
        </w:tc>
        <w:tc>
          <w:tcPr>
            <w:tcW w:w="52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Reserves</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SC</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SC operation</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SC</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SC cost</w:t>
            </w:r>
          </w:p>
        </w:tc>
        <w:tc>
          <w:tcPr>
            <w:tcW w:w="76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8"/>
              </w:rPr>
              <w:t>of MCB/</w:t>
            </w:r>
          </w:p>
        </w:tc>
        <w:tc>
          <w:tcPr>
            <w:tcW w:w="9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cost</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against</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and</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closing &amp;</w:t>
            </w: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Unitrode</w:t>
            </w:r>
          </w:p>
        </w:tc>
        <w:tc>
          <w:tcPr>
            <w:tcW w:w="17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operation reduction</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M&amp;C</w:t>
            </w:r>
          </w:p>
        </w:tc>
      </w:tr>
      <w:tr>
        <w:trPr>
          <w:trHeight w:val="167"/>
        </w:trPr>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term.</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reduction</w:t>
            </w: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gains on</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Corp.</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M&amp;C sale of</w:t>
            </w:r>
          </w:p>
        </w:tc>
        <w:tc>
          <w:tcPr>
            <w:tcW w:w="130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semiconductor</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closing</w:t>
            </w:r>
          </w:p>
        </w:tc>
        <w:tc>
          <w:tcPr>
            <w:tcW w:w="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action</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site</w:t>
            </w:r>
          </w:p>
        </w:tc>
      </w:tr>
      <w:tr>
        <w:trPr>
          <w:trHeight w:val="167"/>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Description*</w:t>
            </w:r>
          </w:p>
        </w:tc>
        <w:tc>
          <w:tcPr>
            <w:tcW w:w="120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Total of DIPD</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action</w:t>
            </w: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business sales actions</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operation</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action</w:t>
            </w:r>
          </w:p>
        </w:tc>
        <w:tc>
          <w:tcPr>
            <w:tcW w:w="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8"/>
              </w:rPr>
              <w:t>in Japan</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in U.S.</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closing</w:t>
            </w:r>
          </w:p>
        </w:tc>
      </w:tr>
      <w:tr>
        <w:trPr>
          <w:trHeight w:val="167"/>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w w:val="98"/>
              </w:rPr>
              <w:t>-------</w:t>
            </w:r>
          </w:p>
        </w:tc>
      </w:tr>
      <w:tr>
        <w:trPr>
          <w:trHeight w:val="334"/>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 31, 1999</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$ 76</w:t>
            </w:r>
          </w:p>
        </w:tc>
        <w:tc>
          <w:tcPr>
            <w:tcW w:w="6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$ 14</w:t>
            </w:r>
          </w:p>
        </w:tc>
        <w:tc>
          <w:tcPr>
            <w:tcW w:w="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$ 22</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jc w:val="center"/>
              <w:ind w:left="40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w:t>
            </w:r>
          </w:p>
        </w:tc>
        <w:tc>
          <w:tcPr>
            <w:tcW w:w="760" w:type="dxa"/>
            <w:vAlign w:val="bottom"/>
          </w:tcPr>
          <w:p>
            <w:pPr>
              <w:spacing w:after="0"/>
              <w:rPr>
                <w:sz w:val="24"/>
                <w:szCs w:val="24"/>
                <w:color w:val="auto"/>
              </w:rPr>
            </w:pPr>
          </w:p>
        </w:tc>
      </w:tr>
      <w:tr>
        <w:trPr>
          <w:trHeight w:val="334"/>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CHARGES:</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7"/>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Severance .................</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w:t>
            </w:r>
          </w:p>
        </w:tc>
      </w:tr>
      <w:tr>
        <w:trPr>
          <w:trHeight w:val="167"/>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Various charges ...........</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r>
      <w:tr>
        <w:trPr>
          <w:trHeight w:val="334"/>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DISPOSITIONS:</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7"/>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Severance payments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w:t>
            </w:r>
          </w:p>
        </w:tc>
        <w:tc>
          <w:tcPr>
            <w:tcW w:w="1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76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BALANCE, MARCH 31, 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w:t>
            </w:r>
          </w:p>
        </w:tc>
        <w:tc>
          <w:tcPr>
            <w:tcW w:w="6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spacing w:after="0"/>
              <w:rPr>
                <w:sz w:val="24"/>
                <w:szCs w:val="24"/>
                <w:color w:val="auto"/>
              </w:rPr>
            </w:pP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spacing w:after="0"/>
              <w:rPr>
                <w:sz w:val="24"/>
                <w:szCs w:val="24"/>
                <w:color w:val="auto"/>
              </w:rPr>
            </w:pP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spacing w:after="0"/>
              <w:rPr>
                <w:sz w:val="24"/>
                <w:szCs w:val="24"/>
                <w:color w:val="auto"/>
              </w:rPr>
            </w:pP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24"/>
                <w:szCs w:val="24"/>
                <w:color w:val="auto"/>
              </w:rPr>
            </w:pPr>
          </w:p>
        </w:tc>
        <w:tc>
          <w:tcPr>
            <w:tcW w:w="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24"/>
                <w:szCs w:val="2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w:t>
            </w:r>
          </w:p>
        </w:tc>
      </w:tr>
      <w:tr>
        <w:trPr>
          <w:trHeight w:val="334"/>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DISPOSITIONS:</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7"/>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Severance payments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1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760" w:type="dxa"/>
            <w:vAlign w:val="bottom"/>
          </w:tcPr>
          <w:p>
            <w:pPr>
              <w:spacing w:after="0"/>
              <w:rPr>
                <w:sz w:val="14"/>
                <w:szCs w:val="14"/>
                <w:color w:val="auto"/>
              </w:rPr>
            </w:pPr>
          </w:p>
        </w:tc>
      </w:tr>
      <w:tr>
        <w:trPr>
          <w:trHeight w:val="334"/>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Various payments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4"/>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Adjustments - net</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7"/>
        </w:trPr>
        <w:tc>
          <w:tcPr>
            <w:tcW w:w="2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reversal to income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w:t>
            </w:r>
          </w:p>
        </w:tc>
      </w:tr>
      <w:tr>
        <w:trPr>
          <w:trHeight w:val="167"/>
        </w:trPr>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BALANCE, JUNE 30, 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$ 68</w:t>
            </w:r>
          </w:p>
        </w:tc>
        <w:tc>
          <w:tcPr>
            <w:tcW w:w="6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8</w:t>
            </w:r>
          </w:p>
        </w:tc>
        <w:tc>
          <w:tcPr>
            <w:tcW w:w="4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$ 20</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jc w:val="center"/>
              <w:ind w:left="408"/>
              <w:spacing w:after="0"/>
              <w:rPr>
                <w:sz w:val="20"/>
                <w:szCs w:val="20"/>
                <w:color w:val="auto"/>
              </w:rPr>
            </w:pPr>
            <w:r>
              <w:rPr>
                <w:rFonts w:ascii="Courier New" w:cs="Courier New" w:eastAsia="Courier New" w:hAnsi="Courier New"/>
                <w:sz w:val="14"/>
                <w:szCs w:val="14"/>
                <w:color w:val="auto"/>
                <w:w w:val="94"/>
              </w:rPr>
              <w:t>$</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w:t>
            </w:r>
          </w:p>
        </w:tc>
      </w:tr>
      <w:tr>
        <w:trPr>
          <w:trHeight w:val="167"/>
        </w:trPr>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*Abbreviations</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SC</w:t>
            </w:r>
          </w:p>
        </w:tc>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 Semiconductor Business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MCB</w:t>
            </w:r>
          </w:p>
        </w:tc>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 Mobile Computing Business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DIPD</w:t>
            </w:r>
          </w:p>
        </w:tc>
        <w:tc>
          <w:tcPr>
            <w:tcW w:w="4000" w:type="dxa"/>
            <w:vAlign w:val="bottom"/>
            <w:gridSpan w:val="5"/>
          </w:tcPr>
          <w:p>
            <w:pPr>
              <w:spacing w:after="0"/>
              <w:rPr>
                <w:sz w:val="20"/>
                <w:szCs w:val="20"/>
                <w:color w:val="auto"/>
              </w:rPr>
            </w:pPr>
            <w:r>
              <w:rPr>
                <w:rFonts w:ascii="Courier New" w:cs="Courier New" w:eastAsia="Courier New" w:hAnsi="Courier New"/>
                <w:sz w:val="14"/>
                <w:szCs w:val="14"/>
                <w:color w:val="auto"/>
              </w:rPr>
              <w:t>= Digital Imaging Printing Development Program</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M&amp;C</w:t>
            </w:r>
          </w:p>
        </w:tc>
        <w:tc>
          <w:tcPr>
            <w:tcW w:w="3040" w:type="dxa"/>
            <w:vAlign w:val="bottom"/>
            <w:gridSpan w:val="3"/>
          </w:tcPr>
          <w:p>
            <w:pPr>
              <w:spacing w:after="0"/>
              <w:rPr>
                <w:sz w:val="20"/>
                <w:szCs w:val="20"/>
                <w:color w:val="auto"/>
              </w:rPr>
            </w:pPr>
            <w:r>
              <w:rPr>
                <w:rFonts w:ascii="Courier New" w:cs="Courier New" w:eastAsia="Courier New" w:hAnsi="Courier New"/>
                <w:sz w:val="14"/>
                <w:szCs w:val="14"/>
                <w:color w:val="auto"/>
              </w:rPr>
              <w:t>= Materials and Controls Business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 = Corporate Division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1540"/>
          </w:cols>
          <w:pgMar w:left="220" w:top="620" w:right="139" w:bottom="1440" w:gutter="0" w:footer="0" w:header="0"/>
        </w:sectPr>
      </w:pPr>
    </w:p>
    <w:bookmarkStart w:id="8" w:name="page9"/>
    <w:bookmarkEnd w:id="8"/>
    <w:p>
      <w:pPr>
        <w:ind w:right="3379"/>
        <w:spacing w:after="0" w:line="258" w:lineRule="auto"/>
        <w:rPr>
          <w:sz w:val="20"/>
          <w:szCs w:val="20"/>
          <w:color w:val="auto"/>
        </w:rPr>
      </w:pPr>
      <w:r>
        <w:rPr>
          <w:rFonts w:ascii="Courier New" w:cs="Courier New" w:eastAsia="Courier New" w:hAnsi="Courier New"/>
          <w:sz w:val="14"/>
          <w:szCs w:val="14"/>
          <w:color w:val="auto"/>
        </w:rPr>
        <w:t>ITEM 2. Management's Discussion and Analysis of Financial Condition and Results of Operations.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Registrant (the "company" or "TI") announced second-quarter 2000 financial results that show strength across a wide breadth of its products and markets. TI expects accelerating growth in its semiconductor business in the third quarter and is raising its capital expenditures to support strong customer demand.</w:t>
      </w:r>
    </w:p>
    <w:p>
      <w:pPr>
        <w:spacing w:after="0" w:line="163"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Note: The earnings per share (EPS) amounts in this report reflect the May 22, 2000, two-for-one stock split.</w:t>
      </w:r>
    </w:p>
    <w:p>
      <w:pPr>
        <w:spacing w:after="0" w:line="160"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the second quarter, TI's revenue increased 7 percent sequentially and 19 percent over the year-ago period. Semiconductor revenue increased 22 percent compared with a year ago and 6 percent sequentially, despite the absence of an $85 million catch-up royalty from Hyundai Electronics Industries, Co. included in the year-ago quarter. Excluding the one-time royalties, TI revenue grew 23 percent and semiconductor revenue grew 28 percent compared with a year ago.</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During the quarter, TI also began to realize gains from the 1998 divestiture of its memory business to Micron Technology, Inc. As part of that transaction, TI received approximately 58 million shares of Micron common stock and interest-bearing notes that are convertible into an additional 25 million shares. During the quarter, TI sold 20 million shares of the common stock, realizing pre-tax gains of $1211 million or $0.45 EPS.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FINANCIAL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second quarter of 2000, TI reported the following:</w:t>
      </w:r>
    </w:p>
    <w:p>
      <w:pPr>
        <w:spacing w:after="0" w:line="175"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Total revenue was $2843 million, up 19 percent from $2395 million in the year-ago quarter and up 7 percent sequentially, primarily due to increased strength in semiconductor.</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Semiconductor revenue was $2414 million, up 22 percent from $1975 million in the same quarter of 1999 and up 6 percent sequentially.</w:t>
      </w:r>
    </w:p>
    <w:p>
      <w:pPr>
        <w:spacing w:after="0" w:line="160" w:lineRule="exact"/>
        <w:rPr>
          <w:sz w:val="20"/>
          <w:szCs w:val="20"/>
          <w:color w:val="auto"/>
        </w:rPr>
      </w:pPr>
    </w:p>
    <w:p>
      <w:pPr>
        <w:ind w:left="440" w:right="3379"/>
        <w:spacing w:after="0" w:line="254" w:lineRule="auto"/>
        <w:rPr>
          <w:sz w:val="20"/>
          <w:szCs w:val="20"/>
          <w:color w:val="auto"/>
        </w:rPr>
      </w:pPr>
      <w:r>
        <w:rPr>
          <w:rFonts w:ascii="Courier New" w:cs="Courier New" w:eastAsia="Courier New" w:hAnsi="Courier New"/>
          <w:sz w:val="14"/>
          <w:szCs w:val="14"/>
          <w:color w:val="auto"/>
        </w:rPr>
        <w:t>Cost of revenues in the second quarter was $1448 million compared to $1222 million in the year-ago quarter. Cost of revenues increased about the same as the increase in revenues, on a percentage basis, reflecting manufacturing efficiencies associated with higher product shipments which offset the effect of the absence of the one-time Hyundai royalty.</w:t>
      </w:r>
    </w:p>
    <w:p>
      <w:pPr>
        <w:spacing w:after="0" w:line="162"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Research and development (R&amp;D) totaled $372 million, compared with $365 million in the second quarter of 1999, which included $52 million of in-process R&amp;D costs from the Libit Signal Processing Ltd. acquisition. The increase was primarily due to semiconductor, including increased strategic investment for DSP and analog.</w:t>
      </w:r>
    </w:p>
    <w:p>
      <w:pPr>
        <w:spacing w:after="0" w:line="162" w:lineRule="exact"/>
        <w:rPr>
          <w:sz w:val="20"/>
          <w:szCs w:val="20"/>
          <w:color w:val="auto"/>
        </w:rPr>
      </w:pPr>
    </w:p>
    <w:p>
      <w:pPr>
        <w:ind w:left="440" w:right="3379"/>
        <w:spacing w:after="0" w:line="254" w:lineRule="auto"/>
        <w:rPr>
          <w:sz w:val="20"/>
          <w:szCs w:val="20"/>
          <w:color w:val="auto"/>
        </w:rPr>
      </w:pPr>
      <w:r>
        <w:rPr>
          <w:rFonts w:ascii="Courier New" w:cs="Courier New" w:eastAsia="Courier New" w:hAnsi="Courier New"/>
          <w:sz w:val="14"/>
          <w:szCs w:val="14"/>
          <w:color w:val="auto"/>
        </w:rPr>
        <w:t>Marketing, general and administrative expense in the quarter was $400 million, compared with $345 million in the year-ago quarter, primarily due to higher semiconductor expenditures, including marketing-related activities. The increase was less than the increase in revenues, on a percentage basis.</w:t>
      </w:r>
    </w:p>
    <w:p>
      <w:pPr>
        <w:spacing w:after="0" w:line="162"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Other income (expense) net increased from $67 million in the second quarter of 1999 to $1341 million in the second quarter of 2000, primarily due to the sale of 20 million shares of Micron common stock.</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9" w:name="page10"/>
    <w:bookmarkEnd w:id="9"/>
    <w:p>
      <w:pPr>
        <w:ind w:left="440"/>
        <w:spacing w:after="0"/>
        <w:rPr>
          <w:sz w:val="20"/>
          <w:szCs w:val="20"/>
          <w:color w:val="auto"/>
        </w:rPr>
      </w:pPr>
      <w:r>
        <w:rPr>
          <w:rFonts w:ascii="Courier New" w:cs="Courier New" w:eastAsia="Courier New" w:hAnsi="Courier New"/>
          <w:sz w:val="14"/>
          <w:szCs w:val="14"/>
          <w:color w:val="auto"/>
        </w:rPr>
        <w:t>The income tax rate for the quarter was 34 percent.</w:t>
      </w:r>
    </w:p>
    <w:p>
      <w:pPr>
        <w:spacing w:after="0" w:line="175" w:lineRule="exact"/>
        <w:rPr>
          <w:sz w:val="20"/>
          <w:szCs w:val="20"/>
          <w:color w:val="auto"/>
        </w:rPr>
      </w:pPr>
    </w:p>
    <w:p>
      <w:pPr>
        <w:ind w:left="440" w:right="3639"/>
        <w:spacing w:after="0" w:line="254" w:lineRule="auto"/>
        <w:rPr>
          <w:sz w:val="20"/>
          <w:szCs w:val="20"/>
          <w:color w:val="auto"/>
        </w:rPr>
      </w:pPr>
      <w:r>
        <w:rPr>
          <w:rFonts w:ascii="Courier New" w:cs="Courier New" w:eastAsia="Courier New" w:hAnsi="Courier New"/>
          <w:sz w:val="14"/>
          <w:szCs w:val="14"/>
          <w:color w:val="auto"/>
        </w:rPr>
        <w:t>TI orders in the second quarter were $3217 million, up 26 percent from $2559 million in the year-ago quarter and up 12 percent from the first quarter due to semiconductor. Semiconductor orders increased 32 percent compared with the year-ago quarter and 13 percent sequentially.</w:t>
      </w:r>
    </w:p>
    <w:p>
      <w:pPr>
        <w:spacing w:after="0" w:line="163"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In addition to the $1211 million gain associated with the sale of Micron common stock, results for this quarter include $25 million of amortization of goodwill and other acquisition-related intangibles.</w:t>
      </w:r>
    </w:p>
    <w:p>
      <w:pPr>
        <w:spacing w:after="0" w:line="162" w:lineRule="exact"/>
        <w:rPr>
          <w:sz w:val="20"/>
          <w:szCs w:val="20"/>
          <w:color w:val="auto"/>
        </w:rPr>
      </w:pPr>
    </w:p>
    <w:p>
      <w:pPr>
        <w:ind w:left="440" w:right="3379"/>
        <w:spacing w:after="0" w:line="254" w:lineRule="auto"/>
        <w:rPr>
          <w:sz w:val="20"/>
          <w:szCs w:val="20"/>
          <w:color w:val="auto"/>
        </w:rPr>
      </w:pPr>
      <w:r>
        <w:rPr>
          <w:rFonts w:ascii="Courier New" w:cs="Courier New" w:eastAsia="Courier New" w:hAnsi="Courier New"/>
          <w:sz w:val="14"/>
          <w:szCs w:val="14"/>
          <w:color w:val="auto"/>
        </w:rPr>
        <w:t>For the second quarter of 1999, results include special charges of $52 million for in-process R&amp;D associated with the acquisition of Libit Signal Processing Ltd. Also included is amortization of goodwill and other acquisition-related intangibles of $9 million.</w:t>
      </w:r>
    </w:p>
    <w:p>
      <w:pPr>
        <w:spacing w:after="0" w:line="163"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For the first quarter of 2000, results include special charges of $29 million for actions including the closing of a Materials and Controls (M&amp;C) manufacturing facility in Versailles, Kentucky, and TI's acquisition of Toccata Technology ApS. Also included is amortization of goodwill and other acquisition-related intangibles of $25 million.</w:t>
      </w:r>
    </w:p>
    <w:p>
      <w:pPr>
        <w:spacing w:after="0" w:line="162" w:lineRule="exact"/>
        <w:rPr>
          <w:sz w:val="20"/>
          <w:szCs w:val="20"/>
          <w:color w:val="auto"/>
        </w:rPr>
      </w:pPr>
    </w:p>
    <w:p>
      <w:pPr>
        <w:ind w:left="440" w:right="3719"/>
        <w:spacing w:after="0" w:line="258" w:lineRule="auto"/>
        <w:rPr>
          <w:sz w:val="20"/>
          <w:szCs w:val="20"/>
          <w:color w:val="auto"/>
        </w:rPr>
      </w:pPr>
      <w:r>
        <w:rPr>
          <w:rFonts w:ascii="Courier New" w:cs="Courier New" w:eastAsia="Courier New" w:hAnsi="Courier New"/>
          <w:sz w:val="14"/>
          <w:szCs w:val="14"/>
          <w:color w:val="auto"/>
        </w:rPr>
        <w:t>Additional information relating to these items appears below under the heading "Special Charges and Gains."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Despite seasonal pressure, the company expects sequential revenue growth in its semiconductor business to accelerate in the third quarter, based on broad customer demand and strength in key markets such as wireless, catalog and broadband communications. Revenue growth in wireless is expected to continue, reflecting strong demand for the company's products. The mass market for TI's catalog DSP and analog products is expected to continue to grow rapidly as a result of new applications, new product introductions and increased demand for existing catalog products. TI's broadband communications revenue should reflect developing demand for TI's digital subscriber line (DSL) and cable modem products. After four quarters of decline, TI's hard-disk drive revenue is expected to resume sequential growth in the third quarter.</w:t>
      </w:r>
    </w:p>
    <w:p>
      <w:pPr>
        <w:spacing w:after="0" w:line="164"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In its Educational and Productivity Solutions (E&amp;PS) business, TI expects a strong third quarter as the revenue pattern in this business becomes increasingly aligned with back-to-school retail sales in this quarter.</w:t>
      </w:r>
    </w:p>
    <w:p>
      <w:pPr>
        <w:spacing w:after="0" w:line="162"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In its M&amp;C business, TI expects revenue to decline in the third quarter reflecting seasonality in its control and automotive markets.</w:t>
      </w:r>
    </w:p>
    <w:p>
      <w:pPr>
        <w:spacing w:after="0" w:line="16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TI continues to expect its operating margin to reach 25 percent in the fourth quarter of this year, before the effect of special charges and amortization of acquisition-related intangibles.</w:t>
      </w:r>
    </w:p>
    <w:p>
      <w:pPr>
        <w:spacing w:after="0" w:line="16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In response to ongoing strength in demand for its products and increased visibility into year 2001, TI is raising its capital expenditure forecast to $2.8 billion for 2000, up from the previous forecast of $2.5 billion. This increase supports additional capacity in TI's conversion of its analog manufacturing to more efficient 200-millimeter wafers.</w:t>
      </w:r>
    </w:p>
    <w:p>
      <w:pPr>
        <w:spacing w:after="0" w:line="162"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Depreciation for the year is expected to be $1.3 billion. R&amp;D for 2000 is expected to be $1.5 billion, primarily for DSP and analog, excluding acquisition-related in-process R&amp;D costs and amortization.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SEMICONDUCTOR</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Semiconductor revenue in the second quarter was $2414 million, up 22 percent from the same period in 1999, primarily due to strength in DSP and analog. Semiconductor revenue increased 6 percent sequentially, primarily due to strength in analog combined with growth across a breadth of TI's semiconductor products.</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Semiconductor operating profit for the second quarter was $606 million, or 25.1 percent of revenue, up from the same quarter a year ago as profit from higher product shipments more than offset the absence of the Hyundai one-time royalty. Sequentially, operating margin was about the same as last quarter's 25.4 percent.</w:t>
      </w:r>
    </w:p>
    <w:p>
      <w:pPr>
        <w:spacing w:after="0" w:line="162"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DSP revenue in the second quarter was up 40 percent from the same quarter a year ago and up 3 percent sequentially. Analog revenue was up 23 percent compared with the year-ago period and up 8 percent sequentially.</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Growth in TI's end-equipment operations was as follows:</w:t>
      </w:r>
    </w:p>
    <w:p>
      <w:pPr>
        <w:spacing w:after="0" w:line="175" w:lineRule="exact"/>
        <w:rPr>
          <w:sz w:val="20"/>
          <w:szCs w:val="20"/>
          <w:color w:val="auto"/>
        </w:rPr>
      </w:pPr>
    </w:p>
    <w:p>
      <w:pPr>
        <w:ind w:left="440" w:right="3639" w:hanging="431"/>
        <w:spacing w:after="0" w:line="258"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-Wireless revenue increased 42 percent versus a year ago and 3 percent sequentially;</w:t>
      </w:r>
    </w:p>
    <w:p>
      <w:pPr>
        <w:spacing w:after="0" w:line="159" w:lineRule="exact"/>
        <w:rPr>
          <w:rFonts w:ascii="Courier New" w:cs="Courier New" w:eastAsia="Courier New" w:hAnsi="Courier New"/>
          <w:sz w:val="14"/>
          <w:szCs w:val="14"/>
          <w:color w:val="auto"/>
        </w:rPr>
      </w:pPr>
    </w:p>
    <w:p>
      <w:pPr>
        <w:ind w:left="440" w:right="3639" w:hanging="431"/>
        <w:spacing w:after="0" w:line="258"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-Mass market revenue from TI's catalog products grew 53 percent versus a year ago and 15 percent sequentially;</w:t>
      </w:r>
    </w:p>
    <w:p>
      <w:pPr>
        <w:spacing w:after="0" w:line="159" w:lineRule="exact"/>
        <w:rPr>
          <w:rFonts w:ascii="Courier New" w:cs="Courier New" w:eastAsia="Courier New" w:hAnsi="Courier New"/>
          <w:sz w:val="14"/>
          <w:szCs w:val="14"/>
          <w:color w:val="auto"/>
        </w:rPr>
      </w:pPr>
    </w:p>
    <w:p>
      <w:pPr>
        <w:ind w:left="440" w:right="3639" w:hanging="431"/>
        <w:spacing w:after="0" w:line="255"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-Hard-disk drive revenue declined 40 percent versus a year ago and 16 percent sequentially, significantly constraining growth in both DSP and analog; and</w:t>
      </w:r>
    </w:p>
    <w:p>
      <w:pPr>
        <w:spacing w:after="0" w:line="162" w:lineRule="exact"/>
        <w:rPr>
          <w:rFonts w:ascii="Courier New" w:cs="Courier New" w:eastAsia="Courier New" w:hAnsi="Courier New"/>
          <w:sz w:val="14"/>
          <w:szCs w:val="14"/>
          <w:color w:val="auto"/>
        </w:rPr>
      </w:pPr>
    </w:p>
    <w:p>
      <w:pPr>
        <w:ind w:left="440" w:right="3379" w:hanging="431"/>
        <w:spacing w:after="0" w:line="258"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-Growth in broadband communications continued to accelerate, with revenue growing 67 percent sequentially.</w:t>
      </w:r>
    </w:p>
    <w:p>
      <w:pPr>
        <w:spacing w:after="0" w:line="160"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In the mass market, DSP catalog products grew 70 percent compared with a year ago and 12 percent sequentially. Analog catalog products increased 36 percent versus a year ago and 17 percent sequentially. TI remains on track to introduce more than 280 new catalog analog products and win at least 50 percent more catalog DSP customer designs in 2000.</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Revenue for TI's remaining semiconductor products increased from the year-ago quarter and from the first quarter of 2000. Royalties declined from the year-ago period when TI received an $85 million catch-up royalty from Hyundai, and increased sequentially.</w:t>
      </w:r>
    </w:p>
    <w:p>
      <w:pPr>
        <w:spacing w:after="0" w:line="163" w:lineRule="exact"/>
        <w:rPr>
          <w:sz w:val="20"/>
          <w:szCs w:val="20"/>
          <w:color w:val="auto"/>
        </w:rPr>
      </w:pPr>
    </w:p>
    <w:p>
      <w:pPr>
        <w:ind w:right="3979"/>
        <w:spacing w:after="0" w:line="254" w:lineRule="auto"/>
        <w:rPr>
          <w:sz w:val="20"/>
          <w:szCs w:val="20"/>
          <w:color w:val="auto"/>
        </w:rPr>
      </w:pPr>
      <w:r>
        <w:rPr>
          <w:rFonts w:ascii="Courier New" w:cs="Courier New" w:eastAsia="Courier New" w:hAnsi="Courier New"/>
          <w:sz w:val="14"/>
          <w:szCs w:val="14"/>
          <w:color w:val="auto"/>
        </w:rPr>
        <w:t>Semiconductor orders increased 32 percent from the year-ago quarter, primarily due to strength in DSP and analog and 13 percent sequentially, driven primarily by analog products along with a breadth of other semiconductor products.</w:t>
      </w:r>
    </w:p>
    <w:p>
      <w:pPr>
        <w:spacing w:after="0" w:line="163"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During the quarter, TI announced the acquisitions of three companies as part of its strategy to continue extending its world leadership in DSP and analog: Burr-Brown Corporation; Dot Wireless, Inc.; and Alantro Communications, Inc.</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Burr-Brown is a leading supplier of high-performance catalog analog products, principally data converters and amplifiers. The acquisition extends TI's position into new high-performance analog products and increases TI's ability to offer its DSP customers essentially all of the analog components that attach to a DSP.</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Dot Wireless is a technology leader in CDMA, with products and technology for the emerging IS-2000 third-generation (3G) cellular standard, including 1XRTT, which complements TI's own developments for the W-CDMA version of the 3G standard. With this acquisition, TI will have strong product positions across the full spectrum of 3G standards.</w:t>
      </w:r>
    </w:p>
    <w:p>
      <w:pPr>
        <w:spacing w:after="0" w:line="16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Alantro Communications specializes in wireless local area networking technology using the IEEE 802.11 standard. TI believes that wireless networking will be the leading method of distributing broadband information, including video, data and voice in the home or office, and will grow quickly as broadband access deploys throughout the world.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MATERIALS AND CONTROLS (M&amp;C)</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M&amp;C revenue in the second quarter was $296 million, up 15 percent from $256 million in the same quarter a year ago, primarily due to growth in automotive sensor products. Sequentially, second-quarter revenue was up 2 percent from the first quarter.</w:t>
      </w:r>
    </w:p>
    <w:p>
      <w:pPr>
        <w:spacing w:after="0" w:line="163"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Operating profit in the second quarter was $58 million, or 19.6 percent of revenue, up 3.0 percentage points from the second quarter of 1999, primarily due to increased revenue. Operating profit was about even with the first quarter of 2000.</w:t>
      </w:r>
    </w:p>
    <w:p>
      <w:pPr>
        <w:spacing w:after="0" w:line="163"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During the quarter, M&amp;C announced it would close its Dresden, Germany facility, included in the Integrated Sensor Solutions acquisition last year, to improve manufacturing efficiencies.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AND PRODUCTIVITY SOLUTIONS (E&amp;PS)</w:t>
      </w:r>
    </w:p>
    <w:p>
      <w:pPr>
        <w:spacing w:after="0" w:line="175"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Revenue for E&amp;PS in the second quarter of 2000 was $134 million, down 12 percent from the year-ago quarter as revenue increasingly shifts with the third quarter back-to-school season when compared with historical patterns. Sequentially, revenue increased 54 percent, due to seasonality as retailers and educational distributors began to stock for the third-quarter back-to-school season. Operating margin for the quarter was 28.6 percent, up 0.5 percentage points from the year-ago period.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ADDITIONAL FINANCIAL INFORMATION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the first six months of 2000, TI revenue was $5497 million, up from the $4477 million in the first six months of 1999, due to semiconductor. The increase in semiconductor revenue for the first six months of 2000 was primarily due to strength in DSP and analog. The increase in M&amp;C was due primarily to growth in automotive sensor products, and the decrease in E&amp;PS was due primarily to the increasing shift of revenue to the third quarter back-to-school season compared with historical patterns.</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Cost of revenues for the first six months of 2000 was $2818 million compared with $2355 million in the year-ago period. Cost of revenues increased less than the increase in revenues, on a percentage basis, reflecting manufacturing efficiencies associated with higher product shipments.</w:t>
      </w:r>
    </w:p>
    <w:p>
      <w:pPr>
        <w:spacing w:after="0" w:line="163"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R&amp;D in the first six months of 2000 totaled $745 million, compared to $676 million in the first six months of 1999, including in-process R&amp;D costs from acquisitions. The increase was primarily due to semiconductor, including increased strategic investment for DSP and analog.</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Marketing, general and administrative expense in the first six months of 2000 was $789 million, compared with $676 million in the year-ago period, primarily due to higher semiconductor expenditures, including marketing-related activities. The increase was less than the increase in revenues, on a percentage basis.</w:t>
      </w:r>
    </w:p>
    <w:p>
      <w:pPr>
        <w:spacing w:after="0" w:line="330"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Other income (expense) net increased from $156 million in the first six months of 1999 to $1466 million in the first six months of 2000, primarily due to the sale of 20 million shares of Micron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income tax rate for the first six months of 2000 was 34 percent.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the first six months of 2000, TI orders were $6094 million, compared with $4841 million from the same period a year ago, primarily due to increased customer demand for semiconductor products. Semiconductor orders for the first six months were up, primarily due to strength in DSP and analog. M&amp;C orders were up, primarily due to strength in its automotive and control markets. E&amp;PS orders were down, primarily due to the increasing shift of revenue to the third quarter back-to-school season compared with historical patterns.</w:t>
      </w:r>
    </w:p>
    <w:p>
      <w:pPr>
        <w:spacing w:after="0" w:line="16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In the first six months of 2000, cash and cash equivalents plus short-term investments increased by $1436 million to $4098 million, primarily due to the sale of Micron common stock.</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Cash flow from operating activities was $1042 million in the first half of 2000. Capital expenditures totaled $1194 million in the first six months of 2000, compared with $517 million in the first half of 1999. Capital expenditures totaled $553 million in the second quarter of 2000 versus $311 million in the year-ago quarter.</w:t>
      </w:r>
    </w:p>
    <w:p>
      <w:pPr>
        <w:spacing w:after="0" w:line="162"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Depreciation for the first half of 2000 was $540 million, compared with $469 million in the same period a year ago. Depreciation for the second quarter of 2000 was $283 million, versus $240 million in the year-ago quarter.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end of the second quarter, the debt-to-total-capital ratio was .10 versus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.13 at the end of 1999.</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SPECIAL CHARGES AND GAINS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Quarter of 2000</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the second quarter of 2000, a special investment gain of $1211 million was realized from the sale of 20 million shares of Micron common stock, which were part of the consideration received in TI's 1998 divestiture of the memory business to Micron. This $1211 million gain was included in other income.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of 2000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first quarter of 2000, pretax charges of $29 million were taken, associated with actions including the closing of the M&amp;C manufacturing facility in Versailles, Kentucky, and TI's acquisition of Toccata Technology ApS. Of the $29 million charge, $12 million was for severance for the elimination of 480 jobs in Kentucky by the first quarter of 2001. At June 30, 2000, the pay-out of the severance cost obligation had not yet begun. Of the $29 million, $20 million is included in cost of revenues, $6 million in marketing, general and administrative expense and $3 million in research and development expense. The primary benefit from the Kentucky action is reduced personnel costs, which are estimated to reach $10 million annually. The benefit is expected to begin in the third quarter of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of 1999</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the first quarter of 1999, the company announced a consolidation of semiconductor manufacturing operations in Japan to improve manufacturing efficiencies and reduce costs. This action resulted in a pretax charge of $14 million in the first quarter, of which $13 million was for severance for the elimination of 153 jobs in Hatogaya, Japan. At year-end 1999, this program was complete. Of the $14 million charge, $11 million was included in cost of revenues and $3 million in marketing, general and administrative expense. The primary benefit from this consolidation action was reduced personnel costs, which were estimated to reach $11 million annually. The benefit began in the fourth quarter of 1999.</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3" w:name="page14"/>
    <w:bookmarkEnd w:id="13"/>
    <w:p>
      <w:pPr>
        <w:spacing w:after="0"/>
        <w:tabs>
          <w:tab w:leader="none" w:pos="78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Information concerning market risk is contained on pages B-35 and B-36 of the Registrant's proxy statement for the 2000 annual meeting of stockholders and is incorporated by reference to such proxy statement.</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PART II - OTHER INFORMATION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At the Annual Meeting of Stockholders held on April 20, 2000, in addition to the election of directors, the stockholders voted upon the two board proposals contained in the Registrant's Proxy Statement dated March 2,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nominees were elected as directors with the following vote: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ind w:left="520"/>
              <w:spacing w:after="0"/>
              <w:rPr>
                <w:sz w:val="20"/>
                <w:szCs w:val="20"/>
                <w:color w:val="auto"/>
              </w:rPr>
            </w:pPr>
            <w:r>
              <w:rPr>
                <w:rFonts w:ascii="Courier New" w:cs="Courier New" w:eastAsia="Courier New" w:hAnsi="Courier New"/>
                <w:sz w:val="14"/>
                <w:szCs w:val="14"/>
                <w:color w:val="auto"/>
              </w:rPr>
              <w:t>Nominee</w:t>
            </w:r>
          </w:p>
        </w:tc>
        <w:tc>
          <w:tcPr>
            <w:tcW w:w="23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For</w:t>
            </w:r>
          </w:p>
        </w:tc>
        <w:tc>
          <w:tcPr>
            <w:tcW w:w="1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Withheld</w:t>
            </w:r>
          </w:p>
        </w:tc>
      </w:tr>
      <w:tr>
        <w:trPr>
          <w:trHeight w:val="167"/>
        </w:trPr>
        <w:tc>
          <w:tcPr>
            <w:tcW w:w="25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James R. Adams</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668,076,127</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5,052,974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David L. Boren</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667,821,216</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5,307,885</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James B. Busey</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667,708,852</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5,420,249</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Daniel A. Carp</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668,028,977</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5,100,124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Thomas J. Engibous</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667,878,026</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5,251,075</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Gerald W. Fronterhouse</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667,317,035</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5,812,066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David R. Goode</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668,045,260</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5,083,841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Wayne R. Sanders</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668,033,765</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5,095,336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Ruth J. Simmons</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667,843,518</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5,285,583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Clayton K. Yeutter</w:t>
            </w:r>
          </w:p>
        </w:tc>
        <w:tc>
          <w:tcPr>
            <w:tcW w:w="2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662,941,357</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10,187,744</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two board proposals were approved with the following vote: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4"/>
                <w:szCs w:val="14"/>
                <w:color w:val="auto"/>
              </w:rPr>
              <w:t>Abstentions</w:t>
            </w:r>
          </w:p>
        </w:tc>
        <w:tc>
          <w:tcPr>
            <w:tcW w:w="1200" w:type="dxa"/>
            <w:vAlign w:val="bottom"/>
          </w:tcPr>
          <w:p>
            <w:pPr>
              <w:spacing w:after="0"/>
              <w:rPr>
                <w:sz w:val="14"/>
                <w:szCs w:val="14"/>
                <w:color w:val="auto"/>
              </w:rPr>
            </w:pPr>
          </w:p>
        </w:tc>
      </w:tr>
      <w:tr>
        <w:trPr>
          <w:trHeight w:val="167"/>
        </w:trPr>
        <w:tc>
          <w:tcPr>
            <w:tcW w:w="3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Pr>
          <w:p>
            <w:pPr>
              <w:ind w:left="300"/>
              <w:spacing w:after="0"/>
              <w:rPr>
                <w:sz w:val="20"/>
                <w:szCs w:val="20"/>
                <w:color w:val="auto"/>
              </w:rPr>
            </w:pPr>
            <w:r>
              <w:rPr>
                <w:rFonts w:ascii="Courier New" w:cs="Courier New" w:eastAsia="Courier New" w:hAnsi="Courier New"/>
                <w:sz w:val="14"/>
                <w:szCs w:val="14"/>
                <w:color w:val="auto"/>
              </w:rPr>
              <w:t>(Other Than</w:t>
            </w:r>
          </w:p>
        </w:tc>
        <w:tc>
          <w:tcPr>
            <w:tcW w:w="1200" w:type="dxa"/>
            <w:vAlign w:val="bottom"/>
          </w:tcPr>
          <w:p>
            <w:pPr>
              <w:spacing w:after="0"/>
              <w:rPr>
                <w:sz w:val="14"/>
                <w:szCs w:val="14"/>
                <w:color w:val="auto"/>
              </w:rPr>
            </w:pPr>
          </w:p>
        </w:tc>
      </w:tr>
      <w:tr>
        <w:trPr>
          <w:trHeight w:val="167"/>
        </w:trPr>
        <w:tc>
          <w:tcPr>
            <w:tcW w:w="3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Broker</w:t>
            </w:r>
          </w:p>
        </w:tc>
      </w:tr>
      <w:tr>
        <w:trPr>
          <w:trHeight w:val="167"/>
        </w:trPr>
        <w:tc>
          <w:tcPr>
            <w:tcW w:w="3100" w:type="dxa"/>
            <w:vAlign w:val="bottom"/>
          </w:tcPr>
          <w:p>
            <w:pPr>
              <w:ind w:left="960"/>
              <w:spacing w:after="0"/>
              <w:rPr>
                <w:sz w:val="20"/>
                <w:szCs w:val="20"/>
                <w:color w:val="auto"/>
              </w:rPr>
            </w:pPr>
            <w:r>
              <w:rPr>
                <w:rFonts w:ascii="Courier New" w:cs="Courier New" w:eastAsia="Courier New" w:hAnsi="Courier New"/>
                <w:sz w:val="14"/>
                <w:szCs w:val="14"/>
                <w:color w:val="auto"/>
              </w:rPr>
              <w:t>Proposal</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For</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Against</w:t>
            </w:r>
          </w:p>
        </w:tc>
        <w:tc>
          <w:tcPr>
            <w:tcW w:w="1700" w:type="dxa"/>
            <w:vAlign w:val="bottom"/>
          </w:tcPr>
          <w:p>
            <w:pPr>
              <w:ind w:left="400"/>
              <w:spacing w:after="0"/>
              <w:rPr>
                <w:sz w:val="20"/>
                <w:szCs w:val="20"/>
                <w:color w:val="auto"/>
              </w:rPr>
            </w:pPr>
            <w:r>
              <w:rPr>
                <w:rFonts w:ascii="Courier New" w:cs="Courier New" w:eastAsia="Courier New" w:hAnsi="Courier New"/>
                <w:sz w:val="14"/>
                <w:szCs w:val="14"/>
                <w:color w:val="auto"/>
              </w:rPr>
              <w:t>Non-Votes)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Non-Votes</w:t>
            </w:r>
          </w:p>
        </w:tc>
      </w:tr>
      <w:tr>
        <w:trPr>
          <w:trHeight w:val="167"/>
        </w:trPr>
        <w:tc>
          <w:tcPr>
            <w:tcW w:w="310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100" w:type="dxa"/>
            <w:vAlign w:val="bottom"/>
          </w:tcPr>
          <w:p>
            <w:pPr>
              <w:spacing w:after="0"/>
              <w:rPr>
                <w:sz w:val="20"/>
                <w:szCs w:val="20"/>
                <w:color w:val="auto"/>
              </w:rPr>
            </w:pPr>
            <w:r>
              <w:rPr>
                <w:rFonts w:ascii="Courier New" w:cs="Courier New" w:eastAsia="Courier New" w:hAnsi="Courier New"/>
                <w:sz w:val="14"/>
                <w:szCs w:val="14"/>
                <w:color w:val="auto"/>
              </w:rPr>
              <w:t>Board proposal with respect to</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618,109,303</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52,701,596</w:t>
            </w:r>
          </w:p>
        </w:tc>
        <w:tc>
          <w:tcPr>
            <w:tcW w:w="1700" w:type="dxa"/>
            <w:vAlign w:val="bottom"/>
          </w:tcPr>
          <w:p>
            <w:pPr>
              <w:ind w:left="400"/>
              <w:spacing w:after="0"/>
              <w:rPr>
                <w:sz w:val="20"/>
                <w:szCs w:val="20"/>
                <w:color w:val="auto"/>
              </w:rPr>
            </w:pPr>
            <w:r>
              <w:rPr>
                <w:rFonts w:ascii="Courier New" w:cs="Courier New" w:eastAsia="Courier New" w:hAnsi="Courier New"/>
                <w:sz w:val="14"/>
                <w:szCs w:val="14"/>
                <w:color w:val="auto"/>
              </w:rPr>
              <w:t>2,318,200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amendment to the Company's</w:t>
            </w: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Restated Certificate of</w:t>
            </w: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Incorporation</w:t>
            </w: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4"/>
        </w:trPr>
        <w:tc>
          <w:tcPr>
            <w:tcW w:w="3100" w:type="dxa"/>
            <w:vAlign w:val="bottom"/>
          </w:tcPr>
          <w:p>
            <w:pPr>
              <w:spacing w:after="0"/>
              <w:rPr>
                <w:sz w:val="20"/>
                <w:szCs w:val="20"/>
                <w:color w:val="auto"/>
              </w:rPr>
            </w:pPr>
            <w:r>
              <w:rPr>
                <w:rFonts w:ascii="Courier New" w:cs="Courier New" w:eastAsia="Courier New" w:hAnsi="Courier New"/>
                <w:sz w:val="14"/>
                <w:szCs w:val="14"/>
                <w:color w:val="auto"/>
              </w:rPr>
              <w:t>Board proposal with respect to</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455,890,606</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120,891,645</w:t>
            </w:r>
          </w:p>
        </w:tc>
        <w:tc>
          <w:tcPr>
            <w:tcW w:w="1700" w:type="dxa"/>
            <w:vAlign w:val="bottom"/>
          </w:tcPr>
          <w:p>
            <w:pPr>
              <w:ind w:left="400"/>
              <w:spacing w:after="0"/>
              <w:rPr>
                <w:sz w:val="20"/>
                <w:szCs w:val="20"/>
                <w:color w:val="auto"/>
              </w:rPr>
            </w:pPr>
            <w:r>
              <w:rPr>
                <w:rFonts w:ascii="Courier New" w:cs="Courier New" w:eastAsia="Courier New" w:hAnsi="Courier New"/>
                <w:sz w:val="14"/>
                <w:szCs w:val="14"/>
                <w:color w:val="auto"/>
              </w:rPr>
              <w:t>3,828,792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92,518,058</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adoption of the Texas Instruments</w:t>
            </w: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2000 Long-Term Incentive Plan</w:t>
            </w: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68"/>
        </w:trPr>
        <w:tc>
          <w:tcPr>
            <w:tcW w:w="3100" w:type="dxa"/>
            <w:vAlign w:val="bottom"/>
          </w:tcPr>
          <w:p>
            <w:pPr>
              <w:spacing w:after="0"/>
              <w:rPr>
                <w:sz w:val="24"/>
                <w:szCs w:val="24"/>
                <w:color w:val="auto"/>
              </w:rPr>
            </w:pPr>
          </w:p>
        </w:tc>
        <w:tc>
          <w:tcPr>
            <w:tcW w:w="16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14</w:t>
            </w: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4" w:name="page15"/>
    <w:bookmarkEnd w:id="14"/>
    <w:p>
      <w:pPr>
        <w:spacing w:after="0"/>
        <w:tabs>
          <w:tab w:leader="none" w:pos="7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5" w:lineRule="exact"/>
        <w:rPr>
          <w:sz w:val="20"/>
          <w:szCs w:val="20"/>
          <w:color w:val="auto"/>
        </w:rPr>
      </w:pPr>
    </w:p>
    <w:p>
      <w:pPr>
        <w:ind w:left="1220" w:hanging="430"/>
        <w:spacing w:after="0"/>
        <w:tabs>
          <w:tab w:leader="none" w:pos="12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400" w:right="779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of Exhibits in</w:t>
      </w:r>
    </w:p>
    <w:p>
      <w:pPr>
        <w:sectPr>
          <w:pgSz w:w="11900" w:h="16838" w:orient="portrait"/>
          <w:cols w:equalWidth="0" w:num="1">
            <w:col w:w="10239"/>
          </w:cols>
          <w:pgMar w:left="220" w:top="620" w:right="1440" w:bottom="1440" w:gutter="0" w:footer="0" w:header="0"/>
        </w:sectPr>
      </w:pPr>
    </w:p>
    <w:p>
      <w:pPr>
        <w:spacing w:after="0" w:line="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This Report</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Description of 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440" w:space="600"/>
            <w:col w:w="7199"/>
          </w:cols>
          <w:pgMar w:left="220" w:top="620" w:right="1440" w:bottom="1440" w:gutter="0" w:footer="0" w:header="0"/>
          <w:type w:val="continuous"/>
        </w:sectPr>
      </w:pPr>
    </w:p>
    <w:p>
      <w:pPr>
        <w:ind w:left="3040" w:right="3979" w:hanging="1208"/>
        <w:spacing w:after="0" w:line="253" w:lineRule="auto"/>
        <w:tabs>
          <w:tab w:leader="none" w:pos="30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Amendment to Restated Certificate of Incorporation (incorporated by reference to Exhibit 3(n) to the Registrant's Registration Statement on Form S-4 No. 333-41030 filed on July 7, 2000).</w:t>
      </w:r>
    </w:p>
    <w:p>
      <w:pPr>
        <w:spacing w:after="0" w:line="165" w:lineRule="exact"/>
        <w:rPr>
          <w:sz w:val="20"/>
          <w:szCs w:val="20"/>
          <w:color w:val="auto"/>
        </w:rPr>
      </w:pPr>
    </w:p>
    <w:p>
      <w:pPr>
        <w:ind w:left="3040" w:right="3899" w:hanging="1295"/>
        <w:spacing w:after="0" w:line="252" w:lineRule="auto"/>
        <w:tabs>
          <w:tab w:leader="none" w:pos="30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2000 Long-Term Incentive Plan (incorporated by reference to Exhibit 10(e) to the Registrant's Registration Statement on Form S-4 No. 333-41030 filed on</w:t>
      </w:r>
    </w:p>
    <w:p>
      <w:pPr>
        <w:spacing w:after="0" w:line="1" w:lineRule="exact"/>
        <w:rPr>
          <w:rFonts w:ascii="Courier New" w:cs="Courier New" w:eastAsia="Courier New" w:hAnsi="Courier New"/>
          <w:sz w:val="14"/>
          <w:szCs w:val="14"/>
          <w:color w:val="auto"/>
        </w:rPr>
      </w:pPr>
    </w:p>
    <w:p>
      <w:pPr>
        <w:ind w:left="3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July 7, 2000).</w:t>
      </w:r>
    </w:p>
    <w:p>
      <w:pPr>
        <w:spacing w:after="0" w:line="175" w:lineRule="exact"/>
        <w:rPr>
          <w:rFonts w:ascii="Courier New" w:cs="Courier New" w:eastAsia="Courier New" w:hAnsi="Courier New"/>
          <w:sz w:val="14"/>
          <w:szCs w:val="14"/>
          <w:color w:val="auto"/>
        </w:rPr>
      </w:pPr>
    </w:p>
    <w:p>
      <w:pPr>
        <w:jc w:val="both"/>
        <w:ind w:left="3040" w:right="4419" w:hanging="1295"/>
        <w:spacing w:after="0" w:line="255" w:lineRule="auto"/>
        <w:tabs>
          <w:tab w:leader="none" w:pos="30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Basic and Diluted Earnings Per Common and Dilutive Potential Common Share.</w:t>
      </w:r>
    </w:p>
    <w:p>
      <w:pPr>
        <w:spacing w:after="0" w:line="162" w:lineRule="exact"/>
        <w:rPr>
          <w:rFonts w:ascii="Courier New" w:cs="Courier New" w:eastAsia="Courier New" w:hAnsi="Courier New"/>
          <w:sz w:val="14"/>
          <w:szCs w:val="14"/>
          <w:color w:val="auto"/>
        </w:rPr>
      </w:pPr>
    </w:p>
    <w:p>
      <w:pPr>
        <w:ind w:left="3040" w:right="4159" w:hanging="1295"/>
        <w:spacing w:after="0" w:line="258" w:lineRule="auto"/>
        <w:tabs>
          <w:tab w:leader="none" w:pos="30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 of Earnings to Fixed Charges.</w:t>
      </w:r>
    </w:p>
    <w:p>
      <w:pPr>
        <w:spacing w:after="0" w:line="160" w:lineRule="exact"/>
        <w:rPr>
          <w:sz w:val="20"/>
          <w:szCs w:val="20"/>
          <w:color w:val="auto"/>
        </w:rPr>
      </w:pPr>
    </w:p>
    <w:p>
      <w:pPr>
        <w:ind w:left="3040" w:right="4759" w:hanging="1295"/>
        <w:spacing w:after="0" w:line="255" w:lineRule="auto"/>
        <w:tabs>
          <w:tab w:leader="none" w:pos="30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 as of June 30, 2000 and for the 6 months then ended.</w:t>
      </w:r>
    </w:p>
    <w:p>
      <w:pPr>
        <w:spacing w:after="0" w:line="162"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27.1</w:t>
            </w:r>
          </w:p>
        </w:tc>
        <w:tc>
          <w:tcPr>
            <w:tcW w:w="3880" w:type="dxa"/>
            <w:vAlign w:val="bottom"/>
          </w:tcPr>
          <w:p>
            <w:pPr>
              <w:ind w:left="480"/>
              <w:spacing w:after="0"/>
              <w:rPr>
                <w:sz w:val="20"/>
                <w:szCs w:val="20"/>
                <w:color w:val="auto"/>
              </w:rPr>
            </w:pPr>
            <w:r>
              <w:rPr>
                <w:rFonts w:ascii="Courier New" w:cs="Courier New" w:eastAsia="Courier New" w:hAnsi="Courier New"/>
                <w:sz w:val="14"/>
                <w:szCs w:val="14"/>
                <w:color w:val="auto"/>
              </w:rPr>
              <w:t>Restated Financial Data Schedule as of</w:t>
            </w:r>
          </w:p>
        </w:tc>
      </w:tr>
      <w:tr>
        <w:trPr>
          <w:trHeight w:val="167"/>
        </w:trPr>
        <w:tc>
          <w:tcPr>
            <w:tcW w:w="820" w:type="dxa"/>
            <w:vAlign w:val="bottom"/>
          </w:tcPr>
          <w:p>
            <w:pPr>
              <w:spacing w:after="0"/>
              <w:rPr>
                <w:sz w:val="14"/>
                <w:szCs w:val="14"/>
                <w:color w:val="auto"/>
              </w:rPr>
            </w:pPr>
          </w:p>
        </w:tc>
        <w:tc>
          <w:tcPr>
            <w:tcW w:w="3880" w:type="dxa"/>
            <w:vAlign w:val="bottom"/>
          </w:tcPr>
          <w:p>
            <w:pPr>
              <w:ind w:left="480"/>
              <w:spacing w:after="0"/>
              <w:rPr>
                <w:sz w:val="20"/>
                <w:szCs w:val="20"/>
                <w:color w:val="auto"/>
              </w:rPr>
            </w:pPr>
            <w:r>
              <w:rPr>
                <w:rFonts w:ascii="Courier New" w:cs="Courier New" w:eastAsia="Courier New" w:hAnsi="Courier New"/>
                <w:sz w:val="14"/>
                <w:szCs w:val="14"/>
                <w:color w:val="auto"/>
              </w:rPr>
              <w:t>June 30, 1999 and for the 6 months then</w:t>
            </w:r>
          </w:p>
        </w:tc>
      </w:tr>
      <w:tr>
        <w:trPr>
          <w:trHeight w:val="167"/>
        </w:trPr>
        <w:tc>
          <w:tcPr>
            <w:tcW w:w="820" w:type="dxa"/>
            <w:vAlign w:val="bottom"/>
          </w:tcPr>
          <w:p>
            <w:pPr>
              <w:spacing w:after="0"/>
              <w:rPr>
                <w:sz w:val="14"/>
                <w:szCs w:val="14"/>
                <w:color w:val="auto"/>
              </w:rPr>
            </w:pPr>
          </w:p>
        </w:tc>
        <w:tc>
          <w:tcPr>
            <w:tcW w:w="3880" w:type="dxa"/>
            <w:vAlign w:val="bottom"/>
          </w:tcPr>
          <w:p>
            <w:pPr>
              <w:ind w:left="480"/>
              <w:spacing w:after="0"/>
              <w:rPr>
                <w:sz w:val="20"/>
                <w:szCs w:val="20"/>
                <w:color w:val="auto"/>
              </w:rPr>
            </w:pPr>
            <w:r>
              <w:rPr>
                <w:rFonts w:ascii="Courier New" w:cs="Courier New" w:eastAsia="Courier New" w:hAnsi="Courier New"/>
                <w:sz w:val="14"/>
                <w:szCs w:val="14"/>
                <w:color w:val="auto"/>
              </w:rPr>
              <w:t>ended.</w:t>
            </w:r>
          </w:p>
        </w:tc>
      </w:tr>
    </w:tbl>
    <w:p>
      <w:pPr>
        <w:spacing w:after="0" w:line="33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 Reports on Form 8-K.</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type w:val="continuous"/>
        </w:sectPr>
      </w:pPr>
    </w:p>
    <w:bookmarkStart w:id="15" w:name="page16"/>
    <w:bookmarkEnd w:id="15"/>
    <w:p>
      <w:pPr>
        <w:ind w:right="3459"/>
        <w:spacing w:after="0" w:line="255" w:lineRule="auto"/>
        <w:rPr>
          <w:sz w:val="20"/>
          <w:szCs w:val="20"/>
          <w:color w:val="auto"/>
        </w:rPr>
      </w:pPr>
      <w:r>
        <w:rPr>
          <w:rFonts w:ascii="Courier New" w:cs="Courier New" w:eastAsia="Courier New" w:hAnsi="Courier New"/>
          <w:sz w:val="14"/>
          <w:szCs w:val="14"/>
          <w:color w:val="auto"/>
        </w:rPr>
        <w:t>We urge you to carefully consider the following important factors that could cause actual results to differ materially from the expectations of the company or its management:</w:t>
      </w:r>
    </w:p>
    <w:p>
      <w:pPr>
        <w:spacing w:after="0" w:line="162" w:lineRule="exact"/>
        <w:rPr>
          <w:sz w:val="20"/>
          <w:szCs w:val="20"/>
          <w:color w:val="auto"/>
        </w:rPr>
      </w:pPr>
    </w:p>
    <w:p>
      <w:pPr>
        <w:ind w:left="800" w:right="3379" w:hanging="791"/>
        <w:spacing w:after="0" w:line="252" w:lineRule="auto"/>
        <w:tabs>
          <w:tab w:leader="none" w:pos="19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demand for semiconductors, particularly for digital signal processors and analog chips in key markets, such as telecommunications and computers;</w:t>
      </w:r>
    </w:p>
    <w:p>
      <w:pPr>
        <w:spacing w:after="0" w:line="1" w:lineRule="exact"/>
        <w:rPr>
          <w:rFonts w:ascii="Courier New" w:cs="Courier New" w:eastAsia="Courier New" w:hAnsi="Courier New"/>
          <w:sz w:val="14"/>
          <w:szCs w:val="14"/>
          <w:color w:val="auto"/>
        </w:rPr>
      </w:pPr>
    </w:p>
    <w:p>
      <w:pPr>
        <w:ind w:left="800" w:right="3199" w:hanging="791"/>
        <w:spacing w:after="0" w:line="252" w:lineRule="auto"/>
        <w:tabs>
          <w:tab w:leader="none" w:pos="19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develop, manufacture and market innovative products in a rapidly changing technological environment;</w:t>
      </w:r>
    </w:p>
    <w:p>
      <w:pPr>
        <w:ind w:left="800" w:right="3899" w:hanging="791"/>
        <w:spacing w:after="0" w:line="252" w:lineRule="auto"/>
        <w:tabs>
          <w:tab w:leader="none" w:pos="19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compete in products and prices in an intensely competitive industry;</w:t>
      </w:r>
    </w:p>
    <w:p>
      <w:pPr>
        <w:ind w:left="800" w:right="3459" w:hanging="791"/>
        <w:spacing w:after="0" w:line="252" w:lineRule="auto"/>
        <w:tabs>
          <w:tab w:leader="none" w:pos="19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maintain and enforce a strong intellectual property portfolio and obtain needed licenses from third parties;</w:t>
      </w: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-Timely completion and successful integration of announced acquisitions;</w:t>
      </w:r>
    </w:p>
    <w:p>
      <w:pPr>
        <w:spacing w:after="0" w:line="8" w:lineRule="exact"/>
        <w:rPr>
          <w:rFonts w:ascii="Courier New" w:cs="Courier New" w:eastAsia="Courier New" w:hAnsi="Courier New"/>
          <w:sz w:val="14"/>
          <w:szCs w:val="14"/>
          <w:color w:val="auto"/>
        </w:rPr>
      </w:pPr>
    </w:p>
    <w:p>
      <w:pPr>
        <w:ind w:left="800" w:right="3379" w:hanging="791"/>
        <w:spacing w:after="0" w:line="252" w:lineRule="auto"/>
        <w:tabs>
          <w:tab w:leader="none" w:pos="19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economic, social and political conditions in the countries in which TI and its customers and suppliers operate, including fluctuations in foreign currency exchange rates;</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-Losses or curtailments of purchases from key customers;</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recruit and retain skilled personnel; and</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raw materials and critical manufacturing equipment.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a more detailed discussion of these factors, see the text under the heading "Cautionary Statements Regarding Future Operations" in Item 1 of the company's most recent Form 10-K. The forward-looking statements included in this Form 10-Q are made only as of the date of this Form 10-Q and the company undertakes no obligation to publicly update the forward-looking statements to reflect subsequent events or circumstances.</w:t>
      </w:r>
    </w:p>
    <w:p>
      <w:pPr>
        <w:spacing w:after="0" w:line="33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jc w:val="both"/>
        <w:ind w:right="3979"/>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TEXAS INSTRUMENTS INCORPORATED</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 /s/ WILLIAM A. AYLESWORTH</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William A. Aylesworth</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Senior Vice President,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Treasurer and</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Chief Financial Officer</w:t>
      </w:r>
    </w:p>
    <w:p>
      <w:pPr>
        <w:spacing w:after="0" w:line="34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July 26, 2000</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2"/>
        </w:trPr>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Exhibit Index</w:t>
            </w:r>
          </w:p>
        </w:tc>
        <w:tc>
          <w:tcPr>
            <w:tcW w:w="3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835"/>
        </w:trPr>
        <w:tc>
          <w:tcPr>
            <w:tcW w:w="1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Designation of</w:t>
            </w:r>
          </w:p>
        </w:tc>
        <w:tc>
          <w:tcPr>
            <w:tcW w:w="3080" w:type="dxa"/>
            <w:vAlign w:val="bottom"/>
          </w:tcPr>
          <w:p>
            <w:pPr>
              <w:spacing w:after="0"/>
              <w:rPr>
                <w:sz w:val="24"/>
                <w:szCs w:val="24"/>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Paper (P)</w:t>
            </w:r>
          </w:p>
        </w:tc>
      </w:tr>
      <w:tr>
        <w:trPr>
          <w:trHeight w:val="167"/>
        </w:trPr>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Exhibits in</w:t>
            </w:r>
          </w:p>
        </w:tc>
        <w:tc>
          <w:tcPr>
            <w:tcW w:w="3080" w:type="dxa"/>
            <w:vAlign w:val="bottom"/>
          </w:tcPr>
          <w:p>
            <w:pPr>
              <w:spacing w:after="0"/>
              <w:rPr>
                <w:sz w:val="14"/>
                <w:szCs w:val="14"/>
                <w:color w:val="auto"/>
              </w:rPr>
            </w:pP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or</w:t>
            </w:r>
          </w:p>
        </w:tc>
      </w:tr>
      <w:tr>
        <w:trPr>
          <w:trHeight w:val="167"/>
        </w:trPr>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this Report</w:t>
            </w: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Description of Exhibit</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Electronic (E)</w:t>
            </w:r>
          </w:p>
        </w:tc>
      </w:tr>
      <w:tr>
        <w:trPr>
          <w:trHeight w:val="167"/>
        </w:trPr>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30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4"/>
        </w:trPr>
        <w:tc>
          <w:tcPr>
            <w:tcW w:w="18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3</w:t>
            </w: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Certificate of Amendment to</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E</w:t>
            </w: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Restated Certificate of</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Incorporation (incorporated</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by reference to Exhibit</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3(n) to the Registrant's</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Registration Statement on</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Form S-4 No. 333-41030</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filed on July 7, 2000).</w:t>
            </w:r>
          </w:p>
        </w:tc>
        <w:tc>
          <w:tcPr>
            <w:tcW w:w="1380" w:type="dxa"/>
            <w:vAlign w:val="bottom"/>
          </w:tcPr>
          <w:p>
            <w:pPr>
              <w:spacing w:after="0"/>
              <w:rPr>
                <w:sz w:val="14"/>
                <w:szCs w:val="14"/>
                <w:color w:val="auto"/>
              </w:rPr>
            </w:pPr>
          </w:p>
        </w:tc>
      </w:tr>
      <w:tr>
        <w:trPr>
          <w:trHeight w:val="334"/>
        </w:trPr>
        <w:tc>
          <w:tcPr>
            <w:tcW w:w="18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10</w:t>
            </w: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Texas Instruments 2000</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E</w:t>
            </w: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Long-Term Incentive Plan</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(incorporated by reference</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to Exhibit 10(e) to the</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Registrant's Registration</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Statement on Form S-4</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No. 333-41030 filed on</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July 7, 2000).</w:t>
            </w:r>
          </w:p>
        </w:tc>
        <w:tc>
          <w:tcPr>
            <w:tcW w:w="1380" w:type="dxa"/>
            <w:vAlign w:val="bottom"/>
          </w:tcPr>
          <w:p>
            <w:pPr>
              <w:spacing w:after="0"/>
              <w:rPr>
                <w:sz w:val="14"/>
                <w:szCs w:val="14"/>
                <w:color w:val="auto"/>
              </w:rPr>
            </w:pPr>
          </w:p>
        </w:tc>
      </w:tr>
      <w:tr>
        <w:trPr>
          <w:trHeight w:val="334"/>
        </w:trPr>
        <w:tc>
          <w:tcPr>
            <w:tcW w:w="18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11</w:t>
            </w: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Computation of Basic and</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E</w:t>
            </w: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Diluted Earnings Per Common</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and Dilutive Potential</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Common Share.</w:t>
            </w:r>
          </w:p>
        </w:tc>
        <w:tc>
          <w:tcPr>
            <w:tcW w:w="1380" w:type="dxa"/>
            <w:vAlign w:val="bottom"/>
          </w:tcPr>
          <w:p>
            <w:pPr>
              <w:spacing w:after="0"/>
              <w:rPr>
                <w:sz w:val="14"/>
                <w:szCs w:val="14"/>
                <w:color w:val="auto"/>
              </w:rPr>
            </w:pPr>
          </w:p>
        </w:tc>
      </w:tr>
      <w:tr>
        <w:trPr>
          <w:trHeight w:val="334"/>
        </w:trPr>
        <w:tc>
          <w:tcPr>
            <w:tcW w:w="18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12</w:t>
            </w: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Computation of Ratio of</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E</w:t>
            </w: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Earnings to Fixed Charges.</w:t>
            </w:r>
          </w:p>
        </w:tc>
        <w:tc>
          <w:tcPr>
            <w:tcW w:w="1380" w:type="dxa"/>
            <w:vAlign w:val="bottom"/>
          </w:tcPr>
          <w:p>
            <w:pPr>
              <w:spacing w:after="0"/>
              <w:rPr>
                <w:sz w:val="14"/>
                <w:szCs w:val="14"/>
                <w:color w:val="auto"/>
              </w:rPr>
            </w:pPr>
          </w:p>
        </w:tc>
      </w:tr>
      <w:tr>
        <w:trPr>
          <w:trHeight w:val="334"/>
        </w:trPr>
        <w:tc>
          <w:tcPr>
            <w:tcW w:w="18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27</w:t>
            </w: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Financial Data Schedule</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E</w:t>
            </w: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as of June 30, 2000 and for</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the 6 months then ended.</w:t>
            </w:r>
          </w:p>
        </w:tc>
        <w:tc>
          <w:tcPr>
            <w:tcW w:w="1380" w:type="dxa"/>
            <w:vAlign w:val="bottom"/>
          </w:tcPr>
          <w:p>
            <w:pPr>
              <w:spacing w:after="0"/>
              <w:rPr>
                <w:sz w:val="14"/>
                <w:szCs w:val="14"/>
                <w:color w:val="auto"/>
              </w:rPr>
            </w:pPr>
          </w:p>
        </w:tc>
      </w:tr>
      <w:tr>
        <w:trPr>
          <w:trHeight w:val="334"/>
        </w:trPr>
        <w:tc>
          <w:tcPr>
            <w:tcW w:w="18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27.1</w:t>
            </w: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Restated Financial Data Schedule</w:t>
            </w:r>
          </w:p>
        </w:tc>
        <w:tc>
          <w:tcPr>
            <w:tcW w:w="1380" w:type="dxa"/>
            <w:vAlign w:val="bottom"/>
          </w:tcPr>
          <w:p>
            <w:pPr>
              <w:ind w:left="600"/>
              <w:spacing w:after="0"/>
              <w:rPr>
                <w:sz w:val="20"/>
                <w:szCs w:val="20"/>
                <w:color w:val="auto"/>
              </w:rPr>
            </w:pPr>
            <w:r>
              <w:rPr>
                <w:rFonts w:ascii="Courier New" w:cs="Courier New" w:eastAsia="Courier New" w:hAnsi="Courier New"/>
                <w:sz w:val="14"/>
                <w:szCs w:val="14"/>
                <w:color w:val="auto"/>
              </w:rPr>
              <w:t>E</w:t>
            </w: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as of June 30, 1999 and for the</w:t>
            </w:r>
          </w:p>
        </w:tc>
        <w:tc>
          <w:tcPr>
            <w:tcW w:w="13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Courier New" w:cs="Courier New" w:eastAsia="Courier New" w:hAnsi="Courier New"/>
                <w:sz w:val="14"/>
                <w:szCs w:val="14"/>
                <w:color w:val="auto"/>
              </w:rPr>
              <w:t>6 months then ended.</w:t>
            </w:r>
          </w:p>
        </w:tc>
        <w:tc>
          <w:tcPr>
            <w:tcW w:w="1380" w:type="dxa"/>
            <w:vAlign w:val="bottom"/>
          </w:tcPr>
          <w:p>
            <w:pPr>
              <w:spacing w:after="0"/>
              <w:rPr>
                <w:sz w:val="14"/>
                <w:szCs w:val="14"/>
                <w:color w:val="auto"/>
              </w:rPr>
            </w:pPr>
          </w:p>
        </w:tc>
      </w:tr>
    </w:tbl>
    <w:p>
      <w:pPr>
        <w:sectPr>
          <w:pgSz w:w="11900" w:h="16838" w:orient="portrait"/>
          <w:cols w:equalWidth="0" w:num="1">
            <w:col w:w="10239"/>
          </w:cols>
          <w:pgMar w:left="220" w:top="620" w:right="1440"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EXHIBIT 11</w:t>
            </w:r>
          </w:p>
        </w:tc>
      </w:tr>
      <w:tr>
        <w:trPr>
          <w:trHeight w:val="167"/>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501"/>
        </w:trPr>
        <w:tc>
          <w:tcPr>
            <w:tcW w:w="670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TEXAS INSTRUMENTS INCORPORATED AND SUBSIDIARIES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600" w:type="dxa"/>
            <w:vAlign w:val="bottom"/>
          </w:tcPr>
          <w:p>
            <w:pPr>
              <w:ind w:left="1920"/>
              <w:spacing w:after="0"/>
              <w:rPr>
                <w:sz w:val="20"/>
                <w:szCs w:val="20"/>
                <w:color w:val="auto"/>
              </w:rPr>
            </w:pPr>
            <w:r>
              <w:rPr>
                <w:rFonts w:ascii="Courier New" w:cs="Courier New" w:eastAsia="Courier New" w:hAnsi="Courier New"/>
                <w:sz w:val="14"/>
                <w:szCs w:val="14"/>
                <w:color w:val="auto"/>
              </w:rPr>
              <w:t>EARNINGS PER COMMON AND DILUTIVE POTENTIAL</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COMMON SHARE</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5600" w:type="dxa"/>
            <w:vAlign w:val="bottom"/>
          </w:tcPr>
          <w:p>
            <w:pPr>
              <w:spacing w:after="0"/>
              <w:rPr>
                <w:sz w:val="24"/>
                <w:szCs w:val="24"/>
                <w:color w:val="auto"/>
              </w:rPr>
            </w:pPr>
          </w:p>
        </w:tc>
        <w:tc>
          <w:tcPr>
            <w:tcW w:w="214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For Three Months Ended</w:t>
            </w:r>
          </w:p>
        </w:tc>
        <w:tc>
          <w:tcPr>
            <w:tcW w:w="26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Courier New" w:cs="Courier New" w:eastAsia="Courier New" w:hAnsi="Courier New"/>
                <w:sz w:val="14"/>
                <w:szCs w:val="14"/>
                <w:color w:val="auto"/>
              </w:rPr>
              <w:t>For Six Months Ended</w:t>
            </w:r>
          </w:p>
        </w:tc>
      </w:tr>
      <w:tr>
        <w:trPr>
          <w:trHeight w:val="167"/>
        </w:trPr>
        <w:tc>
          <w:tcPr>
            <w:tcW w:w="56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0"/>
              </w:rPr>
              <w:t>----------------------</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June 30</w:t>
            </w:r>
          </w:p>
        </w:tc>
        <w:tc>
          <w:tcPr>
            <w:tcW w:w="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June 30</w:t>
            </w:r>
          </w:p>
        </w:tc>
        <w:tc>
          <w:tcPr>
            <w:tcW w:w="2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June 30</w:t>
            </w:r>
          </w:p>
        </w:tc>
      </w:tr>
      <w:tr>
        <w:trPr>
          <w:trHeight w:val="167"/>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c>
          <w:tcPr>
            <w:tcW w:w="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60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600" w:type="dxa"/>
            <w:vAlign w:val="bottom"/>
          </w:tcPr>
          <w:p>
            <w:pPr>
              <w:spacing w:after="0"/>
              <w:rPr>
                <w:sz w:val="20"/>
                <w:szCs w:val="20"/>
                <w:color w:val="auto"/>
              </w:rPr>
            </w:pPr>
            <w:r>
              <w:rPr>
                <w:rFonts w:ascii="Courier New" w:cs="Courier New" w:eastAsia="Courier New" w:hAnsi="Courier New"/>
                <w:sz w:val="14"/>
                <w:szCs w:val="14"/>
                <w:color w:val="auto"/>
              </w:rPr>
              <w:t>Net income (in millions).......................................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586</w:t>
            </w:r>
          </w:p>
        </w:tc>
      </w:tr>
      <w:tr>
        <w:trPr>
          <w:trHeight w:val="167"/>
        </w:trPr>
        <w:tc>
          <w:tcPr>
            <w:tcW w:w="560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600" w:type="dxa"/>
            <w:vAlign w:val="bottom"/>
          </w:tcPr>
          <w:p>
            <w:pPr>
              <w:spacing w:after="0"/>
              <w:rPr>
                <w:sz w:val="20"/>
                <w:szCs w:val="20"/>
                <w:color w:val="auto"/>
              </w:rPr>
            </w:pPr>
            <w:r>
              <w:rPr>
                <w:rFonts w:ascii="Courier New" w:cs="Courier New" w:eastAsia="Courier New" w:hAnsi="Courier New"/>
                <w:sz w:val="14"/>
                <w:szCs w:val="14"/>
                <w:color w:val="auto"/>
              </w:rPr>
              <w:t>DILUTED EARNINGS PER COMMON AND DILUTIVE POTENTIAL COMMON SHARE: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(in thousands)......</w:t>
            </w: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1,639,625</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1,602,836</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1,635,870</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1,600,769</w:t>
            </w:r>
          </w:p>
        </w:tc>
      </w:tr>
      <w:tr>
        <w:trPr>
          <w:trHeight w:val="167"/>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dilutive potential common shares: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600" w:type="dxa"/>
            <w:vAlign w:val="bottom"/>
          </w:tcPr>
          <w:p>
            <w:pPr>
              <w:ind w:left="360"/>
              <w:spacing w:after="0"/>
              <w:rPr>
                <w:sz w:val="20"/>
                <w:szCs w:val="20"/>
                <w:color w:val="auto"/>
              </w:rPr>
            </w:pPr>
            <w:r>
              <w:rPr>
                <w:rFonts w:ascii="Courier New" w:cs="Courier New" w:eastAsia="Courier New" w:hAnsi="Courier New"/>
                <w:sz w:val="14"/>
                <w:szCs w:val="14"/>
                <w:color w:val="auto"/>
              </w:rPr>
              <w:t>Stock option and compensation plans........................</w:t>
            </w:r>
          </w:p>
        </w:tc>
        <w:tc>
          <w:tcPr>
            <w:tcW w:w="1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68,693</w:t>
            </w:r>
          </w:p>
        </w:tc>
        <w:tc>
          <w:tcPr>
            <w:tcW w:w="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55,819</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69,892</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53,836</w:t>
            </w:r>
          </w:p>
        </w:tc>
      </w:tr>
      <w:tr>
        <w:trPr>
          <w:trHeight w:val="167"/>
        </w:trPr>
        <w:tc>
          <w:tcPr>
            <w:tcW w:w="560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Weighted average common and dilutive potential common shares...</w:t>
            </w: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1,708,318</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1,658,655</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1,705,762</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1,654,605</w:t>
            </w:r>
          </w:p>
        </w:tc>
      </w:tr>
      <w:tr>
        <w:trPr>
          <w:trHeight w:val="167"/>
        </w:trPr>
        <w:tc>
          <w:tcPr>
            <w:tcW w:w="560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60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0.35</w:t>
            </w:r>
          </w:p>
        </w:tc>
      </w:tr>
      <w:tr>
        <w:trPr>
          <w:trHeight w:val="167"/>
        </w:trPr>
        <w:tc>
          <w:tcPr>
            <w:tcW w:w="560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668"/>
        </w:trPr>
        <w:tc>
          <w:tcPr>
            <w:tcW w:w="560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60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(in thousands)......</w:t>
            </w: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1,639,625</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1,602,836</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1,635,870</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1,600,769</w:t>
            </w:r>
          </w:p>
        </w:tc>
      </w:tr>
      <w:tr>
        <w:trPr>
          <w:trHeight w:val="167"/>
        </w:trPr>
        <w:tc>
          <w:tcPr>
            <w:tcW w:w="560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60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0.37</w:t>
            </w:r>
          </w:p>
        </w:tc>
      </w:tr>
      <w:tr>
        <w:trPr>
          <w:trHeight w:val="167"/>
        </w:trPr>
        <w:tc>
          <w:tcPr>
            <w:tcW w:w="560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809" w:right="1440" w:bottom="1440" w:gutter="0" w:footer="0" w:header="0"/>
        </w:sectPr>
      </w:pPr>
    </w:p>
    <w:bookmarkStart w:id="18" w:name="page19"/>
    <w:bookmarkEnd w:id="18"/>
    <w:p>
      <w:pPr>
        <w:ind w:left="7560"/>
        <w:spacing w:after="0"/>
        <w:rPr>
          <w:sz w:val="20"/>
          <w:szCs w:val="20"/>
          <w:color w:val="auto"/>
        </w:rPr>
      </w:pPr>
      <w:r>
        <w:rPr>
          <w:rFonts w:ascii="Courier New" w:cs="Courier New" w:eastAsia="Courier New" w:hAnsi="Courier New"/>
          <w:sz w:val="14"/>
          <w:szCs w:val="14"/>
          <w:color w:val="auto"/>
        </w:rPr>
        <w:t>EXHIBIT 12</w:t>
      </w:r>
    </w:p>
    <w:p>
      <w:pPr>
        <w:spacing w:after="0" w:line="8" w:lineRule="exact"/>
        <w:rPr>
          <w:sz w:val="20"/>
          <w:szCs w:val="20"/>
          <w:color w:val="auto"/>
        </w:rPr>
      </w:pPr>
    </w:p>
    <w:p>
      <w:pPr>
        <w:ind w:left="75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(Dollars in millions)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For Six Months</w:t>
            </w:r>
          </w:p>
        </w:tc>
      </w:tr>
      <w:tr>
        <w:trPr>
          <w:trHeight w:val="167"/>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Ended June 30</w:t>
            </w:r>
          </w:p>
        </w:tc>
      </w:tr>
      <w:tr>
        <w:trPr>
          <w:trHeight w:val="167"/>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1999</w:t>
            </w:r>
          </w:p>
        </w:tc>
        <w:tc>
          <w:tcPr>
            <w:tcW w:w="7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1999</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income taxes and fixed charges: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3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Income before extraordinary item,</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37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interest expense on loans,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3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capitalized interest amortized,</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and provision for income taxes.....</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$ 882</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$ 725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$2,112</w:t>
            </w:r>
          </w:p>
        </w:tc>
        <w:tc>
          <w:tcPr>
            <w:tcW w:w="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$ 934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$2,618</w:t>
            </w:r>
          </w:p>
        </w:tc>
      </w:tr>
      <w:tr>
        <w:trPr>
          <w:trHeight w:val="167"/>
        </w:trPr>
        <w:tc>
          <w:tcPr>
            <w:tcW w:w="37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Add interest attributable to</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rental and lease expense...........</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$ 149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$ 926</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$ 766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$2,142</w:t>
            </w:r>
          </w:p>
        </w:tc>
        <w:tc>
          <w:tcPr>
            <w:tcW w:w="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$ 953</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$2,633</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on loans (expensed</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and capitalized).....................</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$ 108</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84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Interest attributable to rental</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and lease expense....................</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Fixed charges............................</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$ 110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$ 152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$ 158</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$ 114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Ratio of earnings to fixed charges.......</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c>
          <w:tcPr>
            <w:tcW w:w="30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16.2</w:t>
            </w:r>
          </w:p>
        </w:tc>
        <w:tc>
          <w:tcPr>
            <w:tcW w:w="2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42.2</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 Not meaningful.</w:t>
        <w:tab/>
        <w:t>The coverage deficiency was $3 million in 1996.</w:t>
      </w:r>
    </w:p>
    <w:p>
      <w:pPr>
        <w:sectPr>
          <w:pgSz w:w="11900" w:h="16838" w:orient="portrait"/>
          <w:cols w:equalWidth="0" w:num="1">
            <w:col w:w="10239"/>
          </w:cols>
          <w:pgMar w:left="220" w:top="809" w:right="1440" w:bottom="1440" w:gutter="0" w:footer="0" w:header="0"/>
        </w:sectPr>
      </w:pPr>
    </w:p>
    <w:bookmarkStart w:id="19" w:name="page20"/>
    <w:bookmarkEnd w:id="19"/>
    <w:p>
      <w:pPr>
        <w:spacing w:after="0"/>
        <w:tabs>
          <w:tab w:leader="none" w:pos="1640" w:val="left"/>
        </w:tabs>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ind w:left="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699"/>
        <w:spacing w:after="0" w:line="254"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FINANCIAL STATEMENTS OF TEXAS INSTRUMENTS INCORPORATED AND SUBSIDIARIES AS OF JUNE 30, 2000, AND FOR THE SIX MONTHS THEN ENDED, AND IS QUALIFIED IN ITS ENTIRETY BY REFERENCE TO SUCH FINANCIAL STATEMENTS.</w:t>
      </w:r>
    </w:p>
    <w:p>
      <w:pPr>
        <w:spacing w:after="0" w:line="163"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1,000,000</w:t>
      </w:r>
    </w:p>
    <w:p>
      <w:pPr>
        <w:spacing w:after="0" w:line="342"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6-MOS</w:t>
      </w:r>
    </w:p>
    <w:p>
      <w:pPr>
        <w:spacing w:after="0" w:line="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DEC-31-2000</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JUN-30-2000</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1,330</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2,768</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2,098</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57</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1,019</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7,887</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7,973</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3,485</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19,558</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3,103</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966</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1,641</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11,029</w:t>
      </w:r>
    </w:p>
    <w:p>
      <w:pPr>
        <w:spacing w:after="0" w:line="8"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19,558</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5,497</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5,497</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2,818</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2,818</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745</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37</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2,574</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869</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1,705</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1,705</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1.04</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199"/>
          </w:cols>
          <w:pgMar w:left="260" w:top="141" w:right="1440" w:bottom="1440"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439"/>
        <w:spacing w:after="0" w:line="254" w:lineRule="auto"/>
        <w:rPr>
          <w:sz w:val="20"/>
          <w:szCs w:val="20"/>
          <w:color w:val="auto"/>
        </w:rPr>
      </w:pPr>
      <w:r>
        <w:rPr>
          <w:rFonts w:ascii="Courier New" w:cs="Courier New" w:eastAsia="Courier New" w:hAnsi="Courier New"/>
          <w:sz w:val="14"/>
          <w:szCs w:val="14"/>
          <w:color w:val="auto"/>
        </w:rPr>
        <w:t>THIS RESTATED FINANCIAL DATA SCHEDULE CONTAINS SUMMARY FINANCIAL INFORMATION EXTRACTED FROM THE CONSOLIDATED FINANCIAL STATEMENTS OF TEXAS INSTRUMENTS INCORPORATED AND SUBSIDIARIES AS OF JUNE 30, 1999, AND FOR THE SIX MONTHS THEN ENDED, AND IS QUALIFIED IN ITS ENTIRETY BY REFERENC TO SUCH FINANCIAL STATEMENTS.</w:t>
      </w:r>
    </w:p>
    <w:p>
      <w:pPr>
        <w:spacing w:after="0" w:line="162"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1,000,000</w:t>
      </w:r>
    </w:p>
    <w:p>
      <w:pPr>
        <w:spacing w:after="0" w:line="342"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6-MOS</w:t>
      </w:r>
    </w:p>
    <w:p>
      <w:pPr>
        <w:spacing w:after="0" w:line="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DEC-31-1999</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JUN-30-1999</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343</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1,502</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1,783</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63</w:t>
      </w:r>
    </w:p>
    <w:p>
      <w:pPr>
        <w:spacing w:after="0" w:line="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712</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4,988</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6,784</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3,298</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11,304</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2,107</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960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402</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6,543</w:t>
      </w:r>
    </w:p>
    <w:p>
      <w:pPr>
        <w:spacing w:after="0" w:line="8"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11,304</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4,477</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4,477</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2,355</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2,355</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676</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37</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889</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303</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586</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586</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0.37</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0.35</w:t>
      </w:r>
    </w:p>
    <w:sectPr>
      <w:pgSz w:w="11900" w:h="16838" w:orient="portrait"/>
      <w:cols w:equalWidth="0" w:num="1">
        <w:col w:w="10199"/>
      </w:cols>
      <w:pgMar w:left="26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3"/>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1"/>
      <w:numFmt w:val="decimal"/>
      <w:start w:val="27"/>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2019-12-12T10:42:19Z</dcterms:created>
  <dcterms:modified xsi:type="dcterms:W3CDTF">2019-12-12T10:42:19Z</dcterms:modified>
</cp:coreProperties>
</file>