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39"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Washington, D.C.</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20549</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9"/>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8"/>
              </w:rPr>
              <w:t>FORM 10-Q</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09"/>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60" w:type="dxa"/>
            <w:vAlign w:val="bottom"/>
            <w:gridSpan w:val="8"/>
          </w:tcPr>
          <w:p>
            <w:pPr>
              <w:jc w:val="center"/>
              <w:spacing w:after="0"/>
              <w:rPr>
                <w:sz w:val="20"/>
                <w:szCs w:val="20"/>
                <w:color w:val="auto"/>
              </w:rPr>
            </w:pPr>
            <w:r>
              <w:rPr>
                <w:rFonts w:ascii="Courier New" w:cs="Courier New" w:eastAsia="Courier New" w:hAnsi="Courier New"/>
                <w:sz w:val="15"/>
                <w:szCs w:val="15"/>
                <w:color w:val="auto"/>
                <w:w w:val="97"/>
              </w:rPr>
              <w:t>QUARTERLY REPORT UNDER SECTION 13 or 15(d)</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00" w:type="dxa"/>
            <w:vAlign w:val="bottom"/>
            <w:gridSpan w:val="7"/>
          </w:tcPr>
          <w:p>
            <w:pPr>
              <w:jc w:val="center"/>
              <w:ind w:right="267"/>
              <w:spacing w:after="0"/>
              <w:rPr>
                <w:sz w:val="20"/>
                <w:szCs w:val="20"/>
                <w:color w:val="auto"/>
              </w:rPr>
            </w:pPr>
            <w:r>
              <w:rPr>
                <w:rFonts w:ascii="Courier New" w:cs="Courier New" w:eastAsia="Courier New" w:hAnsi="Courier New"/>
                <w:sz w:val="15"/>
                <w:szCs w:val="15"/>
                <w:color w:val="auto"/>
                <w:w w:val="98"/>
              </w:rPr>
              <w:t>OF THE SECURITIES EXCHANGE ACT OF 1934</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9"/>
        </w:trPr>
        <w:tc>
          <w:tcPr>
            <w:tcW w:w="3780" w:type="dxa"/>
            <w:vAlign w:val="bottom"/>
            <w:gridSpan w:val="9"/>
          </w:tcPr>
          <w:p>
            <w:pPr>
              <w:ind w:left="160"/>
              <w:spacing w:after="0"/>
              <w:rPr>
                <w:sz w:val="20"/>
                <w:szCs w:val="20"/>
                <w:color w:val="auto"/>
              </w:rPr>
            </w:pPr>
            <w:r>
              <w:rPr>
                <w:rFonts w:ascii="Courier New" w:cs="Courier New" w:eastAsia="Courier New" w:hAnsi="Courier New"/>
                <w:sz w:val="15"/>
                <w:szCs w:val="15"/>
                <w:color w:val="auto"/>
              </w:rPr>
              <w:t>For Quarter Ended September 30, 2001</w:t>
            </w:r>
          </w:p>
        </w:tc>
        <w:tc>
          <w:tcPr>
            <w:tcW w:w="360" w:type="dxa"/>
            <w:vAlign w:val="bottom"/>
          </w:tcPr>
          <w:p>
            <w:pPr>
              <w:spacing w:after="0"/>
              <w:rPr>
                <w:sz w:val="24"/>
                <w:szCs w:val="24"/>
                <w:color w:val="auto"/>
              </w:rPr>
            </w:pPr>
          </w:p>
        </w:tc>
        <w:tc>
          <w:tcPr>
            <w:tcW w:w="29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Commission File Number 1-3761</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09"/>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TEXAS INSTRUMENTS INCORPORATED</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40" w:type="dxa"/>
            <w:vAlign w:val="bottom"/>
            <w:gridSpan w:val="10"/>
          </w:tcPr>
          <w:p>
            <w:pPr>
              <w:jc w:val="center"/>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40" w:type="dxa"/>
            <w:vAlign w:val="bottom"/>
            <w:gridSpan w:val="10"/>
          </w:tcPr>
          <w:p>
            <w:pPr>
              <w:jc w:val="center"/>
              <w:ind w:right="7"/>
              <w:spacing w:after="0"/>
              <w:rPr>
                <w:sz w:val="20"/>
                <w:szCs w:val="20"/>
                <w:color w:val="auto"/>
              </w:rPr>
            </w:pPr>
            <w:r>
              <w:rPr>
                <w:rFonts w:ascii="Courier New" w:cs="Courier New" w:eastAsia="Courier New" w:hAnsi="Courier New"/>
                <w:sz w:val="15"/>
                <w:szCs w:val="15"/>
                <w:color w:val="auto"/>
                <w:w w:val="97"/>
              </w:rPr>
              <w:t>(Exact name of Registrant as specified in its charter)</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9"/>
        </w:trPr>
        <w:tc>
          <w:tcPr>
            <w:tcW w:w="52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rPr>
              <w:t>Delaware</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75-0289970</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8"/>
                <w:szCs w:val="8"/>
                <w:color w:val="auto"/>
                <w:w w:val="74"/>
              </w:rPr>
              <w:t>------------------------</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80" w:type="dxa"/>
            <w:vAlign w:val="bottom"/>
            <w:gridSpan w:val="6"/>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(State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of</w:t>
            </w:r>
          </w:p>
        </w:tc>
        <w:tc>
          <w:tcPr>
            <w:tcW w:w="1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Courier New" w:cs="Courier New" w:eastAsia="Courier New" w:hAnsi="Courier New"/>
                <w:sz w:val="15"/>
                <w:szCs w:val="15"/>
                <w:color w:val="auto"/>
              </w:rPr>
              <w:t>Incorporation)</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(I.R.S.</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Employer</w:t>
            </w:r>
          </w:p>
        </w:tc>
        <w:tc>
          <w:tcPr>
            <w:tcW w:w="21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Identification  No.)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8"/>
        </w:trPr>
        <w:tc>
          <w:tcPr>
            <w:tcW w:w="520" w:type="dxa"/>
            <w:vAlign w:val="bottom"/>
          </w:tcPr>
          <w:p>
            <w:pPr>
              <w:spacing w:after="0"/>
              <w:rPr>
                <w:sz w:val="20"/>
                <w:szCs w:val="20"/>
                <w:color w:val="auto"/>
              </w:rPr>
            </w:pPr>
            <w:r>
              <w:rPr>
                <w:rFonts w:ascii="Courier New" w:cs="Courier New" w:eastAsia="Courier New" w:hAnsi="Courier New"/>
                <w:sz w:val="15"/>
                <w:szCs w:val="15"/>
                <w:color w:val="auto"/>
              </w:rPr>
              <w:t>12500</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TI</w:t>
            </w:r>
          </w:p>
        </w:tc>
        <w:tc>
          <w:tcPr>
            <w:tcW w:w="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Boulevard,</w:t>
            </w:r>
          </w:p>
        </w:tc>
        <w:tc>
          <w:tcPr>
            <w:tcW w:w="3080" w:type="dxa"/>
            <w:vAlign w:val="bottom"/>
            <w:gridSpan w:val="6"/>
          </w:tcPr>
          <w:p>
            <w:pPr>
              <w:jc w:val="right"/>
              <w:ind w:right="187"/>
              <w:spacing w:after="0"/>
              <w:rPr>
                <w:sz w:val="20"/>
                <w:szCs w:val="20"/>
                <w:color w:val="auto"/>
              </w:rPr>
            </w:pPr>
            <w:r>
              <w:rPr>
                <w:rFonts w:ascii="Courier New" w:cs="Courier New" w:eastAsia="Courier New" w:hAnsi="Courier New"/>
                <w:sz w:val="15"/>
                <w:szCs w:val="15"/>
                <w:color w:val="auto"/>
              </w:rPr>
              <w:t>P.O. Box 660199, Dallas, Texas</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75266-0199</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3"/>
                <w:szCs w:val="3"/>
                <w:color w:val="auto"/>
                <w:w w:val="90"/>
              </w:rPr>
              <w:t>-----------------------------------------------------</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gridSpan w:val="10"/>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(Zip Code)</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9"/>
        </w:trPr>
        <w:tc>
          <w:tcPr>
            <w:tcW w:w="520" w:type="dxa"/>
            <w:vAlign w:val="bottom"/>
          </w:tcPr>
          <w:p>
            <w:pPr>
              <w:spacing w:after="0"/>
              <w:rPr>
                <w:sz w:val="24"/>
                <w:szCs w:val="24"/>
                <w:color w:val="auto"/>
              </w:rPr>
            </w:pPr>
          </w:p>
        </w:tc>
        <w:tc>
          <w:tcPr>
            <w:tcW w:w="6520" w:type="dxa"/>
            <w:vAlign w:val="bottom"/>
            <w:gridSpan w:val="13"/>
          </w:tcPr>
          <w:p>
            <w:pPr>
              <w:jc w:val="center"/>
              <w:ind w:right="367"/>
              <w:spacing w:after="0"/>
              <w:rPr>
                <w:sz w:val="20"/>
                <w:szCs w:val="20"/>
                <w:color w:val="auto"/>
              </w:rPr>
            </w:pPr>
            <w:r>
              <w:rPr>
                <w:rFonts w:ascii="Courier New" w:cs="Courier New" w:eastAsia="Courier New" w:hAnsi="Courier New"/>
                <w:sz w:val="15"/>
                <w:szCs w:val="15"/>
                <w:color w:val="auto"/>
                <w:w w:val="98"/>
              </w:rPr>
              <w:t>Registrant's telephone number, including area code 972-995-3773</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6520" w:type="dxa"/>
            <w:vAlign w:val="bottom"/>
            <w:gridSpan w:val="13"/>
          </w:tcPr>
          <w:p>
            <w:pPr>
              <w:jc w:val="center"/>
              <w:ind w:right="367"/>
              <w:spacing w:after="0"/>
              <w:rPr>
                <w:sz w:val="20"/>
                <w:szCs w:val="20"/>
                <w:color w:val="auto"/>
              </w:rPr>
            </w:pPr>
            <w:r>
              <w:rPr>
                <w:rFonts w:ascii="Courier New" w:cs="Courier New" w:eastAsia="Courier New" w:hAnsi="Courier New"/>
                <w:sz w:val="15"/>
                <w:szCs w:val="15"/>
                <w:color w:val="auto"/>
                <w:w w:val="98"/>
              </w:rPr>
              <w:t>---------------------------------------------------------------</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9"/>
        </w:trPr>
        <w:tc>
          <w:tcPr>
            <w:tcW w:w="4920" w:type="dxa"/>
            <w:vAlign w:val="bottom"/>
            <w:gridSpan w:val="11"/>
          </w:tcPr>
          <w:p>
            <w:pPr>
              <w:spacing w:after="0"/>
              <w:rPr>
                <w:sz w:val="20"/>
                <w:szCs w:val="20"/>
                <w:color w:val="auto"/>
              </w:rPr>
            </w:pPr>
            <w:r>
              <w:rPr>
                <w:rFonts w:ascii="Courier New" w:cs="Courier New" w:eastAsia="Courier New" w:hAnsi="Courier New"/>
                <w:sz w:val="15"/>
                <w:szCs w:val="15"/>
                <w:color w:val="auto"/>
                <w:w w:val="97"/>
              </w:rPr>
              <w:t>Indicate  by  check  mark  whether  the  Registrant  (1)</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has</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filed all reports</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required</w:t>
            </w:r>
          </w:p>
        </w:tc>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to</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be</w:t>
            </w:r>
          </w:p>
        </w:tc>
        <w:tc>
          <w:tcPr>
            <w:tcW w:w="556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9"/>
              </w:rPr>
              <w:t>filed by Section 13 or 15(d) of the Securities Exchange Act of</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gridSpan w:val="10"/>
          </w:tcPr>
          <w:p>
            <w:pPr>
              <w:spacing w:after="0"/>
              <w:rPr>
                <w:sz w:val="20"/>
                <w:szCs w:val="20"/>
                <w:color w:val="auto"/>
              </w:rPr>
            </w:pPr>
            <w:r>
              <w:rPr>
                <w:rFonts w:ascii="Courier New" w:cs="Courier New" w:eastAsia="Courier New" w:hAnsi="Courier New"/>
                <w:sz w:val="15"/>
                <w:szCs w:val="15"/>
                <w:color w:val="auto"/>
              </w:rPr>
              <w:t>1934  during  the  preceding  12  months  (or</w:t>
            </w: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for  such shorter period that the</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Registrant</w:t>
            </w:r>
          </w:p>
        </w:tc>
        <w:tc>
          <w:tcPr>
            <w:tcW w:w="1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was</w:t>
            </w:r>
          </w:p>
        </w:tc>
        <w:tc>
          <w:tcPr>
            <w:tcW w:w="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required</w:t>
            </w: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to</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file</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such</w:t>
            </w:r>
          </w:p>
        </w:tc>
        <w:tc>
          <w:tcPr>
            <w:tcW w:w="32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reports), and (2) has been subject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such</w:t>
            </w:r>
          </w:p>
        </w:tc>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w w:val="92"/>
              </w:rPr>
              <w:t>filing</w:t>
            </w:r>
          </w:p>
        </w:tc>
        <w:tc>
          <w:tcPr>
            <w:tcW w:w="13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requirements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for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6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past</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days.</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Yes</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96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77"/>
              </w:rPr>
              <w:t>No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9"/>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1,732,198,880</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7040" w:type="dxa"/>
            <w:vAlign w:val="bottom"/>
            <w:gridSpan w:val="14"/>
          </w:tcPr>
          <w:p>
            <w:pPr>
              <w:jc w:val="center"/>
              <w:ind w:left="10"/>
              <w:spacing w:after="0"/>
              <w:rPr>
                <w:sz w:val="20"/>
                <w:szCs w:val="20"/>
                <w:color w:val="auto"/>
              </w:rPr>
            </w:pPr>
            <w:r>
              <w:rPr>
                <w:rFonts w:ascii="Courier New" w:cs="Courier New" w:eastAsia="Courier New" w:hAnsi="Courier New"/>
                <w:sz w:val="15"/>
                <w:szCs w:val="15"/>
                <w:color w:val="auto"/>
                <w:w w:val="98"/>
              </w:rPr>
              <w:t>-----------------------------------------------------------------------------</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6520" w:type="dxa"/>
            <w:vAlign w:val="bottom"/>
            <w:gridSpan w:val="13"/>
          </w:tcPr>
          <w:p>
            <w:pPr>
              <w:jc w:val="center"/>
              <w:ind w:right="367"/>
              <w:spacing w:after="0"/>
              <w:rPr>
                <w:sz w:val="20"/>
                <w:szCs w:val="20"/>
                <w:color w:val="auto"/>
              </w:rPr>
            </w:pPr>
            <w:r>
              <w:rPr>
                <w:rFonts w:ascii="Courier New" w:cs="Courier New" w:eastAsia="Courier New" w:hAnsi="Courier New"/>
                <w:sz w:val="15"/>
                <w:szCs w:val="15"/>
                <w:color w:val="auto"/>
                <w:w w:val="98"/>
              </w:rPr>
              <w:t>Number of shares of Registrant's common stock outstanding as of</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4"/>
          </w:tcPr>
          <w:p>
            <w:pPr>
              <w:jc w:val="center"/>
              <w:ind w:right="547"/>
              <w:spacing w:after="0"/>
              <w:rPr>
                <w:sz w:val="20"/>
                <w:szCs w:val="20"/>
                <w:color w:val="auto"/>
              </w:rPr>
            </w:pPr>
            <w:r>
              <w:rPr>
                <w:rFonts w:ascii="Courier New" w:cs="Courier New" w:eastAsia="Courier New" w:hAnsi="Courier New"/>
                <w:sz w:val="15"/>
                <w:szCs w:val="15"/>
                <w:color w:val="auto"/>
                <w:w w:val="97"/>
              </w:rPr>
              <w:t>September 30, 2001</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164"/>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gridSpan w:val="6"/>
          </w:tcPr>
          <w:p>
            <w:pPr>
              <w:jc w:val="center"/>
              <w:ind w:left="287"/>
              <w:spacing w:after="0"/>
              <w:rPr>
                <w:sz w:val="20"/>
                <w:szCs w:val="20"/>
                <w:color w:val="auto"/>
              </w:rPr>
            </w:pPr>
            <w:r>
              <w:rPr>
                <w:rFonts w:ascii="Courier New" w:cs="Courier New" w:eastAsia="Courier New" w:hAnsi="Courier New"/>
                <w:sz w:val="15"/>
                <w:szCs w:val="15"/>
                <w:color w:val="auto"/>
                <w:w w:val="97"/>
              </w:rPr>
              <w:t>PART I. - FINANCIAL INFORMATION</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78"/>
        </w:trPr>
        <w:tc>
          <w:tcPr>
            <w:tcW w:w="52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rPr>
              <w:t>Financial</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Statements</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2720" w:type="dxa"/>
            <w:vAlign w:val="bottom"/>
            <w:gridSpan w:val="7"/>
          </w:tcPr>
          <w:p>
            <w:pPr>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848"/>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TEXAS INSTRUMENTS INCORPORATED AND SUBSIDIARIES</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80" w:type="dxa"/>
            <w:vAlign w:val="bottom"/>
            <w:gridSpan w:val="6"/>
          </w:tcPr>
          <w:p>
            <w:pPr>
              <w:jc w:val="right"/>
              <w:ind w:right="547"/>
              <w:spacing w:after="0"/>
              <w:rPr>
                <w:sz w:val="20"/>
                <w:szCs w:val="20"/>
                <w:color w:val="auto"/>
              </w:rPr>
            </w:pPr>
            <w:r>
              <w:rPr>
                <w:rFonts w:ascii="Courier New" w:cs="Courier New" w:eastAsia="Courier New" w:hAnsi="Courier New"/>
                <w:sz w:val="15"/>
                <w:szCs w:val="15"/>
                <w:color w:val="auto"/>
              </w:rPr>
              <w:t>Consolidated Financial Statements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20" w:type="dxa"/>
            <w:vAlign w:val="bottom"/>
            <w:gridSpan w:val="8"/>
          </w:tcPr>
          <w:p>
            <w:pPr>
              <w:jc w:val="right"/>
              <w:ind w:right="547"/>
              <w:spacing w:after="0"/>
              <w:rPr>
                <w:sz w:val="20"/>
                <w:szCs w:val="20"/>
                <w:color w:val="auto"/>
              </w:rPr>
            </w:pPr>
            <w:r>
              <w:rPr>
                <w:rFonts w:ascii="Courier New" w:cs="Courier New" w:eastAsia="Courier New" w:hAnsi="Courier New"/>
                <w:sz w:val="15"/>
                <w:szCs w:val="15"/>
                <w:color w:val="auto"/>
                <w:w w:val="97"/>
              </w:rPr>
              <w:t>(In millions of dollars, except per-share amounts.)</w:t>
            </w: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9"/>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For Three Months Ended</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Nine Months Ended</w:t>
            </w: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w:t>
            </w:r>
          </w:p>
        </w:tc>
        <w:tc>
          <w:tcPr>
            <w:tcW w:w="8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Sept. 30</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Sept. 30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Sept. 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Sept. 30</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Operations</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040" w:type="dxa"/>
            <w:vAlign w:val="bottom"/>
            <w:gridSpan w:val="3"/>
          </w:tcPr>
          <w:p>
            <w:pPr>
              <w:spacing w:after="0"/>
              <w:rPr>
                <w:sz w:val="20"/>
                <w:szCs w:val="20"/>
                <w:color w:val="auto"/>
              </w:rPr>
            </w:pPr>
            <w:r>
              <w:rPr>
                <w:rFonts w:ascii="Courier New" w:cs="Courier New" w:eastAsia="Courier New" w:hAnsi="Courier New"/>
                <w:sz w:val="15"/>
                <w:szCs w:val="15"/>
                <w:color w:val="auto"/>
                <w:w w:val="94"/>
              </w:rPr>
              <w:t>Net revenues</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 .</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   $</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1,849</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  3,149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6,414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8,843</w:t>
            </w:r>
          </w:p>
        </w:tc>
      </w:tr>
      <w:tr>
        <w:trPr>
          <w:trHeight w:val="170"/>
        </w:trPr>
        <w:tc>
          <w:tcPr>
            <w:tcW w:w="2720" w:type="dxa"/>
            <w:vAlign w:val="bottom"/>
            <w:gridSpan w:val="7"/>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840" w:type="dxa"/>
            <w:vAlign w:val="bottom"/>
            <w:gridSpan w:val="5"/>
          </w:tcPr>
          <w:p>
            <w:pPr>
              <w:ind w:left="160"/>
              <w:spacing w:after="0"/>
              <w:rPr>
                <w:sz w:val="20"/>
                <w:szCs w:val="20"/>
                <w:color w:val="auto"/>
              </w:rPr>
            </w:pPr>
            <w:r>
              <w:rPr>
                <w:rFonts w:ascii="Courier New" w:cs="Courier New" w:eastAsia="Courier New" w:hAnsi="Courier New"/>
                <w:sz w:val="15"/>
                <w:szCs w:val="15"/>
                <w:color w:val="auto"/>
                <w:w w:val="97"/>
              </w:rPr>
              <w:t>Cost of revenues.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 .</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1,424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4,544</w:t>
            </w:r>
          </w:p>
        </w:tc>
      </w:tr>
      <w:tr>
        <w:trPr>
          <w:trHeight w:val="170"/>
        </w:trPr>
        <w:tc>
          <w:tcPr>
            <w:tcW w:w="2380" w:type="dxa"/>
            <w:vAlign w:val="bottom"/>
            <w:gridSpan w:val="6"/>
          </w:tcPr>
          <w:p>
            <w:pPr>
              <w:ind w:left="160"/>
              <w:spacing w:after="0"/>
              <w:rPr>
                <w:sz w:val="20"/>
                <w:szCs w:val="20"/>
                <w:color w:val="auto"/>
              </w:rPr>
            </w:pPr>
            <w:r>
              <w:rPr>
                <w:rFonts w:ascii="Courier New" w:cs="Courier New" w:eastAsia="Courier New" w:hAnsi="Courier New"/>
                <w:sz w:val="15"/>
                <w:szCs w:val="15"/>
                <w:color w:val="auto"/>
                <w:w w:val="97"/>
              </w:rPr>
              <w:t>Research and development.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 .</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1,306</w:t>
            </w:r>
          </w:p>
        </w:tc>
      </w:tr>
      <w:tr>
        <w:trPr>
          <w:trHeight w:val="170"/>
        </w:trPr>
        <w:tc>
          <w:tcPr>
            <w:tcW w:w="3780" w:type="dxa"/>
            <w:vAlign w:val="bottom"/>
            <w:gridSpan w:val="9"/>
          </w:tcPr>
          <w:p>
            <w:pPr>
              <w:ind w:left="160"/>
              <w:spacing w:after="0"/>
              <w:rPr>
                <w:sz w:val="20"/>
                <w:szCs w:val="20"/>
                <w:color w:val="auto"/>
              </w:rPr>
            </w:pPr>
            <w:r>
              <w:rPr>
                <w:rFonts w:ascii="Courier New" w:cs="Courier New" w:eastAsia="Courier New" w:hAnsi="Courier New"/>
                <w:sz w:val="15"/>
                <w:szCs w:val="15"/>
                <w:color w:val="auto"/>
                <w:w w:val="97"/>
              </w:rPr>
              <w:t>Selling, general and administrative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 .</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312</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1,268</w:t>
            </w: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 .</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2,094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2,623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7,118</w:t>
            </w: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gridSpan w:val="7"/>
          </w:tcPr>
          <w:p>
            <w:pPr>
              <w:spacing w:after="0"/>
              <w:rPr>
                <w:sz w:val="20"/>
                <w:szCs w:val="20"/>
                <w:color w:val="auto"/>
              </w:rPr>
            </w:pPr>
            <w:r>
              <w:rPr>
                <w:rFonts w:ascii="Courier New" w:cs="Courier New" w:eastAsia="Courier New" w:hAnsi="Courier New"/>
                <w:sz w:val="15"/>
                <w:szCs w:val="15"/>
                <w:color w:val="auto"/>
                <w:w w:val="96"/>
              </w:rPr>
              <w:t>Profit (loss) from operations .</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 .</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1,725</w:t>
            </w:r>
          </w:p>
        </w:tc>
      </w:tr>
      <w:tr>
        <w:trPr>
          <w:trHeight w:val="170"/>
        </w:trPr>
        <w:tc>
          <w:tcPr>
            <w:tcW w:w="2380" w:type="dxa"/>
            <w:vAlign w:val="bottom"/>
            <w:gridSpan w:val="6"/>
          </w:tcPr>
          <w:p>
            <w:pPr>
              <w:spacing w:after="0"/>
              <w:rPr>
                <w:sz w:val="20"/>
                <w:szCs w:val="20"/>
                <w:color w:val="auto"/>
              </w:rPr>
            </w:pPr>
            <w:r>
              <w:rPr>
                <w:rFonts w:ascii="Courier New" w:cs="Courier New" w:eastAsia="Courier New" w:hAnsi="Courier New"/>
                <w:sz w:val="15"/>
                <w:szCs w:val="15"/>
                <w:color w:val="auto"/>
                <w:w w:val="97"/>
              </w:rPr>
              <w:t>Other income (expense) net.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 .</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2,039</w:t>
            </w:r>
          </w:p>
        </w:tc>
      </w:tr>
      <w:tr>
        <w:trPr>
          <w:trHeight w:val="170"/>
        </w:trPr>
        <w:tc>
          <w:tcPr>
            <w:tcW w:w="1480" w:type="dxa"/>
            <w:vAlign w:val="bottom"/>
            <w:gridSpan w:val="4"/>
          </w:tcPr>
          <w:p>
            <w:pPr>
              <w:spacing w:after="0"/>
              <w:rPr>
                <w:sz w:val="20"/>
                <w:szCs w:val="20"/>
                <w:color w:val="auto"/>
              </w:rPr>
            </w:pPr>
            <w:r>
              <w:rPr>
                <w:rFonts w:ascii="Courier New" w:cs="Courier New" w:eastAsia="Courier New" w:hAnsi="Courier New"/>
                <w:sz w:val="15"/>
                <w:szCs w:val="15"/>
                <w:color w:val="auto"/>
                <w:w w:val="95"/>
              </w:rPr>
              <w:t>Interest on loans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 .</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w:t>
            </w: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gridSpan w:val="11"/>
          </w:tcPr>
          <w:p>
            <w:pPr>
              <w:spacing w:after="0"/>
              <w:rPr>
                <w:sz w:val="20"/>
                <w:szCs w:val="20"/>
                <w:color w:val="auto"/>
              </w:rPr>
            </w:pPr>
            <w:r>
              <w:rPr>
                <w:rFonts w:ascii="Courier New" w:cs="Courier New" w:eastAsia="Courier New" w:hAnsi="Courier New"/>
                <w:sz w:val="15"/>
                <w:szCs w:val="15"/>
                <w:color w:val="auto"/>
              </w:rPr>
              <w:t>Income (loss) before provision for income taxes and</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780" w:type="dxa"/>
            <w:vAlign w:val="bottom"/>
            <w:gridSpan w:val="9"/>
          </w:tcPr>
          <w:p>
            <w:pPr>
              <w:ind w:left="160"/>
              <w:spacing w:after="0"/>
              <w:rPr>
                <w:sz w:val="20"/>
                <w:szCs w:val="20"/>
                <w:color w:val="auto"/>
              </w:rPr>
            </w:pPr>
            <w:r>
              <w:rPr>
                <w:rFonts w:ascii="Courier New" w:cs="Courier New" w:eastAsia="Courier New" w:hAnsi="Courier New"/>
                <w:sz w:val="15"/>
                <w:szCs w:val="15"/>
                <w:color w:val="auto"/>
                <w:w w:val="97"/>
              </w:rPr>
              <w:t>cumulative effect of an accounting change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 .</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3,706</w:t>
            </w:r>
          </w:p>
        </w:tc>
      </w:tr>
      <w:tr>
        <w:trPr>
          <w:trHeight w:val="170"/>
        </w:trPr>
        <w:tc>
          <w:tcPr>
            <w:tcW w:w="3160" w:type="dxa"/>
            <w:vAlign w:val="bottom"/>
            <w:gridSpan w:val="8"/>
          </w:tcPr>
          <w:p>
            <w:pPr>
              <w:spacing w:after="0"/>
              <w:rPr>
                <w:sz w:val="20"/>
                <w:szCs w:val="20"/>
                <w:color w:val="auto"/>
              </w:rPr>
            </w:pPr>
            <w:r>
              <w:rPr>
                <w:rFonts w:ascii="Courier New" w:cs="Courier New" w:eastAsia="Courier New" w:hAnsi="Courier New"/>
                <w:sz w:val="15"/>
                <w:szCs w:val="15"/>
                <w:color w:val="auto"/>
                <w:w w:val="96"/>
              </w:rPr>
              <w:t>Provision (benefit) for income taxes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 .</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1,284</w:t>
            </w:r>
          </w:p>
        </w:tc>
      </w:tr>
      <w:tr>
        <w:trPr>
          <w:trHeight w:val="170"/>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47" w:orient="portrait"/>
          <w:cols w:equalWidth="0" w:num="1">
            <w:col w:w="10219"/>
          </w:cols>
          <w:pgMar w:left="240" w:top="565"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 an accounting change. .</w:t>
            </w:r>
          </w:p>
        </w:tc>
        <w:tc>
          <w:tcPr>
            <w:tcW w:w="44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(117)</w:t>
            </w:r>
          </w:p>
        </w:tc>
        <w:tc>
          <w:tcPr>
            <w:tcW w:w="3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676</w:t>
            </w:r>
          </w:p>
        </w:tc>
        <w:tc>
          <w:tcPr>
            <w:tcW w:w="360" w:type="dxa"/>
            <w:vAlign w:val="bottom"/>
          </w:tcPr>
          <w:p>
            <w:pPr>
              <w:spacing w:after="0"/>
              <w:rPr>
                <w:sz w:val="14"/>
                <w:szCs w:val="1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w:t>
            </w:r>
          </w:p>
        </w:tc>
        <w:tc>
          <w:tcPr>
            <w:tcW w:w="3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2,422</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Cumulative effect of an accounting change . . . . . . . . . . . .</w:t>
            </w:r>
          </w:p>
        </w:tc>
        <w:tc>
          <w:tcPr>
            <w:tcW w:w="44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0"/>
        </w:trPr>
        <w:tc>
          <w:tcPr>
            <w:tcW w:w="5900" w:type="dxa"/>
            <w:vAlign w:val="bottom"/>
          </w:tcPr>
          <w:p>
            <w:pPr>
              <w:spacing w:after="0"/>
              <w:rPr>
                <w:sz w:val="14"/>
                <w:szCs w:val="14"/>
                <w:color w:val="auto"/>
              </w:rPr>
            </w:pPr>
          </w:p>
        </w:tc>
        <w:tc>
          <w:tcPr>
            <w:tcW w:w="10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income (loss). . . . . . . . . . . . . . . . . . . . . . . .</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(117)</w:t>
            </w:r>
          </w:p>
        </w:tc>
        <w:tc>
          <w:tcPr>
            <w:tcW w:w="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676</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2,393</w:t>
            </w:r>
          </w:p>
        </w:tc>
      </w:tr>
      <w:tr>
        <w:trPr>
          <w:trHeight w:val="170"/>
        </w:trPr>
        <w:tc>
          <w:tcPr>
            <w:tcW w:w="5900" w:type="dxa"/>
            <w:vAlign w:val="bottom"/>
          </w:tcPr>
          <w:p>
            <w:pPr>
              <w:spacing w:after="0"/>
              <w:rPr>
                <w:sz w:val="14"/>
                <w:szCs w:val="14"/>
                <w:color w:val="auto"/>
              </w:rPr>
            </w:pPr>
          </w:p>
        </w:tc>
        <w:tc>
          <w:tcPr>
            <w:tcW w:w="10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Income (loss) before cumulative effect of an accounting change.</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(.07)</w:t>
            </w:r>
          </w:p>
        </w:tc>
        <w:tc>
          <w:tcPr>
            <w:tcW w:w="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w:t>
            </w:r>
          </w:p>
        </w:tc>
      </w:tr>
      <w:tr>
        <w:trPr>
          <w:trHeight w:val="170"/>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an accounting change . . . . . . . . . . .</w:t>
            </w:r>
          </w:p>
        </w:tc>
        <w:tc>
          <w:tcPr>
            <w:tcW w:w="44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0"/>
        </w:trPr>
        <w:tc>
          <w:tcPr>
            <w:tcW w:w="5900" w:type="dxa"/>
            <w:vAlign w:val="bottom"/>
          </w:tcPr>
          <w:p>
            <w:pPr>
              <w:spacing w:after="0"/>
              <w:rPr>
                <w:sz w:val="14"/>
                <w:szCs w:val="14"/>
                <w:color w:val="auto"/>
              </w:rPr>
            </w:pPr>
          </w:p>
        </w:tc>
        <w:tc>
          <w:tcPr>
            <w:tcW w:w="10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 . . . . . . . . . . . . . . . . . . . . . .</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(.07)</w:t>
            </w:r>
          </w:p>
        </w:tc>
        <w:tc>
          <w:tcPr>
            <w:tcW w:w="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w:t>
            </w:r>
          </w:p>
        </w:tc>
      </w:tr>
      <w:tr>
        <w:trPr>
          <w:trHeight w:val="170"/>
        </w:trPr>
        <w:tc>
          <w:tcPr>
            <w:tcW w:w="5900" w:type="dxa"/>
            <w:vAlign w:val="bottom"/>
          </w:tcPr>
          <w:p>
            <w:pPr>
              <w:spacing w:after="0"/>
              <w:rPr>
                <w:sz w:val="14"/>
                <w:szCs w:val="14"/>
                <w:color w:val="auto"/>
              </w:rPr>
            </w:pPr>
          </w:p>
        </w:tc>
        <w:tc>
          <w:tcPr>
            <w:tcW w:w="10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Income (loss) before cumulative effect of an accounting change.</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(.07)</w:t>
            </w:r>
          </w:p>
        </w:tc>
        <w:tc>
          <w:tcPr>
            <w:tcW w:w="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w:t>
            </w:r>
          </w:p>
        </w:tc>
      </w:tr>
      <w:tr>
        <w:trPr>
          <w:trHeight w:val="170"/>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an accounting change . . . . . . . . . . .</w:t>
            </w:r>
          </w:p>
        </w:tc>
        <w:tc>
          <w:tcPr>
            <w:tcW w:w="44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0"/>
        </w:trPr>
        <w:tc>
          <w:tcPr>
            <w:tcW w:w="5900" w:type="dxa"/>
            <w:vAlign w:val="bottom"/>
          </w:tcPr>
          <w:p>
            <w:pPr>
              <w:spacing w:after="0"/>
              <w:rPr>
                <w:sz w:val="14"/>
                <w:szCs w:val="14"/>
                <w:color w:val="auto"/>
              </w:rPr>
            </w:pPr>
          </w:p>
        </w:tc>
        <w:tc>
          <w:tcPr>
            <w:tcW w:w="10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 . . . . . . . . . . . . . . . . . . . . . .</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(.07)</w:t>
            </w:r>
          </w:p>
        </w:tc>
        <w:tc>
          <w:tcPr>
            <w:tcW w:w="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w:t>
            </w:r>
          </w:p>
        </w:tc>
      </w:tr>
      <w:tr>
        <w:trPr>
          <w:trHeight w:val="170"/>
        </w:trPr>
        <w:tc>
          <w:tcPr>
            <w:tcW w:w="5900" w:type="dxa"/>
            <w:vAlign w:val="bottom"/>
          </w:tcPr>
          <w:p>
            <w:pPr>
              <w:spacing w:after="0"/>
              <w:rPr>
                <w:sz w:val="14"/>
                <w:szCs w:val="14"/>
                <w:color w:val="auto"/>
              </w:rPr>
            </w:pPr>
          </w:p>
        </w:tc>
        <w:tc>
          <w:tcPr>
            <w:tcW w:w="10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900" w:type="dxa"/>
            <w:vAlign w:val="bottom"/>
          </w:tcPr>
          <w:p>
            <w:pPr>
              <w:spacing w:after="0"/>
              <w:rPr>
                <w:sz w:val="20"/>
                <w:szCs w:val="20"/>
                <w:color w:val="auto"/>
              </w:rPr>
            </w:pPr>
            <w:r>
              <w:rPr>
                <w:rFonts w:ascii="Courier New" w:cs="Courier New" w:eastAsia="Courier New" w:hAnsi="Courier New"/>
                <w:sz w:val="15"/>
                <w:szCs w:val="15"/>
                <w:color w:val="auto"/>
                <w:w w:val="98"/>
              </w:rPr>
              <w:t>Cash dividends declared per share of common stock. . . . . . . . .</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.021</w:t>
            </w:r>
          </w:p>
        </w:tc>
        <w:tc>
          <w:tcPr>
            <w:tcW w:w="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.021</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.064</w:t>
            </w:r>
          </w:p>
        </w:tc>
      </w:tr>
      <w:tr>
        <w:trPr>
          <w:trHeight w:val="509"/>
        </w:trPr>
        <w:tc>
          <w:tcPr>
            <w:tcW w:w="5900" w:type="dxa"/>
            <w:vAlign w:val="bottom"/>
          </w:tcPr>
          <w:p>
            <w:pPr>
              <w:ind w:left="5200"/>
              <w:spacing w:after="0"/>
              <w:rPr>
                <w:sz w:val="20"/>
                <w:szCs w:val="20"/>
                <w:color w:val="auto"/>
              </w:rPr>
            </w:pPr>
            <w:r>
              <w:rPr>
                <w:rFonts w:ascii="Courier New" w:cs="Courier New" w:eastAsia="Courier New" w:hAnsi="Courier New"/>
                <w:sz w:val="15"/>
                <w:szCs w:val="15"/>
                <w:color w:val="auto"/>
              </w:rPr>
              <w:t>2</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 w:name="page3"/>
    <w:bookmarkEnd w:id="2"/>
    <w:p>
      <w:pPr>
        <w:jc w:val="center"/>
        <w:ind w:right="2399"/>
        <w:spacing w:after="0"/>
        <w:rPr>
          <w:sz w:val="20"/>
          <w:szCs w:val="20"/>
          <w:color w:val="auto"/>
        </w:rPr>
      </w:pPr>
      <w:r>
        <w:rPr>
          <w:rFonts w:ascii="Courier New" w:cs="Courier New" w:eastAsia="Courier New" w:hAnsi="Courier New"/>
          <w:sz w:val="15"/>
          <w:szCs w:val="15"/>
          <w:color w:val="auto"/>
        </w:rPr>
        <w:t>TEXAS INSTRUMENTS INCORPORATED AND SUBSIDIARIES</w:t>
      </w:r>
    </w:p>
    <w:p>
      <w:pPr>
        <w:jc w:val="center"/>
        <w:ind w:right="2399"/>
        <w:spacing w:after="0"/>
        <w:rPr>
          <w:sz w:val="20"/>
          <w:szCs w:val="20"/>
          <w:color w:val="auto"/>
        </w:rPr>
      </w:pPr>
      <w:r>
        <w:rPr>
          <w:rFonts w:ascii="Courier New" w:cs="Courier New" w:eastAsia="Courier New" w:hAnsi="Courier New"/>
          <w:sz w:val="15"/>
          <w:szCs w:val="15"/>
          <w:color w:val="auto"/>
        </w:rPr>
        <w:t>Consolidated Financial Statements</w:t>
      </w:r>
    </w:p>
    <w:p>
      <w:pPr>
        <w:jc w:val="center"/>
        <w:ind w:right="2399"/>
        <w:spacing w:after="0"/>
        <w:rPr>
          <w:sz w:val="20"/>
          <w:szCs w:val="20"/>
          <w:color w:val="auto"/>
        </w:rPr>
      </w:pPr>
      <w:r>
        <w:rPr>
          <w:rFonts w:ascii="Courier New" w:cs="Courier New" w:eastAsia="Courier New" w:hAnsi="Courier New"/>
          <w:sz w:val="15"/>
          <w:szCs w:val="15"/>
          <w:color w:val="auto"/>
        </w:rPr>
        <w:t>(In 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Sept. 30</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Dec.</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300" w:type="dxa"/>
            <w:vAlign w:val="bottom"/>
          </w:tcPr>
          <w:p>
            <w:pPr>
              <w:spacing w:after="0"/>
              <w:rPr>
                <w:sz w:val="14"/>
                <w:szCs w:val="14"/>
                <w:color w:val="auto"/>
              </w:rPr>
            </w:pP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2001</w:t>
            </w:r>
          </w:p>
        </w:tc>
        <w:tc>
          <w:tcPr>
            <w:tcW w:w="8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 . . . . . . . . . . . . . . . . . . .</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387</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745</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w w:val="99"/>
              </w:rPr>
              <w:t>Short-term investments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2,605</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3,258</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less allowance for losses of</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 million in 2001 and $54 million in 2000.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1,449</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2,204</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Inventories:</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Raw materials. . . .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245</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Work in process. . .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530</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681</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Finished goods . . .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208</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307</w:t>
            </w:r>
          </w:p>
        </w:tc>
      </w:tr>
      <w:tr>
        <w:trPr>
          <w:trHeight w:val="170"/>
        </w:trPr>
        <w:tc>
          <w:tcPr>
            <w:tcW w:w="594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Inventories. . . .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900</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1,233</w:t>
            </w:r>
          </w:p>
        </w:tc>
      </w:tr>
      <w:tr>
        <w:trPr>
          <w:trHeight w:val="170"/>
        </w:trPr>
        <w:tc>
          <w:tcPr>
            <w:tcW w:w="594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Deferred income taxes.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383</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595</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Prepaid expenses and other current assets.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380</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w:t>
            </w:r>
          </w:p>
        </w:tc>
      </w:tr>
      <w:tr>
        <w:trPr>
          <w:trHeight w:val="170"/>
        </w:trPr>
        <w:tc>
          <w:tcPr>
            <w:tcW w:w="594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current assets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6,104</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8,115</w:t>
            </w:r>
          </w:p>
        </w:tc>
      </w:tr>
      <w:tr>
        <w:trPr>
          <w:trHeight w:val="170"/>
        </w:trPr>
        <w:tc>
          <w:tcPr>
            <w:tcW w:w="594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Property, plant and equipment at cost.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9,575</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9,099</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Less accumulated depreciation. . . . . . . . . . . . . . . . . .</w:t>
            </w:r>
          </w:p>
        </w:tc>
        <w:tc>
          <w:tcPr>
            <w:tcW w:w="3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(3,745)</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(3,652)</w:t>
            </w:r>
          </w:p>
        </w:tc>
      </w:tr>
      <w:tr>
        <w:trPr>
          <w:trHeight w:val="170"/>
        </w:trPr>
        <w:tc>
          <w:tcPr>
            <w:tcW w:w="594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Property, plant and equipment (net).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5,830</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5,447</w:t>
            </w:r>
          </w:p>
        </w:tc>
      </w:tr>
      <w:tr>
        <w:trPr>
          <w:trHeight w:val="170"/>
        </w:trPr>
        <w:tc>
          <w:tcPr>
            <w:tcW w:w="594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Investments. . . . . . .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1,392</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2,400</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Goodwill and other acquisition-related intangibles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792</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961</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Deferred income taxes. .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462</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Other assets . . . . . .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664</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691</w:t>
            </w:r>
          </w:p>
        </w:tc>
      </w:tr>
      <w:tr>
        <w:trPr>
          <w:trHeight w:val="170"/>
        </w:trPr>
        <w:tc>
          <w:tcPr>
            <w:tcW w:w="594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Total assets . . . . . . . . . . . . . . . . . . . . . . . . . . .</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$ 15,244</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$ 17,720</w:t>
            </w:r>
          </w:p>
        </w:tc>
      </w:tr>
      <w:tr>
        <w:trPr>
          <w:trHeight w:val="170"/>
        </w:trPr>
        <w:tc>
          <w:tcPr>
            <w:tcW w:w="594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Loans payable and current portion long-term debt . . . . . . . .</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Accounts payable and accrued expenses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1,367</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1,921</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Income taxes payable .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323</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Accrued retirement and profit sharing contributions.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421</w:t>
            </w:r>
          </w:p>
        </w:tc>
      </w:tr>
      <w:tr>
        <w:trPr>
          <w:trHeight w:val="170"/>
        </w:trPr>
        <w:tc>
          <w:tcPr>
            <w:tcW w:w="594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current liabilities.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1,621</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2,813</w:t>
            </w:r>
          </w:p>
        </w:tc>
      </w:tr>
      <w:tr>
        <w:trPr>
          <w:trHeight w:val="170"/>
        </w:trPr>
        <w:tc>
          <w:tcPr>
            <w:tcW w:w="594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Long-term debt . . . . .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1,222</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1,216</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Accrued retirement costs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416</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378</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Deferred income taxes. .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469</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Deferred credits and other liabilities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256</w:t>
            </w:r>
          </w:p>
        </w:tc>
      </w:tr>
      <w:tr>
        <w:trPr>
          <w:trHeight w:val="339"/>
        </w:trPr>
        <w:tc>
          <w:tcPr>
            <w:tcW w:w="5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$25 par value. Authorized - 10,000,000 shares.</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Participating cumulative preferred. None issued.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Common stock, $1 par value. Authorized -  2,400,000,000 shares.</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Shares issued: 2001 - 1,740,329,349; 2000 - 1,733,237,248.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1,740</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1,733</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Paid-in capital. . . .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1,287</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1,185</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Retained earnings. . . . . . .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9,128</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9,323</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Less treasury common stock at cost.</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Shares: 2001 - 8,130,469; 2000 - 1,184,880 . . . . . . . . . .</w:t>
            </w:r>
          </w:p>
        </w:tc>
        <w:tc>
          <w:tcPr>
            <w:tcW w:w="3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(320)</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Accumulated other comprehensive income (loss). . . . . . . . . .</w:t>
            </w:r>
          </w:p>
        </w:tc>
        <w:tc>
          <w:tcPr>
            <w:tcW w:w="3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(190)</w:t>
            </w:r>
          </w:p>
        </w:tc>
        <w:tc>
          <w:tcPr>
            <w:tcW w:w="44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574</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Deferred compensation. . . . . . . . . . . . . . . . . . . . . .</w:t>
            </w:r>
          </w:p>
        </w:tc>
        <w:tc>
          <w:tcPr>
            <w:tcW w:w="3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(134)</w:t>
            </w:r>
          </w:p>
        </w:tc>
      </w:tr>
      <w:tr>
        <w:trPr>
          <w:trHeight w:val="170"/>
        </w:trPr>
        <w:tc>
          <w:tcPr>
            <w:tcW w:w="594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stockholders' equity . . . . . . . . . . . . . . . . .</w:t>
            </w:r>
          </w:p>
        </w:tc>
        <w:tc>
          <w:tcPr>
            <w:tcW w:w="30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11,548</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12,588</w:t>
            </w:r>
          </w:p>
        </w:tc>
      </w:tr>
      <w:tr>
        <w:trPr>
          <w:trHeight w:val="170"/>
        </w:trPr>
        <w:tc>
          <w:tcPr>
            <w:tcW w:w="594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Total liabilities and stockholders' equity . . . . . . . . . . . .</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$ 15,244</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$ 17,720</w:t>
            </w:r>
          </w:p>
        </w:tc>
      </w:tr>
      <w:tr>
        <w:trPr>
          <w:trHeight w:val="170"/>
        </w:trPr>
        <w:tc>
          <w:tcPr>
            <w:tcW w:w="594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594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19"/>
          </w:cols>
          <w:pgMar w:left="240" w:top="1300" w:right="1440" w:bottom="1440" w:gutter="0" w:footer="0" w:header="0"/>
        </w:sectPr>
      </w:pPr>
    </w:p>
    <w:bookmarkStart w:id="3" w:name="page4"/>
    <w:bookmarkEnd w:id="3"/>
    <w:p>
      <w:pPr>
        <w:jc w:val="center"/>
        <w:ind w:right="2039"/>
        <w:spacing w:after="0"/>
        <w:rPr>
          <w:sz w:val="20"/>
          <w:szCs w:val="20"/>
          <w:color w:val="auto"/>
        </w:rPr>
      </w:pPr>
      <w:r>
        <w:rPr>
          <w:rFonts w:ascii="Courier New" w:cs="Courier New" w:eastAsia="Courier New" w:hAnsi="Courier New"/>
          <w:sz w:val="15"/>
          <w:szCs w:val="15"/>
          <w:color w:val="auto"/>
        </w:rPr>
        <w:t>TEXAS INSTRUMENTS INCORPORATED AND SUBSIDIARIES</w:t>
      </w:r>
    </w:p>
    <w:p>
      <w:pPr>
        <w:jc w:val="center"/>
        <w:ind w:right="2039"/>
        <w:spacing w:after="0"/>
        <w:rPr>
          <w:sz w:val="20"/>
          <w:szCs w:val="20"/>
          <w:color w:val="auto"/>
        </w:rPr>
      </w:pPr>
      <w:r>
        <w:rPr>
          <w:rFonts w:ascii="Courier New" w:cs="Courier New" w:eastAsia="Courier New" w:hAnsi="Courier New"/>
          <w:sz w:val="15"/>
          <w:szCs w:val="15"/>
          <w:color w:val="auto"/>
        </w:rPr>
        <w:t>Consolidated Financial Statements</w:t>
      </w:r>
    </w:p>
    <w:p>
      <w:pPr>
        <w:jc w:val="center"/>
        <w:ind w:right="2039"/>
        <w:spacing w:after="0"/>
        <w:rPr>
          <w:sz w:val="20"/>
          <w:szCs w:val="20"/>
          <w:color w:val="auto"/>
        </w:rPr>
      </w:pPr>
      <w:r>
        <w:rPr>
          <w:rFonts w:ascii="Courier New" w:cs="Courier New" w:eastAsia="Courier New" w:hAnsi="Courier New"/>
          <w:sz w:val="15"/>
          <w:szCs w:val="15"/>
          <w:color w:val="auto"/>
        </w:rPr>
        <w:t>(In millions of dollars, except per-share amounts.)</w:t>
      </w:r>
    </w:p>
    <w:p>
      <w:pPr>
        <w:spacing w:after="0" w:line="338" w:lineRule="exact"/>
        <w:rPr>
          <w:sz w:val="20"/>
          <w:szCs w:val="20"/>
          <w:color w:val="auto"/>
        </w:rPr>
      </w:pPr>
    </w:p>
    <w:p>
      <w:pPr>
        <w:ind w:left="6160"/>
        <w:spacing w:after="0"/>
        <w:rPr>
          <w:sz w:val="20"/>
          <w:szCs w:val="20"/>
          <w:color w:val="auto"/>
        </w:rPr>
      </w:pPr>
      <w:r>
        <w:rPr>
          <w:rFonts w:ascii="Courier New" w:cs="Courier New" w:eastAsia="Courier New" w:hAnsi="Courier New"/>
          <w:sz w:val="15"/>
          <w:szCs w:val="15"/>
          <w:color w:val="auto"/>
        </w:rPr>
        <w:t>For Nine Months Ended</w:t>
      </w:r>
    </w:p>
    <w:p>
      <w:pPr>
        <w:ind w:left="61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Sept. 30</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Sept. 30</w:t>
            </w:r>
          </w:p>
        </w:tc>
      </w:tr>
      <w:tr>
        <w:trPr>
          <w:trHeight w:val="170"/>
        </w:trPr>
        <w:tc>
          <w:tcPr>
            <w:tcW w:w="6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2001</w:t>
            </w:r>
          </w:p>
        </w:tc>
        <w:tc>
          <w:tcPr>
            <w:tcW w:w="26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1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w w:val="99"/>
              </w:rPr>
              <w:t>Income (loss) before cumulative effect of an accounting change.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2,422</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w w:val="99"/>
              </w:rPr>
              <w:t>Depreciation. . . . . . . . . . . . . . . . .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1,145</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869</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w w:val="99"/>
              </w:rPr>
              <w:t>Amortization of goodwill and other acquisition-related intangibles.</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w w:val="99"/>
              </w:rPr>
              <w:t>Purchased in-process research and development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w w:val="99"/>
              </w:rPr>
              <w:t>Deferred income taxes . . . . . . . . . . . .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currency exchange losses. . . . . . . . .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(Increase) decrease in working capital (excluding cash</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6160" w:type="dxa"/>
            <w:vAlign w:val="bottom"/>
          </w:tcPr>
          <w:p>
            <w:pPr>
              <w:ind w:left="340"/>
              <w:spacing w:after="0"/>
              <w:rPr>
                <w:sz w:val="20"/>
                <w:szCs w:val="20"/>
                <w:color w:val="auto"/>
              </w:rPr>
            </w:pPr>
            <w:r>
              <w:rPr>
                <w:rFonts w:ascii="Courier New" w:cs="Courier New" w:eastAsia="Courier New" w:hAnsi="Courier New"/>
                <w:sz w:val="15"/>
                <w:szCs w:val="15"/>
                <w:color w:val="auto"/>
              </w:rPr>
              <w:t>and cash equivalents, short-term investments, deferred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6160" w:type="dxa"/>
            <w:vAlign w:val="bottom"/>
          </w:tcPr>
          <w:p>
            <w:pPr>
              <w:ind w:left="340"/>
              <w:spacing w:after="0"/>
              <w:rPr>
                <w:sz w:val="20"/>
                <w:szCs w:val="20"/>
                <w:color w:val="auto"/>
              </w:rPr>
            </w:pPr>
            <w:r>
              <w:rPr>
                <w:rFonts w:ascii="Courier New" w:cs="Courier New" w:eastAsia="Courier New" w:hAnsi="Courier New"/>
                <w:sz w:val="15"/>
                <w:szCs w:val="15"/>
                <w:color w:val="auto"/>
              </w:rPr>
              <w:t>income taxes, and loans payable and current portion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6160" w:type="dxa"/>
            <w:vAlign w:val="bottom"/>
          </w:tcPr>
          <w:p>
            <w:pPr>
              <w:ind w:left="340"/>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Accounts receivable. . . . . . . . . . .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741</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(580)</w:t>
            </w:r>
          </w:p>
        </w:tc>
      </w:tr>
      <w:tr>
        <w:trPr>
          <w:trHeight w:val="170"/>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Inventories. . . . . . . . . . . . . . .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333</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r>
        <w:trPr>
          <w:trHeight w:val="170"/>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Prepaid expenses and other current assets.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302</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r>
      <w:tr>
        <w:trPr>
          <w:trHeight w:val="170"/>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Accounts payable and accrued expenses. . . . . . . . . . . . .</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(603)</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w:t>
            </w:r>
          </w:p>
        </w:tc>
      </w:tr>
      <w:tr>
        <w:trPr>
          <w:trHeight w:val="170"/>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Income taxes payable . . . . . . . . . . . . . . . . . . . . .</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450</w:t>
            </w:r>
          </w:p>
        </w:tc>
      </w:tr>
      <w:tr>
        <w:trPr>
          <w:trHeight w:val="170"/>
        </w:trPr>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Accrued retirement and profit sharing contributions. . . . . .</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(399)</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Gain on sale of Micron common stock. . . . .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(1,636)</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Increase in noncurrent accrued retirement costs. . . . . . . . . .</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Other. . . . . . . . . . . . . . . . . . . .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0"/>
        </w:trPr>
        <w:tc>
          <w:tcPr>
            <w:tcW w:w="61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 . .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1,039</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1,583</w:t>
            </w: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Additions to property, plant and equipment. . . . . . . . . . . .</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(1,554)</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(1,789)</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Purchases of short-term investments . . . . . . . . . . . . . . .</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(2,373)</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(4,304)</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Sales and maturities of short-term investments.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3,012</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2,730</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Purchases of noncurrent investments . . . . . . . . . . . . . . .</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(194)</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Sales of noncurrent investments . . . . . .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2,160</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Acquisition of businesses, net of cash acquired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61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 . . . . . . . . . . . . . . .</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(1,007)</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(1,320)</w:t>
            </w: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Additions to loans payable. . . . . . . . .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Payments on loans payable . . . . . . . . . . . . . . . . . . . .</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Additions to long-term debt . . . . . . . .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Payments on long-term debt. . . . . . . . . . . . . . . . . . . .</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Dividends paid on common stock. . . . . . . . . . . . . . . . . .</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(111)</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Sales and other common stock transactions .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Common stock repurchase program . . . . . . . . . . . . . . . . .</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0"/>
        </w:trPr>
        <w:tc>
          <w:tcPr>
            <w:tcW w:w="61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 . . . . . . . . . . . . . . .</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(438)</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 . .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0"/>
        </w:trPr>
        <w:tc>
          <w:tcPr>
            <w:tcW w:w="61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 . . . . . . .</w:t>
            </w:r>
          </w:p>
        </w:tc>
        <w:tc>
          <w:tcPr>
            <w:tcW w:w="2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(358)</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and cash equivalents, January 1. . . . . . . . . . . . . . . .</w:t>
            </w:r>
          </w:p>
        </w:tc>
        <w:tc>
          <w:tcPr>
            <w:tcW w:w="2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745</w:t>
            </w:r>
          </w:p>
        </w:tc>
        <w:tc>
          <w:tcPr>
            <w:tcW w:w="2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781</w:t>
            </w:r>
          </w:p>
        </w:tc>
      </w:tr>
      <w:tr>
        <w:trPr>
          <w:trHeight w:val="170"/>
        </w:trPr>
        <w:tc>
          <w:tcPr>
            <w:tcW w:w="61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and cash equivalents, September 30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387</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938</w:t>
            </w:r>
          </w:p>
        </w:tc>
      </w:tr>
      <w:tr>
        <w:trPr>
          <w:trHeight w:val="170"/>
        </w:trPr>
        <w:tc>
          <w:tcPr>
            <w:tcW w:w="61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160" w:type="dxa"/>
            <w:vAlign w:val="bottom"/>
          </w:tcPr>
          <w:p>
            <w:pPr>
              <w:ind w:left="4140"/>
              <w:spacing w:after="0"/>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1300" w:right="1440" w:bottom="1440" w:gutter="0" w:footer="0" w:header="0"/>
        </w:sectPr>
      </w:pPr>
    </w:p>
    <w:bookmarkStart w:id="4" w:name="page5"/>
    <w:bookmarkEnd w:id="4"/>
    <w:p>
      <w:pPr>
        <w:jc w:val="center"/>
        <w:ind w:right="3090"/>
        <w:spacing w:after="0"/>
        <w:rPr>
          <w:sz w:val="20"/>
          <w:szCs w:val="20"/>
          <w:color w:val="auto"/>
        </w:rPr>
      </w:pPr>
      <w:r>
        <w:rPr>
          <w:rFonts w:ascii="Courier New" w:cs="Courier New" w:eastAsia="Courier New" w:hAnsi="Courier New"/>
          <w:sz w:val="15"/>
          <w:szCs w:val="15"/>
          <w:color w:val="auto"/>
        </w:rPr>
        <w:t>TEXAS INSTRUMENTS INCORPORATED AND SUBSIDIARIES</w:t>
      </w:r>
    </w:p>
    <w:p>
      <w:pPr>
        <w:jc w:val="center"/>
        <w:ind w:right="3090"/>
        <w:spacing w:after="0"/>
        <w:rPr>
          <w:sz w:val="20"/>
          <w:szCs w:val="20"/>
          <w:color w:val="auto"/>
        </w:rPr>
      </w:pPr>
      <w:r>
        <w:rPr>
          <w:rFonts w:ascii="Courier New" w:cs="Courier New" w:eastAsia="Courier New" w:hAnsi="Courier New"/>
          <w:sz w:val="15"/>
          <w:szCs w:val="15"/>
          <w:color w:val="auto"/>
        </w:rPr>
        <w:t>Notes to Financial Statements</w:t>
      </w:r>
    </w:p>
    <w:p>
      <w:pPr>
        <w:spacing w:after="0" w:line="344" w:lineRule="exact"/>
        <w:rPr>
          <w:sz w:val="20"/>
          <w:szCs w:val="20"/>
          <w:color w:val="auto"/>
        </w:rPr>
      </w:pPr>
    </w:p>
    <w:p>
      <w:pPr>
        <w:jc w:val="both"/>
        <w:ind w:left="10" w:right="3179" w:hanging="10"/>
        <w:spacing w:after="0" w:line="237" w:lineRule="auto"/>
        <w:tabs>
          <w:tab w:leader="none" w:pos="36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earnings (loss) per common share are based on average common and dilutive potential common shares outstanding (1,733.5 and 1,791.9 million shares for the third quarters of 2001 and 2000, and 1,734.6 and</w:t>
      </w:r>
    </w:p>
    <w:p>
      <w:pPr>
        <w:spacing w:after="0" w:line="5"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1,788.3  million  shares  for  the  nine  months  ended  September  30, 2001 and</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2000). For the third quarter of 2001 and nine months ended September 30, 2001, dilutive potential common shares have been excluded due to the net loss for the periods.</w:t>
      </w:r>
    </w:p>
    <w:p>
      <w:pPr>
        <w:spacing w:after="0" w:line="175" w:lineRule="exact"/>
        <w:rPr>
          <w:sz w:val="20"/>
          <w:szCs w:val="20"/>
          <w:color w:val="auto"/>
        </w:rPr>
      </w:pPr>
    </w:p>
    <w:p>
      <w:pPr>
        <w:ind w:left="10" w:right="3439" w:hanging="10"/>
        <w:spacing w:after="0" w:line="237" w:lineRule="auto"/>
        <w:tabs>
          <w:tab w:leader="none" w:pos="36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September 30, 2001, in millions of dollars, $184 of the $290 aggregate severance cost obligations for the first, second and third quarter 2001 worldwide cost reduction and restructuring actions</w:t>
      </w:r>
    </w:p>
    <w:p>
      <w:pPr>
        <w:spacing w:after="0" w:line="5"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affecting  a  total  of  5724  employees  had  been  paid.  Loss  for  the third</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quarter of 2001 includes, in millions of dollars, net special charges of $37, of which $19 is severance cost for a worldwide cost reduction program affecting 285 employees and $16 relates to the restructuring</w:t>
      </w:r>
    </w:p>
    <w:tbl>
      <w:tblPr>
        <w:tblLayout w:type="fixed"/>
        <w:tblInd w:w="10" w:type="dxa"/>
        <w:tblCellMar>
          <w:top w:w="0" w:type="dxa"/>
          <w:left w:w="0" w:type="dxa"/>
          <w:bottom w:w="0" w:type="dxa"/>
          <w:right w:w="0" w:type="dxa"/>
        </w:tblCellMar>
      </w:tblPr>
      <w:tr>
        <w:trPr>
          <w:trHeight w:val="170"/>
        </w:trPr>
        <w:tc>
          <w:tcPr>
            <w:tcW w:w="3300" w:type="dxa"/>
            <w:vAlign w:val="bottom"/>
            <w:gridSpan w:val="3"/>
          </w:tcPr>
          <w:p>
            <w:pPr>
              <w:spacing w:after="0"/>
              <w:rPr>
                <w:sz w:val="20"/>
                <w:szCs w:val="20"/>
                <w:color w:val="auto"/>
              </w:rPr>
            </w:pPr>
            <w:r>
              <w:rPr>
                <w:rFonts w:ascii="Courier New" w:cs="Courier New" w:eastAsia="Courier New" w:hAnsi="Courier New"/>
                <w:sz w:val="15"/>
                <w:szCs w:val="15"/>
                <w:color w:val="auto"/>
                <w:w w:val="98"/>
              </w:rPr>
              <w:t>charges  for  the  closing  of  three</w:t>
            </w:r>
          </w:p>
        </w:tc>
        <w:tc>
          <w:tcPr>
            <w:tcW w:w="128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7"/>
              </w:rPr>
              <w:t>Semiconductor</w:t>
            </w:r>
          </w:p>
        </w:tc>
        <w:tc>
          <w:tcPr>
            <w:tcW w:w="1880" w:type="dxa"/>
            <w:vAlign w:val="bottom"/>
            <w:gridSpan w:val="4"/>
          </w:tcPr>
          <w:p>
            <w:pPr>
              <w:jc w:val="right"/>
              <w:ind w:right="47"/>
              <w:spacing w:after="0"/>
              <w:rPr>
                <w:sz w:val="20"/>
                <w:szCs w:val="20"/>
                <w:color w:val="auto"/>
              </w:rPr>
            </w:pPr>
            <w:r>
              <w:rPr>
                <w:rFonts w:ascii="Courier New" w:cs="Courier New" w:eastAsia="Courier New" w:hAnsi="Courier New"/>
                <w:sz w:val="15"/>
                <w:szCs w:val="15"/>
                <w:color w:val="auto"/>
              </w:rPr>
              <w:t>facilities  (Santa</w:t>
            </w:r>
          </w:p>
        </w:tc>
        <w:tc>
          <w:tcPr>
            <w:tcW w:w="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Cruz,</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California;  Merrimack,</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New</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Hampshire;</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Tustin,</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California).</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Of</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w:t>
            </w:r>
          </w:p>
        </w:tc>
        <w:tc>
          <w:tcPr>
            <w:tcW w:w="180" w:type="dxa"/>
            <w:vAlign w:val="bottom"/>
          </w:tcPr>
          <w:p>
            <w:pPr>
              <w:spacing w:after="0"/>
              <w:rPr>
                <w:sz w:val="14"/>
                <w:szCs w:val="14"/>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$16,  $15  is  for  the</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acceleration</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of</w:t>
            </w:r>
          </w:p>
        </w:tc>
        <w:tc>
          <w:tcPr>
            <w:tcW w:w="1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depreciation</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over</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remaining</w:t>
            </w:r>
          </w:p>
        </w:tc>
        <w:tc>
          <w:tcPr>
            <w:tcW w:w="180" w:type="dxa"/>
            <w:vAlign w:val="bottom"/>
          </w:tcPr>
          <w:p>
            <w:pPr>
              <w:spacing w:after="0"/>
              <w:rPr>
                <w:sz w:val="14"/>
                <w:szCs w:val="14"/>
                <w:color w:val="auto"/>
              </w:rPr>
            </w:pPr>
          </w:p>
        </w:tc>
      </w:tr>
      <w:tr>
        <w:trPr>
          <w:trHeight w:val="170"/>
        </w:trPr>
        <w:tc>
          <w:tcPr>
            <w:tcW w:w="4880" w:type="dxa"/>
            <w:vAlign w:val="bottom"/>
            <w:gridSpan w:val="7"/>
          </w:tcPr>
          <w:p>
            <w:pPr>
              <w:spacing w:after="0"/>
              <w:rPr>
                <w:sz w:val="20"/>
                <w:szCs w:val="20"/>
                <w:color w:val="auto"/>
              </w:rPr>
            </w:pPr>
            <w:r>
              <w:rPr>
                <w:rFonts w:ascii="Courier New" w:cs="Courier New" w:eastAsia="Courier New" w:hAnsi="Courier New"/>
                <w:sz w:val="15"/>
                <w:szCs w:val="15"/>
                <w:color w:val="auto"/>
                <w:w w:val="99"/>
              </w:rPr>
              <w:t>service  life  of  the  facilities.  Of  the  $37  net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special</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charges,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is</w:t>
            </w:r>
          </w:p>
        </w:tc>
      </w:tr>
      <w:tr>
        <w:trPr>
          <w:trHeight w:val="170"/>
        </w:trPr>
        <w:tc>
          <w:tcPr>
            <w:tcW w:w="3300" w:type="dxa"/>
            <w:vAlign w:val="bottom"/>
            <w:gridSpan w:val="3"/>
          </w:tcPr>
          <w:p>
            <w:pPr>
              <w:spacing w:after="0"/>
              <w:rPr>
                <w:sz w:val="20"/>
                <w:szCs w:val="20"/>
                <w:color w:val="auto"/>
              </w:rPr>
            </w:pPr>
            <w:r>
              <w:rPr>
                <w:rFonts w:ascii="Courier New" w:cs="Courier New" w:eastAsia="Courier New" w:hAnsi="Courier New"/>
                <w:sz w:val="15"/>
                <w:szCs w:val="15"/>
                <w:color w:val="auto"/>
                <w:w w:val="98"/>
              </w:rPr>
              <w:t>included  in  cost  of  revenues,  $8</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is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in</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selling,</w:t>
            </w:r>
          </w:p>
        </w:tc>
        <w:tc>
          <w:tcPr>
            <w:tcW w:w="15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general  and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administrative  expense</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and</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$2  is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research</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and</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4"/>
              </w:rPr>
              <w:t>development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14"/>
                <w:szCs w:val="14"/>
                <w:color w:val="auto"/>
              </w:rPr>
            </w:pPr>
          </w:p>
        </w:tc>
      </w:tr>
    </w:tbl>
    <w:p>
      <w:pPr>
        <w:spacing w:after="0" w:line="175" w:lineRule="exact"/>
        <w:rPr>
          <w:sz w:val="20"/>
          <w:szCs w:val="20"/>
          <w:color w:val="auto"/>
        </w:rPr>
      </w:pPr>
    </w:p>
    <w:p>
      <w:pPr>
        <w:ind w:left="10" w:right="3439" w:hanging="10"/>
        <w:spacing w:after="0" w:line="237" w:lineRule="auto"/>
        <w:tabs>
          <w:tab w:leader="none" w:pos="36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for the second quarter of 2001 includes, in millions of dollars, net special charges of $252, of which $214 is severance cost for a worldwide cost-reduction program affecting 3778 employees and $35 relates to the restructuring charges for the closing of three Semiconductor facilities (Merrimack, New Hampshire; Tustin, California;</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Santa</w:t>
            </w:r>
          </w:p>
        </w:tc>
        <w:tc>
          <w:tcPr>
            <w:tcW w:w="6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Cruz,</w:t>
            </w:r>
          </w:p>
        </w:tc>
        <w:tc>
          <w:tcPr>
            <w:tcW w:w="10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6"/>
              </w:rPr>
              <w:t>California)</w:t>
            </w:r>
          </w:p>
        </w:tc>
        <w:tc>
          <w:tcPr>
            <w:tcW w:w="11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affecting</w:t>
            </w:r>
          </w:p>
        </w:tc>
        <w:tc>
          <w:tcPr>
            <w:tcW w:w="16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an  additional  559</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employees.</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w:t>
            </w:r>
          </w:p>
        </w:tc>
      </w:tr>
      <w:tr>
        <w:trPr>
          <w:trHeight w:val="170"/>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the  $35,</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$14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is</w:t>
            </w:r>
          </w:p>
        </w:tc>
        <w:tc>
          <w:tcPr>
            <w:tcW w:w="1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for</w:t>
            </w:r>
          </w:p>
        </w:tc>
        <w:tc>
          <w:tcPr>
            <w:tcW w:w="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severance</w:t>
            </w:r>
          </w:p>
        </w:tc>
        <w:tc>
          <w:tcPr>
            <w:tcW w:w="40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cost  and  $16  is  for  the acceleration of</w:t>
            </w:r>
          </w:p>
        </w:tc>
      </w:tr>
      <w:tr>
        <w:trPr>
          <w:trHeight w:val="170"/>
        </w:trPr>
        <w:tc>
          <w:tcPr>
            <w:tcW w:w="1220" w:type="dxa"/>
            <w:vAlign w:val="bottom"/>
            <w:gridSpan w:val="3"/>
          </w:tcPr>
          <w:p>
            <w:pPr>
              <w:spacing w:after="0"/>
              <w:rPr>
                <w:sz w:val="20"/>
                <w:szCs w:val="20"/>
                <w:color w:val="auto"/>
              </w:rPr>
            </w:pPr>
            <w:r>
              <w:rPr>
                <w:rFonts w:ascii="Courier New" w:cs="Courier New" w:eastAsia="Courier New" w:hAnsi="Courier New"/>
                <w:sz w:val="15"/>
                <w:szCs w:val="15"/>
                <w:color w:val="auto"/>
              </w:rPr>
              <w:t>depreciation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over</w:t>
            </w:r>
          </w:p>
        </w:tc>
        <w:tc>
          <w:tcPr>
            <w:tcW w:w="1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the</w:t>
            </w:r>
          </w:p>
        </w:tc>
        <w:tc>
          <w:tcPr>
            <w:tcW w:w="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remaining</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service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life  of</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5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facilities.  Of</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$252</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6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special</w:t>
            </w:r>
          </w:p>
        </w:tc>
        <w:tc>
          <w:tcPr>
            <w:tcW w:w="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charges,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$162</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is</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included  in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cost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revenues, $84 is</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selling,</w:t>
            </w:r>
          </w:p>
        </w:tc>
        <w:tc>
          <w:tcPr>
            <w:tcW w:w="800" w:type="dxa"/>
            <w:vAlign w:val="bottom"/>
            <w:gridSpan w:val="3"/>
          </w:tcPr>
          <w:p>
            <w:pPr>
              <w:spacing w:after="0"/>
              <w:rPr>
                <w:sz w:val="20"/>
                <w:szCs w:val="20"/>
                <w:color w:val="auto"/>
              </w:rPr>
            </w:pPr>
            <w:r>
              <w:rPr>
                <w:rFonts w:ascii="Courier New" w:cs="Courier New" w:eastAsia="Courier New" w:hAnsi="Courier New"/>
                <w:sz w:val="15"/>
                <w:szCs w:val="15"/>
                <w:color w:val="auto"/>
              </w:rPr>
              <w:t>general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and</w:t>
            </w:r>
          </w:p>
        </w:tc>
        <w:tc>
          <w:tcPr>
            <w:tcW w:w="15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administrative</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expense</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and</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$6</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is  in  research</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12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development</w:t>
            </w:r>
          </w:p>
        </w:tc>
        <w:tc>
          <w:tcPr>
            <w:tcW w:w="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expense.</w:t>
            </w:r>
          </w:p>
        </w:tc>
        <w:tc>
          <w:tcPr>
            <w:tcW w:w="7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Also</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included</w:t>
            </w:r>
          </w:p>
        </w:tc>
        <w:tc>
          <w:tcPr>
            <w:tcW w:w="326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w w:val="99"/>
              </w:rPr>
              <w:t>in  the  second  quarter  of  2001</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is</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a  $68</w:t>
            </w:r>
          </w:p>
        </w:tc>
        <w:tc>
          <w:tcPr>
            <w:tcW w:w="84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7"/>
              </w:rPr>
              <w:t>increase</w:t>
            </w:r>
          </w:p>
        </w:tc>
        <w:tc>
          <w:tcPr>
            <w:tcW w:w="5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income</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provision</w:t>
            </w: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to adjust to the expected</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tax</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rate</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for</w:t>
            </w:r>
          </w:p>
        </w:tc>
        <w:tc>
          <w:tcPr>
            <w:tcW w:w="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175" w:lineRule="exact"/>
        <w:rPr>
          <w:sz w:val="20"/>
          <w:szCs w:val="20"/>
          <w:color w:val="auto"/>
        </w:rPr>
      </w:pPr>
    </w:p>
    <w:p>
      <w:pPr>
        <w:ind w:left="10" w:right="3259" w:hanging="10"/>
        <w:spacing w:after="0" w:line="237" w:lineRule="auto"/>
        <w:tabs>
          <w:tab w:leader="none" w:pos="36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for the first quarter of 2001 includes, in millions of dollars, net special charges of $50, of which $11 is severance cost for 241 first-quarter employee acceptances under the U.S. voluntary retirement program, $16 is severance cost for restructuring actions affecting 261</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rPr>
              <w:t>employees</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international</w:t>
            </w:r>
          </w:p>
        </w:tc>
        <w:tc>
          <w:tcPr>
            <w:tcW w:w="2200" w:type="dxa"/>
            <w:vAlign w:val="bottom"/>
            <w:gridSpan w:val="5"/>
          </w:tcPr>
          <w:p>
            <w:pPr>
              <w:spacing w:after="0"/>
              <w:rPr>
                <w:sz w:val="20"/>
                <w:szCs w:val="20"/>
                <w:color w:val="auto"/>
              </w:rPr>
            </w:pPr>
            <w:r>
              <w:rPr>
                <w:rFonts w:ascii="Courier New" w:cs="Courier New" w:eastAsia="Courier New" w:hAnsi="Courier New"/>
                <w:sz w:val="15"/>
                <w:szCs w:val="15"/>
                <w:color w:val="auto"/>
              </w:rPr>
              <w:t>Semiconductor  locations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w w:val="96"/>
              </w:rPr>
              <w:t>and</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w w:val="96"/>
              </w:rPr>
              <w:t>$25</w:t>
            </w:r>
          </w:p>
        </w:tc>
        <w:tc>
          <w:tcPr>
            <w:tcW w:w="9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relates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to</w:t>
            </w:r>
          </w:p>
        </w:tc>
      </w:tr>
      <w:tr>
        <w:trPr>
          <w:trHeight w:val="170"/>
        </w:trPr>
        <w:tc>
          <w:tcPr>
            <w:tcW w:w="5200" w:type="dxa"/>
            <w:vAlign w:val="bottom"/>
            <w:gridSpan w:val="12"/>
          </w:tcPr>
          <w:p>
            <w:pPr>
              <w:spacing w:after="0"/>
              <w:rPr>
                <w:sz w:val="20"/>
                <w:szCs w:val="20"/>
                <w:color w:val="auto"/>
              </w:rPr>
            </w:pPr>
            <w:r>
              <w:rPr>
                <w:rFonts w:ascii="Courier New" w:cs="Courier New" w:eastAsia="Courier New" w:hAnsi="Courier New"/>
                <w:sz w:val="15"/>
                <w:szCs w:val="15"/>
                <w:color w:val="auto"/>
                <w:w w:val="97"/>
              </w:rPr>
              <w:t>the  closing  of  a  Semiconductor  manufacturing  facility</w:t>
            </w:r>
          </w:p>
        </w:tc>
        <w:tc>
          <w:tcPr>
            <w:tcW w:w="176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in  Santa  Cruz,</w:t>
            </w:r>
          </w:p>
        </w:tc>
      </w:tr>
      <w:tr>
        <w:trPr>
          <w:trHeight w:val="170"/>
        </w:trPr>
        <w:tc>
          <w:tcPr>
            <w:tcW w:w="2820" w:type="dxa"/>
            <w:vAlign w:val="bottom"/>
            <w:gridSpan w:val="7"/>
          </w:tcPr>
          <w:p>
            <w:pPr>
              <w:spacing w:after="0"/>
              <w:rPr>
                <w:sz w:val="20"/>
                <w:szCs w:val="20"/>
                <w:color w:val="auto"/>
              </w:rPr>
            </w:pPr>
            <w:r>
              <w:rPr>
                <w:rFonts w:ascii="Courier New" w:cs="Courier New" w:eastAsia="Courier New" w:hAnsi="Courier New"/>
                <w:sz w:val="15"/>
                <w:szCs w:val="15"/>
                <w:color w:val="auto"/>
              </w:rPr>
              <w:t>California.  Of  the  $25,  $16</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is</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for  severance</w:t>
            </w:r>
          </w:p>
        </w:tc>
        <w:tc>
          <w:tcPr>
            <w:tcW w:w="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cost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600</w:t>
            </w:r>
          </w:p>
        </w:tc>
        <w:tc>
          <w:tcPr>
            <w:tcW w:w="10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employees</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is</w:t>
            </w:r>
          </w:p>
        </w:tc>
        <w:tc>
          <w:tcPr>
            <w:tcW w:w="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for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acceleration</w:t>
            </w:r>
          </w:p>
        </w:tc>
        <w:tc>
          <w:tcPr>
            <w:tcW w:w="1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depreciation</w:t>
            </w:r>
          </w:p>
        </w:tc>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over</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w w:val="96"/>
              </w:rPr>
              <w:t>the</w:t>
            </w:r>
          </w:p>
        </w:tc>
        <w:tc>
          <w:tcPr>
            <w:tcW w:w="11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remaining</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service</w:t>
            </w:r>
          </w:p>
        </w:tc>
      </w:tr>
      <w:tr>
        <w:trPr>
          <w:trHeight w:val="170"/>
        </w:trPr>
        <w:tc>
          <w:tcPr>
            <w:tcW w:w="2640" w:type="dxa"/>
            <w:vAlign w:val="bottom"/>
            <w:gridSpan w:val="6"/>
          </w:tcPr>
          <w:p>
            <w:pPr>
              <w:spacing w:after="0"/>
              <w:rPr>
                <w:sz w:val="20"/>
                <w:szCs w:val="20"/>
                <w:color w:val="auto"/>
              </w:rPr>
            </w:pPr>
            <w:r>
              <w:rPr>
                <w:rFonts w:ascii="Courier New" w:cs="Courier New" w:eastAsia="Courier New" w:hAnsi="Courier New"/>
                <w:sz w:val="15"/>
                <w:szCs w:val="15"/>
                <w:color w:val="auto"/>
              </w:rPr>
              <w:t>life  of  the  facility.  Of</w:t>
            </w:r>
          </w:p>
        </w:tc>
        <w:tc>
          <w:tcPr>
            <w:tcW w:w="3300" w:type="dxa"/>
            <w:vAlign w:val="bottom"/>
            <w:gridSpan w:val="8"/>
          </w:tcPr>
          <w:p>
            <w:pPr>
              <w:spacing w:after="0"/>
              <w:rPr>
                <w:sz w:val="20"/>
                <w:szCs w:val="20"/>
                <w:color w:val="auto"/>
              </w:rPr>
            </w:pPr>
            <w:r>
              <w:rPr>
                <w:rFonts w:ascii="Courier New" w:cs="Courier New" w:eastAsia="Courier New" w:hAnsi="Courier New"/>
                <w:sz w:val="15"/>
                <w:szCs w:val="15"/>
                <w:color w:val="auto"/>
              </w:rPr>
              <w:t>the  $50  of  net  special  charges,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is</w:t>
            </w:r>
          </w:p>
        </w:tc>
        <w:tc>
          <w:tcPr>
            <w:tcW w:w="360" w:type="dxa"/>
            <w:vAlign w:val="bottom"/>
          </w:tcPr>
          <w:p>
            <w:pPr>
              <w:spacing w:after="0"/>
              <w:rPr>
                <w:sz w:val="14"/>
                <w:szCs w:val="14"/>
                <w:color w:val="auto"/>
              </w:rPr>
            </w:pPr>
          </w:p>
        </w:tc>
      </w:tr>
      <w:tr>
        <w:trPr>
          <w:trHeight w:val="170"/>
        </w:trPr>
        <w:tc>
          <w:tcPr>
            <w:tcW w:w="5640" w:type="dxa"/>
            <w:vAlign w:val="bottom"/>
            <w:gridSpan w:val="13"/>
          </w:tcPr>
          <w:p>
            <w:pPr>
              <w:spacing w:after="0"/>
              <w:rPr>
                <w:sz w:val="20"/>
                <w:szCs w:val="20"/>
                <w:color w:val="auto"/>
              </w:rPr>
            </w:pPr>
            <w:r>
              <w:rPr>
                <w:rFonts w:ascii="Courier New" w:cs="Courier New" w:eastAsia="Courier New" w:hAnsi="Courier New"/>
                <w:sz w:val="15"/>
                <w:szCs w:val="15"/>
                <w:color w:val="auto"/>
                <w:w w:val="97"/>
              </w:rPr>
              <w:t>included  in  cost  of  revenues,  $7  is  in  selling,  general</w:t>
            </w:r>
          </w:p>
        </w:tc>
        <w:tc>
          <w:tcPr>
            <w:tcW w:w="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1260" w:type="dxa"/>
            <w:vAlign w:val="bottom"/>
            <w:gridSpan w:val="4"/>
          </w:tcPr>
          <w:p>
            <w:pPr>
              <w:spacing w:after="0"/>
              <w:rPr>
                <w:sz w:val="20"/>
                <w:szCs w:val="20"/>
                <w:color w:val="auto"/>
              </w:rPr>
            </w:pPr>
            <w:r>
              <w:rPr>
                <w:rFonts w:ascii="Courier New" w:cs="Courier New" w:eastAsia="Courier New" w:hAnsi="Courier New"/>
                <w:sz w:val="15"/>
                <w:szCs w:val="15"/>
                <w:color w:val="auto"/>
                <w:w w:val="98"/>
              </w:rPr>
              <w:t>administrative</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expense,  $2</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is</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w w:val="88"/>
              </w:rPr>
              <w:t>in</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research</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and</w:t>
            </w:r>
          </w:p>
        </w:tc>
        <w:tc>
          <w:tcPr>
            <w:tcW w:w="10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development</w:t>
            </w:r>
          </w:p>
        </w:tc>
        <w:tc>
          <w:tcPr>
            <w:tcW w:w="9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expense,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is</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income.</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pacing w:after="0" w:line="169" w:lineRule="exact"/>
        <w:rPr>
          <w:sz w:val="20"/>
          <w:szCs w:val="20"/>
          <w:color w:val="auto"/>
        </w:rPr>
      </w:pPr>
    </w:p>
    <w:p>
      <w:pPr>
        <w:jc w:val="center"/>
        <w:ind w:right="3430"/>
        <w:spacing w:after="0"/>
        <w:tabs>
          <w:tab w:leader="none" w:pos="160" w:val="left"/>
          <w:tab w:leader="none" w:pos="140" w:val="left"/>
          <w:tab w:leader="none" w:pos="140" w:val="left"/>
          <w:tab w:leader="none" w:pos="140" w:val="left"/>
        </w:tabs>
        <w:rPr>
          <w:sz w:val="20"/>
          <w:szCs w:val="20"/>
          <w:color w:val="auto"/>
        </w:rPr>
      </w:pPr>
      <w:r>
        <w:rPr>
          <w:rFonts w:ascii="Courier New" w:cs="Courier New" w:eastAsia="Courier New" w:hAnsi="Courier New"/>
          <w:sz w:val="15"/>
          <w:szCs w:val="15"/>
          <w:color w:val="auto"/>
        </w:rPr>
        <w:t>5.</w:t>
        <w:tab/>
        <w:t>Income</w:t>
        <w:tab/>
        <w:t>for</w:t>
        <w:tab/>
        <w:t>the</w:t>
      </w:r>
      <w:r>
        <w:rPr>
          <w:sz w:val="20"/>
          <w:szCs w:val="20"/>
          <w:color w:val="auto"/>
        </w:rPr>
        <w:tab/>
      </w:r>
      <w:r>
        <w:rPr>
          <w:rFonts w:ascii="Courier New" w:cs="Courier New" w:eastAsia="Courier New" w:hAnsi="Courier New"/>
          <w:sz w:val="14"/>
          <w:szCs w:val="14"/>
          <w:color w:val="auto"/>
        </w:rPr>
        <w:t>third quarter of 2000 includes, in millions of dollars,</w:t>
      </w:r>
    </w:p>
    <w:p>
      <w:pPr>
        <w:spacing w:after="0" w:line="16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2" w:right="1440"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investment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gains  of</w:t>
            </w:r>
          </w:p>
        </w:tc>
        <w:tc>
          <w:tcPr>
            <w:tcW w:w="142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6"/>
              </w:rPr>
              <w:t>$425,  included</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income,</w:t>
            </w: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9"/>
              </w:rPr>
              <w:t>from the sale of</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5.6</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w w:val="91"/>
              </w:rPr>
              <w:t>million</w:t>
            </w:r>
          </w:p>
        </w:tc>
        <w:tc>
          <w:tcPr>
            <w:tcW w:w="18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shares  of  Micron</w:t>
            </w:r>
          </w:p>
        </w:tc>
        <w:tc>
          <w:tcPr>
            <w:tcW w:w="322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9"/>
              </w:rPr>
              <w:t>Technology,  Inc.  (Micron)  common</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stock,</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w w:val="91"/>
              </w:rPr>
              <w:t>special</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charges</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of</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which</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is  for</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purchased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in-process</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R&amp;D</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costs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from  the</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Dot</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Wireless,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Inc.</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and</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Alantro</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Communications,  Inc.</w:t>
            </w:r>
          </w:p>
        </w:tc>
      </w:tr>
    </w:tbl>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acquisitions,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is</w:t>
            </w:r>
          </w:p>
        </w:tc>
        <w:tc>
          <w:tcPr>
            <w:tcW w:w="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for</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w w:val="95"/>
              </w:rPr>
              <w:t>pooling</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w:t>
            </w:r>
          </w:p>
        </w:tc>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w w:val="93"/>
              </w:rPr>
              <w:t>interests</w:t>
            </w:r>
          </w:p>
        </w:tc>
        <w:tc>
          <w:tcPr>
            <w:tcW w:w="116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transaction</w:t>
            </w:r>
          </w:p>
        </w:tc>
        <w:tc>
          <w:tcPr>
            <w:tcW w:w="7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costs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from</w:t>
            </w:r>
          </w:p>
        </w:tc>
        <w:tc>
          <w:tcPr>
            <w:tcW w:w="220" w:type="dxa"/>
            <w:vAlign w:val="bottom"/>
          </w:tcPr>
          <w:p>
            <w:pPr>
              <w:spacing w:after="0"/>
              <w:rPr>
                <w:sz w:val="14"/>
                <w:szCs w:val="14"/>
                <w:color w:val="auto"/>
              </w:rPr>
            </w:pPr>
          </w:p>
        </w:tc>
      </w:tr>
      <w:tr>
        <w:trPr>
          <w:trHeight w:val="170"/>
        </w:trPr>
        <w:tc>
          <w:tcPr>
            <w:tcW w:w="6820" w:type="dxa"/>
            <w:vAlign w:val="bottom"/>
            <w:gridSpan w:val="18"/>
          </w:tcPr>
          <w:p>
            <w:pPr>
              <w:spacing w:after="0"/>
              <w:rPr>
                <w:sz w:val="20"/>
                <w:szCs w:val="20"/>
                <w:color w:val="auto"/>
              </w:rPr>
            </w:pPr>
            <w:r>
              <w:rPr>
                <w:rFonts w:ascii="Courier New" w:cs="Courier New" w:eastAsia="Courier New" w:hAnsi="Courier New"/>
                <w:sz w:val="15"/>
                <w:szCs w:val="15"/>
                <w:color w:val="auto"/>
                <w:w w:val="98"/>
              </w:rPr>
              <w:t>the  Burr-Brown  Corporation  acquisition,  and  $10,  net,  is  for  several</w:t>
            </w:r>
          </w:p>
        </w:tc>
        <w:tc>
          <w:tcPr>
            <w:tcW w:w="220" w:type="dxa"/>
            <w:vAlign w:val="bottom"/>
          </w:tcPr>
          <w:p>
            <w:pPr>
              <w:spacing w:after="0"/>
              <w:rPr>
                <w:sz w:val="14"/>
                <w:szCs w:val="14"/>
                <w:color w:val="auto"/>
              </w:rPr>
            </w:pPr>
          </w:p>
        </w:tc>
      </w:tr>
      <w:tr>
        <w:trPr>
          <w:trHeight w:val="170"/>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Semiconductor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and</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Sensors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&amp;</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Controls</w:t>
            </w:r>
          </w:p>
        </w:tc>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restructuring</w:t>
            </w:r>
          </w:p>
        </w:tc>
        <w:tc>
          <w:tcPr>
            <w:tcW w:w="4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88"/>
              </w:rPr>
              <w:t>and</w:t>
            </w: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w w:val="93"/>
              </w:rPr>
              <w:t>other</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actions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U.S.,</w:t>
            </w:r>
          </w:p>
        </w:tc>
        <w:tc>
          <w:tcPr>
            <w:tcW w:w="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Japan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Europe</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affecting</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432</w:t>
            </w:r>
          </w:p>
        </w:tc>
        <w:tc>
          <w:tcPr>
            <w:tcW w:w="11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employees.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1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w:t>
            </w:r>
          </w:p>
        </w:tc>
        <w:tc>
          <w:tcPr>
            <w:tcW w:w="220" w:type="dxa"/>
            <w:vAlign w:val="bottom"/>
          </w:tcPr>
          <w:p>
            <w:pPr>
              <w:spacing w:after="0"/>
              <w:rPr>
                <w:sz w:val="14"/>
                <w:szCs w:val="14"/>
                <w:color w:val="auto"/>
              </w:rPr>
            </w:pP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2001,</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$13</w:t>
            </w:r>
          </w:p>
        </w:tc>
        <w:tc>
          <w:tcPr>
            <w:tcW w:w="1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of  the  $19</w:t>
            </w:r>
          </w:p>
        </w:tc>
        <w:tc>
          <w:tcPr>
            <w:tcW w:w="14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severance</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cost</w:t>
            </w:r>
          </w:p>
        </w:tc>
        <w:tc>
          <w:tcPr>
            <w:tcW w:w="11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obligation</w:t>
            </w:r>
          </w:p>
        </w:tc>
        <w:tc>
          <w:tcPr>
            <w:tcW w:w="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had</w:t>
            </w:r>
          </w:p>
        </w:tc>
        <w:tc>
          <w:tcPr>
            <w:tcW w:w="118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been  paid.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$163,</w:t>
            </w:r>
          </w:p>
        </w:tc>
        <w:tc>
          <w:tcPr>
            <w:tcW w:w="6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$112</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is</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included</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in</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research</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development</w:t>
            </w:r>
          </w:p>
        </w:tc>
        <w:tc>
          <w:tcPr>
            <w:tcW w:w="1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expense,</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 is</w:t>
            </w:r>
          </w:p>
        </w:tc>
      </w:tr>
      <w:tr>
        <w:trPr>
          <w:trHeight w:val="170"/>
        </w:trPr>
        <w:tc>
          <w:tcPr>
            <w:tcW w:w="3700" w:type="dxa"/>
            <w:vAlign w:val="bottom"/>
            <w:gridSpan w:val="9"/>
          </w:tcPr>
          <w:p>
            <w:pPr>
              <w:spacing w:after="0"/>
              <w:rPr>
                <w:sz w:val="20"/>
                <w:szCs w:val="20"/>
                <w:color w:val="auto"/>
              </w:rPr>
            </w:pPr>
            <w:r>
              <w:rPr>
                <w:rFonts w:ascii="Courier New" w:cs="Courier New" w:eastAsia="Courier New" w:hAnsi="Courier New"/>
                <w:sz w:val="15"/>
                <w:szCs w:val="15"/>
                <w:color w:val="auto"/>
                <w:w w:val="97"/>
              </w:rPr>
              <w:t>in  selling,  general  and  administrative</w:t>
            </w:r>
          </w:p>
        </w:tc>
        <w:tc>
          <w:tcPr>
            <w:tcW w:w="132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7"/>
              </w:rPr>
              <w:t>expense,  $31</w:t>
            </w:r>
          </w:p>
        </w:tc>
        <w:tc>
          <w:tcPr>
            <w:tcW w:w="120" w:type="dxa"/>
            <w:vAlign w:val="bottom"/>
          </w:tcPr>
          <w:p>
            <w:pPr>
              <w:spacing w:after="0"/>
              <w:rPr>
                <w:sz w:val="14"/>
                <w:szCs w:val="14"/>
                <w:color w:val="auto"/>
              </w:rPr>
            </w:pP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is</w:t>
            </w:r>
          </w:p>
        </w:tc>
        <w:tc>
          <w:tcPr>
            <w:tcW w:w="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cost</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of</w:t>
            </w:r>
          </w:p>
        </w:tc>
        <w:tc>
          <w:tcPr>
            <w:tcW w:w="220" w:type="dxa"/>
            <w:vAlign w:val="bottom"/>
          </w:tcPr>
          <w:p>
            <w:pPr>
              <w:spacing w:after="0"/>
              <w:rPr>
                <w:sz w:val="14"/>
                <w:szCs w:val="14"/>
                <w:color w:val="auto"/>
              </w:rPr>
            </w:pPr>
          </w:p>
        </w:tc>
      </w:tr>
      <w:tr>
        <w:trPr>
          <w:trHeight w:val="170"/>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is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net</w:t>
            </w:r>
          </w:p>
        </w:tc>
        <w:tc>
          <w:tcPr>
            <w:tcW w:w="1160" w:type="dxa"/>
            <w:vAlign w:val="bottom"/>
            <w:gridSpan w:val="3"/>
          </w:tcPr>
          <w:p>
            <w:pPr>
              <w:spacing w:after="0"/>
              <w:rPr>
                <w:sz w:val="20"/>
                <w:szCs w:val="20"/>
                <w:color w:val="auto"/>
              </w:rPr>
            </w:pPr>
            <w:r>
              <w:rPr>
                <w:rFonts w:ascii="Courier New" w:cs="Courier New" w:eastAsia="Courier New" w:hAnsi="Courier New"/>
                <w:sz w:val="15"/>
                <w:szCs w:val="15"/>
                <w:color w:val="auto"/>
                <w:w w:val="97"/>
              </w:rPr>
              <w:t>revenues  and</w:t>
            </w:r>
          </w:p>
        </w:tc>
        <w:tc>
          <w:tcPr>
            <w:tcW w:w="78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5"/>
              </w:rPr>
              <w:t>$11  is</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in</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other</w:t>
            </w:r>
          </w:p>
        </w:tc>
        <w:tc>
          <w:tcPr>
            <w:tcW w:w="180" w:type="dxa"/>
            <w:vAlign w:val="bottom"/>
          </w:tcPr>
          <w:p>
            <w:pPr>
              <w:spacing w:after="0"/>
              <w:rPr>
                <w:sz w:val="14"/>
                <w:szCs w:val="14"/>
                <w:color w:val="auto"/>
              </w:rPr>
            </w:pPr>
          </w:p>
        </w:tc>
        <w:tc>
          <w:tcPr>
            <w:tcW w:w="7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1"/>
              </w:rPr>
              <w:t>income.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spacing w:after="0" w:line="169" w:lineRule="exact"/>
        <w:rPr>
          <w:sz w:val="20"/>
          <w:szCs w:val="20"/>
          <w:color w:val="auto"/>
        </w:rPr>
      </w:pPr>
    </w:p>
    <w:p>
      <w:pPr>
        <w:ind w:left="350" w:hanging="350"/>
        <w:spacing w:after="0"/>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for  the second quarter of 2000 includes, in millions of dollars,</w:t>
      </w:r>
    </w:p>
    <w:p>
      <w:pPr>
        <w:spacing w:after="0" w:line="5"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an investment gain of $1211 in other income from the sale of 20 million shares of Micron common stock.</w:t>
      </w:r>
    </w:p>
    <w:p>
      <w:pPr>
        <w:spacing w:after="0" w:line="170" w:lineRule="exact"/>
        <w:rPr>
          <w:sz w:val="20"/>
          <w:szCs w:val="20"/>
          <w:color w:val="auto"/>
        </w:rPr>
      </w:pPr>
    </w:p>
    <w:p>
      <w:pPr>
        <w:ind w:left="350" w:hanging="350"/>
        <w:spacing w:after="0"/>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for  the  first quarter of 2000 includes, in millions of dollars,</w:t>
      </w:r>
    </w:p>
    <w:tbl>
      <w:tblPr>
        <w:tblLayout w:type="fixed"/>
        <w:tblInd w:w="10" w:type="dxa"/>
        <w:tblCellMar>
          <w:top w:w="0" w:type="dxa"/>
          <w:left w:w="0" w:type="dxa"/>
          <w:bottom w:w="0" w:type="dxa"/>
          <w:right w:w="0" w:type="dxa"/>
        </w:tblCellMar>
      </w:tblP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special</w:t>
            </w:r>
          </w:p>
        </w:tc>
        <w:tc>
          <w:tcPr>
            <w:tcW w:w="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charges  of</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c>
          <w:tcPr>
            <w:tcW w:w="3800" w:type="dxa"/>
            <w:vAlign w:val="bottom"/>
            <w:gridSpan w:val="8"/>
          </w:tcPr>
          <w:p>
            <w:pPr>
              <w:ind w:left="100"/>
              <w:spacing w:after="0"/>
              <w:rPr>
                <w:sz w:val="20"/>
                <w:szCs w:val="20"/>
                <w:color w:val="auto"/>
              </w:rPr>
            </w:pPr>
            <w:r>
              <w:rPr>
                <w:rFonts w:ascii="Courier New" w:cs="Courier New" w:eastAsia="Courier New" w:hAnsi="Courier New"/>
                <w:sz w:val="15"/>
                <w:szCs w:val="15"/>
                <w:color w:val="auto"/>
                <w:w w:val="99"/>
              </w:rPr>
              <w:t>associated  with  actions  including  the</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closing of</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Sensors  &amp;</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Controls</w:t>
            </w:r>
          </w:p>
        </w:tc>
        <w:tc>
          <w:tcPr>
            <w:tcW w:w="13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manufacturing</w:t>
            </w:r>
          </w:p>
        </w:tc>
        <w:tc>
          <w:tcPr>
            <w:tcW w:w="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facility</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in</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Versailles,</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Kentucky,</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TI's</w:t>
            </w:r>
          </w:p>
        </w:tc>
        <w:tc>
          <w:tcPr>
            <w:tcW w:w="15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6"/>
              </w:rPr>
              <w:t>acquisition  of</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Toccata</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Technology</w:t>
            </w:r>
          </w:p>
        </w:tc>
        <w:tc>
          <w:tcPr>
            <w:tcW w:w="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ApS.</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the  $29</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charge, $12</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was</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for</w:t>
            </w:r>
          </w:p>
        </w:tc>
        <w:tc>
          <w:tcPr>
            <w:tcW w:w="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severance</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for</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480</w:t>
            </w:r>
          </w:p>
        </w:tc>
        <w:tc>
          <w:tcPr>
            <w:tcW w:w="3960" w:type="dxa"/>
            <w:vAlign w:val="bottom"/>
            <w:gridSpan w:val="8"/>
          </w:tcPr>
          <w:p>
            <w:pPr>
              <w:ind w:left="80"/>
              <w:spacing w:after="0"/>
              <w:rPr>
                <w:sz w:val="20"/>
                <w:szCs w:val="20"/>
                <w:color w:val="auto"/>
              </w:rPr>
            </w:pPr>
            <w:r>
              <w:rPr>
                <w:rFonts w:ascii="Courier New" w:cs="Courier New" w:eastAsia="Courier New" w:hAnsi="Courier New"/>
                <w:sz w:val="15"/>
                <w:szCs w:val="15"/>
                <w:color w:val="auto"/>
                <w:w w:val="99"/>
              </w:rPr>
              <w:t>employees  in  Kentucky.  As  of  September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30,</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w w:val="93"/>
              </w:rPr>
              <w:t>2001,  $9</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of</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3"/>
              </w:rPr>
              <w:t>severance</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cost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obligation</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w w:val="96"/>
              </w:rPr>
              <w:t>had</w:t>
            </w:r>
          </w:p>
        </w:tc>
        <w:tc>
          <w:tcPr>
            <w:tcW w:w="18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been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paid.  Of</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the</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$29,</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6700" w:type="dxa"/>
            <w:vAlign w:val="bottom"/>
            <w:gridSpan w:val="14"/>
          </w:tcPr>
          <w:p>
            <w:pPr>
              <w:ind w:left="100"/>
              <w:spacing w:after="0"/>
              <w:rPr>
                <w:sz w:val="20"/>
                <w:szCs w:val="20"/>
                <w:color w:val="auto"/>
              </w:rPr>
            </w:pPr>
            <w:r>
              <w:rPr>
                <w:rFonts w:ascii="Courier New" w:cs="Courier New" w:eastAsia="Courier New" w:hAnsi="Courier New"/>
                <w:sz w:val="15"/>
                <w:szCs w:val="15"/>
                <w:color w:val="auto"/>
              </w:rPr>
              <w:t>is  included  in  cost  of  revenues,  $6  is  in  selling,  general  and</w:t>
            </w:r>
          </w:p>
        </w:tc>
      </w:tr>
      <w:tr>
        <w:trPr>
          <w:trHeight w:val="170"/>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rPr>
              <w:t>administrative</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expense,</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and</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$3</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is  in</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research</w:t>
            </w:r>
          </w:p>
        </w:tc>
        <w:tc>
          <w:tcPr>
            <w:tcW w:w="5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development</w:t>
            </w:r>
          </w:p>
        </w:tc>
        <w:tc>
          <w:tcPr>
            <w:tcW w:w="9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expense.</w:t>
            </w:r>
          </w:p>
        </w:tc>
      </w:tr>
    </w:tbl>
    <w:p>
      <w:pPr>
        <w:spacing w:after="0" w:line="175" w:lineRule="exact"/>
        <w:rPr>
          <w:sz w:val="20"/>
          <w:szCs w:val="20"/>
          <w:color w:val="auto"/>
        </w:rPr>
      </w:pPr>
    </w:p>
    <w:p>
      <w:pPr>
        <w:ind w:left="10" w:right="3439" w:hanging="10"/>
        <w:spacing w:after="0" w:line="235" w:lineRule="auto"/>
        <w:tabs>
          <w:tab w:leader="none" w:pos="36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comprehensive income (loss), i.e., net income plus investment and pension liability adjustments to stockholders' equity, for the third</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quarters</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2001  and</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2000,</w:t>
            </w:r>
          </w:p>
        </w:tc>
        <w:tc>
          <w:tcPr>
            <w:tcW w:w="1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  millions</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of  dollars,  was</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negative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$991</w:t>
            </w:r>
          </w:p>
        </w:tc>
      </w:tr>
      <w:tr>
        <w:trPr>
          <w:trHeight w:val="170"/>
        </w:trPr>
        <w:tc>
          <w:tcPr>
            <w:tcW w:w="2760" w:type="dxa"/>
            <w:vAlign w:val="bottom"/>
            <w:gridSpan w:val="4"/>
          </w:tcPr>
          <w:p>
            <w:pPr>
              <w:spacing w:after="0"/>
              <w:rPr>
                <w:sz w:val="20"/>
                <w:szCs w:val="20"/>
                <w:color w:val="auto"/>
              </w:rPr>
            </w:pPr>
            <w:r>
              <w:rPr>
                <w:rFonts w:ascii="Courier New" w:cs="Courier New" w:eastAsia="Courier New" w:hAnsi="Courier New"/>
                <w:sz w:val="15"/>
                <w:szCs w:val="15"/>
                <w:color w:val="auto"/>
                <w:w w:val="98"/>
              </w:rPr>
              <w:t>and  negative  $1266.  For  the</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nine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months</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ended  September</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30,  2001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2000,  it</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was</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negative</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$849</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positive</w:t>
            </w:r>
          </w:p>
        </w:tc>
        <w:tc>
          <w:tcPr>
            <w:tcW w:w="16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$1991.</w:t>
            </w: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169" w:lineRule="exact"/>
        <w:rPr>
          <w:sz w:val="20"/>
          <w:szCs w:val="20"/>
          <w:color w:val="auto"/>
        </w:rPr>
      </w:pPr>
    </w:p>
    <w:p>
      <w:pPr>
        <w:ind w:left="350" w:hanging="350"/>
        <w:spacing w:after="0"/>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significant  change  in  the  status  of  the audit</w:t>
      </w:r>
    </w:p>
    <w:p>
      <w:pPr>
        <w:ind w:left="10"/>
        <w:spacing w:after="0"/>
        <w:tabs>
          <w:tab w:leader="none" w:pos="1309" w:val="left"/>
          <w:tab w:leader="none" w:pos="2369" w:val="left"/>
          <w:tab w:leader="none" w:pos="3069" w:val="left"/>
          <w:tab w:leader="none" w:pos="3589" w:val="left"/>
          <w:tab w:leader="none" w:pos="4029" w:val="left"/>
          <w:tab w:leader="none" w:pos="4829" w:val="left"/>
        </w:tabs>
        <w:rPr>
          <w:sz w:val="20"/>
          <w:szCs w:val="20"/>
          <w:color w:val="auto"/>
        </w:rPr>
      </w:pPr>
      <w:r>
        <w:rPr>
          <w:rFonts w:ascii="Courier New" w:cs="Courier New" w:eastAsia="Courier New" w:hAnsi="Courier New"/>
          <w:sz w:val="15"/>
          <w:szCs w:val="15"/>
          <w:color w:val="auto"/>
        </w:rPr>
        <w:t>investigation</w:t>
        <w:tab/>
        <w:t>concerning</w:t>
        <w:tab/>
        <w:t>grants</w:t>
        <w:tab/>
        <w:t>from</w:t>
        <w:tab/>
        <w:t>the</w:t>
        <w:tab/>
        <w:t>Italian</w:t>
      </w:r>
      <w:r>
        <w:rPr>
          <w:sz w:val="20"/>
          <w:szCs w:val="20"/>
          <w:color w:val="auto"/>
        </w:rPr>
        <w:tab/>
      </w:r>
      <w:r>
        <w:rPr>
          <w:rFonts w:ascii="Courier New" w:cs="Courier New" w:eastAsia="Courier New" w:hAnsi="Courier New"/>
          <w:sz w:val="14"/>
          <w:szCs w:val="14"/>
          <w:color w:val="auto"/>
        </w:rPr>
        <w:t>government.</w:t>
      </w:r>
    </w:p>
    <w:p>
      <w:pPr>
        <w:spacing w:after="0" w:line="174" w:lineRule="exact"/>
        <w:rPr>
          <w:sz w:val="20"/>
          <w:szCs w:val="20"/>
          <w:color w:val="auto"/>
        </w:rPr>
      </w:pPr>
    </w:p>
    <w:p>
      <w:pPr>
        <w:ind w:left="10" w:right="3359" w:hanging="10"/>
        <w:spacing w:after="0" w:line="235" w:lineRule="auto"/>
        <w:tabs>
          <w:tab w:leader="none" w:pos="53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taxes for the interim periods presented have been included in the accompanying financial statements on the basis of an</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estimated</w:t>
            </w:r>
          </w:p>
        </w:tc>
        <w:tc>
          <w:tcPr>
            <w:tcW w:w="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annual</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rate.</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216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estimated  annualized</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tax</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rate</w:t>
            </w:r>
          </w:p>
        </w:tc>
        <w:tc>
          <w:tcPr>
            <w:tcW w:w="380" w:type="dxa"/>
            <w:vAlign w:val="bottom"/>
          </w:tcPr>
          <w:p>
            <w:pPr>
              <w:ind w:left="80"/>
              <w:spacing w:after="0"/>
              <w:rPr>
                <w:sz w:val="20"/>
                <w:szCs w:val="20"/>
                <w:color w:val="auto"/>
              </w:rPr>
            </w:pPr>
            <w:r>
              <w:rPr>
                <w:rFonts w:ascii="Courier New" w:cs="Courier New" w:eastAsia="Courier New" w:hAnsi="Courier New"/>
                <w:sz w:val="15"/>
                <w:szCs w:val="15"/>
                <w:color w:val="auto"/>
              </w:rPr>
              <w:t>for</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2001  is</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46  percent.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The</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primary</w:t>
            </w:r>
          </w:p>
        </w:tc>
        <w:tc>
          <w:tcPr>
            <w:tcW w:w="114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6"/>
              </w:rPr>
              <w:t>reason  the</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effective</w:t>
            </w:r>
          </w:p>
        </w:tc>
        <w:tc>
          <w:tcPr>
            <w:tcW w:w="12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annualized</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tax</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rate</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for</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2001  differs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from</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the</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8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percent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statutory</w:t>
            </w: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corporate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tax</w:t>
            </w:r>
          </w:p>
        </w:tc>
        <w:tc>
          <w:tcPr>
            <w:tcW w:w="1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rate is due to</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decreased</w:t>
            </w:r>
          </w:p>
        </w:tc>
        <w:tc>
          <w:tcPr>
            <w:tcW w:w="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profit</w:t>
            </w:r>
          </w:p>
        </w:tc>
        <w:tc>
          <w:tcPr>
            <w:tcW w:w="2740" w:type="dxa"/>
            <w:vAlign w:val="bottom"/>
            <w:gridSpan w:val="4"/>
          </w:tcPr>
          <w:p>
            <w:pPr>
              <w:spacing w:after="0"/>
              <w:rPr>
                <w:sz w:val="20"/>
                <w:szCs w:val="20"/>
                <w:color w:val="auto"/>
              </w:rPr>
            </w:pPr>
            <w:r>
              <w:rPr>
                <w:rFonts w:ascii="Courier New" w:cs="Courier New" w:eastAsia="Courier New" w:hAnsi="Courier New"/>
                <w:sz w:val="15"/>
                <w:szCs w:val="15"/>
                <w:color w:val="auto"/>
              </w:rPr>
              <w:t>combined  with  tax  benefits</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such</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as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the</w:t>
            </w: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credit</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for</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research</w:t>
            </w:r>
          </w:p>
        </w:tc>
        <w:tc>
          <w:tcPr>
            <w:tcW w:w="14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activities.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169" w:lineRule="exact"/>
        <w:rPr>
          <w:sz w:val="20"/>
          <w:szCs w:val="20"/>
          <w:color w:val="auto"/>
        </w:rPr>
      </w:pPr>
    </w:p>
    <w:p>
      <w:pPr>
        <w:ind w:left="710" w:hanging="710"/>
        <w:spacing w:after="0"/>
        <w:tabs>
          <w:tab w:leader="none" w:pos="71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2001,  the  Financial  Accounting  Standards  Board  issued</w:t>
      </w:r>
    </w:p>
    <w:p>
      <w:pPr>
        <w:ind w:left="10"/>
        <w:spacing w:after="0" w:line="23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Financial  Accounting  Standards  No.  141,  Business</w:t>
      </w:r>
    </w:p>
    <w:p>
      <w:pPr>
        <w:spacing w:after="0" w:line="175" w:lineRule="exact"/>
        <w:rPr>
          <w:sz w:val="20"/>
          <w:szCs w:val="20"/>
          <w:color w:val="auto"/>
        </w:rPr>
      </w:pPr>
    </w:p>
    <w:p>
      <w:pPr>
        <w:ind w:left="10" w:right="3259"/>
        <w:spacing w:after="0" w:line="199" w:lineRule="auto"/>
        <w:rPr>
          <w:sz w:val="20"/>
          <w:szCs w:val="20"/>
          <w:color w:val="auto"/>
        </w:rPr>
      </w:pPr>
      <w:r>
        <w:rPr>
          <w:rFonts w:ascii="Courier New" w:cs="Courier New" w:eastAsia="Courier New" w:hAnsi="Courier New"/>
          <w:sz w:val="12"/>
          <w:szCs w:val="12"/>
          <w:color w:val="auto"/>
        </w:rPr>
        <w:t>Combinations, and No. 142, Goodwill and Other Intangibles, effective for fiscal years beginning after December 15, 2001. Under the new rules, goodwill and intangible assets deemed to have indefinite lives will no longer be amortized but will be subject to annual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tests in accordance with the Statements. Other intangible assets will continue to be amortized over their useful lives. The company will apply the new rules on accounting for goodwill and other intangible assets beginning in the first quarter of 2002. Application of the non-</w:t>
      </w:r>
    </w:p>
    <w:p>
      <w:pPr>
        <w:spacing w:after="0" w:line="171"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22" w:right="1440"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70"/>
        </w:trPr>
        <w:tc>
          <w:tcPr>
            <w:tcW w:w="5240" w:type="dxa"/>
            <w:vAlign w:val="bottom"/>
            <w:gridSpan w:val="10"/>
          </w:tcPr>
          <w:p>
            <w:pPr>
              <w:spacing w:after="0"/>
              <w:rPr>
                <w:sz w:val="20"/>
                <w:szCs w:val="20"/>
                <w:color w:val="auto"/>
              </w:rPr>
            </w:pPr>
            <w:r>
              <w:rPr>
                <w:rFonts w:ascii="Courier New" w:cs="Courier New" w:eastAsia="Courier New" w:hAnsi="Courier New"/>
                <w:sz w:val="15"/>
                <w:szCs w:val="15"/>
                <w:color w:val="auto"/>
                <w:w w:val="99"/>
              </w:rPr>
              <w:t>amortization  provisions  of  the  Statement  is  expected</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result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in  an</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increase</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net</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of</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about</w:t>
            </w:r>
          </w:p>
        </w:tc>
        <w:tc>
          <w:tcPr>
            <w:tcW w:w="20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$100  million  ($0.06</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per</w:t>
            </w: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share). During</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the</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company</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will</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perform</w:t>
            </w:r>
          </w:p>
        </w:tc>
        <w:tc>
          <w:tcPr>
            <w:tcW w:w="17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the  first  of  the</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required</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impairment</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tests</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rPr>
              <w:t>of</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goodwill</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and</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indefinite</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lived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intangible</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assets</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as  of</w:t>
            </w:r>
          </w:p>
        </w:tc>
        <w:tc>
          <w:tcPr>
            <w:tcW w:w="7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January</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1,  2002</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has</w:t>
            </w:r>
          </w:p>
        </w:tc>
        <w:tc>
          <w:tcPr>
            <w:tcW w:w="326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not  yet  determined  what  effect,</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if</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any,</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these</w:t>
            </w:r>
          </w:p>
        </w:tc>
        <w:tc>
          <w:tcPr>
            <w:tcW w:w="7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tests</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will</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have</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w w:val="88"/>
              </w:rPr>
              <w:t>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earnings</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and</w:t>
            </w: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financial</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position</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of</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the</w:t>
            </w: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company.</w:t>
            </w:r>
          </w:p>
        </w:tc>
      </w:tr>
    </w:tbl>
    <w:p>
      <w:pPr>
        <w:spacing w:after="0" w:line="16" w:lineRule="exact"/>
        <w:rPr>
          <w:sz w:val="20"/>
          <w:szCs w:val="20"/>
          <w:color w:val="auto"/>
        </w:rPr>
      </w:pPr>
    </w:p>
    <w:p>
      <w:pPr>
        <w:ind w:left="710" w:hanging="710"/>
        <w:spacing w:after="0"/>
        <w:tabs>
          <w:tab w:leader="none" w:pos="71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of  operations  and  statements  of  cash flows for the</w:t>
      </w:r>
    </w:p>
    <w:p>
      <w:pPr>
        <w:spacing w:after="0" w:line="170"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periods ended September 30, 2001, and the balance sheet at September 30, 2001, are not audited but reflect all adjustments which are of a normal recurring nature and are, in the opinion of management, necessary for a fair statement of the results of the periods shown.</w:t>
      </w:r>
    </w:p>
    <w:p>
      <w:pPr>
        <w:spacing w:after="0" w:line="171"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2" w:right="1440" w:bottom="1440" w:gutter="0" w:footer="0" w:header="0"/>
        </w:sectPr>
      </w:pPr>
    </w:p>
    <w:bookmarkStart w:id="7" w:name="page8"/>
    <w:bookmarkEnd w:id="7"/>
    <w:p>
      <w:pPr>
        <w:spacing w:after="0" w:line="199" w:lineRule="auto"/>
        <w:framePr w:w="160" w:h="122" w:wrap="auto" w:vAnchor="page" w:hAnchor="page" w:x="4160" w:y="10968"/>
        <w:rPr>
          <w:rFonts w:ascii="Courier New" w:cs="Courier New" w:eastAsia="Courier New" w:hAnsi="Courier New"/>
          <w:sz w:val="13"/>
          <w:szCs w:val="13"/>
          <w:color w:val="auto"/>
        </w:rPr>
      </w:pPr>
      <w:r>
        <w:rPr>
          <w:rFonts w:ascii="Courier New" w:cs="Courier New" w:eastAsia="Courier New" w:hAnsi="Courier New"/>
          <w:sz w:val="13"/>
          <w:szCs w:val="13"/>
          <w:color w:val="auto"/>
        </w:rPr>
        <w:t>8</w:t>
      </w:r>
    </w:p>
    <w:p>
      <w:pPr>
        <w:ind w:left="450" w:hanging="450"/>
        <w:spacing w:after="0"/>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  information  is  as  follows:</w:t>
      </w: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78" w:lineRule="exact"/>
        <w:rPr>
          <w:rFonts w:ascii="Courier New" w:cs="Courier New" w:eastAsia="Courier New" w:hAnsi="Courier New"/>
          <w:sz w:val="13"/>
          <w:szCs w:val="13"/>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220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w w:val="96"/>
              </w:rPr>
              <w:t>For Three Months Ended</w:t>
            </w:r>
          </w:p>
        </w:tc>
        <w:tc>
          <w:tcPr>
            <w:tcW w:w="18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w w:val="96"/>
              </w:rPr>
              <w:t>For Nine Months Ended</w:t>
            </w:r>
          </w:p>
        </w:tc>
      </w:tr>
      <w:tr>
        <w:trPr>
          <w:trHeight w:val="170"/>
        </w:trPr>
        <w:tc>
          <w:tcPr>
            <w:tcW w:w="37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Sept. 30</w:t>
            </w:r>
          </w:p>
        </w:tc>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Sept. 30</w:t>
            </w:r>
          </w:p>
        </w:tc>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Sept. 30</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Sept. 30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Business Segment Net Revenues</w:t>
            </w:r>
          </w:p>
        </w:tc>
        <w:tc>
          <w:tcPr>
            <w:tcW w:w="2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(millions of dollars)</w:t>
            </w:r>
          </w:p>
        </w:tc>
        <w:tc>
          <w:tcPr>
            <w:tcW w:w="2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Semiconductor</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w w:val="97"/>
              </w:rPr>
              <w:t>Trade. . . . . . . . . . . . . . . . . .</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2,688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5,275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7,576</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w w:val="97"/>
              </w:rPr>
              <w:t>Intersegment . . . . . . . . . . . . . .</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170"/>
        </w:trPr>
        <w:tc>
          <w:tcPr>
            <w:tcW w:w="370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1,453</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2,692</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5,286</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7,589</w:t>
            </w:r>
          </w:p>
        </w:tc>
      </w:tr>
      <w:tr>
        <w:trPr>
          <w:trHeight w:val="170"/>
        </w:trPr>
        <w:tc>
          <w:tcPr>
            <w:tcW w:w="370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Sensors &amp; Controls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w w:val="97"/>
              </w:rPr>
              <w:t>Trade. . . . . . . . . . . . . . . . . .</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736</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780</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w w:val="97"/>
              </w:rPr>
              <w:t>Intersegment . . . . . . . . . . . . . .</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739</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780</w:t>
            </w:r>
          </w:p>
        </w:tc>
      </w:tr>
      <w:tr>
        <w:trPr>
          <w:trHeight w:val="170"/>
        </w:trPr>
        <w:tc>
          <w:tcPr>
            <w:tcW w:w="370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Educational &amp; Productivity Solutions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w w:val="97"/>
              </w:rPr>
              <w:t>Trade. . . . . . . . . . . . . . . . . .</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179</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389</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w w:val="97"/>
              </w:rPr>
              <w:t>Corporate activities . . . . . . . . . . .</w:t>
            </w:r>
          </w:p>
        </w:tc>
        <w:tc>
          <w:tcPr>
            <w:tcW w:w="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7"/>
              </w:rPr>
              <w:t>Divested activities. . . . . . . . . . . .</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w:t>
            </w:r>
          </w:p>
        </w:tc>
      </w:tr>
      <w:tr>
        <w:trPr>
          <w:trHeight w:val="170"/>
        </w:trPr>
        <w:tc>
          <w:tcPr>
            <w:tcW w:w="370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7"/>
              </w:rPr>
              <w:t>Total. . . . . . . . . . . . . . . . . . .</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6,414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8,843</w:t>
            </w:r>
          </w:p>
        </w:tc>
      </w:tr>
      <w:tr>
        <w:trPr>
          <w:trHeight w:val="170"/>
        </w:trPr>
        <w:tc>
          <w:tcPr>
            <w:tcW w:w="370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w:t>
            </w:r>
          </w:p>
        </w:tc>
      </w:tr>
      <w:tr>
        <w:trPr>
          <w:trHeight w:val="678"/>
        </w:trPr>
        <w:tc>
          <w:tcPr>
            <w:tcW w:w="3700" w:type="dxa"/>
            <w:vAlign w:val="bottom"/>
          </w:tcPr>
          <w:p>
            <w:pPr>
              <w:spacing w:after="0"/>
              <w:rPr>
                <w:sz w:val="20"/>
                <w:szCs w:val="20"/>
                <w:color w:val="auto"/>
              </w:rPr>
            </w:pPr>
            <w:r>
              <w:rPr>
                <w:rFonts w:ascii="Courier New" w:cs="Courier New" w:eastAsia="Courier New" w:hAnsi="Courier New"/>
                <w:sz w:val="15"/>
                <w:szCs w:val="15"/>
                <w:color w:val="auto"/>
              </w:rPr>
              <w:t>Business Segment Profit (Loss)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(millions of dollars)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7"/>
              </w:rPr>
              <w:t>Semiconductor. . . . . . . . . . . . . . .</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1,927</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7"/>
              </w:rPr>
              <w:t>Sensors &amp; Controls . . . . . . . . . . . .</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7"/>
              </w:rPr>
              <w:t>Educational &amp; Productivity Solutions . . .</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7"/>
              </w:rPr>
              <w:t>Corporate activities . . . . . . . . . . .</w:t>
            </w:r>
          </w:p>
        </w:tc>
        <w:tc>
          <w:tcPr>
            <w:tcW w:w="2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Special charges/gains and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acquisition-related amortization,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w w:val="97"/>
              </w:rPr>
              <w:t>net of applicable profit sharing . . . .</w:t>
            </w:r>
          </w:p>
        </w:tc>
        <w:tc>
          <w:tcPr>
            <w:tcW w:w="2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(510)</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1,353</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w w:val="97"/>
              </w:rPr>
              <w:t>Interest on loans/other income (expense) net,</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excluding a first-quarter 2001 gain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of $3, a third-quarter 2000 gain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$436, and a second-quarter 2000 gain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of $1211 included above in special</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charges/gains and acquisition-related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w w:val="97"/>
              </w:rPr>
              <w:t>amortization . . . . . . . . . . . . . .</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334</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7"/>
              </w:rPr>
              <w:t>Divested activities. . . . . . . . . . . .</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r>
      <w:tr>
        <w:trPr>
          <w:trHeight w:val="170"/>
        </w:trPr>
        <w:tc>
          <w:tcPr>
            <w:tcW w:w="370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Income (loss) before provision for income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taxes and cumulative effect of an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w w:val="97"/>
              </w:rPr>
              <w:t>accounting change. . . . . . . . . . . .</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3,706</w:t>
            </w:r>
          </w:p>
        </w:tc>
      </w:tr>
      <w:tr>
        <w:trPr>
          <w:trHeight w:val="170"/>
        </w:trPr>
        <w:tc>
          <w:tcPr>
            <w:tcW w:w="370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w:t>
            </w:r>
          </w:p>
        </w:tc>
      </w:tr>
    </w:tbl>
    <w:p>
      <w:pPr>
        <w:sectPr>
          <w:pgSz w:w="11900" w:h="16838" w:orient="portrait"/>
          <w:cols w:equalWidth="0" w:num="1">
            <w:col w:w="10229"/>
          </w:cols>
          <w:pgMar w:left="230" w:top="622" w:right="1440" w:bottom="1440" w:gutter="0" w:footer="0" w:header="0"/>
        </w:sectPr>
      </w:pPr>
    </w:p>
    <w:bookmarkStart w:id="8" w:name="page9"/>
    <w:bookmarkEnd w:id="8"/>
    <w:p>
      <w:pPr>
        <w:ind w:left="10" w:right="3539" w:hanging="10"/>
        <w:spacing w:after="0" w:line="238" w:lineRule="auto"/>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Year-to-date acquisition-related purchased in-process research and development (R&amp;D) charges were zero in 2001 and $112 million in 2000. These charges are for R&amp;D from business purchase acquisitions. 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Major</w:t>
            </w:r>
          </w:p>
        </w:tc>
        <w:tc>
          <w:tcPr>
            <w:tcW w:w="136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assumptions,</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detailed  in</w:t>
            </w:r>
          </w:p>
        </w:tc>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the following table, used in determining</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value</w:t>
            </w:r>
          </w:p>
        </w:tc>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significant</w:t>
            </w:r>
          </w:p>
        </w:tc>
        <w:tc>
          <w:tcPr>
            <w:tcW w:w="4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purchased  R&amp;D included the discount rate, the</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estimated</w:t>
            </w:r>
          </w:p>
        </w:tc>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beginning</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date</w:t>
            </w:r>
          </w:p>
        </w:tc>
        <w:tc>
          <w:tcPr>
            <w:tcW w:w="4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of  projected  operating  cash  flows,  and the</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remaining</w:t>
            </w:r>
          </w:p>
        </w:tc>
        <w:tc>
          <w:tcPr>
            <w:tcW w:w="15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cost and time, in</w:t>
            </w:r>
          </w:p>
        </w:tc>
        <w:tc>
          <w:tcPr>
            <w:tcW w:w="4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engineer-months, to complete the R&amp;D projects.</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"engineer</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w w:val="96"/>
              </w:rPr>
              <w:t>month"</w:t>
            </w:r>
          </w:p>
        </w:tc>
        <w:tc>
          <w:tcPr>
            <w:tcW w:w="4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refers to the average amount of research work</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expected</w:t>
            </w:r>
          </w:p>
        </w:tc>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6"/>
              </w:rPr>
              <w:t>to  be</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performed</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by</w:t>
            </w:r>
          </w:p>
        </w:tc>
        <w:tc>
          <w:tcPr>
            <w:tcW w:w="370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7"/>
              </w:rPr>
              <w:t>an  engineer  in  a  month.</w:t>
            </w:r>
          </w:p>
        </w:tc>
      </w:tr>
    </w:tbl>
    <w:p>
      <w:pPr>
        <w:spacing w:after="0" w:line="175" w:lineRule="exact"/>
        <w:rPr>
          <w:sz w:val="20"/>
          <w:szCs w:val="20"/>
          <w:color w:val="auto"/>
        </w:rPr>
      </w:pPr>
    </w:p>
    <w:p>
      <w:pPr>
        <w:ind w:left="10" w:right="3619"/>
        <w:spacing w:after="0" w:line="238"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acquired were the most significant and uncertain assumptions utilized in the valuation analysis of the purchased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173"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62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Millions of Dollars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Cost/time to</w:t>
            </w:r>
          </w:p>
        </w:tc>
        <w:tc>
          <w:tcPr>
            <w:tcW w:w="860" w:type="dxa"/>
            <w:vAlign w:val="bottom"/>
          </w:tcPr>
          <w:p>
            <w:pPr>
              <w:spacing w:after="0"/>
              <w:rPr>
                <w:sz w:val="14"/>
                <w:szCs w:val="14"/>
                <w:color w:val="auto"/>
              </w:rPr>
            </w:pPr>
          </w:p>
        </w:tc>
      </w:tr>
      <w:tr>
        <w:trPr>
          <w:trHeight w:val="170"/>
        </w:trPr>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Purchased</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complete R&amp;D</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Year</w:t>
            </w:r>
          </w:p>
        </w:tc>
      </w:tr>
      <w:tr>
        <w:trPr>
          <w:trHeight w:val="170"/>
        </w:trPr>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in-process</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projects</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5"/>
              </w:rPr>
              <w:t>cash flows</w:t>
            </w:r>
          </w:p>
        </w:tc>
      </w:tr>
      <w:tr>
        <w:trPr>
          <w:trHeight w:val="170"/>
        </w:trPr>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Entity</w:t>
            </w:r>
          </w:p>
        </w:tc>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Acquisition</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Consid-</w:t>
            </w:r>
          </w:p>
        </w:tc>
        <w:tc>
          <w:tcPr>
            <w:tcW w:w="84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Other</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w w:val="99"/>
              </w:rPr>
              <w:t>Deferred</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R&amp;D</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Appraisal</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R&amp;D</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Discount</w:t>
            </w:r>
          </w:p>
        </w:tc>
        <w:tc>
          <w:tcPr>
            <w:tcW w:w="18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projected</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acquired</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date</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eration</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Goodwill</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intan-</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compen-</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charge</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method</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focus</w:t>
            </w:r>
          </w:p>
        </w:tc>
        <w:tc>
          <w:tcPr>
            <w:tcW w:w="780" w:type="dxa"/>
            <w:vAlign w:val="bottom"/>
          </w:tcPr>
          <w:p>
            <w:pPr>
              <w:ind w:left="220"/>
              <w:spacing w:after="0"/>
              <w:rPr>
                <w:sz w:val="20"/>
                <w:szCs w:val="20"/>
                <w:color w:val="auto"/>
              </w:rPr>
            </w:pPr>
            <w:r>
              <w:rPr>
                <w:rFonts w:ascii="Courier New" w:cs="Courier New" w:eastAsia="Courier New" w:hAnsi="Courier New"/>
                <w:sz w:val="15"/>
                <w:szCs w:val="15"/>
                <w:color w:val="auto"/>
              </w:rPr>
              <w:t>rate</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w w:val="94"/>
              </w:rPr>
              <w:t>At acquisi-</w:t>
            </w:r>
          </w:p>
        </w:tc>
        <w:tc>
          <w:tcPr>
            <w:tcW w:w="8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At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7"/>
              </w:rPr>
              <w:t>to begin</w:t>
            </w:r>
          </w:p>
        </w:tc>
      </w:tr>
      <w:tr>
        <w:trPr>
          <w:trHeight w:val="170"/>
        </w:trPr>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gibles</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sation</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tion</w:t>
            </w:r>
          </w:p>
        </w:tc>
        <w:tc>
          <w:tcPr>
            <w:tcW w:w="1660" w:type="dxa"/>
            <w:vAlign w:val="bottom"/>
            <w:gridSpan w:val="2"/>
          </w:tcPr>
          <w:p>
            <w:pPr>
              <w:jc w:val="center"/>
              <w:ind w:right="707"/>
              <w:spacing w:after="0"/>
              <w:rPr>
                <w:sz w:val="20"/>
                <w:szCs w:val="20"/>
                <w:color w:val="auto"/>
              </w:rPr>
            </w:pPr>
            <w:r>
              <w:rPr>
                <w:rFonts w:ascii="Courier New" w:cs="Courier New" w:eastAsia="Courier New" w:hAnsi="Courier New"/>
                <w:sz w:val="15"/>
                <w:szCs w:val="15"/>
                <w:color w:val="auto"/>
                <w:w w:val="97"/>
              </w:rPr>
              <w:t>Sept. 2001</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 ---------- --------</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Alantro</w:t>
            </w:r>
          </w:p>
        </w:tc>
        <w:tc>
          <w:tcPr>
            <w:tcW w:w="1000" w:type="dxa"/>
            <w:vAlign w:val="bottom"/>
          </w:tcPr>
          <w:p>
            <w:pPr>
              <w:ind w:left="160"/>
              <w:spacing w:after="0"/>
              <w:rPr>
                <w:sz w:val="20"/>
                <w:szCs w:val="20"/>
                <w:color w:val="auto"/>
              </w:rPr>
            </w:pPr>
            <w:r>
              <w:rPr>
                <w:rFonts w:ascii="Courier New" w:cs="Courier New" w:eastAsia="Courier New" w:hAnsi="Courier New"/>
                <w:sz w:val="15"/>
                <w:szCs w:val="15"/>
                <w:color w:val="auto"/>
              </w:rPr>
              <w:t>Third</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$277</w:t>
            </w:r>
          </w:p>
        </w:tc>
        <w:tc>
          <w:tcPr>
            <w:tcW w:w="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$148</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$ 81</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$ 32</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$ 52</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Exclusion</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Wireless</w:t>
            </w:r>
          </w:p>
        </w:tc>
        <w:tc>
          <w:tcPr>
            <w:tcW w:w="780" w:type="dxa"/>
            <w:vAlign w:val="bottom"/>
          </w:tcPr>
          <w:p>
            <w:pPr>
              <w:ind w:left="220"/>
              <w:spacing w:after="0"/>
              <w:rPr>
                <w:sz w:val="20"/>
                <w:szCs w:val="20"/>
                <w:color w:val="auto"/>
              </w:rPr>
            </w:pPr>
            <w:r>
              <w:rPr>
                <w:rFonts w:ascii="Courier New" w:cs="Courier New" w:eastAsia="Courier New" w:hAnsi="Courier New"/>
                <w:sz w:val="15"/>
                <w:szCs w:val="15"/>
                <w:color w:val="auto"/>
              </w:rPr>
              <w:t>24%</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$4.1/</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$1.7/66</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r>
      <w:tr>
        <w:trPr>
          <w:trHeight w:val="170"/>
        </w:trPr>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Commun-</w:t>
            </w:r>
          </w:p>
        </w:tc>
        <w:tc>
          <w:tcPr>
            <w:tcW w:w="1000" w:type="dxa"/>
            <w:vAlign w:val="bottom"/>
          </w:tcPr>
          <w:p>
            <w:pPr>
              <w:ind w:left="160"/>
              <w:spacing w:after="0"/>
              <w:rPr>
                <w:sz w:val="20"/>
                <w:szCs w:val="20"/>
                <w:color w:val="auto"/>
              </w:rPr>
            </w:pPr>
            <w:r>
              <w:rPr>
                <w:rFonts w:ascii="Courier New" w:cs="Courier New" w:eastAsia="Courier New" w:hAnsi="Courier New"/>
                <w:sz w:val="15"/>
                <w:szCs w:val="15"/>
                <w:color w:val="auto"/>
              </w:rPr>
              <w:t>quarter</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approach</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networking</w:t>
            </w:r>
          </w:p>
        </w:tc>
        <w:tc>
          <w:tcPr>
            <w:tcW w:w="78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256</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engineer</w:t>
            </w:r>
          </w:p>
        </w:tc>
        <w:tc>
          <w:tcPr>
            <w:tcW w:w="860" w:type="dxa"/>
            <w:vAlign w:val="bottom"/>
          </w:tcPr>
          <w:p>
            <w:pPr>
              <w:spacing w:after="0"/>
              <w:rPr>
                <w:sz w:val="14"/>
                <w:szCs w:val="14"/>
                <w:color w:val="auto"/>
              </w:rPr>
            </w:pPr>
          </w:p>
        </w:tc>
      </w:tr>
      <w:tr>
        <w:trPr>
          <w:trHeight w:val="170"/>
        </w:trPr>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ications,</w:t>
            </w:r>
          </w:p>
        </w:tc>
        <w:tc>
          <w:tcPr>
            <w:tcW w:w="1000" w:type="dxa"/>
            <w:vAlign w:val="bottom"/>
          </w:tcPr>
          <w:p>
            <w:pPr>
              <w:ind w:left="160"/>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technology</w:t>
            </w:r>
          </w:p>
        </w:tc>
        <w:tc>
          <w:tcPr>
            <w:tcW w:w="78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engineer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months</w:t>
            </w:r>
          </w:p>
        </w:tc>
        <w:tc>
          <w:tcPr>
            <w:tcW w:w="860" w:type="dxa"/>
            <w:vAlign w:val="bottom"/>
          </w:tcPr>
          <w:p>
            <w:pPr>
              <w:spacing w:after="0"/>
              <w:rPr>
                <w:sz w:val="14"/>
                <w:szCs w:val="14"/>
                <w:color w:val="auto"/>
              </w:rPr>
            </w:pPr>
          </w:p>
        </w:tc>
      </w:tr>
      <w:tr>
        <w:trPr>
          <w:trHeight w:val="170"/>
        </w:trPr>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for home</w:t>
            </w:r>
          </w:p>
        </w:tc>
        <w:tc>
          <w:tcPr>
            <w:tcW w:w="78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months</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and office</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9"/>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520"/>
          </w:cols>
          <w:pgMar w:left="240" w:top="1130" w:right="139" w:bottom="1440" w:gutter="0" w:footer="0" w:header="0"/>
        </w:sectPr>
      </w:pPr>
    </w:p>
    <w:bookmarkStart w:id="10" w:name="page11"/>
    <w:bookmarkEnd w:id="10"/>
    <w:p>
      <w:pPr>
        <w:ind w:left="450" w:right="4240" w:hanging="450"/>
        <w:spacing w:after="0" w:line="235" w:lineRule="auto"/>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reconciliation of individual restructuring accruals (in millions of dollars).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of</w:t>
            </w:r>
          </w:p>
        </w:tc>
        <w:tc>
          <w:tcPr>
            <w:tcW w:w="11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2"/>
              </w:rPr>
              <w:t>Charge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20" w:type="dxa"/>
            <w:vAlign w:val="bottom"/>
            <w:gridSpan w:val="11"/>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Balance,</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prior</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2001</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60" w:type="dxa"/>
            <w:vAlign w:val="bottom"/>
            <w:gridSpan w:val="9"/>
          </w:tcPr>
          <w:p>
            <w:pPr>
              <w:jc w:val="right"/>
              <w:ind w:right="107"/>
              <w:spacing w:after="0"/>
              <w:rPr>
                <w:sz w:val="20"/>
                <w:szCs w:val="20"/>
                <w:color w:val="auto"/>
              </w:rPr>
            </w:pPr>
            <w:r>
              <w:rPr>
                <w:rFonts w:ascii="Courier New" w:cs="Courier New" w:eastAsia="Courier New" w:hAnsi="Courier New"/>
                <w:sz w:val="15"/>
                <w:szCs w:val="15"/>
                <w:color w:val="auto"/>
              </w:rPr>
              <w:t>actions - primarily ------------------------------------</w:t>
            </w:r>
          </w:p>
        </w:tc>
        <w:tc>
          <w:tcPr>
            <w:tcW w:w="3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severance and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Voluntary/</w:t>
            </w:r>
          </w:p>
        </w:tc>
        <w:tc>
          <w:tcPr>
            <w:tcW w:w="14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SC</w:t>
            </w:r>
          </w:p>
        </w:tc>
        <w:tc>
          <w:tcPr>
            <w:tcW w:w="28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SC</w:t>
            </w:r>
          </w:p>
        </w:tc>
      </w:t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business</w:t>
            </w:r>
          </w:p>
        </w:tc>
        <w:tc>
          <w:tcPr>
            <w:tcW w:w="1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S&amp;C</w:t>
            </w:r>
          </w:p>
        </w:tc>
        <w:tc>
          <w:tcPr>
            <w:tcW w:w="14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SC and S&amp;C</w:t>
            </w:r>
          </w:p>
        </w:tc>
        <w:tc>
          <w:tcPr>
            <w:tcW w:w="700" w:type="dxa"/>
            <w:vAlign w:val="bottom"/>
          </w:tcPr>
          <w:p>
            <w:pPr>
              <w:ind w:left="360"/>
              <w:spacing w:after="0"/>
              <w:rPr>
                <w:sz w:val="20"/>
                <w:szCs w:val="20"/>
                <w:color w:val="auto"/>
              </w:rPr>
            </w:pPr>
            <w:r>
              <w:rPr>
                <w:rFonts w:ascii="Courier New" w:cs="Courier New" w:eastAsia="Courier New" w:hAnsi="Courier New"/>
                <w:sz w:val="15"/>
                <w:szCs w:val="15"/>
                <w:color w:val="auto"/>
                <w:w w:val="88"/>
              </w:rPr>
              <w:t>E&amp;PS</w:t>
            </w:r>
          </w:p>
        </w:tc>
        <w:tc>
          <w:tcPr>
            <w:tcW w:w="3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involuntary</w:t>
            </w:r>
          </w:p>
        </w:tc>
        <w:tc>
          <w:tcPr>
            <w:tcW w:w="14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site</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international</w:t>
            </w:r>
          </w:p>
        </w:tc>
      </w:t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divestiture</w:t>
            </w:r>
          </w:p>
        </w:tc>
        <w:tc>
          <w:tcPr>
            <w:tcW w:w="1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site</w:t>
            </w:r>
          </w:p>
        </w:tc>
        <w:tc>
          <w:tcPr>
            <w:tcW w:w="14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restructuring</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severance</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program</w:t>
            </w:r>
          </w:p>
        </w:tc>
        <w:tc>
          <w:tcPr>
            <w:tcW w:w="14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closings restructuring</w:t>
            </w: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Description*</w:t>
            </w:r>
          </w:p>
        </w:tc>
        <w:tc>
          <w:tcPr>
            <w:tcW w:w="1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Total</w:t>
            </w:r>
          </w:p>
        </w:tc>
        <w:tc>
          <w:tcPr>
            <w:tcW w:w="14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related</w:t>
            </w:r>
          </w:p>
        </w:tc>
        <w:tc>
          <w:tcPr>
            <w:tcW w:w="1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closing</w:t>
            </w:r>
          </w:p>
        </w:tc>
        <w:tc>
          <w:tcPr>
            <w:tcW w:w="1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actions</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action</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in U.S.</w:t>
            </w:r>
          </w:p>
        </w:tc>
        <w:tc>
          <w:tcPr>
            <w:tcW w:w="14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in U.S.</w:t>
            </w: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actions</w:t>
            </w: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BALANCE, DECEMBER 31, 2000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CHARGES:</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Severance</w:t>
            </w:r>
          </w:p>
        </w:tc>
        <w:tc>
          <w:tcPr>
            <w:tcW w:w="1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w:t>
            </w: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Asset write-downs</w:t>
            </w:r>
          </w:p>
        </w:tc>
        <w:tc>
          <w:tcPr>
            <w:tcW w:w="1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Various charges</w:t>
            </w:r>
          </w:p>
        </w:tc>
        <w:tc>
          <w:tcPr>
            <w:tcW w:w="1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DISPOSITIONS: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Change in estimates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Non-cash write-down</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4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of assets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Severance payments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1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7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BALANCE, March 31, 2001</w:t>
            </w:r>
          </w:p>
        </w:tc>
        <w:tc>
          <w:tcPr>
            <w:tcW w:w="180" w:type="dxa"/>
            <w:vAlign w:val="bottom"/>
          </w:tcPr>
          <w:p>
            <w:pPr>
              <w:spacing w:after="0"/>
              <w:rPr>
                <w:sz w:val="24"/>
                <w:szCs w:val="2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107</w:t>
            </w:r>
          </w:p>
        </w:tc>
        <w:tc>
          <w:tcPr>
            <w:tcW w:w="840" w:type="dxa"/>
            <w:vAlign w:val="bottom"/>
          </w:tcPr>
          <w:p>
            <w:pPr>
              <w:spacing w:after="0"/>
              <w:rPr>
                <w:sz w:val="24"/>
                <w:szCs w:val="2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w:t>
            </w:r>
          </w:p>
        </w:tc>
        <w:tc>
          <w:tcPr>
            <w:tcW w:w="10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14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700" w:type="dxa"/>
            <w:vAlign w:val="bottom"/>
          </w:tcPr>
          <w:p>
            <w:pPr>
              <w:spacing w:after="0"/>
              <w:rPr>
                <w:sz w:val="24"/>
                <w:szCs w:val="24"/>
                <w:color w:val="auto"/>
              </w:rPr>
            </w:pP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w:t>
            </w:r>
          </w:p>
        </w:tc>
        <w:tc>
          <w:tcPr>
            <w:tcW w:w="1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280" w:type="dxa"/>
            <w:vAlign w:val="bottom"/>
          </w:tcPr>
          <w:p>
            <w:pPr>
              <w:spacing w:after="0"/>
              <w:rPr>
                <w:sz w:val="24"/>
                <w:szCs w:val="2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CHARGES:</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Severance</w:t>
            </w:r>
          </w:p>
        </w:tc>
        <w:tc>
          <w:tcPr>
            <w:tcW w:w="1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172</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w:t>
            </w: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Asset write-downs</w:t>
            </w:r>
          </w:p>
        </w:tc>
        <w:tc>
          <w:tcPr>
            <w:tcW w:w="1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Various charges</w:t>
            </w:r>
          </w:p>
        </w:tc>
        <w:tc>
          <w:tcPr>
            <w:tcW w:w="1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FAS 88</w:t>
            </w: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w:t>
            </w:r>
          </w:p>
        </w:tc>
      </w:tr>
      <w:tr>
        <w:trPr>
          <w:trHeight w:val="339"/>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DISPOSITIONS: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Various payments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Non-cash write-down</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4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of assets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Pension payments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Severance payments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8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1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w:t>
            </w:r>
          </w:p>
        </w:tc>
        <w:tc>
          <w:tcPr>
            <w:tcW w:w="14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424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  ---------  ----------  ---------</w:t>
            </w:r>
          </w:p>
        </w:tc>
      </w:tr>
      <w:tr>
        <w:trPr>
          <w:trHeight w:val="339"/>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BALANCE, June 30, 2001</w:t>
            </w:r>
          </w:p>
        </w:tc>
        <w:tc>
          <w:tcPr>
            <w:tcW w:w="180" w:type="dxa"/>
            <w:vAlign w:val="bottom"/>
          </w:tcPr>
          <w:p>
            <w:pPr>
              <w:spacing w:after="0"/>
              <w:rPr>
                <w:sz w:val="24"/>
                <w:szCs w:val="2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213</w:t>
            </w:r>
          </w:p>
        </w:tc>
        <w:tc>
          <w:tcPr>
            <w:tcW w:w="840" w:type="dxa"/>
            <w:vAlign w:val="bottom"/>
          </w:tcPr>
          <w:p>
            <w:pPr>
              <w:spacing w:after="0"/>
              <w:rPr>
                <w:sz w:val="24"/>
                <w:szCs w:val="2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w:t>
            </w:r>
          </w:p>
        </w:tc>
        <w:tc>
          <w:tcPr>
            <w:tcW w:w="10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w:t>
            </w:r>
          </w:p>
        </w:tc>
        <w:tc>
          <w:tcPr>
            <w:tcW w:w="14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700" w:type="dxa"/>
            <w:vAlign w:val="bottom"/>
          </w:tcPr>
          <w:p>
            <w:pPr>
              <w:spacing w:after="0"/>
              <w:rPr>
                <w:sz w:val="24"/>
                <w:szCs w:val="24"/>
                <w:color w:val="auto"/>
              </w:rPr>
            </w:pP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w:t>
            </w:r>
          </w:p>
        </w:tc>
        <w:tc>
          <w:tcPr>
            <w:tcW w:w="1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c>
          <w:tcPr>
            <w:tcW w:w="280" w:type="dxa"/>
            <w:vAlign w:val="bottom"/>
          </w:tcPr>
          <w:p>
            <w:pPr>
              <w:spacing w:after="0"/>
              <w:rPr>
                <w:sz w:val="24"/>
                <w:szCs w:val="2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w:t>
            </w:r>
          </w:p>
        </w:tc>
      </w:t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424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  ---------  ----------  ---------</w:t>
            </w:r>
          </w:p>
        </w:tc>
      </w:tr>
      <w:tr>
        <w:trPr>
          <w:trHeight w:val="339"/>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CHARGES:</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Severance</w:t>
            </w:r>
          </w:p>
        </w:tc>
        <w:tc>
          <w:tcPr>
            <w:tcW w:w="1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w:t>
            </w: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Asset write-downs</w:t>
            </w:r>
          </w:p>
        </w:tc>
        <w:tc>
          <w:tcPr>
            <w:tcW w:w="1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Various charges</w:t>
            </w:r>
          </w:p>
        </w:tc>
        <w:tc>
          <w:tcPr>
            <w:tcW w:w="1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FAS 88</w:t>
            </w: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w:t>
            </w:r>
          </w:p>
        </w:tc>
      </w:tr>
      <w:tr>
        <w:trPr>
          <w:trHeight w:val="339"/>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DISPOSITIONS: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Various payments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Non-cash write-down</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4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of assets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Pension payments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170"/>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Severance payments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8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w:t>
            </w:r>
          </w:p>
        </w:tc>
        <w:tc>
          <w:tcPr>
            <w:tcW w:w="14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2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w:t>
            </w:r>
          </w:p>
        </w:tc>
      </w:t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BALANCE, September 30, 2001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161</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w:t>
            </w:r>
          </w:p>
        </w:tc>
      </w:tr>
      <w:tr>
        <w:trPr>
          <w:trHeight w:val="170"/>
        </w:trPr>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509"/>
        </w:trPr>
        <w:tc>
          <w:tcPr>
            <w:tcW w:w="2460" w:type="dxa"/>
            <w:vAlign w:val="bottom"/>
            <w:gridSpan w:val="3"/>
          </w:tcPr>
          <w:p>
            <w:pPr>
              <w:spacing w:after="0"/>
              <w:rPr>
                <w:sz w:val="20"/>
                <w:szCs w:val="20"/>
                <w:color w:val="auto"/>
              </w:rPr>
            </w:pPr>
            <w:r>
              <w:rPr>
                <w:rFonts w:ascii="Courier New" w:cs="Courier New" w:eastAsia="Courier New" w:hAnsi="Courier New"/>
                <w:sz w:val="15"/>
                <w:szCs w:val="15"/>
                <w:color w:val="auto"/>
              </w:rPr>
              <w:t>*Abbreviations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SC</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w w:val="96"/>
              </w:rPr>
              <w:t>Semiconductor Business</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S&amp;C</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500" w:type="dxa"/>
            <w:vAlign w:val="bottom"/>
            <w:gridSpan w:val="3"/>
          </w:tcPr>
          <w:p>
            <w:pPr>
              <w:spacing w:after="0"/>
              <w:rPr>
                <w:sz w:val="20"/>
                <w:szCs w:val="20"/>
                <w:color w:val="auto"/>
              </w:rPr>
            </w:pPr>
            <w:r>
              <w:rPr>
                <w:rFonts w:ascii="Courier New" w:cs="Courier New" w:eastAsia="Courier New" w:hAnsi="Courier New"/>
                <w:sz w:val="15"/>
                <w:szCs w:val="15"/>
                <w:color w:val="auto"/>
              </w:rPr>
              <w:t>Sensors &amp; Controls Business</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E&amp;PS =</w:t>
            </w:r>
          </w:p>
        </w:tc>
        <w:tc>
          <w:tcPr>
            <w:tcW w:w="3960" w:type="dxa"/>
            <w:vAlign w:val="bottom"/>
            <w:gridSpan w:val="5"/>
          </w:tcPr>
          <w:p>
            <w:pPr>
              <w:spacing w:after="0"/>
              <w:rPr>
                <w:sz w:val="20"/>
                <w:szCs w:val="20"/>
                <w:color w:val="auto"/>
              </w:rPr>
            </w:pPr>
            <w:r>
              <w:rPr>
                <w:rFonts w:ascii="Courier New" w:cs="Courier New" w:eastAsia="Courier New" w:hAnsi="Courier New"/>
                <w:sz w:val="15"/>
                <w:szCs w:val="15"/>
                <w:color w:val="auto"/>
                <w:w w:val="97"/>
              </w:rPr>
              <w:t>Educational &amp; Productivity Solutions Business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90"/>
          </w:cols>
          <w:pgMar w:left="230" w:top="627" w:right="379" w:bottom="1440" w:gutter="0" w:footer="0" w:header="0"/>
        </w:sectPr>
      </w:pPr>
    </w:p>
    <w:bookmarkStart w:id="11" w:name="page12"/>
    <w:bookmarkEnd w:id="11"/>
    <w:p>
      <w:pPr>
        <w:jc w:val="both"/>
        <w:ind w:left="10" w:right="3179"/>
        <w:spacing w:after="0" w:line="235"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6"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The Registrant (the "company" or "TI") announced third-quarter financial results that show the company's third-quarter revenue was $1849 million, down 9 percent from the second quarter and slightly better than the company's outlook issued in July for a decline of 10 to 15 percent. Orders, which had fallen 10 percent sequentially in the second quarter, declined 4 percent sequentially in the third quarter to $1638 million. Semiconductor orders were about even with the second-quarter level.</w:t>
      </w:r>
    </w:p>
    <w:p>
      <w:pPr>
        <w:spacing w:after="0" w:line="177"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TI's overall book-to-bill for semiconductors continued to rise sequentially, and TI's DSP book-to-bill exceeded one for the second consecutive quarter. DSP revenue was up 10 percent sequentially and orders were up 11 percent sequentially. Orders for high-performance Analog turned the corner and increased 10 percent sequentially.</w:t>
      </w:r>
    </w:p>
    <w:p>
      <w:pPr>
        <w:spacing w:after="0" w:line="178"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Inventory was reduced by $182 million from the end of the second quarter. Despite the decline in revenue, days of inventory were reduced to 58 from 72 at the end of the second quarter. Cash flow from operations was $334 million, and free cash flow was $22 million. The company also repurchased $152 million of company stock.</w:t>
      </w:r>
    </w:p>
    <w:p>
      <w:pPr>
        <w:spacing w:after="0" w:line="173" w:lineRule="exact"/>
        <w:rPr>
          <w:sz w:val="20"/>
          <w:szCs w:val="20"/>
          <w:color w:val="auto"/>
        </w:rPr>
      </w:pPr>
    </w:p>
    <w:p>
      <w:pPr>
        <w:ind w:left="10"/>
        <w:spacing w:after="0"/>
        <w:tabs>
          <w:tab w:leader="none" w:pos="769" w:val="left"/>
          <w:tab w:leader="none" w:pos="1129" w:val="left"/>
          <w:tab w:leader="none" w:pos="2089" w:val="left"/>
        </w:tabs>
        <w:rPr>
          <w:sz w:val="20"/>
          <w:szCs w:val="20"/>
          <w:color w:val="auto"/>
        </w:rPr>
      </w:pPr>
      <w:r>
        <w:rPr>
          <w:rFonts w:ascii="Courier New" w:cs="Courier New" w:eastAsia="Courier New" w:hAnsi="Courier New"/>
          <w:sz w:val="15"/>
          <w:szCs w:val="15"/>
          <w:color w:val="auto"/>
        </w:rPr>
        <w:t>SUMMARY</w:t>
        <w:tab/>
        <w:t>OF</w:t>
        <w:tab/>
        <w:t>FINANCIAL</w:t>
      </w:r>
      <w:r>
        <w:rPr>
          <w:sz w:val="20"/>
          <w:szCs w:val="20"/>
          <w:color w:val="auto"/>
        </w:rPr>
        <w:tab/>
      </w:r>
      <w:r>
        <w:rPr>
          <w:rFonts w:ascii="Courier New" w:cs="Courier New" w:eastAsia="Courier New" w:hAnsi="Courier New"/>
          <w:sz w:val="14"/>
          <w:szCs w:val="14"/>
          <w:color w:val="auto"/>
        </w:rPr>
        <w:t>RESULTS</w:t>
      </w:r>
    </w:p>
    <w:p>
      <w:pPr>
        <w:spacing w:after="0" w:line="169" w:lineRule="exact"/>
        <w:rPr>
          <w:sz w:val="20"/>
          <w:szCs w:val="20"/>
          <w:color w:val="auto"/>
        </w:rPr>
      </w:pPr>
    </w:p>
    <w:p>
      <w:pPr>
        <w:ind w:left="10"/>
        <w:spacing w:after="0"/>
        <w:tabs>
          <w:tab w:leader="none" w:pos="429" w:val="left"/>
          <w:tab w:leader="none" w:pos="869" w:val="left"/>
          <w:tab w:leader="none" w:pos="1469" w:val="left"/>
          <w:tab w:leader="none" w:pos="2269" w:val="left"/>
          <w:tab w:leader="none" w:pos="2629" w:val="left"/>
          <w:tab w:leader="none" w:pos="3249" w:val="left"/>
          <w:tab w:leader="none" w:pos="3589" w:val="left"/>
          <w:tab w:leader="none" w:pos="4469" w:val="left"/>
          <w:tab w:leader="none" w:pos="4909" w:val="left"/>
        </w:tabs>
        <w:rPr>
          <w:sz w:val="20"/>
          <w:szCs w:val="20"/>
          <w:color w:val="auto"/>
        </w:rPr>
      </w:pPr>
      <w:r>
        <w:rPr>
          <w:rFonts w:ascii="Courier New" w:cs="Courier New" w:eastAsia="Courier New" w:hAnsi="Courier New"/>
          <w:sz w:val="15"/>
          <w:szCs w:val="15"/>
          <w:color w:val="auto"/>
        </w:rPr>
        <w:t>For</w:t>
        <w:tab/>
        <w:t>the</w:t>
        <w:tab/>
        <w:t>third</w:t>
        <w:tab/>
        <w:t>quarter</w:t>
        <w:tab/>
        <w:t>of</w:t>
        <w:tab/>
        <w:t>2001,</w:t>
        <w:tab/>
        <w:t>TI</w:t>
        <w:tab/>
        <w:t>reported</w:t>
        <w:tab/>
        <w:t>the</w:t>
      </w:r>
      <w:r>
        <w:rPr>
          <w:sz w:val="20"/>
          <w:szCs w:val="20"/>
          <w:color w:val="auto"/>
        </w:rPr>
        <w:tab/>
      </w:r>
      <w:r>
        <w:rPr>
          <w:rFonts w:ascii="Courier New" w:cs="Courier New" w:eastAsia="Courier New" w:hAnsi="Courier New"/>
          <w:sz w:val="14"/>
          <w:szCs w:val="14"/>
          <w:color w:val="auto"/>
        </w:rPr>
        <w:t>following:</w:t>
      </w:r>
    </w:p>
    <w:p>
      <w:pPr>
        <w:spacing w:after="0" w:line="175" w:lineRule="exact"/>
        <w:rPr>
          <w:sz w:val="20"/>
          <w:szCs w:val="20"/>
          <w:color w:val="auto"/>
        </w:rPr>
      </w:pPr>
    </w:p>
    <w:p>
      <w:pPr>
        <w:ind w:left="270" w:right="3439" w:hanging="270"/>
        <w:spacing w:after="0" w:line="235" w:lineRule="auto"/>
        <w:tabs>
          <w:tab w:leader="none" w:pos="2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revenue for TI was $1849 million, down 41 percent from $3149 million in the year-ago quarter and down 9 percent sequentially</w:t>
      </w:r>
    </w:p>
    <w:p>
      <w:pPr>
        <w:spacing w:after="0" w:line="1" w:lineRule="exact"/>
        <w:rPr>
          <w:rFonts w:ascii="Courier New" w:cs="Courier New" w:eastAsia="Courier New" w:hAnsi="Courier New"/>
          <w:sz w:val="15"/>
          <w:szCs w:val="15"/>
          <w:color w:val="auto"/>
        </w:rPr>
      </w:pPr>
    </w:p>
    <w:p>
      <w:pPr>
        <w:ind w:left="2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due to weakness  in  Semiconductor.</w:t>
      </w:r>
    </w:p>
    <w:p>
      <w:pPr>
        <w:spacing w:after="0" w:line="174" w:lineRule="exact"/>
        <w:rPr>
          <w:rFonts w:ascii="Courier New" w:cs="Courier New" w:eastAsia="Courier New" w:hAnsi="Courier New"/>
          <w:sz w:val="15"/>
          <w:szCs w:val="15"/>
          <w:color w:val="auto"/>
        </w:rPr>
      </w:pPr>
    </w:p>
    <w:p>
      <w:pPr>
        <w:jc w:val="both"/>
        <w:ind w:left="270" w:right="3439" w:hanging="270"/>
        <w:spacing w:after="0" w:line="235" w:lineRule="auto"/>
        <w:tabs>
          <w:tab w:leader="none" w:pos="2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revenues in the third quarter was $1424 million, compared with $1637 million in the year-ago quarter. Cost of revenues decreased</w:t>
      </w:r>
    </w:p>
    <w:p>
      <w:pPr>
        <w:spacing w:after="0" w:line="1" w:lineRule="exact"/>
        <w:rPr>
          <w:sz w:val="20"/>
          <w:szCs w:val="20"/>
          <w:color w:val="auto"/>
        </w:rPr>
      </w:pPr>
    </w:p>
    <w:p>
      <w:pPr>
        <w:ind w:left="270"/>
        <w:spacing w:after="0"/>
        <w:tabs>
          <w:tab w:leader="none" w:pos="1209" w:val="left"/>
          <w:tab w:leader="none" w:pos="1649" w:val="left"/>
          <w:tab w:leader="none" w:pos="2009" w:val="left"/>
          <w:tab w:leader="none" w:pos="2969" w:val="left"/>
          <w:tab w:leader="none" w:pos="4289" w:val="left"/>
        </w:tabs>
        <w:rPr>
          <w:sz w:val="20"/>
          <w:szCs w:val="20"/>
          <w:color w:val="auto"/>
        </w:rPr>
      </w:pPr>
      <w:r>
        <w:rPr>
          <w:rFonts w:ascii="Courier New" w:cs="Courier New" w:eastAsia="Courier New" w:hAnsi="Courier New"/>
          <w:sz w:val="15"/>
          <w:szCs w:val="15"/>
          <w:color w:val="auto"/>
        </w:rPr>
        <w:t>primarily</w:t>
        <w:tab/>
        <w:t>due</w:t>
        <w:tab/>
        <w:t>to</w:t>
        <w:tab/>
        <w:t>decreased</w:t>
        <w:tab/>
        <w:t>Semiconductor</w:t>
        <w:tab/>
        <w:t>revenue.</w:t>
      </w:r>
    </w:p>
    <w:p>
      <w:pPr>
        <w:spacing w:after="0" w:line="175" w:lineRule="exact"/>
        <w:rPr>
          <w:sz w:val="20"/>
          <w:szCs w:val="20"/>
          <w:color w:val="auto"/>
        </w:rPr>
      </w:pPr>
    </w:p>
    <w:p>
      <w:pPr>
        <w:ind w:left="270" w:right="3359" w:hanging="270"/>
        <w:spacing w:after="0" w:line="235" w:lineRule="auto"/>
        <w:tabs>
          <w:tab w:leader="none" w:pos="2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(R&amp;D) totaled $358 million, down from $533 million in the third quarter of 2000 primarily due to acquisition-</w:t>
      </w:r>
    </w:p>
    <w:p>
      <w:pPr>
        <w:spacing w:after="0" w:line="1" w:lineRule="exact"/>
        <w:rPr>
          <w:sz w:val="20"/>
          <w:szCs w:val="20"/>
          <w:color w:val="auto"/>
        </w:rPr>
      </w:pPr>
    </w:p>
    <w:p>
      <w:pPr>
        <w:ind w:left="270"/>
        <w:spacing w:after="0"/>
        <w:tabs>
          <w:tab w:leader="none" w:pos="1029" w:val="left"/>
          <w:tab w:leader="none" w:pos="1829" w:val="left"/>
          <w:tab w:leader="none" w:pos="2269" w:val="left"/>
          <w:tab w:leader="none" w:pos="3329" w:val="left"/>
          <w:tab w:leader="none" w:pos="3769" w:val="left"/>
          <w:tab w:leader="none" w:pos="4129" w:val="left"/>
          <w:tab w:leader="none" w:pos="4569" w:val="left"/>
          <w:tab w:leader="none" w:pos="5189" w:val="left"/>
          <w:tab w:leader="none" w:pos="5969" w:val="left"/>
          <w:tab w:leader="none" w:pos="6329" w:val="left"/>
        </w:tabs>
        <w:rPr>
          <w:sz w:val="20"/>
          <w:szCs w:val="20"/>
          <w:color w:val="auto"/>
        </w:rPr>
      </w:pPr>
      <w:r>
        <w:rPr>
          <w:rFonts w:ascii="Courier New" w:cs="Courier New" w:eastAsia="Courier New" w:hAnsi="Courier New"/>
          <w:sz w:val="15"/>
          <w:szCs w:val="15"/>
          <w:color w:val="auto"/>
        </w:rPr>
        <w:t>related</w:t>
        <w:tab/>
        <w:t>charges</w:t>
        <w:tab/>
        <w:t>for</w:t>
        <w:tab/>
        <w:t>in-process</w:t>
        <w:tab/>
        <w:t>R&amp;D</w:t>
        <w:tab/>
        <w:t>in</w:t>
        <w:tab/>
        <w:t>the</w:t>
        <w:tab/>
        <w:t>third</w:t>
        <w:tab/>
        <w:t>quarter</w:t>
        <w:tab/>
        <w:t>of</w:t>
      </w:r>
      <w:r>
        <w:rPr>
          <w:sz w:val="20"/>
          <w:szCs w:val="20"/>
          <w:color w:val="auto"/>
        </w:rPr>
        <w:tab/>
      </w:r>
      <w:r>
        <w:rPr>
          <w:rFonts w:ascii="Courier New" w:cs="Courier New" w:eastAsia="Courier New" w:hAnsi="Courier New"/>
          <w:sz w:val="14"/>
          <w:szCs w:val="14"/>
          <w:color w:val="auto"/>
        </w:rPr>
        <w:t>2000.</w:t>
      </w:r>
    </w:p>
    <w:p>
      <w:pPr>
        <w:spacing w:after="0" w:line="175" w:lineRule="exact"/>
        <w:rPr>
          <w:sz w:val="20"/>
          <w:szCs w:val="20"/>
          <w:color w:val="auto"/>
        </w:rPr>
      </w:pPr>
    </w:p>
    <w:p>
      <w:pPr>
        <w:ind w:left="270" w:right="3359" w:hanging="270"/>
        <w:spacing w:after="0" w:line="235" w:lineRule="auto"/>
        <w:tabs>
          <w:tab w:leader="none" w:pos="2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Selling, general and administrative expense in the quarter was $312 million, down from $453 million in the year-ago quarter due to savings</w:t>
      </w:r>
    </w:p>
    <w:p>
      <w:pPr>
        <w:spacing w:after="0" w:line="1" w:lineRule="exact"/>
        <w:rPr>
          <w:sz w:val="20"/>
          <w:szCs w:val="20"/>
          <w:color w:val="auto"/>
        </w:rPr>
      </w:pPr>
    </w:p>
    <w:p>
      <w:pPr>
        <w:ind w:left="270"/>
        <w:spacing w:after="0"/>
        <w:tabs>
          <w:tab w:leader="none" w:pos="1209" w:val="left"/>
          <w:tab w:leader="none" w:pos="1749" w:val="left"/>
          <w:tab w:leader="none" w:pos="3069" w:val="left"/>
          <w:tab w:leader="none" w:pos="4129" w:val="left"/>
          <w:tab w:leader="none" w:pos="4569" w:val="left"/>
          <w:tab w:leader="none" w:pos="5189" w:val="left"/>
          <w:tab w:leader="none" w:pos="6069" w:val="left"/>
        </w:tabs>
        <w:rPr>
          <w:sz w:val="20"/>
          <w:szCs w:val="20"/>
          <w:color w:val="auto"/>
        </w:rPr>
      </w:pPr>
      <w:r>
        <w:rPr>
          <w:rFonts w:ascii="Courier New" w:cs="Courier New" w:eastAsia="Courier New" w:hAnsi="Courier New"/>
          <w:sz w:val="15"/>
          <w:szCs w:val="15"/>
          <w:color w:val="auto"/>
        </w:rPr>
        <w:t>resulting</w:t>
        <w:tab/>
        <w:t>from</w:t>
        <w:tab/>
        <w:t>restructuring</w:t>
        <w:tab/>
        <w:t>activities</w:t>
        <w:tab/>
        <w:t>and</w:t>
        <w:tab/>
        <w:t>tight</w:t>
        <w:tab/>
        <w:t>spending</w:t>
      </w:r>
      <w:r>
        <w:rPr>
          <w:sz w:val="20"/>
          <w:szCs w:val="20"/>
          <w:color w:val="auto"/>
        </w:rPr>
        <w:tab/>
      </w:r>
      <w:r>
        <w:rPr>
          <w:rFonts w:ascii="Courier New" w:cs="Courier New" w:eastAsia="Courier New" w:hAnsi="Courier New"/>
          <w:sz w:val="14"/>
          <w:szCs w:val="14"/>
          <w:color w:val="auto"/>
        </w:rPr>
        <w:t>controls.</w:t>
      </w:r>
    </w:p>
    <w:p>
      <w:pPr>
        <w:spacing w:after="0" w:line="175" w:lineRule="exact"/>
        <w:rPr>
          <w:sz w:val="20"/>
          <w:szCs w:val="20"/>
          <w:color w:val="auto"/>
        </w:rPr>
      </w:pPr>
    </w:p>
    <w:p>
      <w:pPr>
        <w:ind w:left="270" w:right="3359" w:hanging="270"/>
        <w:spacing w:after="0" w:line="235" w:lineRule="auto"/>
        <w:tabs>
          <w:tab w:leader="none" w:pos="2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income (expense) net decreased from $565 million in the third quarter of 2000 to $37 million in the third quarter of 2001, primarily</w:t>
      </w:r>
    </w:p>
    <w:p>
      <w:pPr>
        <w:spacing w:after="0" w:line="1" w:lineRule="exact"/>
        <w:rPr>
          <w:sz w:val="20"/>
          <w:szCs w:val="20"/>
          <w:color w:val="auto"/>
        </w:rPr>
      </w:pPr>
    </w:p>
    <w:p>
      <w:pPr>
        <w:ind w:left="270"/>
        <w:spacing w:after="0"/>
        <w:tabs>
          <w:tab w:leader="none" w:pos="2189" w:val="left"/>
          <w:tab w:leader="none" w:pos="2709" w:val="left"/>
          <w:tab w:leader="none" w:pos="3069" w:val="left"/>
          <w:tab w:leader="none" w:pos="3769" w:val="left"/>
        </w:tabs>
        <w:rPr>
          <w:sz w:val="20"/>
          <w:szCs w:val="20"/>
          <w:color w:val="auto"/>
        </w:rPr>
      </w:pPr>
      <w:r>
        <w:rPr>
          <w:rFonts w:ascii="Courier New" w:cs="Courier New" w:eastAsia="Courier New" w:hAnsi="Courier New"/>
          <w:sz w:val="15"/>
          <w:szCs w:val="15"/>
          <w:color w:val="auto"/>
        </w:rPr>
        <w:t>due to a gain on the</w:t>
        <w:tab/>
        <w:t>sale</w:t>
        <w:tab/>
        <w:t>of</w:t>
        <w:tab/>
        <w:t>Micron</w:t>
      </w:r>
      <w:r>
        <w:rPr>
          <w:sz w:val="20"/>
          <w:szCs w:val="20"/>
          <w:color w:val="auto"/>
        </w:rPr>
        <w:tab/>
      </w:r>
      <w:r>
        <w:rPr>
          <w:rFonts w:ascii="Courier New" w:cs="Courier New" w:eastAsia="Courier New" w:hAnsi="Courier New"/>
          <w:sz w:val="14"/>
          <w:szCs w:val="14"/>
          <w:color w:val="auto"/>
        </w:rPr>
        <w:t>stock in the third quarter of 2000.</w:t>
      </w:r>
    </w:p>
    <w:p>
      <w:pPr>
        <w:spacing w:after="0" w:line="169" w:lineRule="exact"/>
        <w:rPr>
          <w:sz w:val="20"/>
          <w:szCs w:val="20"/>
          <w:color w:val="auto"/>
        </w:rPr>
      </w:pPr>
    </w:p>
    <w:p>
      <w:pPr>
        <w:ind w:left="10"/>
        <w:spacing w:after="0"/>
        <w:tabs>
          <w:tab w:leader="none" w:pos="249" w:val="left"/>
          <w:tab w:leader="none" w:pos="689" w:val="left"/>
          <w:tab w:leader="none" w:pos="1389" w:val="left"/>
          <w:tab w:leader="none" w:pos="1829" w:val="left"/>
          <w:tab w:leader="none" w:pos="2369" w:val="left"/>
          <w:tab w:leader="none" w:pos="2809" w:val="left"/>
          <w:tab w:leader="none" w:pos="3249" w:val="left"/>
          <w:tab w:leader="none" w:pos="4029" w:val="left"/>
          <w:tab w:leader="none" w:pos="4469" w:val="left"/>
          <w:tab w:leader="none" w:pos="4829" w:val="left"/>
        </w:tabs>
        <w:rPr>
          <w:sz w:val="20"/>
          <w:szCs w:val="20"/>
          <w:color w:val="auto"/>
        </w:rPr>
      </w:pPr>
      <w:r>
        <w:rPr>
          <w:rFonts w:ascii="Courier New" w:cs="Courier New" w:eastAsia="Courier New" w:hAnsi="Courier New"/>
          <w:sz w:val="15"/>
          <w:szCs w:val="15"/>
          <w:color w:val="auto"/>
        </w:rPr>
        <w:t>-</w:t>
        <w:tab/>
        <w:t>The</w:t>
        <w:tab/>
        <w:t>income</w:t>
        <w:tab/>
        <w:t>tax</w:t>
        <w:tab/>
        <w:t>rate</w:t>
        <w:tab/>
        <w:t>for</w:t>
        <w:tab/>
        <w:t>the</w:t>
        <w:tab/>
        <w:t>quarter</w:t>
        <w:tab/>
        <w:t>was</w:t>
        <w:tab/>
        <w:t>47</w:t>
      </w:r>
      <w:r>
        <w:rPr>
          <w:sz w:val="20"/>
          <w:szCs w:val="20"/>
          <w:color w:val="auto"/>
        </w:rPr>
        <w:tab/>
      </w:r>
      <w:r>
        <w:rPr>
          <w:rFonts w:ascii="Courier New" w:cs="Courier New" w:eastAsia="Courier New" w:hAnsi="Courier New"/>
          <w:sz w:val="14"/>
          <w:szCs w:val="14"/>
          <w:color w:val="auto"/>
        </w:rPr>
        <w:t>percent.</w:t>
      </w:r>
    </w:p>
    <w:p>
      <w:pPr>
        <w:spacing w:after="0" w:line="175" w:lineRule="exact"/>
        <w:rPr>
          <w:sz w:val="20"/>
          <w:szCs w:val="20"/>
          <w:color w:val="auto"/>
        </w:rPr>
      </w:pPr>
    </w:p>
    <w:p>
      <w:pPr>
        <w:ind w:left="270" w:right="3439" w:hanging="270"/>
        <w:spacing w:after="0"/>
        <w:tabs>
          <w:tab w:leader="none" w:pos="2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orders in the third quarter were $1638 million, compared with $3250 million in the year-ago quarter and $1704 million in the second quarter.</w:t>
      </w:r>
    </w:p>
    <w:p>
      <w:pPr>
        <w:spacing w:after="0" w:line="333"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62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Results</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third</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quarter</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w w:val="98"/>
              </w:rPr>
              <w:t>2001  include  net special charges</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million,  of</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which  $19</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million</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w w:val="98"/>
              </w:rPr>
              <w:t>severance  cost  for  a  worldwide</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cost-</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reduction</w:t>
            </w:r>
          </w:p>
        </w:tc>
        <w:tc>
          <w:tcPr>
            <w:tcW w:w="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program</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and</w:t>
            </w:r>
          </w:p>
        </w:tc>
        <w:tc>
          <w:tcPr>
            <w:tcW w:w="12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$16  million</w:t>
            </w:r>
          </w:p>
        </w:tc>
        <w:tc>
          <w:tcPr>
            <w:tcW w:w="34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relates  to the restructuring charges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for</w:t>
            </w:r>
          </w:p>
        </w:tc>
      </w:tr>
    </w:tbl>
    <w:p>
      <w:pPr>
        <w:spacing w:after="0"/>
        <w:tabs>
          <w:tab w:leader="none" w:pos="420" w:val="left"/>
          <w:tab w:leader="none" w:pos="1200" w:val="left"/>
          <w:tab w:leader="none" w:pos="1560" w:val="left"/>
          <w:tab w:leader="none" w:pos="2180" w:val="left"/>
          <w:tab w:leader="none" w:pos="3500" w:val="left"/>
          <w:tab w:leader="none" w:pos="4560" w:val="left"/>
          <w:tab w:leader="none" w:pos="5260" w:val="left"/>
          <w:tab w:leader="none" w:pos="5880" w:val="left"/>
        </w:tabs>
        <w:rPr>
          <w:sz w:val="20"/>
          <w:szCs w:val="20"/>
          <w:color w:val="auto"/>
        </w:rPr>
      </w:pPr>
      <w:r>
        <w:rPr>
          <w:rFonts w:ascii="Courier New" w:cs="Courier New" w:eastAsia="Courier New" w:hAnsi="Courier New"/>
          <w:sz w:val="15"/>
          <w:szCs w:val="15"/>
          <w:color w:val="auto"/>
        </w:rPr>
        <w:t>the</w:t>
        <w:tab/>
        <w:t>closing</w:t>
        <w:tab/>
        <w:t>of</w:t>
        <w:tab/>
        <w:t>three</w:t>
        <w:tab/>
        <w:t>Semiconductor</w:t>
        <w:tab/>
        <w:t>facilities</w:t>
        <w:tab/>
        <w:t>(Santa</w:t>
        <w:tab/>
        <w:t>Cruz,</w:t>
      </w:r>
      <w:r>
        <w:rPr>
          <w:sz w:val="20"/>
          <w:szCs w:val="20"/>
          <w:color w:val="auto"/>
        </w:rPr>
        <w:tab/>
      </w:r>
      <w:r>
        <w:rPr>
          <w:rFonts w:ascii="Courier New" w:cs="Courier New" w:eastAsia="Courier New" w:hAnsi="Courier New"/>
          <w:sz w:val="14"/>
          <w:szCs w:val="14"/>
          <w:color w:val="auto"/>
        </w:rPr>
        <w:t>California;</w:t>
      </w:r>
    </w:p>
    <w:tbl>
      <w:tblPr>
        <w:tblLayout w:type="fixed"/>
        <w:tblInd w:w="0" w:type="dxa"/>
        <w:tblCellMar>
          <w:top w:w="0" w:type="dxa"/>
          <w:left w:w="0" w:type="dxa"/>
          <w:bottom w:w="0" w:type="dxa"/>
          <w:right w:w="0" w:type="dxa"/>
        </w:tblCellMar>
      </w:tblPr>
      <w:tr>
        <w:trPr>
          <w:trHeight w:val="169"/>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Merrimack,  New</w:t>
            </w:r>
          </w:p>
        </w:tc>
        <w:tc>
          <w:tcPr>
            <w:tcW w:w="10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Hampshire;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Tustin,</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California).</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Of</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the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million,</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3580" w:type="dxa"/>
            <w:vAlign w:val="bottom"/>
            <w:gridSpan w:val="6"/>
          </w:tcPr>
          <w:p>
            <w:pPr>
              <w:ind w:left="60"/>
              <w:spacing w:after="0"/>
              <w:rPr>
                <w:sz w:val="20"/>
                <w:szCs w:val="20"/>
                <w:color w:val="auto"/>
              </w:rPr>
            </w:pPr>
            <w:r>
              <w:rPr>
                <w:rFonts w:ascii="Courier New" w:cs="Courier New" w:eastAsia="Courier New" w:hAnsi="Courier New"/>
                <w:sz w:val="15"/>
                <w:szCs w:val="15"/>
                <w:color w:val="auto"/>
                <w:w w:val="99"/>
              </w:rPr>
              <w:t>million  is  for  the  acceleration  of</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depreciation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over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remaining</w:t>
            </w: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service  life</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the  facilities.  Also</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included  is</w:t>
            </w:r>
          </w:p>
        </w:tc>
        <w:tc>
          <w:tcPr>
            <w:tcW w:w="2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amortization of goodwill</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3580" w:type="dxa"/>
            <w:vAlign w:val="bottom"/>
            <w:gridSpan w:val="6"/>
          </w:tcPr>
          <w:p>
            <w:pPr>
              <w:ind w:left="60"/>
              <w:spacing w:after="0"/>
              <w:rPr>
                <w:sz w:val="20"/>
                <w:szCs w:val="20"/>
                <w:color w:val="auto"/>
              </w:rPr>
            </w:pPr>
            <w:r>
              <w:rPr>
                <w:rFonts w:ascii="Courier New" w:cs="Courier New" w:eastAsia="Courier New" w:hAnsi="Courier New"/>
                <w:sz w:val="15"/>
                <w:szCs w:val="15"/>
                <w:color w:val="auto"/>
                <w:w w:val="99"/>
              </w:rPr>
              <w:t>other  acquisition-related  intangibles</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of  $56</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million.</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4460" w:type="dxa"/>
            <w:vAlign w:val="bottom"/>
            <w:gridSpan w:val="7"/>
          </w:tcPr>
          <w:p>
            <w:pPr>
              <w:ind w:left="60"/>
              <w:spacing w:after="0"/>
              <w:rPr>
                <w:sz w:val="20"/>
                <w:szCs w:val="20"/>
                <w:color w:val="auto"/>
              </w:rPr>
            </w:pPr>
            <w:r>
              <w:rPr>
                <w:rFonts w:ascii="Courier New" w:cs="Courier New" w:eastAsia="Courier New" w:hAnsi="Courier New"/>
                <w:sz w:val="15"/>
                <w:szCs w:val="15"/>
                <w:color w:val="auto"/>
                <w:w w:val="99"/>
              </w:rPr>
              <w:t>the  second  quarter  of  2001,  results  include</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8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special</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charges of</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$252</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million,</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which</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$214</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million</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is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severance</w:t>
            </w:r>
          </w:p>
        </w:tc>
        <w:tc>
          <w:tcPr>
            <w:tcW w:w="9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3"/>
              </w:rPr>
              <w:t>cost  for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worldwide</w:t>
            </w:r>
          </w:p>
        </w:tc>
      </w:tr>
    </w:tbl>
    <w:p>
      <w:pPr>
        <w:spacing w:after="0"/>
        <w:tabs>
          <w:tab w:leader="none" w:pos="1380" w:val="left"/>
          <w:tab w:leader="none" w:pos="2180" w:val="left"/>
          <w:tab w:leader="none" w:pos="2620" w:val="left"/>
          <w:tab w:leader="none" w:pos="3060" w:val="left"/>
          <w:tab w:leader="none" w:pos="3840" w:val="left"/>
          <w:tab w:leader="none" w:pos="4640" w:val="left"/>
          <w:tab w:leader="none" w:pos="5000" w:val="left"/>
          <w:tab w:leader="none" w:pos="5440" w:val="left"/>
        </w:tabs>
        <w:rPr>
          <w:sz w:val="20"/>
          <w:szCs w:val="20"/>
          <w:color w:val="auto"/>
        </w:rPr>
      </w:pPr>
      <w:r>
        <w:rPr>
          <w:rFonts w:ascii="Courier New" w:cs="Courier New" w:eastAsia="Courier New" w:hAnsi="Courier New"/>
          <w:sz w:val="15"/>
          <w:szCs w:val="15"/>
          <w:color w:val="auto"/>
        </w:rPr>
        <w:t>cost-reduction</w:t>
        <w:tab/>
        <w:t>program</w:t>
        <w:tab/>
        <w:t>and</w:t>
        <w:tab/>
        <w:t>$35</w:t>
        <w:tab/>
        <w:t>million</w:t>
        <w:tab/>
        <w:t>relates</w:t>
        <w:tab/>
        <w:t>to</w:t>
        <w:tab/>
        <w:t>the</w:t>
      </w:r>
      <w:r>
        <w:rPr>
          <w:sz w:val="20"/>
          <w:szCs w:val="20"/>
          <w:color w:val="auto"/>
        </w:rPr>
        <w:tab/>
      </w:r>
      <w:r>
        <w:rPr>
          <w:rFonts w:ascii="Courier New" w:cs="Courier New" w:eastAsia="Courier New" w:hAnsi="Courier New"/>
          <w:sz w:val="14"/>
          <w:szCs w:val="14"/>
          <w:color w:val="auto"/>
        </w:rPr>
        <w:t>restructuring</w:t>
      </w:r>
    </w:p>
    <w:tbl>
      <w:tblPr>
        <w:tblLayout w:type="fixed"/>
        <w:tblInd w:w="0" w:type="dxa"/>
        <w:tblCellMar>
          <w:top w:w="0" w:type="dxa"/>
          <w:left w:w="0" w:type="dxa"/>
          <w:bottom w:w="0" w:type="dxa"/>
          <w:right w:w="0" w:type="dxa"/>
        </w:tblCellMar>
      </w:tblPr>
      <w:tr>
        <w:trPr>
          <w:trHeight w:val="169"/>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rPr>
              <w:t>charges</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for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closing  of  three</w:t>
            </w:r>
          </w:p>
        </w:tc>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Semiconductor</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facilities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(Merrimack, New</w:t>
            </w:r>
          </w:p>
        </w:tc>
      </w:tr>
      <w:tr>
        <w:trPr>
          <w:trHeight w:val="170"/>
        </w:trPr>
        <w:tc>
          <w:tcPr>
            <w:tcW w:w="1040" w:type="dxa"/>
            <w:vAlign w:val="bottom"/>
            <w:gridSpan w:val="3"/>
          </w:tcPr>
          <w:p>
            <w:pPr>
              <w:spacing w:after="0"/>
              <w:rPr>
                <w:sz w:val="20"/>
                <w:szCs w:val="20"/>
                <w:color w:val="auto"/>
              </w:rPr>
            </w:pPr>
            <w:r>
              <w:rPr>
                <w:rFonts w:ascii="Courier New" w:cs="Courier New" w:eastAsia="Courier New" w:hAnsi="Courier New"/>
                <w:sz w:val="15"/>
                <w:szCs w:val="15"/>
                <w:color w:val="auto"/>
              </w:rPr>
              <w:t>Hampshire;</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Tustin,</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California;  and</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Santa</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Cruz,</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California).</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In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addition,</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TI</w:t>
            </w: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recorded</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$68</w:t>
            </w:r>
          </w:p>
        </w:tc>
        <w:tc>
          <w:tcPr>
            <w:tcW w:w="1620" w:type="dxa"/>
            <w:vAlign w:val="bottom"/>
          </w:tcPr>
          <w:p>
            <w:pPr>
              <w:ind w:left="120"/>
              <w:spacing w:after="0"/>
              <w:rPr>
                <w:sz w:val="20"/>
                <w:szCs w:val="20"/>
                <w:color w:val="auto"/>
              </w:rPr>
            </w:pPr>
            <w:r>
              <w:rPr>
                <w:rFonts w:ascii="Courier New" w:cs="Courier New" w:eastAsia="Courier New" w:hAnsi="Courier New"/>
                <w:sz w:val="15"/>
                <w:szCs w:val="15"/>
                <w:color w:val="auto"/>
                <w:w w:val="96"/>
              </w:rPr>
              <w:t>million  increase</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to</w:t>
            </w:r>
          </w:p>
        </w:tc>
        <w:tc>
          <w:tcPr>
            <w:tcW w:w="224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  income tax provision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to adjust</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expected</w:t>
            </w:r>
          </w:p>
        </w:tc>
        <w:tc>
          <w:tcPr>
            <w:tcW w:w="1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tax  rate  for  the</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Also</w:t>
            </w:r>
          </w:p>
        </w:tc>
        <w:tc>
          <w:tcPr>
            <w:tcW w:w="24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included is amortization of</w:t>
            </w:r>
          </w:p>
        </w:tc>
      </w:tr>
      <w:tr>
        <w:trPr>
          <w:trHeight w:val="170"/>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goodwill</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and  other</w:t>
            </w:r>
          </w:p>
        </w:tc>
        <w:tc>
          <w:tcPr>
            <w:tcW w:w="392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acquisition-related  intangibles  of  $58</w:t>
            </w:r>
          </w:p>
        </w:tc>
        <w:tc>
          <w:tcPr>
            <w:tcW w:w="13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4"/>
              </w:rPr>
              <w:t>million.</w:t>
            </w:r>
          </w:p>
        </w:tc>
      </w:tr>
    </w:tbl>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For the first quarter of 2001, results include net special charges of $50 million, of which $11 million is severance cost for first-quarter employee acceptances under the U.S. voluntary retirement program, $16 million is severance cost for restructuring actions in international Semiconductor locations, and $25 million relates to the closing of a Semiconductor manufacturing facility in Santa Cruz, California. Also included is amortization of goodwill and other acquisition-related intangibles of $59 million.</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For the third quarter of 2000, results include investment gains of $425 million, included in other income, from the sale of 5.6 million shares of Micron Technology, Inc. (Micron) common stock, and net special charges of $163 million, of which $112 million is for purchased in-process R&amp;D costs from the Dot Wireless, Inc. and Alantro Communications, Inc. acquisitions, $41 million is for pooling of interests transaction costs from the Burr-Brown Corporation acquisition, and $10 million, net, is for several Semiconductor and Sensors &amp; Controls restructuring and other actions in the U.S., Japan and Europe. Also included is amortization of goodwill and other acquisition-related intangibles of $41 million.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second  quarter</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of</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results</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include</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an  investment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gain  of</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$1211</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million,  included</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in</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income,</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from</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the</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sale  of  20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million</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shares  of</w:t>
            </w:r>
          </w:p>
        </w:tc>
        <w:tc>
          <w:tcPr>
            <w:tcW w:w="404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Micron  common  stock.  Also  included  is</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amortization of goodwill</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other</w:t>
            </w:r>
          </w:p>
        </w:tc>
        <w:tc>
          <w:tcPr>
            <w:tcW w:w="18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acquisition-related</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intangibles</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of  $25</w:t>
            </w:r>
          </w:p>
        </w:tc>
        <w:tc>
          <w:tcPr>
            <w:tcW w:w="15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million.</w:t>
            </w:r>
          </w:p>
        </w:tc>
        <w:tc>
          <w:tcPr>
            <w:tcW w:w="800" w:type="dxa"/>
            <w:vAlign w:val="bottom"/>
          </w:tcPr>
          <w:p>
            <w:pPr>
              <w:spacing w:after="0"/>
              <w:rPr>
                <w:sz w:val="14"/>
                <w:szCs w:val="14"/>
                <w:color w:val="auto"/>
              </w:rPr>
            </w:pPr>
          </w:p>
        </w:tc>
      </w:tr>
    </w:tbl>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For the first quarter of 2000, results included net special charges of $29 million for actions including the closing of a Sensors &amp; Controls manufacturing facility in Versailles, Kentucky, and TI's acquisition of Toccata Technology ApS. Also included is amortization of goodwill and other acquisition-related intangibles of $25 million.</w:t>
      </w:r>
    </w:p>
    <w:p>
      <w:pPr>
        <w:spacing w:after="0" w:line="178"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Additional information relating to these items appears below under the heading "Special Charges and Gains."</w:t>
      </w:r>
    </w:p>
    <w:p>
      <w:pPr>
        <w:spacing w:after="0" w:line="17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2" w:right="1440" w:bottom="1440" w:gutter="0" w:footer="0" w:header="0"/>
        </w:sectPr>
      </w:pPr>
    </w:p>
    <w:bookmarkStart w:id="13" w:name="page14"/>
    <w:bookmarkEnd w:id="13"/>
    <w:p>
      <w:pPr>
        <w:ind w:left="10"/>
        <w:spacing w:after="0"/>
        <w:rPr>
          <w:sz w:val="20"/>
          <w:szCs w:val="20"/>
          <w:color w:val="auto"/>
        </w:rPr>
      </w:pPr>
      <w:r>
        <w:rPr>
          <w:rFonts w:ascii="Courier New" w:cs="Courier New" w:eastAsia="Courier New" w:hAnsi="Courier New"/>
          <w:sz w:val="15"/>
          <w:szCs w:val="15"/>
          <w:color w:val="auto"/>
        </w:rPr>
        <w:t>OUTLOOK</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It appears that third quarter of 2001 will mark the bottom for semiconductor orders, and the floor for revenue should be set in the fourth quarter. Fourth-quarter TI revenue is expected to decline about 10 percent sequentially, mostly due to normal seasonal declines in Educational &amp; Productivity Solutions (E&amp;PS) as well as continued weakness in Semiconductor.</w:t>
      </w:r>
    </w:p>
    <w:p>
      <w:pPr>
        <w:spacing w:after="0" w:line="178"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Specifically, TI expects the following for the fourth quarter compared to the third quarter:</w:t>
      </w:r>
    </w:p>
    <w:p>
      <w:pPr>
        <w:spacing w:after="0" w:line="176" w:lineRule="exact"/>
        <w:rPr>
          <w:sz w:val="20"/>
          <w:szCs w:val="20"/>
          <w:color w:val="auto"/>
        </w:rPr>
      </w:pPr>
    </w:p>
    <w:p>
      <w:pPr>
        <w:ind w:left="270" w:right="3359" w:hanging="270"/>
        <w:spacing w:after="0"/>
        <w:tabs>
          <w:tab w:leader="none" w:pos="2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Semiconductor, revenue will decline about 5 percent as continued growth in DSP is more than offset by declines in other products.</w:t>
      </w:r>
    </w:p>
    <w:p>
      <w:pPr>
        <w:spacing w:after="0" w:line="333" w:lineRule="exact"/>
        <w:rPr>
          <w:sz w:val="20"/>
          <w:szCs w:val="20"/>
          <w:color w:val="auto"/>
        </w:rPr>
      </w:pPr>
    </w:p>
    <w:p>
      <w:pPr>
        <w:ind w:left="10"/>
        <w:spacing w:after="0"/>
        <w:tabs>
          <w:tab w:leader="none" w:pos="249" w:val="left"/>
          <w:tab w:leader="none" w:pos="1029" w:val="left"/>
          <w:tab w:leader="none" w:pos="1309" w:val="left"/>
          <w:tab w:leader="none" w:pos="2189" w:val="left"/>
          <w:tab w:leader="none" w:pos="2969" w:val="left"/>
          <w:tab w:leader="none" w:pos="3509" w:val="left"/>
          <w:tab w:leader="none" w:pos="3849" w:val="left"/>
          <w:tab w:leader="none" w:pos="4469" w:val="left"/>
        </w:tabs>
        <w:rPr>
          <w:sz w:val="20"/>
          <w:szCs w:val="20"/>
          <w:color w:val="auto"/>
        </w:rPr>
      </w:pPr>
      <w:r>
        <w:rPr>
          <w:rFonts w:ascii="Courier New" w:cs="Courier New" w:eastAsia="Courier New" w:hAnsi="Courier New"/>
          <w:sz w:val="15"/>
          <w:szCs w:val="15"/>
          <w:color w:val="auto"/>
        </w:rPr>
        <w:t>-</w:t>
        <w:tab/>
        <w:t>Sensors</w:t>
        <w:tab/>
        <w:t>&amp;</w:t>
        <w:tab/>
        <w:t>Controls</w:t>
        <w:tab/>
        <w:t>revenue</w:t>
        <w:tab/>
        <w:t>will</w:t>
        <w:tab/>
        <w:t>be</w:t>
        <w:tab/>
        <w:t>about</w:t>
      </w:r>
      <w:r>
        <w:rPr>
          <w:sz w:val="20"/>
          <w:szCs w:val="20"/>
          <w:color w:val="auto"/>
        </w:rPr>
        <w:tab/>
      </w:r>
      <w:r>
        <w:rPr>
          <w:rFonts w:ascii="Courier New" w:cs="Courier New" w:eastAsia="Courier New" w:hAnsi="Courier New"/>
          <w:sz w:val="14"/>
          <w:szCs w:val="14"/>
          <w:color w:val="auto"/>
        </w:rPr>
        <w:t>even.</w:t>
      </w:r>
    </w:p>
    <w:p>
      <w:pPr>
        <w:spacing w:after="0" w:line="175" w:lineRule="exact"/>
        <w:rPr>
          <w:sz w:val="20"/>
          <w:szCs w:val="20"/>
          <w:color w:val="auto"/>
        </w:rPr>
      </w:pPr>
    </w:p>
    <w:p>
      <w:pPr>
        <w:ind w:left="270" w:right="3439" w:hanging="259"/>
        <w:spacing w:after="0" w:line="235" w:lineRule="auto"/>
        <w:tabs>
          <w:tab w:leader="none" w:pos="249" w:val="left"/>
        </w:tabs>
        <w:rPr>
          <w:sz w:val="20"/>
          <w:szCs w:val="20"/>
          <w:color w:val="auto"/>
        </w:rPr>
      </w:pPr>
      <w:r>
        <w:rPr>
          <w:rFonts w:ascii="Courier New" w:cs="Courier New" w:eastAsia="Courier New" w:hAnsi="Courier New"/>
          <w:sz w:val="15"/>
          <w:szCs w:val="15"/>
          <w:color w:val="auto"/>
        </w:rPr>
        <w:t>-</w:t>
        <w:tab/>
        <w:t>E&amp;PS revenue will decline by about $110 million, or 60 percent, as the back-to-school season for educational products ends.</w:t>
      </w:r>
    </w:p>
    <w:p>
      <w:pPr>
        <w:spacing w:after="0" w:line="176" w:lineRule="exact"/>
        <w:rPr>
          <w:sz w:val="20"/>
          <w:szCs w:val="20"/>
          <w:color w:val="auto"/>
        </w:rPr>
      </w:pPr>
    </w:p>
    <w:p>
      <w:pPr>
        <w:ind w:left="270" w:right="3439" w:hanging="270"/>
        <w:spacing w:after="0" w:line="237" w:lineRule="auto"/>
        <w:tabs>
          <w:tab w:leader="none" w:pos="27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margin will decline about 9 percentage points before the effect of special charges and amortization of goodwill and other acquisition-related intangibles, reflecting the lower revenue level and</w:t>
      </w:r>
    </w:p>
    <w:p>
      <w:pPr>
        <w:ind w:left="270"/>
        <w:spacing w:after="0"/>
        <w:tabs>
          <w:tab w:leader="none" w:pos="1029" w:val="left"/>
          <w:tab w:leader="none" w:pos="2089" w:val="left"/>
          <w:tab w:leader="none" w:pos="2449" w:val="left"/>
        </w:tabs>
        <w:rPr>
          <w:sz w:val="20"/>
          <w:szCs w:val="20"/>
          <w:color w:val="auto"/>
        </w:rPr>
      </w:pPr>
      <w:r>
        <w:rPr>
          <w:rFonts w:ascii="Courier New" w:cs="Courier New" w:eastAsia="Courier New" w:hAnsi="Courier New"/>
          <w:sz w:val="15"/>
          <w:szCs w:val="15"/>
          <w:color w:val="auto"/>
        </w:rPr>
        <w:t>further</w:t>
        <w:tab/>
        <w:t>reductions</w:t>
        <w:tab/>
        <w:t>in</w:t>
      </w:r>
      <w:r>
        <w:rPr>
          <w:sz w:val="20"/>
          <w:szCs w:val="20"/>
          <w:color w:val="auto"/>
        </w:rPr>
        <w:tab/>
      </w:r>
      <w:r>
        <w:rPr>
          <w:rFonts w:ascii="Courier New" w:cs="Courier New" w:eastAsia="Courier New" w:hAnsi="Courier New"/>
          <w:sz w:val="14"/>
          <w:szCs w:val="14"/>
          <w:color w:val="auto"/>
        </w:rPr>
        <w:t>inventory.</w:t>
      </w:r>
    </w:p>
    <w:p>
      <w:pPr>
        <w:spacing w:after="0" w:line="174" w:lineRule="exact"/>
        <w:rPr>
          <w:sz w:val="20"/>
          <w:szCs w:val="20"/>
          <w:color w:val="auto"/>
        </w:rPr>
      </w:pPr>
    </w:p>
    <w:p>
      <w:pPr>
        <w:ind w:left="270" w:right="3439" w:hanging="270"/>
        <w:spacing w:after="0" w:line="235" w:lineRule="auto"/>
        <w:tabs>
          <w:tab w:leader="none" w:pos="2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Non-operating income will decline about $10 million reflecting lower interest rates.</w:t>
      </w:r>
    </w:p>
    <w:p>
      <w:pPr>
        <w:spacing w:after="0" w:line="5"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will  be  about  6  cents  more  in  the fourth quarter,</w:t>
      </w:r>
    </w:p>
    <w:p>
      <w:pPr>
        <w:spacing w:after="0" w:line="170" w:lineRule="exact"/>
        <w:rPr>
          <w:sz w:val="20"/>
          <w:szCs w:val="20"/>
          <w:color w:val="auto"/>
        </w:rPr>
      </w:pPr>
    </w:p>
    <w:p>
      <w:pPr>
        <w:jc w:val="both"/>
        <w:ind w:left="270" w:right="3359"/>
        <w:spacing w:after="0" w:line="235" w:lineRule="auto"/>
        <w:rPr>
          <w:sz w:val="20"/>
          <w:szCs w:val="20"/>
          <w:color w:val="auto"/>
        </w:rPr>
      </w:pPr>
      <w:r>
        <w:rPr>
          <w:rFonts w:ascii="Courier New" w:cs="Courier New" w:eastAsia="Courier New" w:hAnsi="Courier New"/>
          <w:sz w:val="15"/>
          <w:szCs w:val="15"/>
          <w:color w:val="auto"/>
        </w:rPr>
        <w:t>compared with the third quarter, before the effect of special charges and amortization of goodwill and other acquisition-related intangibles.</w:t>
      </w:r>
    </w:p>
    <w:p>
      <w:pPr>
        <w:spacing w:after="0" w:line="170" w:lineRule="exact"/>
        <w:rPr>
          <w:sz w:val="20"/>
          <w:szCs w:val="20"/>
          <w:color w:val="auto"/>
        </w:rPr>
      </w:pPr>
    </w:p>
    <w:p>
      <w:pPr>
        <w:ind w:left="10"/>
        <w:spacing w:after="0"/>
        <w:tabs>
          <w:tab w:leader="none" w:pos="429" w:val="left"/>
          <w:tab w:leader="none" w:pos="1029" w:val="left"/>
          <w:tab w:leader="none" w:pos="1389" w:val="left"/>
          <w:tab w:leader="none" w:pos="2189" w:val="left"/>
          <w:tab w:leader="none" w:pos="2629" w:val="left"/>
        </w:tabs>
        <w:rPr>
          <w:sz w:val="20"/>
          <w:szCs w:val="20"/>
          <w:color w:val="auto"/>
        </w:rPr>
      </w:pPr>
      <w:r>
        <w:rPr>
          <w:rFonts w:ascii="Courier New" w:cs="Courier New" w:eastAsia="Courier New" w:hAnsi="Courier New"/>
          <w:sz w:val="15"/>
          <w:szCs w:val="15"/>
          <w:color w:val="auto"/>
        </w:rPr>
        <w:t>For</w:t>
        <w:tab/>
        <w:t>2001,</w:t>
        <w:tab/>
        <w:t>TI</w:t>
        <w:tab/>
        <w:t>expects</w:t>
        <w:tab/>
        <w:t>the</w:t>
      </w:r>
      <w:r>
        <w:rPr>
          <w:sz w:val="20"/>
          <w:szCs w:val="20"/>
          <w:color w:val="auto"/>
        </w:rPr>
        <w:tab/>
      </w:r>
      <w:r>
        <w:rPr>
          <w:rFonts w:ascii="Courier New" w:cs="Courier New" w:eastAsia="Courier New" w:hAnsi="Courier New"/>
          <w:sz w:val="14"/>
          <w:szCs w:val="14"/>
          <w:color w:val="auto"/>
        </w:rPr>
        <w:t>following:</w:t>
      </w:r>
    </w:p>
    <w:p>
      <w:pPr>
        <w:spacing w:after="0" w:line="169" w:lineRule="exact"/>
        <w:rPr>
          <w:sz w:val="20"/>
          <w:szCs w:val="20"/>
          <w:color w:val="auto"/>
        </w:rPr>
      </w:pPr>
    </w:p>
    <w:p>
      <w:pPr>
        <w:ind w:left="270" w:hanging="270"/>
        <w:spacing w:after="0"/>
        <w:tabs>
          <w:tab w:leader="none" w:pos="27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R&amp;D  of  $1.5  billion,  excluding  acquisition-related  amortization  and</w:t>
      </w:r>
    </w:p>
    <w:p>
      <w:pPr>
        <w:spacing w:after="0" w:line="5" w:lineRule="exact"/>
        <w:rPr>
          <w:sz w:val="20"/>
          <w:szCs w:val="20"/>
          <w:color w:val="auto"/>
        </w:rPr>
      </w:pPr>
    </w:p>
    <w:p>
      <w:pPr>
        <w:ind w:left="270" w:right="3359"/>
        <w:spacing w:after="0" w:line="235" w:lineRule="auto"/>
        <w:rPr>
          <w:sz w:val="20"/>
          <w:szCs w:val="20"/>
          <w:color w:val="auto"/>
        </w:rPr>
      </w:pPr>
      <w:r>
        <w:rPr>
          <w:rFonts w:ascii="Courier New" w:cs="Courier New" w:eastAsia="Courier New" w:hAnsi="Courier New"/>
          <w:sz w:val="15"/>
          <w:szCs w:val="15"/>
          <w:color w:val="auto"/>
        </w:rPr>
        <w:t>purchased in-process R&amp;D, compared with the company's prior estimate of $1.6 billion and last year's $1.6 billion.</w:t>
      </w:r>
    </w:p>
    <w:p>
      <w:pPr>
        <w:spacing w:after="0" w:line="170" w:lineRule="exact"/>
        <w:rPr>
          <w:sz w:val="20"/>
          <w:szCs w:val="20"/>
          <w:color w:val="auto"/>
        </w:rPr>
      </w:pPr>
    </w:p>
    <w:p>
      <w:pPr>
        <w:ind w:left="270" w:hanging="270"/>
        <w:spacing w:after="0"/>
        <w:tabs>
          <w:tab w:leader="none" w:pos="2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expenditures  of  $1.8 billion, unchanged from the prior estimate</w:t>
      </w:r>
    </w:p>
    <w:p>
      <w:pPr>
        <w:ind w:left="270"/>
        <w:spacing w:after="0"/>
        <w:tabs>
          <w:tab w:leader="none" w:pos="689" w:val="left"/>
          <w:tab w:leader="none" w:pos="1209" w:val="left"/>
          <w:tab w:leader="none" w:pos="1829" w:val="left"/>
          <w:tab w:leader="none" w:pos="2189" w:val="left"/>
          <w:tab w:leader="none" w:pos="2969" w:val="left"/>
          <w:tab w:leader="none" w:pos="3509" w:val="left"/>
          <w:tab w:leader="none" w:pos="4029" w:val="left"/>
        </w:tabs>
        <w:rPr>
          <w:sz w:val="20"/>
          <w:szCs w:val="20"/>
          <w:color w:val="auto"/>
        </w:rPr>
      </w:pPr>
      <w:r>
        <w:rPr>
          <w:rFonts w:ascii="Courier New" w:cs="Courier New" w:eastAsia="Courier New" w:hAnsi="Courier New"/>
          <w:sz w:val="15"/>
          <w:szCs w:val="15"/>
          <w:color w:val="auto"/>
        </w:rPr>
        <w:t>and</w:t>
        <w:tab/>
        <w:t>down</w:t>
        <w:tab/>
        <w:t>about</w:t>
        <w:tab/>
        <w:t>35</w:t>
        <w:tab/>
        <w:t>percent</w:t>
        <w:tab/>
        <w:t>from</w:t>
        <w:tab/>
        <w:t>last</w:t>
      </w:r>
      <w:r>
        <w:rPr>
          <w:sz w:val="20"/>
          <w:szCs w:val="20"/>
          <w:color w:val="auto"/>
        </w:rPr>
        <w:tab/>
      </w:r>
      <w:r>
        <w:rPr>
          <w:rFonts w:ascii="Courier New" w:cs="Courier New" w:eastAsia="Courier New" w:hAnsi="Courier New"/>
          <w:sz w:val="14"/>
          <w:szCs w:val="14"/>
          <w:color w:val="auto"/>
        </w:rPr>
        <w:t>year.</w:t>
      </w:r>
    </w:p>
    <w:p>
      <w:pPr>
        <w:spacing w:after="0" w:line="174" w:lineRule="exact"/>
        <w:rPr>
          <w:sz w:val="20"/>
          <w:szCs w:val="20"/>
          <w:color w:val="auto"/>
        </w:rPr>
      </w:pPr>
    </w:p>
    <w:p>
      <w:pPr>
        <w:ind w:left="270" w:right="3439" w:hanging="270"/>
        <w:spacing w:after="0" w:line="235" w:lineRule="auto"/>
        <w:tabs>
          <w:tab w:leader="none" w:pos="2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of $1.6 billion, compared with the prior estimate of $1.5 billion and up about 30 percent from last year.</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SEMICONDUCTOR</w:t>
      </w:r>
    </w:p>
    <w:p>
      <w:pPr>
        <w:spacing w:after="0" w:line="175"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Semiconductor revenue in the third quarter was $1453 million, down from $2692 million in the year-ago period. Revenue was down from $1657 million in the second quarter due to continued weakness across most Semiconductor products, excluding DSP.</w:t>
      </w:r>
    </w:p>
    <w:p>
      <w:pPr>
        <w:spacing w:after="0" w:line="176"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As a result of lower revenue, Semiconductor had a $219 million operating loss, compared with an operating profit of $681 million in the year-ago period and an operating loss of $37 million in the second quarter.</w:t>
      </w:r>
    </w:p>
    <w:p>
      <w:pPr>
        <w:spacing w:after="0" w:line="16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622" w:right="1440" w:bottom="1440" w:gutter="0" w:footer="0" w:header="0"/>
        </w:sectPr>
      </w:pPr>
    </w:p>
    <w:bookmarkStart w:id="14" w:name="page15"/>
    <w:bookmarkEnd w:id="14"/>
    <w:p>
      <w:pPr>
        <w:jc w:val="both"/>
        <w:ind w:left="10" w:right="3359"/>
        <w:spacing w:after="0" w:line="237" w:lineRule="auto"/>
        <w:rPr>
          <w:sz w:val="20"/>
          <w:szCs w:val="20"/>
          <w:color w:val="auto"/>
        </w:rPr>
      </w:pPr>
      <w:r>
        <w:rPr>
          <w:rFonts w:ascii="Courier New" w:cs="Courier New" w:eastAsia="Courier New" w:hAnsi="Courier New"/>
          <w:sz w:val="15"/>
          <w:szCs w:val="15"/>
          <w:color w:val="auto"/>
        </w:rPr>
        <w:t>Analog revenue was down 45 percent from the year-ago period and 16 percent sequentially due to broad based weakness in demand. In the first nine months of the year, about 40 percent of total Semiconductor revenue came from Analog.</w:t>
      </w:r>
    </w:p>
    <w:p>
      <w:pPr>
        <w:spacing w:after="0" w:line="176"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DSP revenue decreased 37 percent from the year-ago quarter due to broad based weakness in demand but increased 10 percent sequentially due to strength in wireless. In the first nine months of the year, about 25 percent of total Semiconductor revenue came from DSP.</w:t>
      </w:r>
    </w:p>
    <w:p>
      <w:pPr>
        <w:spacing w:after="0" w:line="176" w:lineRule="exact"/>
        <w:rPr>
          <w:sz w:val="20"/>
          <w:szCs w:val="20"/>
          <w:color w:val="auto"/>
        </w:rPr>
      </w:pPr>
    </w:p>
    <w:p>
      <w:pPr>
        <w:jc w:val="both"/>
        <w:ind w:left="10" w:right="3359"/>
        <w:spacing w:after="0" w:line="235" w:lineRule="auto"/>
        <w:rPr>
          <w:sz w:val="20"/>
          <w:szCs w:val="20"/>
          <w:color w:val="auto"/>
        </w:rPr>
      </w:pPr>
      <w:r>
        <w:rPr>
          <w:rFonts w:ascii="Courier New" w:cs="Courier New" w:eastAsia="Courier New" w:hAnsi="Courier New"/>
          <w:sz w:val="15"/>
          <w:szCs w:val="15"/>
          <w:color w:val="auto"/>
        </w:rPr>
        <w:t>TI's remaining Semiconductor revenue decreased from the year-ago quarter and sequentially.</w:t>
      </w:r>
    </w:p>
    <w:p>
      <w:pPr>
        <w:spacing w:after="0" w:line="170" w:lineRule="exact"/>
        <w:rPr>
          <w:sz w:val="20"/>
          <w:szCs w:val="20"/>
          <w:color w:val="auto"/>
        </w:rPr>
      </w:pPr>
    </w:p>
    <w:p>
      <w:pPr>
        <w:ind w:left="10"/>
        <w:spacing w:after="0"/>
        <w:tabs>
          <w:tab w:leader="none" w:pos="509" w:val="left"/>
          <w:tab w:leader="none" w:pos="1829" w:val="left"/>
          <w:tab w:leader="none" w:pos="2629" w:val="left"/>
          <w:tab w:leader="none" w:pos="2969" w:val="left"/>
          <w:tab w:leader="none" w:pos="3409" w:val="left"/>
          <w:tab w:leader="none" w:pos="4209" w:val="left"/>
          <w:tab w:leader="none" w:pos="4649" w:val="left"/>
          <w:tab w:leader="none" w:pos="5009" w:val="left"/>
        </w:tabs>
        <w:rPr>
          <w:sz w:val="20"/>
          <w:szCs w:val="20"/>
          <w:color w:val="auto"/>
        </w:rPr>
      </w:pPr>
      <w:r>
        <w:rPr>
          <w:rFonts w:ascii="Courier New" w:cs="Courier New" w:eastAsia="Courier New" w:hAnsi="Courier New"/>
          <w:sz w:val="15"/>
          <w:szCs w:val="15"/>
          <w:color w:val="auto"/>
        </w:rPr>
        <w:t>TI's</w:t>
        <w:tab/>
        <w:t>Semiconductor</w:t>
        <w:tab/>
        <w:t>revenue</w:t>
        <w:tab/>
        <w:t>in</w:t>
        <w:tab/>
        <w:t>key</w:t>
        <w:tab/>
        <w:t>markets</w:t>
        <w:tab/>
        <w:t>was</w:t>
        <w:tab/>
        <w:t>as</w:t>
      </w:r>
      <w:r>
        <w:rPr>
          <w:sz w:val="20"/>
          <w:szCs w:val="20"/>
          <w:color w:val="auto"/>
        </w:rPr>
        <w:tab/>
      </w:r>
      <w:r>
        <w:rPr>
          <w:rFonts w:ascii="Courier New" w:cs="Courier New" w:eastAsia="Courier New" w:hAnsi="Courier New"/>
          <w:sz w:val="14"/>
          <w:szCs w:val="14"/>
          <w:color w:val="auto"/>
        </w:rPr>
        <w:t>follows:</w:t>
      </w:r>
    </w:p>
    <w:p>
      <w:pPr>
        <w:spacing w:after="0" w:line="175" w:lineRule="exact"/>
        <w:rPr>
          <w:sz w:val="20"/>
          <w:szCs w:val="20"/>
          <w:color w:val="auto"/>
        </w:rPr>
      </w:pPr>
    </w:p>
    <w:p>
      <w:pPr>
        <w:ind w:left="270" w:right="3359" w:hanging="270"/>
        <w:spacing w:after="0"/>
        <w:tabs>
          <w:tab w:leader="none" w:pos="2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Wireless revenue was down 42 percent from the year-ago period but increased 16 percent sequentially. In the first nine months of the year, about 20 percent of total Semiconductor revenue came from wireless.</w:t>
      </w:r>
    </w:p>
    <w:p>
      <w:pPr>
        <w:spacing w:after="0" w:line="337" w:lineRule="exact"/>
        <w:rPr>
          <w:rFonts w:ascii="Courier New" w:cs="Courier New" w:eastAsia="Courier New" w:hAnsi="Courier New"/>
          <w:sz w:val="15"/>
          <w:szCs w:val="15"/>
          <w:color w:val="auto"/>
        </w:rPr>
      </w:pPr>
    </w:p>
    <w:p>
      <w:pPr>
        <w:ind w:left="270" w:right="3619" w:hanging="270"/>
        <w:spacing w:after="0" w:line="235" w:lineRule="auto"/>
        <w:tabs>
          <w:tab w:leader="none" w:pos="2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from TI's catalog products, comprised of high-performance Analog and DSP, declined 52 percent from the year-ago quarter and 16</w:t>
      </w:r>
    </w:p>
    <w:p>
      <w:pPr>
        <w:spacing w:after="0" w:line="6" w:lineRule="exact"/>
        <w:rPr>
          <w:sz w:val="20"/>
          <w:szCs w:val="20"/>
          <w:color w:val="auto"/>
        </w:rPr>
      </w:pPr>
    </w:p>
    <w:p>
      <w:pPr>
        <w:ind w:left="270" w:right="3539"/>
        <w:spacing w:after="0" w:line="235" w:lineRule="auto"/>
        <w:rPr>
          <w:sz w:val="20"/>
          <w:szCs w:val="20"/>
          <w:color w:val="auto"/>
        </w:rPr>
      </w:pPr>
      <w:r>
        <w:rPr>
          <w:rFonts w:ascii="Courier New" w:cs="Courier New" w:eastAsia="Courier New" w:hAnsi="Courier New"/>
          <w:sz w:val="15"/>
          <w:szCs w:val="15"/>
          <w:color w:val="auto"/>
        </w:rPr>
        <w:t>percent sequentially. In the first nine months of the year, about 15 percent of total Semiconductor revenue came from catalog products.</w:t>
      </w:r>
    </w:p>
    <w:p>
      <w:pPr>
        <w:spacing w:after="0" w:line="176" w:lineRule="exact"/>
        <w:rPr>
          <w:sz w:val="20"/>
          <w:szCs w:val="20"/>
          <w:color w:val="auto"/>
        </w:rPr>
      </w:pPr>
    </w:p>
    <w:p>
      <w:pPr>
        <w:ind w:left="270" w:right="3359" w:hanging="270"/>
        <w:spacing w:after="0" w:line="237" w:lineRule="auto"/>
        <w:tabs>
          <w:tab w:leader="none" w:pos="27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Broadband communications revenue, which includes digital subscriber line (DSL) and cable modems, was up 8 percent from the year-ago quarter but declined 53 percent sequentially. In the first nine months of the year, about 5 percent of total Semiconductor revenue came from broadband communications.</w:t>
      </w:r>
    </w:p>
    <w:p>
      <w:pPr>
        <w:spacing w:after="0" w:line="178" w:lineRule="exact"/>
        <w:rPr>
          <w:rFonts w:ascii="Courier New" w:cs="Courier New" w:eastAsia="Courier New" w:hAnsi="Courier New"/>
          <w:sz w:val="15"/>
          <w:szCs w:val="15"/>
          <w:color w:val="auto"/>
        </w:rPr>
      </w:pPr>
    </w:p>
    <w:p>
      <w:pPr>
        <w:ind w:left="270" w:right="3439" w:hanging="270"/>
        <w:spacing w:after="0" w:line="235" w:lineRule="auto"/>
        <w:tabs>
          <w:tab w:leader="none" w:pos="27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Semiconductor orders were $1308 million, compared with $2884 in the year-ago period and $1321 million in the second quarter.</w:t>
      </w:r>
    </w:p>
    <w:p>
      <w:pPr>
        <w:spacing w:after="0" w:line="170" w:lineRule="exact"/>
        <w:rPr>
          <w:sz w:val="20"/>
          <w:szCs w:val="20"/>
          <w:color w:val="auto"/>
        </w:rPr>
      </w:pPr>
    </w:p>
    <w:p>
      <w:pPr>
        <w:ind w:left="10"/>
        <w:spacing w:after="0"/>
        <w:tabs>
          <w:tab w:leader="none" w:pos="769" w:val="left"/>
          <w:tab w:leader="none" w:pos="1029" w:val="left"/>
        </w:tabs>
        <w:rPr>
          <w:sz w:val="20"/>
          <w:szCs w:val="20"/>
          <w:color w:val="auto"/>
        </w:rPr>
      </w:pPr>
      <w:r>
        <w:rPr>
          <w:rFonts w:ascii="Courier New" w:cs="Courier New" w:eastAsia="Courier New" w:hAnsi="Courier New"/>
          <w:sz w:val="15"/>
          <w:szCs w:val="15"/>
          <w:color w:val="auto"/>
        </w:rPr>
        <w:t>SENSORS</w:t>
        <w:tab/>
        <w:t>&amp;</w:t>
        <w:tab/>
        <w:t>CONTROLS</w:t>
      </w:r>
    </w:p>
    <w:p>
      <w:pPr>
        <w:spacing w:after="0" w:line="17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Revenue was $222 million, compared with $245 million in the year-ago period due to overall market weakness, and down from $257 million in the second quarter due to seasonal patterns in the heating and air conditioning industry and market weakness.</w:t>
      </w:r>
    </w:p>
    <w:p>
      <w:pPr>
        <w:spacing w:after="0" w:line="176" w:lineRule="exact"/>
        <w:rPr>
          <w:sz w:val="20"/>
          <w:szCs w:val="20"/>
          <w:color w:val="auto"/>
        </w:rPr>
      </w:pPr>
    </w:p>
    <w:p>
      <w:pPr>
        <w:jc w:val="both"/>
        <w:ind w:left="10" w:right="3179"/>
        <w:spacing w:after="0"/>
        <w:rPr>
          <w:sz w:val="20"/>
          <w:szCs w:val="20"/>
          <w:color w:val="auto"/>
        </w:rPr>
      </w:pPr>
      <w:r>
        <w:rPr>
          <w:rFonts w:ascii="Courier New" w:cs="Courier New" w:eastAsia="Courier New" w:hAnsi="Courier New"/>
          <w:sz w:val="15"/>
          <w:szCs w:val="15"/>
          <w:color w:val="auto"/>
        </w:rPr>
        <w:t>Operating profit was $45 million, or 20.2 percent of revenue. Operating profit in the year-ago period was $43 million, or 17.5 percent of revenue. Operating profit in the second quarter was $52 million, or 20.2 percent of revenue.</w:t>
      </w:r>
    </w:p>
    <w:p>
      <w:pPr>
        <w:spacing w:after="0" w:line="332"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627" w:right="1440" w:bottom="1440" w:gutter="0" w:footer="0" w:header="0"/>
        </w:sectPr>
      </w:pPr>
    </w:p>
    <w:bookmarkStart w:id="15" w:name="page16"/>
    <w:bookmarkEnd w:id="15"/>
    <w:p>
      <w:pPr>
        <w:ind w:left="10"/>
        <w:spacing w:after="0"/>
        <w:tabs>
          <w:tab w:leader="none" w:pos="1129" w:val="left"/>
          <w:tab w:leader="none" w:pos="1389" w:val="left"/>
          <w:tab w:leader="none" w:pos="2629" w:val="left"/>
          <w:tab w:leader="none" w:pos="3589" w:val="left"/>
        </w:tabs>
        <w:rPr>
          <w:sz w:val="20"/>
          <w:szCs w:val="20"/>
          <w:color w:val="auto"/>
        </w:rPr>
      </w:pPr>
      <w:r>
        <w:rPr>
          <w:rFonts w:ascii="Courier New" w:cs="Courier New" w:eastAsia="Courier New" w:hAnsi="Courier New"/>
          <w:sz w:val="15"/>
          <w:szCs w:val="15"/>
          <w:color w:val="auto"/>
        </w:rPr>
        <w:t>EDUCATIONAL</w:t>
        <w:tab/>
        <w:t>&amp;</w:t>
        <w:tab/>
        <w:t>PRODUCTIVITY</w:t>
        <w:tab/>
        <w:t>SOLUTIONS</w:t>
        <w:tab/>
        <w:t>(E&amp;PS)</w:t>
      </w:r>
    </w:p>
    <w:p>
      <w:pPr>
        <w:spacing w:after="0" w:line="17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E&amp;PS revenue was $179 million, compared with $175 million in the year-ago quarter. Sequentially, revenue increased by $50 million due to back-to-school sales of educational products.</w:t>
      </w:r>
    </w:p>
    <w:p>
      <w:pPr>
        <w:spacing w:after="0" w:line="17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Operating profit was $67 million, or 37.3 percent of revenue, compared with $64 million, or 36.3 percent of revenue in the year-ago quarter. Operating profit increased 76 percent from the second quarter's $38 million due to seasonality.</w:t>
      </w:r>
    </w:p>
    <w:p>
      <w:pPr>
        <w:spacing w:after="0" w:line="171" w:lineRule="exact"/>
        <w:rPr>
          <w:sz w:val="20"/>
          <w:szCs w:val="20"/>
          <w:color w:val="auto"/>
        </w:rPr>
      </w:pPr>
    </w:p>
    <w:p>
      <w:pPr>
        <w:ind w:left="10"/>
        <w:spacing w:after="0"/>
        <w:tabs>
          <w:tab w:leader="none" w:pos="589" w:val="left"/>
          <w:tab w:leader="none" w:pos="1129" w:val="left"/>
          <w:tab w:leader="none" w:pos="1829" w:val="left"/>
          <w:tab w:leader="none" w:pos="2189" w:val="left"/>
        </w:tabs>
        <w:rPr>
          <w:sz w:val="20"/>
          <w:szCs w:val="20"/>
          <w:color w:val="auto"/>
        </w:rPr>
      </w:pPr>
      <w:r>
        <w:rPr>
          <w:rFonts w:ascii="Courier New" w:cs="Courier New" w:eastAsia="Courier New" w:hAnsi="Courier New"/>
          <w:sz w:val="15"/>
          <w:szCs w:val="15"/>
          <w:color w:val="auto"/>
        </w:rPr>
        <w:t>FIRST</w:t>
        <w:tab/>
        <w:t>NINE</w:t>
        <w:tab/>
        <w:t>MONTHS</w:t>
        <w:tab/>
        <w:t>OF</w:t>
      </w:r>
      <w:r>
        <w:rPr>
          <w:sz w:val="20"/>
          <w:szCs w:val="20"/>
          <w:color w:val="auto"/>
        </w:rPr>
        <w:tab/>
      </w:r>
      <w:r>
        <w:rPr>
          <w:rFonts w:ascii="Courier New" w:cs="Courier New" w:eastAsia="Courier New" w:hAnsi="Courier New"/>
          <w:sz w:val="14"/>
          <w:szCs w:val="14"/>
          <w:color w:val="auto"/>
        </w:rPr>
        <w:t>2001</w:t>
      </w:r>
    </w:p>
    <w:p>
      <w:pPr>
        <w:spacing w:after="0" w:line="169" w:lineRule="exact"/>
        <w:rPr>
          <w:sz w:val="20"/>
          <w:szCs w:val="20"/>
          <w:color w:val="auto"/>
        </w:rPr>
      </w:pPr>
    </w:p>
    <w:p>
      <w:pPr>
        <w:ind w:left="10"/>
        <w:spacing w:after="0"/>
        <w:tabs>
          <w:tab w:leader="none" w:pos="429" w:val="left"/>
          <w:tab w:leader="none" w:pos="869" w:val="left"/>
          <w:tab w:leader="none" w:pos="1469" w:val="left"/>
          <w:tab w:leader="none" w:pos="2009" w:val="left"/>
          <w:tab w:leader="none" w:pos="2709" w:val="left"/>
          <w:tab w:leader="none" w:pos="3069" w:val="left"/>
          <w:tab w:leader="none" w:pos="3689" w:val="left"/>
          <w:tab w:leader="none" w:pos="4029" w:val="left"/>
          <w:tab w:leader="none" w:pos="4909" w:val="left"/>
          <w:tab w:leader="none" w:pos="5349" w:val="left"/>
        </w:tabs>
        <w:rPr>
          <w:sz w:val="20"/>
          <w:szCs w:val="20"/>
          <w:color w:val="auto"/>
        </w:rPr>
      </w:pPr>
      <w:r>
        <w:rPr>
          <w:rFonts w:ascii="Courier New" w:cs="Courier New" w:eastAsia="Courier New" w:hAnsi="Courier New"/>
          <w:sz w:val="15"/>
          <w:szCs w:val="15"/>
          <w:color w:val="auto"/>
        </w:rPr>
        <w:t>For</w:t>
        <w:tab/>
        <w:t>the</w:t>
        <w:tab/>
        <w:t>first</w:t>
        <w:tab/>
        <w:t>nine</w:t>
        <w:tab/>
        <w:t>months</w:t>
        <w:tab/>
        <w:t>of</w:t>
        <w:tab/>
        <w:t>2001,</w:t>
        <w:tab/>
        <w:t>TI</w:t>
        <w:tab/>
        <w:t>reported</w:t>
        <w:tab/>
        <w:t>the</w:t>
      </w:r>
      <w:r>
        <w:rPr>
          <w:sz w:val="20"/>
          <w:szCs w:val="20"/>
          <w:color w:val="auto"/>
        </w:rPr>
        <w:tab/>
      </w:r>
      <w:r>
        <w:rPr>
          <w:rFonts w:ascii="Courier New" w:cs="Courier New" w:eastAsia="Courier New" w:hAnsi="Courier New"/>
          <w:sz w:val="14"/>
          <w:szCs w:val="14"/>
          <w:color w:val="auto"/>
        </w:rPr>
        <w:t>following:</w:t>
      </w:r>
    </w:p>
    <w:p>
      <w:pPr>
        <w:spacing w:after="0" w:line="175" w:lineRule="exact"/>
        <w:rPr>
          <w:sz w:val="20"/>
          <w:szCs w:val="20"/>
          <w:color w:val="auto"/>
        </w:rPr>
      </w:pPr>
    </w:p>
    <w:p>
      <w:pPr>
        <w:jc w:val="both"/>
        <w:ind w:left="450" w:right="3179" w:hanging="450"/>
        <w:spacing w:after="0" w:line="237" w:lineRule="auto"/>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revenue was $6414 million, down from $8843 million in the first nine months of 2000, due to Semiconductor. The decrease in Semiconductor revenue for the first nine months of 2001 was primarily due to weakness across most Semiconductor products. The decrease in Sensors &amp; Controls was primarily due to overall market weakness. E&amp;PS was up slightly due to</w:t>
      </w:r>
    </w:p>
    <w:p>
      <w:pPr>
        <w:spacing w:after="0" w:line="3" w:lineRule="exact"/>
        <w:rPr>
          <w:sz w:val="20"/>
          <w:szCs w:val="20"/>
          <w:color w:val="auto"/>
        </w:rPr>
      </w:pPr>
    </w:p>
    <w:p>
      <w:pPr>
        <w:ind w:left="450"/>
        <w:spacing w:after="0"/>
        <w:tabs>
          <w:tab w:leader="none" w:pos="1309" w:val="left"/>
          <w:tab w:leader="none" w:pos="1649" w:val="left"/>
          <w:tab w:leader="none" w:pos="2809" w:val="left"/>
        </w:tabs>
        <w:rPr>
          <w:sz w:val="20"/>
          <w:szCs w:val="20"/>
          <w:color w:val="auto"/>
        </w:rPr>
      </w:pPr>
      <w:r>
        <w:rPr>
          <w:rFonts w:ascii="Courier New" w:cs="Courier New" w:eastAsia="Courier New" w:hAnsi="Courier New"/>
          <w:sz w:val="15"/>
          <w:szCs w:val="15"/>
          <w:color w:val="auto"/>
        </w:rPr>
        <w:t>strength</w:t>
        <w:tab/>
        <w:t>of</w:t>
        <w:tab/>
        <w:t>educational</w:t>
      </w:r>
      <w:r>
        <w:rPr>
          <w:sz w:val="20"/>
          <w:szCs w:val="20"/>
          <w:color w:val="auto"/>
        </w:rPr>
        <w:tab/>
      </w:r>
      <w:r>
        <w:rPr>
          <w:rFonts w:ascii="Courier New" w:cs="Courier New" w:eastAsia="Courier New" w:hAnsi="Courier New"/>
          <w:sz w:val="14"/>
          <w:szCs w:val="14"/>
          <w:color w:val="auto"/>
        </w:rPr>
        <w:t>products.</w:t>
      </w:r>
    </w:p>
    <w:p>
      <w:pPr>
        <w:spacing w:after="0" w:line="175" w:lineRule="exact"/>
        <w:rPr>
          <w:sz w:val="20"/>
          <w:szCs w:val="20"/>
          <w:color w:val="auto"/>
        </w:rPr>
      </w:pPr>
    </w:p>
    <w:p>
      <w:pPr>
        <w:jc w:val="both"/>
        <w:ind w:left="450" w:right="3179" w:hanging="450"/>
        <w:spacing w:after="0" w:line="237" w:lineRule="auto"/>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revenues was $4452 million compared with $4544 million in the year-ago period. Cost of revenues decreased primarily due to decreased Semiconductor revenue.</w:t>
      </w:r>
    </w:p>
    <w:p>
      <w:pPr>
        <w:spacing w:after="0" w:line="174" w:lineRule="exact"/>
        <w:rPr>
          <w:rFonts w:ascii="Courier New" w:cs="Courier New" w:eastAsia="Courier New" w:hAnsi="Courier New"/>
          <w:sz w:val="15"/>
          <w:szCs w:val="15"/>
          <w:color w:val="auto"/>
        </w:rPr>
      </w:pPr>
    </w:p>
    <w:p>
      <w:pPr>
        <w:jc w:val="both"/>
        <w:ind w:left="450" w:right="3179" w:hanging="450"/>
        <w:spacing w:after="0" w:line="235" w:lineRule="auto"/>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R&amp;D totaled $1216 million, compared with $1306 million in the first nine months of 2000. The decrease was primarily due to acquisition-related</w:t>
      </w:r>
    </w:p>
    <w:p>
      <w:pPr>
        <w:spacing w:after="0" w:line="1" w:lineRule="exact"/>
        <w:rPr>
          <w:sz w:val="20"/>
          <w:szCs w:val="20"/>
          <w:color w:val="auto"/>
        </w:rPr>
      </w:pPr>
    </w:p>
    <w:p>
      <w:pPr>
        <w:ind w:left="450"/>
        <w:spacing w:after="0"/>
        <w:tabs>
          <w:tab w:leader="none" w:pos="1209" w:val="left"/>
          <w:tab w:leader="none" w:pos="1649" w:val="left"/>
          <w:tab w:leader="none" w:pos="2629" w:val="left"/>
          <w:tab w:leader="none" w:pos="3689" w:val="left"/>
          <w:tab w:leader="none" w:pos="4129" w:val="left"/>
        </w:tabs>
        <w:rPr>
          <w:sz w:val="20"/>
          <w:szCs w:val="20"/>
          <w:color w:val="auto"/>
        </w:rPr>
      </w:pPr>
      <w:r>
        <w:rPr>
          <w:rFonts w:ascii="Courier New" w:cs="Courier New" w:eastAsia="Courier New" w:hAnsi="Courier New"/>
          <w:sz w:val="15"/>
          <w:szCs w:val="15"/>
          <w:color w:val="auto"/>
        </w:rPr>
        <w:t>charges</w:t>
        <w:tab/>
        <w:t>for</w:t>
        <w:tab/>
        <w:t>purchased</w:t>
        <w:tab/>
        <w:t>in-process</w:t>
        <w:tab/>
        <w:t>R&amp;D</w:t>
      </w:r>
      <w:r>
        <w:rPr>
          <w:sz w:val="20"/>
          <w:szCs w:val="20"/>
          <w:color w:val="auto"/>
        </w:rPr>
        <w:tab/>
      </w:r>
      <w:r>
        <w:rPr>
          <w:rFonts w:ascii="Courier New" w:cs="Courier New" w:eastAsia="Courier New" w:hAnsi="Courier New"/>
          <w:sz w:val="14"/>
          <w:szCs w:val="14"/>
          <w:color w:val="auto"/>
        </w:rPr>
        <w:t>in the first nine months of 2000.</w:t>
      </w:r>
    </w:p>
    <w:p>
      <w:pPr>
        <w:spacing w:after="0" w:line="175" w:lineRule="exact"/>
        <w:rPr>
          <w:sz w:val="20"/>
          <w:szCs w:val="20"/>
          <w:color w:val="auto"/>
        </w:rPr>
      </w:pPr>
    </w:p>
    <w:p>
      <w:pPr>
        <w:ind w:left="450" w:right="3179" w:hanging="450"/>
        <w:spacing w:after="0" w:line="235" w:lineRule="auto"/>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Selling, general and administrative expense was $1060 million, down from $1268 million in the year-ago period primarily due to cost reduction</w:t>
      </w:r>
    </w:p>
    <w:p>
      <w:pPr>
        <w:spacing w:after="0" w:line="1" w:lineRule="exact"/>
        <w:rPr>
          <w:sz w:val="20"/>
          <w:szCs w:val="20"/>
          <w:color w:val="auto"/>
        </w:rPr>
      </w:pPr>
    </w:p>
    <w:p>
      <w:pPr>
        <w:ind w:left="450"/>
        <w:spacing w:after="0"/>
        <w:tabs>
          <w:tab w:leader="none" w:pos="2269" w:val="left"/>
          <w:tab w:leader="none" w:pos="2969" w:val="left"/>
        </w:tabs>
        <w:rPr>
          <w:sz w:val="20"/>
          <w:szCs w:val="20"/>
          <w:color w:val="auto"/>
        </w:rPr>
      </w:pPr>
      <w:r>
        <w:rPr>
          <w:rFonts w:ascii="Courier New" w:cs="Courier New" w:eastAsia="Courier New" w:hAnsi="Courier New"/>
          <w:sz w:val="15"/>
          <w:szCs w:val="15"/>
          <w:color w:val="auto"/>
        </w:rPr>
        <w:t>actions and reduced</w:t>
        <w:tab/>
        <w:t>profit</w:t>
        <w:tab/>
        <w:t>sharing.</w:t>
      </w:r>
    </w:p>
    <w:p>
      <w:pPr>
        <w:spacing w:after="0" w:line="175" w:lineRule="exact"/>
        <w:rPr>
          <w:sz w:val="20"/>
          <w:szCs w:val="20"/>
          <w:color w:val="auto"/>
        </w:rPr>
      </w:pPr>
    </w:p>
    <w:p>
      <w:pPr>
        <w:ind w:left="450" w:hanging="450"/>
        <w:spacing w:after="0"/>
        <w:tabs>
          <w:tab w:leader="none" w:pos="45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(expense) net decreased from $2039 million in the first nine</w:t>
      </w:r>
    </w:p>
    <w:p>
      <w:pPr>
        <w:spacing w:after="0" w:line="11" w:lineRule="exact"/>
        <w:rPr>
          <w:sz w:val="20"/>
          <w:szCs w:val="20"/>
          <w:color w:val="auto"/>
        </w:rPr>
      </w:pPr>
    </w:p>
    <w:p>
      <w:pPr>
        <w:ind w:left="450" w:right="3179"/>
        <w:spacing w:after="0" w:line="235" w:lineRule="auto"/>
        <w:rPr>
          <w:sz w:val="20"/>
          <w:szCs w:val="20"/>
          <w:color w:val="auto"/>
        </w:rPr>
      </w:pPr>
      <w:r>
        <w:rPr>
          <w:rFonts w:ascii="Courier New" w:cs="Courier New" w:eastAsia="Courier New" w:hAnsi="Courier New"/>
          <w:sz w:val="15"/>
          <w:szCs w:val="15"/>
          <w:color w:val="auto"/>
        </w:rPr>
        <w:t>months of 2000 to $201 million for the first nine months of 2001, primarily due to the sale of Micron stock in 2000.</w:t>
      </w:r>
    </w:p>
    <w:p>
      <w:pPr>
        <w:spacing w:after="0" w:line="170" w:lineRule="exact"/>
        <w:rPr>
          <w:sz w:val="20"/>
          <w:szCs w:val="20"/>
          <w:color w:val="auto"/>
        </w:rPr>
      </w:pPr>
    </w:p>
    <w:p>
      <w:pPr>
        <w:ind w:left="10"/>
        <w:spacing w:after="0"/>
        <w:tabs>
          <w:tab w:leader="none" w:pos="429" w:val="left"/>
          <w:tab w:leader="none" w:pos="869" w:val="left"/>
          <w:tab w:leader="none" w:pos="1569" w:val="left"/>
          <w:tab w:leader="none" w:pos="2009" w:val="left"/>
          <w:tab w:leader="none" w:pos="2529" w:val="left"/>
          <w:tab w:leader="none" w:pos="2969" w:val="left"/>
          <w:tab w:leader="none" w:pos="33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The</w:t>
        <w:tab/>
        <w:t>income</w:t>
        <w:tab/>
        <w:t>tax</w:t>
        <w:tab/>
        <w:t>rate</w:t>
        <w:tab/>
        <w:t>was</w:t>
        <w:tab/>
        <w:t>46</w:t>
      </w:r>
      <w:r>
        <w:rPr>
          <w:sz w:val="20"/>
          <w:szCs w:val="20"/>
          <w:color w:val="auto"/>
        </w:rPr>
        <w:tab/>
      </w:r>
      <w:r>
        <w:rPr>
          <w:rFonts w:ascii="Courier New" w:cs="Courier New" w:eastAsia="Courier New" w:hAnsi="Courier New"/>
          <w:sz w:val="14"/>
          <w:szCs w:val="14"/>
          <w:color w:val="auto"/>
        </w:rPr>
        <w:t>percent.</w:t>
      </w:r>
    </w:p>
    <w:p>
      <w:pPr>
        <w:spacing w:after="0" w:line="175" w:lineRule="exact"/>
        <w:rPr>
          <w:sz w:val="20"/>
          <w:szCs w:val="20"/>
          <w:color w:val="auto"/>
        </w:rPr>
      </w:pPr>
    </w:p>
    <w:p>
      <w:pPr>
        <w:jc w:val="both"/>
        <w:ind w:left="450" w:right="3179" w:hanging="450"/>
        <w:spacing w:after="0" w:line="258" w:lineRule="auto"/>
        <w:tabs>
          <w:tab w:leader="none" w:pos="45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Orders were $5239 million, down from $9601 million for the same period a year ago, primarily due to weakness in Semiconductor. Semiconductor orders for the first nine months were down, primarily due to a combination of weak electronic end-equipment markets and excess customer inventories. Sensors &amp; Controls orders were down due to overall market weakness. E&amp;PS orders were up slightly due to strength of educational products.</w:t>
      </w:r>
    </w:p>
    <w:p>
      <w:pPr>
        <w:spacing w:after="0" w:line="158"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FINANCIAL</w:t>
        <w:tab/>
        <w:t>CONDITION</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 the first nine months of 2001, cash and cash equivalents plus short-term investments decreased by $1011 million to $2992 million, primarily due to capital expenditures. During the third quarter of 2001, cash and cash equivalents plus short-term investments decreased by $22 million due to the repurchase of the company's common stock.</w:t>
      </w:r>
    </w:p>
    <w:p>
      <w:pPr>
        <w:spacing w:after="0" w:line="173"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622" w:right="1440" w:bottom="1440" w:gutter="0" w:footer="0" w:header="0"/>
        </w:sectPr>
      </w:pPr>
    </w:p>
    <w:bookmarkStart w:id="16" w:name="page17"/>
    <w:bookmarkEnd w:id="16"/>
    <w:p>
      <w:pPr>
        <w:jc w:val="both"/>
        <w:ind w:right="3179"/>
        <w:spacing w:after="0" w:line="235" w:lineRule="auto"/>
        <w:rPr>
          <w:sz w:val="20"/>
          <w:szCs w:val="20"/>
          <w:color w:val="auto"/>
        </w:rPr>
      </w:pPr>
      <w:r>
        <w:rPr>
          <w:rFonts w:ascii="Courier New" w:cs="Courier New" w:eastAsia="Courier New" w:hAnsi="Courier New"/>
          <w:sz w:val="15"/>
          <w:szCs w:val="15"/>
          <w:color w:val="auto"/>
        </w:rPr>
        <w:t>Cash flow from operating activities was $1039 million in the first three quarters of 2001.</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Capital expenditures totaled $1554 million in the first nine months of 2001, compared with $1789 million in the first nine months of 2000. Capital expenditures totaled $312 million in the third quarter of 2001 versus $585 million in the year-ago quarter.</w:t>
      </w:r>
    </w:p>
    <w:p>
      <w:pPr>
        <w:spacing w:after="0" w:line="176" w:lineRule="exact"/>
        <w:rPr>
          <w:sz w:val="20"/>
          <w:szCs w:val="20"/>
          <w:color w:val="auto"/>
        </w:rPr>
      </w:pPr>
    </w:p>
    <w:p>
      <w:pPr>
        <w:jc w:val="both"/>
        <w:ind w:right="3179"/>
        <w:spacing w:after="0"/>
        <w:rPr>
          <w:sz w:val="20"/>
          <w:szCs w:val="20"/>
          <w:color w:val="auto"/>
        </w:rPr>
      </w:pPr>
      <w:r>
        <w:rPr>
          <w:rFonts w:ascii="Courier New" w:cs="Courier New" w:eastAsia="Courier New" w:hAnsi="Courier New"/>
          <w:sz w:val="15"/>
          <w:szCs w:val="15"/>
          <w:color w:val="auto"/>
        </w:rPr>
        <w:t>Depreciation for the first three quarters of 2001 was $1145 million, compared with $869 million in the same period a year ago. Depreciation for the third quarter of 2001 was $414 million, versus $319 million in the year-ago quarter.</w:t>
      </w:r>
    </w:p>
    <w:p>
      <w:pPr>
        <w:spacing w:after="0" w:line="338"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Debt-to-total-capital ratio was 0.10 at the end of the third quarter, the same as at the end of 2000.</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June 2001, the Financial Accounting Standards Board issued Statements of Financial Accounting Standards No. 141, Business Combinations, and No. 142, Goodwill and Other Intangibles, effective for fiscal years beginning after December 15, 2001. Under the new rules, goodwill and intangible assets deemed to have indefinite lives will no longer be amortized but will be subject to annual impairment tests in accordance with the Statements. Other intangible assets will continue to be amortized over their useful lives. The company will apply the new rules on accounting for goodwill and other intangible assets beginning in the first quarter of 2002. Application of the non-amortization provisions of the Statement is expected to result in an increase in net income of $100 million ($0.06 per share). During 2002, the company will perform the first of the required impairment tests of goodwill and indefinite lived intangible assets as of January 1, 2002 and has not yet determined what effect, if any, these tests will have on the earnings and financial position of the company.</w:t>
      </w:r>
    </w:p>
    <w:p>
      <w:pPr>
        <w:spacing w:after="0" w:line="179" w:lineRule="exact"/>
        <w:rPr>
          <w:sz w:val="20"/>
          <w:szCs w:val="20"/>
          <w:color w:val="auto"/>
        </w:rPr>
      </w:pPr>
    </w:p>
    <w:p>
      <w:pPr>
        <w:spacing w:after="0"/>
        <w:tabs>
          <w:tab w:leader="none" w:pos="760" w:val="left"/>
          <w:tab w:leader="none" w:pos="1560" w:val="left"/>
          <w:tab w:leader="none" w:pos="2000" w:val="left"/>
        </w:tabs>
        <w:rPr>
          <w:sz w:val="20"/>
          <w:szCs w:val="20"/>
          <w:color w:val="auto"/>
        </w:rPr>
      </w:pPr>
      <w:r>
        <w:rPr>
          <w:rFonts w:ascii="Courier New" w:cs="Courier New" w:eastAsia="Courier New" w:hAnsi="Courier New"/>
          <w:sz w:val="15"/>
          <w:szCs w:val="15"/>
          <w:color w:val="auto"/>
        </w:rPr>
        <w:t>SPECIAL</w:t>
        <w:tab/>
        <w:t>CHARGES</w:t>
        <w:tab/>
        <w:t>AND</w:t>
      </w:r>
      <w:r>
        <w:rPr>
          <w:sz w:val="20"/>
          <w:szCs w:val="20"/>
          <w:color w:val="auto"/>
        </w:rPr>
        <w:tab/>
      </w:r>
      <w:r>
        <w:rPr>
          <w:rFonts w:ascii="Courier New" w:cs="Courier New" w:eastAsia="Courier New" w:hAnsi="Courier New"/>
          <w:sz w:val="14"/>
          <w:szCs w:val="14"/>
          <w:color w:val="auto"/>
        </w:rPr>
        <w:t>GAINS</w:t>
      </w:r>
    </w:p>
    <w:p>
      <w:pPr>
        <w:spacing w:after="0" w:line="169" w:lineRule="exact"/>
        <w:rPr>
          <w:sz w:val="20"/>
          <w:szCs w:val="20"/>
          <w:color w:val="auto"/>
        </w:rPr>
      </w:pPr>
    </w:p>
    <w:p>
      <w:pPr>
        <w:spacing w:after="0"/>
        <w:tabs>
          <w:tab w:leader="none" w:pos="580" w:val="left"/>
          <w:tab w:leader="none" w:pos="1380" w:val="left"/>
          <w:tab w:leader="none" w:pos="1740" w:val="left"/>
        </w:tabs>
        <w:rPr>
          <w:sz w:val="20"/>
          <w:szCs w:val="20"/>
          <w:color w:val="auto"/>
        </w:rPr>
      </w:pPr>
      <w:r>
        <w:rPr>
          <w:rFonts w:ascii="Courier New" w:cs="Courier New" w:eastAsia="Courier New" w:hAnsi="Courier New"/>
          <w:sz w:val="15"/>
          <w:szCs w:val="15"/>
          <w:color w:val="auto"/>
        </w:rPr>
        <w:t>Third</w:t>
        <w:tab/>
        <w:t>Quarter</w:t>
        <w:tab/>
        <w:t>of</w:t>
      </w:r>
      <w:r>
        <w:rPr>
          <w:sz w:val="20"/>
          <w:szCs w:val="20"/>
          <w:color w:val="auto"/>
        </w:rPr>
        <w:tab/>
      </w:r>
      <w:r>
        <w:rPr>
          <w:rFonts w:ascii="Courier New" w:cs="Courier New" w:eastAsia="Courier New" w:hAnsi="Courier New"/>
          <w:sz w:val="14"/>
          <w:szCs w:val="14"/>
          <w:color w:val="auto"/>
        </w:rPr>
        <w:t>2001</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As of September 30, 2001, $184 million of the $290 million aggregate severance cost obligations for the first, second and third quarter 2001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worldwide</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cost</w:t>
            </w: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reduction</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and</w:t>
            </w:r>
          </w:p>
        </w:tc>
        <w:tc>
          <w:tcPr>
            <w:tcW w:w="1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restructuring</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actions affecting a</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 5724</w:t>
            </w: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employees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had</w:t>
            </w: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been  paid.</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these</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first,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second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third</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quarter</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actions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are</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w w:val="94"/>
              </w:rPr>
              <w:t>expected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result</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in</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annualized</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savings of</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approximately</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$400</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million.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the  third</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quarter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4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2001, pretax charges of $37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million</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were</w:t>
            </w:r>
          </w:p>
        </w:tc>
        <w:tc>
          <w:tcPr>
            <w:tcW w:w="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taken,</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of which $19</w:t>
            </w:r>
          </w:p>
        </w:tc>
        <w:tc>
          <w:tcPr>
            <w:tcW w:w="26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million was severance cost for</w:t>
            </w:r>
          </w:p>
        </w:tc>
        <w:tc>
          <w:tcPr>
            <w:tcW w:w="15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 worldwide cost-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rPr>
              <w:t>reduction</w:t>
            </w:r>
          </w:p>
        </w:tc>
        <w:tc>
          <w:tcPr>
            <w:tcW w:w="16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program  affecting</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285</w:t>
            </w:r>
          </w:p>
        </w:tc>
        <w:tc>
          <w:tcPr>
            <w:tcW w:w="3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employees  and  $16  million  relates to the</w:t>
            </w:r>
          </w:p>
        </w:tc>
      </w:tr>
      <w:tr>
        <w:trPr>
          <w:trHeight w:val="170"/>
        </w:trPr>
        <w:tc>
          <w:tcPr>
            <w:tcW w:w="1220" w:type="dxa"/>
            <w:vAlign w:val="bottom"/>
            <w:gridSpan w:val="4"/>
          </w:tcPr>
          <w:p>
            <w:pPr>
              <w:spacing w:after="0"/>
              <w:rPr>
                <w:sz w:val="20"/>
                <w:szCs w:val="20"/>
                <w:color w:val="auto"/>
              </w:rPr>
            </w:pPr>
            <w:r>
              <w:rPr>
                <w:rFonts w:ascii="Courier New" w:cs="Courier New" w:eastAsia="Courier New" w:hAnsi="Courier New"/>
                <w:sz w:val="15"/>
                <w:szCs w:val="15"/>
                <w:color w:val="auto"/>
              </w:rPr>
              <w:t>restructuring</w:t>
            </w:r>
          </w:p>
        </w:tc>
        <w:tc>
          <w:tcPr>
            <w:tcW w:w="582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charges  for  the  closing  of  three  Semiconductor  facilities</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(Santa</w:t>
            </w:r>
          </w:p>
        </w:tc>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rPr>
              <w:t>Cruz,</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California;</w:t>
            </w:r>
          </w:p>
        </w:tc>
        <w:tc>
          <w:tcPr>
            <w:tcW w:w="106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Merrimack,</w:t>
            </w:r>
          </w:p>
        </w:tc>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New  Hampshire; and Tustin, California).</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5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$16</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million, $15</w:t>
            </w: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million</w:t>
            </w:r>
          </w:p>
        </w:tc>
        <w:tc>
          <w:tcPr>
            <w:tcW w:w="3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was for the acceleration of depreciation over</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92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3"/>
              </w:rPr>
              <w:t>remaining</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service</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life</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of</w:t>
            </w:r>
          </w:p>
        </w:tc>
        <w:tc>
          <w:tcPr>
            <w:tcW w:w="3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the  facilities.  Of  the  $37  million,  $27</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million</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is</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included</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in</w:t>
            </w: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4"/>
              </w:rPr>
              <w:t>cost  of</w:t>
            </w:r>
          </w:p>
        </w:tc>
        <w:tc>
          <w:tcPr>
            <w:tcW w:w="3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revenues, $8 million is in selling, general</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2300" w:type="dxa"/>
            <w:vAlign w:val="bottom"/>
            <w:gridSpan w:val="6"/>
          </w:tcPr>
          <w:p>
            <w:pPr>
              <w:ind w:left="140"/>
              <w:spacing w:after="0"/>
              <w:rPr>
                <w:sz w:val="20"/>
                <w:szCs w:val="20"/>
                <w:color w:val="auto"/>
              </w:rPr>
            </w:pPr>
            <w:r>
              <w:rPr>
                <w:rFonts w:ascii="Courier New" w:cs="Courier New" w:eastAsia="Courier New" w:hAnsi="Courier New"/>
                <w:sz w:val="15"/>
                <w:szCs w:val="15"/>
                <w:color w:val="auto"/>
              </w:rPr>
              <w:t>administrative  expense</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$2</w:t>
            </w:r>
          </w:p>
        </w:tc>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w w:val="98"/>
              </w:rPr>
              <w:t>million  is  in  research and development</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expense.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39"/>
        </w:trPr>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17</w:t>
            </w:r>
          </w:p>
        </w:tc>
        <w:tc>
          <w:tcPr>
            <w:tcW w:w="3660" w:type="dxa"/>
            <w:vAlign w:val="bottom"/>
          </w:tcPr>
          <w:p>
            <w:pPr>
              <w:spacing w:after="0"/>
              <w:rPr>
                <w:sz w:val="24"/>
                <w:szCs w:val="24"/>
                <w:color w:val="auto"/>
              </w:rPr>
            </w:pPr>
          </w:p>
        </w:tc>
      </w:tr>
    </w:tbl>
    <w:p>
      <w:pPr>
        <w:sectPr>
          <w:pgSz w:w="11900" w:h="16838" w:orient="portrait"/>
          <w:cols w:equalWidth="0" w:num="1">
            <w:col w:w="10219"/>
          </w:cols>
          <w:pgMar w:left="240" w:top="627" w:right="1440" w:bottom="1440" w:gutter="0" w:footer="0" w:header="0"/>
        </w:sectPr>
      </w:pPr>
    </w:p>
    <w:bookmarkStart w:id="17" w:name="page18"/>
    <w:bookmarkEnd w:id="17"/>
    <w:p>
      <w:pPr>
        <w:spacing w:after="0"/>
        <w:tabs>
          <w:tab w:leader="none" w:pos="680" w:val="left"/>
          <w:tab w:leader="none" w:pos="1460" w:val="left"/>
          <w:tab w:leader="none" w:pos="1820" w:val="left"/>
        </w:tabs>
        <w:rPr>
          <w:sz w:val="20"/>
          <w:szCs w:val="20"/>
          <w:color w:val="auto"/>
        </w:rPr>
      </w:pPr>
      <w:r>
        <w:rPr>
          <w:rFonts w:ascii="Courier New" w:cs="Courier New" w:eastAsia="Courier New" w:hAnsi="Courier New"/>
          <w:sz w:val="15"/>
          <w:szCs w:val="15"/>
          <w:color w:val="auto"/>
        </w:rPr>
        <w:t>Second</w:t>
        <w:tab/>
        <w:t>Quarter</w:t>
        <w:tab/>
        <w:t>of</w:t>
        <w:tab/>
        <w:t>2001</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 the second quarter of 2001, pretax charges of $252 million net were taken, of which $214 million was severance cost for a worldwide cost-reduction program affecting 3778 employees and $35 million relates to the restructuring charges for the closing of three Semiconductor facilities (Merrimack, New Hampshire; Tustin, California; and Santa Cruz, California) affecting an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40" w:type="dxa"/>
            <w:vAlign w:val="bottom"/>
            <w:gridSpan w:val="4"/>
          </w:tcPr>
          <w:p>
            <w:pPr>
              <w:spacing w:after="0"/>
              <w:rPr>
                <w:sz w:val="20"/>
                <w:szCs w:val="20"/>
                <w:color w:val="auto"/>
              </w:rPr>
            </w:pPr>
            <w:r>
              <w:rPr>
                <w:rFonts w:ascii="Courier New" w:cs="Courier New" w:eastAsia="Courier New" w:hAnsi="Courier New"/>
                <w:sz w:val="15"/>
                <w:szCs w:val="15"/>
                <w:color w:val="auto"/>
              </w:rPr>
              <w:t>additional</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559</w:t>
            </w:r>
          </w:p>
        </w:tc>
        <w:tc>
          <w:tcPr>
            <w:tcW w:w="114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employees.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the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million</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charge,  $14 million was for</w:t>
            </w:r>
          </w:p>
        </w:tc>
      </w:tr>
      <w:tr>
        <w:trPr>
          <w:trHeight w:val="170"/>
        </w:trPr>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w w:val="93"/>
              </w:rPr>
              <w:t>severance</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cost</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w w:val="96"/>
              </w:rPr>
              <w:t>and</w:t>
            </w:r>
          </w:p>
        </w:tc>
        <w:tc>
          <w:tcPr>
            <w:tcW w:w="4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$16</w:t>
            </w:r>
          </w:p>
        </w:tc>
        <w:tc>
          <w:tcPr>
            <w:tcW w:w="48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million was for the acceleration of depreciation over</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00" w:type="dxa"/>
            <w:vAlign w:val="bottom"/>
          </w:tcPr>
          <w:p>
            <w:pPr>
              <w:spacing w:after="0"/>
              <w:rPr>
                <w:sz w:val="14"/>
                <w:szCs w:val="14"/>
                <w:color w:val="auto"/>
              </w:rPr>
            </w:pPr>
          </w:p>
        </w:tc>
        <w:tc>
          <w:tcPr>
            <w:tcW w:w="8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3"/>
              </w:rPr>
              <w:t>remaining</w:t>
            </w:r>
          </w:p>
        </w:tc>
        <w:tc>
          <w:tcPr>
            <w:tcW w:w="5720" w:type="dxa"/>
            <w:vAlign w:val="bottom"/>
            <w:gridSpan w:val="11"/>
          </w:tcPr>
          <w:p>
            <w:pPr>
              <w:ind w:left="80"/>
              <w:spacing w:after="0"/>
              <w:rPr>
                <w:sz w:val="20"/>
                <w:szCs w:val="20"/>
                <w:color w:val="auto"/>
              </w:rPr>
            </w:pPr>
            <w:r>
              <w:rPr>
                <w:rFonts w:ascii="Courier New" w:cs="Courier New" w:eastAsia="Courier New" w:hAnsi="Courier New"/>
                <w:sz w:val="15"/>
                <w:szCs w:val="15"/>
                <w:color w:val="auto"/>
                <w:w w:val="97"/>
              </w:rPr>
              <w:t>service  life  of  the  facilities.  Of  the  $252 million, $162</w:t>
            </w:r>
          </w:p>
        </w:tc>
      </w:tr>
      <w:tr>
        <w:trPr>
          <w:trHeight w:val="170"/>
        </w:trPr>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rPr>
              <w:t>million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was</w:t>
            </w:r>
          </w:p>
        </w:tc>
        <w:tc>
          <w:tcPr>
            <w:tcW w:w="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included</w:t>
            </w:r>
          </w:p>
        </w:tc>
        <w:tc>
          <w:tcPr>
            <w:tcW w:w="4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w:t>
            </w:r>
          </w:p>
        </w:tc>
        <w:tc>
          <w:tcPr>
            <w:tcW w:w="45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cost of revenues, $84 million is in selling, general</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10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Courier New" w:cs="Courier New" w:eastAsia="Courier New" w:hAnsi="Courier New"/>
                <w:sz w:val="15"/>
                <w:szCs w:val="15"/>
                <w:color w:val="auto"/>
              </w:rPr>
              <w:t>administrative</w:t>
            </w:r>
          </w:p>
        </w:tc>
        <w:tc>
          <w:tcPr>
            <w:tcW w:w="70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5"/>
              </w:rPr>
              <w:t>expense</w:t>
            </w:r>
          </w:p>
        </w:tc>
        <w:tc>
          <w:tcPr>
            <w:tcW w:w="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and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c>
          <w:tcPr>
            <w:tcW w:w="12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million  is</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in  research and development</w:t>
            </w:r>
          </w:p>
        </w:tc>
      </w:tr>
      <w:tr>
        <w:trPr>
          <w:trHeight w:val="170"/>
        </w:trPr>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rPr>
              <w:t>expense.</w:t>
            </w:r>
          </w:p>
        </w:tc>
        <w:tc>
          <w:tcPr>
            <w:tcW w:w="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Also</w:t>
            </w: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included</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was a $68</w:t>
            </w:r>
          </w:p>
        </w:tc>
        <w:tc>
          <w:tcPr>
            <w:tcW w:w="39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million increase to the income tax provision</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700" w:type="dxa"/>
            <w:vAlign w:val="bottom"/>
            <w:gridSpan w:val="3"/>
          </w:tcPr>
          <w:p>
            <w:pPr>
              <w:spacing w:after="0"/>
              <w:rPr>
                <w:sz w:val="20"/>
                <w:szCs w:val="20"/>
                <w:color w:val="auto"/>
              </w:rPr>
            </w:pPr>
            <w:r>
              <w:rPr>
                <w:rFonts w:ascii="Courier New" w:cs="Courier New" w:eastAsia="Courier New" w:hAnsi="Courier New"/>
                <w:sz w:val="15"/>
                <w:szCs w:val="15"/>
                <w:color w:val="auto"/>
              </w:rPr>
              <w:t>adjust</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to</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9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expected</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tax</w:t>
            </w:r>
          </w:p>
        </w:tc>
        <w:tc>
          <w:tcPr>
            <w:tcW w:w="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rate</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for</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w:t>
            </w:r>
          </w:p>
        </w:tc>
        <w:tc>
          <w:tcPr>
            <w:tcW w:w="256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year.</w:t>
            </w:r>
          </w:p>
        </w:tc>
      </w:tr>
      <w:tr>
        <w:trPr>
          <w:trHeight w:val="339"/>
        </w:trPr>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w w:val="93"/>
              </w:rPr>
              <w:t>First</w:t>
            </w:r>
          </w:p>
        </w:tc>
        <w:tc>
          <w:tcPr>
            <w:tcW w:w="8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Quarter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39"/>
        </w:trPr>
        <w:tc>
          <w:tcPr>
            <w:tcW w:w="34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rPr>
              <w:t>the</w:t>
            </w:r>
          </w:p>
        </w:tc>
        <w:tc>
          <w:tcPr>
            <w:tcW w:w="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3"/>
              </w:rPr>
              <w:t>first</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quarter</w:t>
            </w:r>
          </w:p>
        </w:tc>
        <w:tc>
          <w:tcPr>
            <w:tcW w:w="1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2001,</w:t>
            </w:r>
          </w:p>
        </w:tc>
        <w:tc>
          <w:tcPr>
            <w:tcW w:w="39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pretax charges of $50 million net were taken,</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w w:val="93"/>
              </w:rPr>
              <w:t>which</w:t>
            </w:r>
          </w:p>
        </w:tc>
        <w:tc>
          <w:tcPr>
            <w:tcW w:w="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$11</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million</w:t>
            </w:r>
          </w:p>
        </w:tc>
        <w:tc>
          <w:tcPr>
            <w:tcW w:w="1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was</w:t>
            </w:r>
          </w:p>
        </w:tc>
        <w:tc>
          <w:tcPr>
            <w:tcW w:w="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for</w:t>
            </w:r>
          </w:p>
        </w:tc>
        <w:tc>
          <w:tcPr>
            <w:tcW w:w="39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severance cost for 241 first-quarter employee</w:t>
            </w:r>
          </w:p>
        </w:tc>
      </w:tr>
      <w:tr>
        <w:trPr>
          <w:trHeight w:val="170"/>
        </w:trPr>
        <w:tc>
          <w:tcPr>
            <w:tcW w:w="1040" w:type="dxa"/>
            <w:vAlign w:val="bottom"/>
            <w:gridSpan w:val="4"/>
          </w:tcPr>
          <w:p>
            <w:pPr>
              <w:spacing w:after="0"/>
              <w:rPr>
                <w:sz w:val="20"/>
                <w:szCs w:val="20"/>
                <w:color w:val="auto"/>
              </w:rPr>
            </w:pPr>
            <w:r>
              <w:rPr>
                <w:rFonts w:ascii="Courier New" w:cs="Courier New" w:eastAsia="Courier New" w:hAnsi="Courier New"/>
                <w:sz w:val="15"/>
                <w:szCs w:val="15"/>
                <w:color w:val="auto"/>
              </w:rPr>
              <w:t>acceptances</w:t>
            </w: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under</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the</w:t>
            </w:r>
          </w:p>
        </w:tc>
        <w:tc>
          <w:tcPr>
            <w:tcW w:w="1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rPr>
              <w:t>U.S.</w:t>
            </w:r>
          </w:p>
        </w:tc>
        <w:tc>
          <w:tcPr>
            <w:tcW w:w="43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voluntary retirement program, $16 million was for</w:t>
            </w:r>
          </w:p>
        </w:tc>
      </w:tr>
      <w:tr>
        <w:trPr>
          <w:trHeight w:val="170"/>
        </w:trPr>
        <w:tc>
          <w:tcPr>
            <w:tcW w:w="7040" w:type="dxa"/>
            <w:vAlign w:val="bottom"/>
            <w:gridSpan w:val="16"/>
          </w:tcPr>
          <w:p>
            <w:pPr>
              <w:spacing w:after="0"/>
              <w:rPr>
                <w:sz w:val="20"/>
                <w:szCs w:val="20"/>
                <w:color w:val="auto"/>
              </w:rPr>
            </w:pPr>
            <w:r>
              <w:rPr>
                <w:rFonts w:ascii="Courier New" w:cs="Courier New" w:eastAsia="Courier New" w:hAnsi="Courier New"/>
                <w:sz w:val="15"/>
                <w:szCs w:val="15"/>
                <w:color w:val="auto"/>
              </w:rPr>
              <w:t>severance  cost  for  restructuring  actions  affecting  261  employees  in</w:t>
            </w:r>
          </w:p>
        </w:tc>
      </w:tr>
      <w:tr>
        <w:trPr>
          <w:trHeight w:val="170"/>
        </w:trPr>
        <w:tc>
          <w:tcPr>
            <w:tcW w:w="1320" w:type="dxa"/>
            <w:vAlign w:val="bottom"/>
            <w:gridSpan w:val="5"/>
          </w:tcPr>
          <w:p>
            <w:pPr>
              <w:spacing w:after="0"/>
              <w:rPr>
                <w:sz w:val="20"/>
                <w:szCs w:val="20"/>
                <w:color w:val="auto"/>
              </w:rPr>
            </w:pPr>
            <w:r>
              <w:rPr>
                <w:rFonts w:ascii="Courier New" w:cs="Courier New" w:eastAsia="Courier New" w:hAnsi="Courier New"/>
                <w:sz w:val="15"/>
                <w:szCs w:val="15"/>
                <w:color w:val="auto"/>
              </w:rPr>
              <w:t>international</w:t>
            </w:r>
          </w:p>
        </w:tc>
        <w:tc>
          <w:tcPr>
            <w:tcW w:w="1140" w:type="dxa"/>
            <w:vAlign w:val="bottom"/>
            <w:gridSpan w:val="4"/>
          </w:tcPr>
          <w:p>
            <w:pPr>
              <w:spacing w:after="0"/>
              <w:rPr>
                <w:sz w:val="20"/>
                <w:szCs w:val="20"/>
                <w:color w:val="auto"/>
              </w:rPr>
            </w:pPr>
            <w:r>
              <w:rPr>
                <w:rFonts w:ascii="Courier New" w:cs="Courier New" w:eastAsia="Courier New" w:hAnsi="Courier New"/>
                <w:sz w:val="15"/>
                <w:szCs w:val="15"/>
                <w:color w:val="auto"/>
                <w:w w:val="95"/>
              </w:rPr>
              <w:t>Semiconductor</w:t>
            </w:r>
          </w:p>
        </w:tc>
        <w:tc>
          <w:tcPr>
            <w:tcW w:w="11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locations,</w:t>
            </w:r>
          </w:p>
        </w:tc>
        <w:tc>
          <w:tcPr>
            <w:tcW w:w="34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and $25 million relates to the closing</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a</w:t>
            </w:r>
          </w:p>
        </w:tc>
        <w:tc>
          <w:tcPr>
            <w:tcW w:w="132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7"/>
              </w:rPr>
              <w:t>Semiconductor</w:t>
            </w:r>
          </w:p>
        </w:tc>
        <w:tc>
          <w:tcPr>
            <w:tcW w:w="13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manufacturing</w:t>
            </w:r>
          </w:p>
        </w:tc>
        <w:tc>
          <w:tcPr>
            <w:tcW w:w="180" w:type="dxa"/>
            <w:vAlign w:val="bottom"/>
          </w:tcPr>
          <w:p>
            <w:pPr>
              <w:spacing w:after="0"/>
              <w:rPr>
                <w:sz w:val="14"/>
                <w:szCs w:val="14"/>
                <w:color w:val="auto"/>
              </w:rPr>
            </w:pPr>
          </w:p>
        </w:tc>
        <w:tc>
          <w:tcPr>
            <w:tcW w:w="37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facility in Santa Cruz, California.  Of the</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w w:val="91"/>
              </w:rPr>
              <w:t>million</w:t>
            </w:r>
          </w:p>
        </w:tc>
        <w:tc>
          <w:tcPr>
            <w:tcW w:w="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charge,</w:t>
            </w:r>
          </w:p>
        </w:tc>
        <w:tc>
          <w:tcPr>
            <w:tcW w:w="4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88"/>
              </w:rPr>
              <w:t>$16</w:t>
            </w:r>
          </w:p>
        </w:tc>
        <w:tc>
          <w:tcPr>
            <w:tcW w:w="45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million was for severance cost for 600 employees and</w:t>
            </w:r>
          </w:p>
        </w:tc>
      </w:tr>
      <w:tr>
        <w:trPr>
          <w:trHeight w:val="170"/>
        </w:trPr>
        <w:tc>
          <w:tcPr>
            <w:tcW w:w="2020" w:type="dxa"/>
            <w:vAlign w:val="bottom"/>
            <w:gridSpan w:val="7"/>
          </w:tcPr>
          <w:p>
            <w:pPr>
              <w:spacing w:after="0"/>
              <w:rPr>
                <w:sz w:val="20"/>
                <w:szCs w:val="20"/>
                <w:color w:val="auto"/>
              </w:rPr>
            </w:pPr>
            <w:r>
              <w:rPr>
                <w:rFonts w:ascii="Courier New" w:cs="Courier New" w:eastAsia="Courier New" w:hAnsi="Courier New"/>
                <w:sz w:val="15"/>
                <w:szCs w:val="15"/>
                <w:color w:val="auto"/>
              </w:rPr>
              <w:t>$5  million  was  for</w:t>
            </w:r>
          </w:p>
        </w:tc>
        <w:tc>
          <w:tcPr>
            <w:tcW w:w="10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acceleration</w:t>
            </w:r>
          </w:p>
        </w:tc>
        <w:tc>
          <w:tcPr>
            <w:tcW w:w="180" w:type="dxa"/>
            <w:vAlign w:val="bottom"/>
          </w:tcPr>
          <w:p>
            <w:pPr>
              <w:spacing w:after="0"/>
              <w:rPr>
                <w:sz w:val="14"/>
                <w:szCs w:val="14"/>
                <w:color w:val="auto"/>
              </w:rPr>
            </w:pP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of</w:t>
            </w:r>
          </w:p>
        </w:tc>
        <w:tc>
          <w:tcPr>
            <w:tcW w:w="34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depreciation over the remaining service</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life</w:t>
            </w:r>
          </w:p>
        </w:tc>
        <w:tc>
          <w:tcPr>
            <w:tcW w:w="10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the</w:t>
            </w:r>
          </w:p>
        </w:tc>
        <w:tc>
          <w:tcPr>
            <w:tcW w:w="1140" w:type="dxa"/>
            <w:vAlign w:val="bottom"/>
            <w:gridSpan w:val="4"/>
          </w:tcPr>
          <w:p>
            <w:pPr>
              <w:spacing w:after="0"/>
              <w:rPr>
                <w:sz w:val="20"/>
                <w:szCs w:val="20"/>
                <w:color w:val="auto"/>
              </w:rPr>
            </w:pPr>
            <w:r>
              <w:rPr>
                <w:rFonts w:ascii="Courier New" w:cs="Courier New" w:eastAsia="Courier New" w:hAnsi="Courier New"/>
                <w:sz w:val="15"/>
                <w:szCs w:val="15"/>
                <w:color w:val="auto"/>
              </w:rPr>
              <w:t>facility. Of</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the</w:t>
            </w:r>
          </w:p>
        </w:tc>
        <w:tc>
          <w:tcPr>
            <w:tcW w:w="43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$50 million, $44 million was included in cost of</w:t>
            </w:r>
          </w:p>
        </w:tc>
      </w:tr>
      <w:tr>
        <w:trPr>
          <w:trHeight w:val="170"/>
        </w:trPr>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w w:val="93"/>
              </w:rPr>
              <w:t>revenues,</w:t>
            </w:r>
          </w:p>
        </w:tc>
        <w:tc>
          <w:tcPr>
            <w:tcW w:w="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$7</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million</w:t>
            </w:r>
          </w:p>
        </w:tc>
        <w:tc>
          <w:tcPr>
            <w:tcW w:w="4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in</w:t>
            </w:r>
          </w:p>
        </w:tc>
        <w:tc>
          <w:tcPr>
            <w:tcW w:w="8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selling,</w:t>
            </w:r>
          </w:p>
        </w:tc>
        <w:tc>
          <w:tcPr>
            <w:tcW w:w="34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general and administrative expense, $2</w:t>
            </w:r>
          </w:p>
        </w:tc>
      </w:tr>
      <w:tr>
        <w:trPr>
          <w:trHeight w:val="170"/>
        </w:trPr>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rPr>
              <w:t>million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is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8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7"/>
              </w:rPr>
              <w:t>research</w:t>
            </w:r>
          </w:p>
        </w:tc>
        <w:tc>
          <w:tcPr>
            <w:tcW w:w="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and</w:t>
            </w:r>
          </w:p>
        </w:tc>
        <w:tc>
          <w:tcPr>
            <w:tcW w:w="12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development</w:t>
            </w:r>
          </w:p>
        </w:tc>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expense, and $3 million is in other</w:t>
            </w:r>
          </w:p>
        </w:tc>
      </w:tr>
      <w:tr>
        <w:trPr>
          <w:trHeight w:val="170"/>
        </w:trPr>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rPr>
              <w:t>income.</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339"/>
        </w:trPr>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w w:val="93"/>
              </w:rPr>
              <w:t>Third</w:t>
            </w:r>
          </w:p>
        </w:tc>
        <w:tc>
          <w:tcPr>
            <w:tcW w:w="8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Quarter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pacing w:after="0" w:line="175" w:lineRule="exact"/>
        <w:rPr>
          <w:sz w:val="20"/>
          <w:szCs w:val="20"/>
          <w:color w:val="auto"/>
        </w:rPr>
      </w:pPr>
    </w:p>
    <w:p>
      <w:pPr>
        <w:ind w:right="3179"/>
        <w:spacing w:after="0"/>
        <w:rPr>
          <w:sz w:val="20"/>
          <w:szCs w:val="20"/>
          <w:color w:val="auto"/>
        </w:rPr>
      </w:pPr>
      <w:r>
        <w:rPr>
          <w:rFonts w:ascii="Courier New" w:cs="Courier New" w:eastAsia="Courier New" w:hAnsi="Courier New"/>
          <w:sz w:val="15"/>
          <w:szCs w:val="15"/>
          <w:color w:val="auto"/>
        </w:rPr>
        <w:t>In the third quarter of 2000, TI recorded investment gains of $425 million from the sale of 5.6 million shares of Micron Technology, Inc. (Micron) common stock, offset by special charges of $163 million net, of which $112 million was for purchased in-process R&amp;D costs from the Dot Wireless, Inc. and Alantro Communications, Inc. acquisitions, $41 million was for acquisition costs from the pooling of interests with Burr-Brown Corporation, and $10 million, net, was for several Semiconductor and Sensors &amp; Controls restructuring and other actions in the U.S., Japan and Europe affecting 432 employees. Of the $163 million, $112 million was included in research and development expense, $46 million is in selling, general and administrative expense, $31 million is in cost of revenues, $15 million is in net revenues and $11 million is in other income. The primary benefit from the above actions is reduced personnel costs, which are estimated to reach $31 million annually. The benefit began in the fourth quarter of 2000. As of September 30, 2001, $13 million of the $19 million severance cost obligation had been paid.</w:t>
      </w:r>
    </w:p>
    <w:p>
      <w:pPr>
        <w:spacing w:after="0" w:line="32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791"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Second</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Quarter</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of</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39"/>
        </w:trPr>
        <w:tc>
          <w:tcPr>
            <w:tcW w:w="26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the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second</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quarter</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of 2000,</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w w:val="97"/>
              </w:rPr>
              <w:t>an investment gain of $1211 million, included</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14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other  income,</w:t>
            </w:r>
          </w:p>
        </w:tc>
        <w:tc>
          <w:tcPr>
            <w:tcW w:w="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was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realized</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w w:val="97"/>
              </w:rPr>
              <w:t>from  the sale of 20 million shares of Micron</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common</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stock.</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339"/>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First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Quarter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9"/>
        </w:trPr>
        <w:tc>
          <w:tcPr>
            <w:tcW w:w="26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the</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first</w:t>
            </w:r>
          </w:p>
        </w:tc>
        <w:tc>
          <w:tcPr>
            <w:tcW w:w="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quarter</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3"/>
              </w:rPr>
              <w:t>of  2000,</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w w:val="97"/>
              </w:rPr>
              <w:t>pretax charges of $29 million net were taken,</w:t>
            </w:r>
          </w:p>
        </w:tc>
      </w:tr>
    </w:tbl>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associated with actions including the closing of the Sensors &amp; Controls manufacturing facility in Versailles, Kentucky, and TI's acquisition of Toccata Technology ApS. Of the $29 million charge, $12 million was for severance for the elimination of 480 jobs in Kentucky. Of the $29 million, $20 million was included in cost of revenues, $6 million is in selling, general and administrative expense and $3 million is in research and development expense. The primary benefit from the Kentucky action is reduced personnel costs, which are estimated to reach $10 million annually. The benefit began in the fourth quarter of 2000. As of September 30, 2001, $9 million of the severance cost obligation had been paid.</w:t>
      </w:r>
    </w:p>
    <w:p>
      <w:pPr>
        <w:spacing w:after="0" w:line="174" w:lineRule="exact"/>
        <w:rPr>
          <w:sz w:val="20"/>
          <w:szCs w:val="20"/>
          <w:color w:val="auto"/>
        </w:rPr>
      </w:pPr>
    </w:p>
    <w:p>
      <w:pPr>
        <w:spacing w:after="0"/>
        <w:tabs>
          <w:tab w:leader="none" w:pos="940" w:val="left"/>
          <w:tab w:leader="none" w:pos="2000" w:val="left"/>
          <w:tab w:leader="none" w:pos="2440" w:val="left"/>
        </w:tabs>
        <w:rPr>
          <w:sz w:val="20"/>
          <w:szCs w:val="20"/>
          <w:color w:val="auto"/>
        </w:rPr>
      </w:pPr>
      <w:r>
        <w:rPr>
          <w:rFonts w:ascii="Courier New" w:cs="Courier New" w:eastAsia="Courier New" w:hAnsi="Courier New"/>
          <w:sz w:val="15"/>
          <w:szCs w:val="15"/>
          <w:color w:val="auto"/>
        </w:rPr>
        <w:t>Purchased</w:t>
        <w:tab/>
        <w:t>In-Process</w:t>
        <w:tab/>
        <w:t>R&amp;D</w:t>
      </w:r>
      <w:r>
        <w:rPr>
          <w:sz w:val="20"/>
          <w:szCs w:val="20"/>
          <w:color w:val="auto"/>
        </w:rPr>
        <w:tab/>
      </w:r>
      <w:r>
        <w:rPr>
          <w:rFonts w:ascii="Courier New" w:cs="Courier New" w:eastAsia="Courier New" w:hAnsi="Courier New"/>
          <w:sz w:val="14"/>
          <w:szCs w:val="14"/>
          <w:color w:val="auto"/>
        </w:rPr>
        <w:t>Charges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Year-to-date acquisition-related purchased in-process research and development (R&amp;D) charges were zero in 2001 and $112 million in 2000. These charges are for R&amp;D from business purchase acquisitions. 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Major assumptions, detailed in the following table, used in determining the value of significant purchased R&amp;D included the discount rate, the estimated beginning date of projected operating cash flows, and the remaining cost and time, in engineer-months, to complete the R&amp;D projects. The term "engineer month" refers to the average amount of research work expected to be performed by an engineer in a month.</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acquired were the most significant and uncertain assumptions utilized in the valuation analysis of the purchased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Millions of Dollars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9240"/>
        <w:spacing w:after="0"/>
        <w:rPr>
          <w:sz w:val="20"/>
          <w:szCs w:val="20"/>
          <w:color w:val="auto"/>
        </w:rPr>
      </w:pPr>
      <w:r>
        <w:rPr>
          <w:rFonts w:ascii="Courier New" w:cs="Courier New" w:eastAsia="Courier New" w:hAnsi="Courier New"/>
          <w:sz w:val="15"/>
          <w:szCs w:val="15"/>
          <w:color w:val="auto"/>
        </w:rPr>
        <w:t>Cost/time to</w:t>
      </w:r>
    </w:p>
    <w:p>
      <w:pPr>
        <w:ind w:left="5200"/>
        <w:spacing w:after="0"/>
        <w:tabs>
          <w:tab w:leader="none" w:pos="9220" w:val="left"/>
          <w:tab w:leader="none" w:pos="10900" w:val="left"/>
        </w:tabs>
        <w:rPr>
          <w:sz w:val="20"/>
          <w:szCs w:val="20"/>
          <w:color w:val="auto"/>
        </w:rPr>
      </w:pPr>
      <w:r>
        <w:rPr>
          <w:rFonts w:ascii="Courier New" w:cs="Courier New" w:eastAsia="Courier New" w:hAnsi="Courier New"/>
          <w:sz w:val="15"/>
          <w:szCs w:val="15"/>
          <w:color w:val="auto"/>
        </w:rPr>
        <w:t>Purchased</w:t>
      </w:r>
      <w:r>
        <w:rPr>
          <w:sz w:val="20"/>
          <w:szCs w:val="20"/>
          <w:color w:val="auto"/>
        </w:rPr>
        <w:tab/>
      </w:r>
      <w:r>
        <w:rPr>
          <w:rFonts w:ascii="Courier New" w:cs="Courier New" w:eastAsia="Courier New" w:hAnsi="Courier New"/>
          <w:sz w:val="15"/>
          <w:szCs w:val="15"/>
          <w:color w:val="auto"/>
        </w:rPr>
        <w:t>complete R&amp;D</w:t>
      </w:r>
      <w:r>
        <w:rPr>
          <w:sz w:val="20"/>
          <w:szCs w:val="20"/>
          <w:color w:val="auto"/>
        </w:rPr>
        <w:tab/>
      </w:r>
      <w:r>
        <w:rPr>
          <w:rFonts w:ascii="Courier New" w:cs="Courier New" w:eastAsia="Courier New" w:hAnsi="Courier New"/>
          <w:sz w:val="15"/>
          <w:szCs w:val="15"/>
          <w:color w:val="auto"/>
        </w:rPr>
        <w:t>Year</w:t>
      </w:r>
    </w:p>
    <w:p>
      <w:pPr>
        <w:ind w:left="5200"/>
        <w:spacing w:after="0"/>
        <w:tabs>
          <w:tab w:leader="none" w:pos="9480" w:val="left"/>
          <w:tab w:leader="none" w:pos="10640" w:val="left"/>
        </w:tabs>
        <w:rPr>
          <w:sz w:val="20"/>
          <w:szCs w:val="20"/>
          <w:color w:val="auto"/>
        </w:rPr>
      </w:pPr>
      <w:r>
        <w:rPr>
          <w:rFonts w:ascii="Courier New" w:cs="Courier New" w:eastAsia="Courier New" w:hAnsi="Courier New"/>
          <w:sz w:val="15"/>
          <w:szCs w:val="15"/>
          <w:color w:val="auto"/>
        </w:rPr>
        <w:t>in-process</w:t>
      </w:r>
      <w:r>
        <w:rPr>
          <w:sz w:val="20"/>
          <w:szCs w:val="20"/>
          <w:color w:val="auto"/>
        </w:rPr>
        <w:tab/>
      </w:r>
      <w:r>
        <w:rPr>
          <w:rFonts w:ascii="Courier New" w:cs="Courier New" w:eastAsia="Courier New" w:hAnsi="Courier New"/>
          <w:sz w:val="15"/>
          <w:szCs w:val="15"/>
          <w:color w:val="auto"/>
        </w:rPr>
        <w:t>projects</w:t>
      </w:r>
      <w:r>
        <w:rPr>
          <w:sz w:val="20"/>
          <w:szCs w:val="20"/>
          <w:color w:val="auto"/>
        </w:rPr>
        <w:tab/>
      </w:r>
      <w:r>
        <w:rPr>
          <w:rFonts w:ascii="Courier New" w:cs="Courier New" w:eastAsia="Courier New" w:hAnsi="Courier New"/>
          <w:sz w:val="14"/>
          <w:szCs w:val="14"/>
          <w:color w:val="auto"/>
        </w:rPr>
        <w:t>cash flows</w:t>
      </w:r>
    </w:p>
    <w:p>
      <w:pPr>
        <w:ind w:left="80"/>
        <w:spacing w:after="0"/>
        <w:tabs>
          <w:tab w:leader="none" w:pos="860" w:val="left"/>
          <w:tab w:leader="none" w:pos="2000" w:val="left"/>
          <w:tab w:leader="none" w:pos="3680" w:val="left"/>
          <w:tab w:leader="none" w:pos="4380" w:val="left"/>
          <w:tab w:leader="none" w:pos="5440" w:val="left"/>
          <w:tab w:leader="none" w:pos="6140" w:val="left"/>
          <w:tab w:leader="none" w:pos="7200" w:val="left"/>
          <w:tab w:leader="none" w:pos="8080" w:val="left"/>
        </w:tabs>
        <w:rPr>
          <w:sz w:val="20"/>
          <w:szCs w:val="20"/>
          <w:color w:val="auto"/>
        </w:rPr>
      </w:pPr>
      <w:r>
        <w:rPr>
          <w:rFonts w:ascii="Courier New" w:cs="Courier New" w:eastAsia="Courier New" w:hAnsi="Courier New"/>
          <w:sz w:val="15"/>
          <w:szCs w:val="15"/>
          <w:color w:val="auto"/>
        </w:rPr>
        <w:t>Entity</w:t>
      </w:r>
      <w:r>
        <w:rPr>
          <w:sz w:val="20"/>
          <w:szCs w:val="20"/>
          <w:color w:val="auto"/>
        </w:rPr>
        <w:tab/>
      </w:r>
      <w:r>
        <w:rPr>
          <w:rFonts w:ascii="Courier New" w:cs="Courier New" w:eastAsia="Courier New" w:hAnsi="Courier New"/>
          <w:sz w:val="15"/>
          <w:szCs w:val="15"/>
          <w:color w:val="auto"/>
        </w:rPr>
        <w:t>Acquisition</w:t>
        <w:tab/>
        <w:t>Consid-</w:t>
      </w:r>
      <w:r>
        <w:rPr>
          <w:sz w:val="20"/>
          <w:szCs w:val="20"/>
          <w:color w:val="auto"/>
        </w:rPr>
        <w:tab/>
      </w:r>
      <w:r>
        <w:rPr>
          <w:rFonts w:ascii="Courier New" w:cs="Courier New" w:eastAsia="Courier New" w:hAnsi="Courier New"/>
          <w:sz w:val="15"/>
          <w:szCs w:val="15"/>
          <w:color w:val="auto"/>
        </w:rPr>
        <w:t>Other</w:t>
        <w:tab/>
        <w:t>Deferred</w:t>
      </w:r>
      <w:r>
        <w:rPr>
          <w:sz w:val="20"/>
          <w:szCs w:val="20"/>
          <w:color w:val="auto"/>
        </w:rPr>
        <w:tab/>
      </w:r>
      <w:r>
        <w:rPr>
          <w:rFonts w:ascii="Courier New" w:cs="Courier New" w:eastAsia="Courier New" w:hAnsi="Courier New"/>
          <w:sz w:val="15"/>
          <w:szCs w:val="15"/>
          <w:color w:val="auto"/>
        </w:rPr>
        <w:t>R&amp;D</w:t>
      </w:r>
      <w:r>
        <w:rPr>
          <w:sz w:val="20"/>
          <w:szCs w:val="20"/>
          <w:color w:val="auto"/>
        </w:rPr>
        <w:tab/>
      </w:r>
      <w:r>
        <w:rPr>
          <w:rFonts w:ascii="Courier New" w:cs="Courier New" w:eastAsia="Courier New" w:hAnsi="Courier New"/>
          <w:sz w:val="15"/>
          <w:szCs w:val="15"/>
          <w:color w:val="auto"/>
        </w:rPr>
        <w:t>Appraisal</w:t>
        <w:tab/>
        <w:t>R&amp;D</w:t>
      </w:r>
      <w:r>
        <w:rPr>
          <w:sz w:val="20"/>
          <w:szCs w:val="20"/>
          <w:color w:val="auto"/>
        </w:rPr>
        <w:tab/>
      </w:r>
      <w:r>
        <w:rPr>
          <w:rFonts w:ascii="Courier New" w:cs="Courier New" w:eastAsia="Courier New" w:hAnsi="Courier New"/>
          <w:sz w:val="14"/>
          <w:szCs w:val="14"/>
          <w:color w:val="auto"/>
        </w:rPr>
        <w:t>Discount -------------------- projected</w:t>
      </w:r>
    </w:p>
    <w:p>
      <w:pPr>
        <w:spacing w:after="0"/>
        <w:tabs>
          <w:tab w:leader="none" w:pos="1120" w:val="left"/>
          <w:tab w:leader="none" w:pos="2000" w:val="left"/>
          <w:tab w:leader="none" w:pos="2800" w:val="left"/>
          <w:tab w:leader="none" w:pos="3680" w:val="left"/>
          <w:tab w:leader="none" w:pos="4380" w:val="left"/>
          <w:tab w:leader="none" w:pos="5340" w:val="left"/>
          <w:tab w:leader="none" w:pos="6220" w:val="left"/>
          <w:tab w:leader="none" w:pos="7200" w:val="left"/>
          <w:tab w:leader="none" w:pos="8260" w:val="left"/>
          <w:tab w:leader="none" w:pos="8880" w:val="left"/>
          <w:tab w:leader="none" w:pos="10200" w:val="left"/>
          <w:tab w:leader="none" w:pos="10720" w:val="left"/>
        </w:tabs>
        <w:rPr>
          <w:sz w:val="20"/>
          <w:szCs w:val="20"/>
          <w:color w:val="auto"/>
        </w:rPr>
      </w:pP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eration</w:t>
        <w:tab/>
        <w:t>Goodwill</w:t>
        <w:tab/>
        <w:t>intan-</w:t>
        <w:tab/>
        <w:t>compen-</w:t>
      </w:r>
      <w:r>
        <w:rPr>
          <w:sz w:val="20"/>
          <w:szCs w:val="20"/>
          <w:color w:val="auto"/>
        </w:rPr>
        <w:tab/>
      </w:r>
      <w:r>
        <w:rPr>
          <w:rFonts w:ascii="Courier New" w:cs="Courier New" w:eastAsia="Courier New" w:hAnsi="Courier New"/>
          <w:sz w:val="15"/>
          <w:szCs w:val="15"/>
          <w:color w:val="auto"/>
        </w:rPr>
        <w:t>charge</w:t>
      </w:r>
      <w:r>
        <w:rPr>
          <w:sz w:val="20"/>
          <w:szCs w:val="20"/>
          <w:color w:val="auto"/>
        </w:rPr>
        <w:tab/>
      </w:r>
      <w:r>
        <w:rPr>
          <w:rFonts w:ascii="Courier New" w:cs="Courier New" w:eastAsia="Courier New" w:hAnsi="Courier New"/>
          <w:sz w:val="15"/>
          <w:szCs w:val="15"/>
          <w:color w:val="auto"/>
        </w:rPr>
        <w:t>method</w:t>
      </w:r>
      <w:r>
        <w:rPr>
          <w:sz w:val="20"/>
          <w:szCs w:val="20"/>
          <w:color w:val="auto"/>
        </w:rPr>
        <w:tab/>
      </w:r>
      <w:r>
        <w:rPr>
          <w:rFonts w:ascii="Courier New" w:cs="Courier New" w:eastAsia="Courier New" w:hAnsi="Courier New"/>
          <w:sz w:val="15"/>
          <w:szCs w:val="15"/>
          <w:color w:val="auto"/>
        </w:rPr>
        <w:t>focus</w:t>
      </w:r>
      <w:r>
        <w:rPr>
          <w:sz w:val="20"/>
          <w:szCs w:val="20"/>
          <w:color w:val="auto"/>
        </w:rPr>
        <w:tab/>
      </w:r>
      <w:r>
        <w:rPr>
          <w:rFonts w:ascii="Courier New" w:cs="Courier New" w:eastAsia="Courier New" w:hAnsi="Courier New"/>
          <w:sz w:val="15"/>
          <w:szCs w:val="15"/>
          <w:color w:val="auto"/>
        </w:rPr>
        <w:t>rate</w:t>
      </w:r>
      <w:r>
        <w:rPr>
          <w:sz w:val="20"/>
          <w:szCs w:val="20"/>
          <w:color w:val="auto"/>
        </w:rPr>
        <w:tab/>
      </w:r>
      <w:r>
        <w:rPr>
          <w:rFonts w:ascii="Courier New" w:cs="Courier New" w:eastAsia="Courier New" w:hAnsi="Courier New"/>
          <w:sz w:val="15"/>
          <w:szCs w:val="15"/>
          <w:color w:val="auto"/>
        </w:rPr>
        <w:t>At acquisi-</w:t>
      </w:r>
      <w:r>
        <w:rPr>
          <w:sz w:val="20"/>
          <w:szCs w:val="20"/>
          <w:color w:val="auto"/>
        </w:rPr>
        <w:tab/>
      </w:r>
      <w:r>
        <w:rPr>
          <w:rFonts w:ascii="Courier New" w:cs="Courier New" w:eastAsia="Courier New" w:hAnsi="Courier New"/>
          <w:sz w:val="15"/>
          <w:szCs w:val="15"/>
          <w:color w:val="auto"/>
        </w:rPr>
        <w:t>At</w:t>
      </w:r>
      <w:r>
        <w:rPr>
          <w:sz w:val="20"/>
          <w:szCs w:val="20"/>
          <w:color w:val="auto"/>
        </w:rPr>
        <w:tab/>
      </w:r>
      <w:r>
        <w:rPr>
          <w:rFonts w:ascii="Courier New" w:cs="Courier New" w:eastAsia="Courier New" w:hAnsi="Courier New"/>
          <w:sz w:val="14"/>
          <w:szCs w:val="14"/>
          <w:color w:val="auto"/>
        </w:rPr>
        <w:t>to begin</w:t>
      </w:r>
    </w:p>
    <w:p>
      <w:pPr>
        <w:ind w:left="3700"/>
        <w:spacing w:after="0"/>
        <w:tabs>
          <w:tab w:leader="none" w:pos="4380" w:val="left"/>
          <w:tab w:leader="none" w:pos="9140" w:val="left"/>
          <w:tab w:leader="none" w:pos="9840" w:val="left"/>
        </w:tabs>
        <w:rPr>
          <w:sz w:val="20"/>
          <w:szCs w:val="20"/>
          <w:color w:val="auto"/>
        </w:rPr>
      </w:pPr>
      <w:r>
        <w:rPr>
          <w:rFonts w:ascii="Courier New" w:cs="Courier New" w:eastAsia="Courier New" w:hAnsi="Courier New"/>
          <w:sz w:val="15"/>
          <w:szCs w:val="15"/>
          <w:color w:val="auto"/>
        </w:rPr>
        <w:t>gibles</w:t>
        <w:tab/>
        <w:t>sation</w:t>
      </w:r>
      <w:r>
        <w:rPr>
          <w:sz w:val="20"/>
          <w:szCs w:val="20"/>
          <w:color w:val="auto"/>
        </w:rPr>
        <w:tab/>
      </w:r>
      <w:r>
        <w:rPr>
          <w:rFonts w:ascii="Courier New" w:cs="Courier New" w:eastAsia="Courier New" w:hAnsi="Courier New"/>
          <w:sz w:val="15"/>
          <w:szCs w:val="15"/>
          <w:color w:val="auto"/>
        </w:rPr>
        <w:t>tion</w:t>
      </w:r>
      <w:r>
        <w:rPr>
          <w:sz w:val="20"/>
          <w:szCs w:val="20"/>
          <w:color w:val="auto"/>
        </w:rPr>
        <w:tab/>
      </w:r>
      <w:r>
        <w:rPr>
          <w:rFonts w:ascii="Courier New" w:cs="Courier New" w:eastAsia="Courier New" w:hAnsi="Courier New"/>
          <w:sz w:val="14"/>
          <w:szCs w:val="14"/>
          <w:color w:val="auto"/>
        </w:rPr>
        <w:t>Sept. 2001</w:t>
      </w:r>
    </w:p>
    <w:p>
      <w:pPr>
        <w:spacing w:after="0"/>
        <w:tabs>
          <w:tab w:leader="none" w:pos="3680" w:val="left"/>
          <w:tab w:leader="none" w:pos="4380" w:val="left"/>
          <w:tab w:leader="none" w:pos="5260" w:val="left"/>
          <w:tab w:leader="none" w:pos="6140" w:val="left"/>
          <w:tab w:leader="none" w:pos="7120" w:val="left"/>
          <w:tab w:leader="none" w:pos="8080" w:val="left"/>
          <w:tab w:leader="none" w:pos="10820" w:val="left"/>
        </w:tabs>
        <w:rPr>
          <w:sz w:val="20"/>
          <w:szCs w:val="20"/>
          <w:color w:val="auto"/>
        </w:rPr>
      </w:pPr>
      <w:r>
        <w:rPr>
          <w:rFonts w:ascii="Courier New" w:cs="Courier New" w:eastAsia="Courier New" w:hAnsi="Courier New"/>
          <w:sz w:val="15"/>
          <w:szCs w:val="15"/>
          <w:color w:val="auto"/>
        </w:rPr>
        <w:t>--------- ----------- --------- --------</w:t>
        <w:tab/>
        <w:t>------</w:t>
        <w:tab/>
        <w:t>--------</w:t>
        <w:tab/>
        <w:t>--------</w:t>
        <w:tab/>
        <w:t>---------</w:t>
        <w:tab/>
        <w:t>---------</w:t>
        <w:tab/>
        <w:t>-------- ----------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520"/>
          </w:cols>
          <w:pgMar w:left="240" w:top="1130" w:right="139" w:bottom="1440" w:gutter="0" w:footer="0" w:header="0"/>
        </w:sectPr>
      </w:pPr>
    </w:p>
    <w:p>
      <w:pPr>
        <w:spacing w:after="0" w:line="175" w:lineRule="exact"/>
        <w:rPr>
          <w:sz w:val="20"/>
          <w:szCs w:val="20"/>
          <w:color w:val="auto"/>
        </w:rPr>
      </w:pPr>
    </w:p>
    <w:p>
      <w:pPr>
        <w:spacing w:after="0" w:line="256" w:lineRule="auto"/>
        <w:rPr>
          <w:sz w:val="20"/>
          <w:szCs w:val="20"/>
          <w:color w:val="auto"/>
        </w:rPr>
      </w:pPr>
      <w:r>
        <w:rPr>
          <w:rFonts w:ascii="Courier New" w:cs="Courier New" w:eastAsia="Courier New" w:hAnsi="Courier New"/>
          <w:sz w:val="14"/>
          <w:szCs w:val="14"/>
          <w:color w:val="auto"/>
        </w:rPr>
        <w:t>Alantro Commun-ications,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56" w:lineRule="auto"/>
        <w:rPr>
          <w:sz w:val="20"/>
          <w:szCs w:val="20"/>
          <w:color w:val="auto"/>
        </w:rPr>
      </w:pPr>
      <w:r>
        <w:rPr>
          <w:rFonts w:ascii="Courier New" w:cs="Courier New" w:eastAsia="Courier New" w:hAnsi="Courier New"/>
          <w:sz w:val="14"/>
          <w:szCs w:val="14"/>
          <w:color w:val="auto"/>
        </w:rPr>
        <w:t>Third quarter 2000</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$277</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$148</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$ 81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$ 52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37" w:lineRule="auto"/>
        <w:rPr>
          <w:sz w:val="20"/>
          <w:szCs w:val="20"/>
          <w:color w:val="auto"/>
        </w:rPr>
      </w:pPr>
      <w:r>
        <w:rPr>
          <w:rFonts w:ascii="Courier New" w:cs="Courier New" w:eastAsia="Courier New" w:hAnsi="Courier New"/>
          <w:sz w:val="15"/>
          <w:szCs w:val="15"/>
          <w:color w:val="auto"/>
        </w:rPr>
        <w:t>Exclusion Wireless approach networking technology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w:t>
      </w:r>
    </w:p>
    <w:p>
      <w:pPr>
        <w:spacing w:after="0"/>
        <w:rPr>
          <w:sz w:val="20"/>
          <w:szCs w:val="20"/>
          <w:color w:val="auto"/>
        </w:rPr>
      </w:pPr>
      <w:r>
        <w:rPr>
          <w:rFonts w:ascii="Courier New" w:cs="Courier New" w:eastAsia="Courier New" w:hAnsi="Courier New"/>
          <w:sz w:val="15"/>
          <w:szCs w:val="15"/>
          <w:color w:val="auto"/>
        </w:rPr>
        <w:t>256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engineer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56" w:lineRule="auto"/>
        <w:rPr>
          <w:sz w:val="20"/>
          <w:szCs w:val="20"/>
          <w:color w:val="auto"/>
        </w:rPr>
      </w:pPr>
      <w:r>
        <w:rPr>
          <w:rFonts w:ascii="Courier New" w:cs="Courier New" w:eastAsia="Courier New" w:hAnsi="Courier New"/>
          <w:sz w:val="14"/>
          <w:szCs w:val="14"/>
          <w:color w:val="auto"/>
        </w:rPr>
        <w:t>$1.7/66 engineer months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2002</w:t>
      </w:r>
    </w:p>
    <w:p>
      <w:pPr>
        <w:spacing w:after="0" w:line="344" w:lineRule="exact"/>
        <w:rPr>
          <w:sz w:val="20"/>
          <w:szCs w:val="20"/>
          <w:color w:val="auto"/>
        </w:rPr>
      </w:pPr>
    </w:p>
    <w:p>
      <w:pPr>
        <w:sectPr>
          <w:pgSz w:w="11900" w:h="16838" w:orient="portrait"/>
          <w:cols w:equalWidth="0" w:num="12">
            <w:col w:w="780" w:space="260"/>
            <w:col w:w="620" w:space="360"/>
            <w:col w:w="360" w:space="520"/>
            <w:col w:w="360" w:space="440"/>
            <w:col w:w="340" w:space="360"/>
            <w:col w:w="360" w:space="600"/>
            <w:col w:w="360" w:space="440"/>
            <w:col w:w="1860" w:space="260"/>
            <w:col w:w="260" w:space="440"/>
            <w:col w:w="700" w:space="280"/>
            <w:col w:w="700" w:space="260"/>
            <w:col w:w="600"/>
          </w:cols>
          <w:pgMar w:left="240" w:top="1130"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 home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months</w:t>
      </w:r>
    </w:p>
    <w:p>
      <w:pPr>
        <w:spacing w:after="0" w:line="11" w:lineRule="exact"/>
        <w:rPr>
          <w:sz w:val="20"/>
          <w:szCs w:val="20"/>
          <w:color w:val="auto"/>
        </w:rPr>
      </w:pPr>
    </w:p>
    <w:p>
      <w:pPr>
        <w:sectPr>
          <w:pgSz w:w="11900" w:h="16838" w:orient="portrait"/>
          <w:cols w:equalWidth="0" w:num="3">
            <w:col w:w="6420" w:space="720"/>
            <w:col w:w="1120" w:space="720"/>
            <w:col w:w="2540"/>
          </w:cols>
          <w:pgMar w:left="240" w:top="1130" w:right="139" w:bottom="1440" w:gutter="0" w:footer="0" w:header="0"/>
          <w:type w:val="continuous"/>
        </w:sectPr>
      </w:pPr>
    </w:p>
    <w:p>
      <w:pPr>
        <w:ind w:left="7140"/>
        <w:spacing w:after="0"/>
        <w:rPr>
          <w:sz w:val="20"/>
          <w:szCs w:val="20"/>
          <w:color w:val="auto"/>
        </w:rPr>
      </w:pPr>
      <w:r>
        <w:rPr>
          <w:rFonts w:ascii="Courier New" w:cs="Courier New" w:eastAsia="Courier New" w:hAnsi="Courier New"/>
          <w:sz w:val="14"/>
          <w:szCs w:val="14"/>
          <w:color w:val="auto"/>
        </w:rPr>
        <w:t>and office</w:t>
      </w:r>
    </w:p>
    <w:p>
      <w:pPr>
        <w:spacing w:after="0" w:line="200" w:lineRule="exact"/>
        <w:rPr>
          <w:sz w:val="20"/>
          <w:szCs w:val="20"/>
          <w:color w:val="auto"/>
        </w:rPr>
      </w:pPr>
    </w:p>
    <w:p>
      <w:pPr>
        <w:spacing w:after="0" w:line="314"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520"/>
          </w:cols>
          <w:pgMar w:left="240" w:top="1130" w:right="139" w:bottom="1440" w:gutter="0" w:footer="0" w:header="0"/>
          <w:type w:val="continuous"/>
        </w:sectPr>
      </w:pPr>
    </w:p>
    <w:bookmarkStart w:id="20" w:name="page21"/>
    <w:bookmarkEnd w:id="20"/>
    <w:p>
      <w:pPr>
        <w:ind w:left="10"/>
        <w:spacing w:after="0"/>
        <w:tabs>
          <w:tab w:leader="none" w:pos="509" w:val="left"/>
          <w:tab w:leader="none" w:pos="869" w:val="left"/>
          <w:tab w:leader="none" w:pos="2089" w:val="left"/>
          <w:tab w:leader="none" w:pos="2529" w:val="left"/>
          <w:tab w:leader="none" w:pos="3689" w:val="left"/>
          <w:tab w:leader="none" w:pos="4829" w:val="left"/>
          <w:tab w:leader="none" w:pos="5449" w:val="left"/>
          <w:tab w:leader="none" w:pos="6149" w:val="left"/>
        </w:tabs>
        <w:rPr>
          <w:sz w:val="20"/>
          <w:szCs w:val="20"/>
          <w:color w:val="auto"/>
        </w:rPr>
      </w:pPr>
      <w:r>
        <w:rPr>
          <w:rFonts w:ascii="Courier New" w:cs="Courier New" w:eastAsia="Courier New" w:hAnsi="Courier New"/>
          <w:sz w:val="15"/>
          <w:szCs w:val="15"/>
          <w:color w:val="auto"/>
        </w:rPr>
        <w:t>ITEM</w:t>
        <w:tab/>
        <w:t>3.</w:t>
        <w:tab/>
        <w:t>Quantitative</w:t>
        <w:tab/>
        <w:t>and</w:t>
        <w:tab/>
        <w:t>Qualitative</w:t>
        <w:tab/>
        <w:t>Disclosures</w:t>
        <w:tab/>
        <w:t>About</w:t>
        <w:tab/>
        <w:t>Market</w:t>
      </w:r>
      <w:r>
        <w:rPr>
          <w:sz w:val="20"/>
          <w:szCs w:val="20"/>
          <w:color w:val="auto"/>
        </w:rPr>
        <w:tab/>
      </w:r>
      <w:r>
        <w:rPr>
          <w:rFonts w:ascii="Courier New" w:cs="Courier New" w:eastAsia="Courier New" w:hAnsi="Courier New"/>
          <w:sz w:val="14"/>
          <w:szCs w:val="14"/>
          <w:color w:val="auto"/>
        </w:rPr>
        <w:t>Risk.</w:t>
      </w:r>
    </w:p>
    <w:p>
      <w:pPr>
        <w:spacing w:after="0" w:line="17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Information concerning market risk is contained on pages B-43 and B-44 of the Registrant's proxy statement for the 2001 annual meeting of stockholders and is incorporated by reference to such proxy statement.</w:t>
      </w:r>
    </w:p>
    <w:p>
      <w:pPr>
        <w:spacing w:after="0" w:line="169"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PART II - OTHER INFORMATION</w:t>
      </w:r>
    </w:p>
    <w:p>
      <w:pPr>
        <w:spacing w:after="0" w:line="169" w:lineRule="exact"/>
        <w:rPr>
          <w:sz w:val="20"/>
          <w:szCs w:val="20"/>
          <w:color w:val="auto"/>
        </w:rPr>
      </w:pPr>
    </w:p>
    <w:p>
      <w:pPr>
        <w:ind w:left="10"/>
        <w:spacing w:after="0"/>
        <w:tabs>
          <w:tab w:leader="none" w:pos="509" w:val="left"/>
          <w:tab w:leader="none" w:pos="869" w:val="left"/>
          <w:tab w:leader="none" w:pos="1749" w:val="left"/>
          <w:tab w:leader="none" w:pos="2189" w:val="left"/>
          <w:tab w:leader="none" w:pos="2969" w:val="left"/>
          <w:tab w:leader="none" w:pos="3329" w:val="left"/>
          <w:tab w:leader="none" w:pos="3849" w:val="left"/>
        </w:tabs>
        <w:rPr>
          <w:sz w:val="20"/>
          <w:szCs w:val="20"/>
          <w:color w:val="auto"/>
        </w:rPr>
      </w:pPr>
      <w:r>
        <w:rPr>
          <w:rFonts w:ascii="Courier New" w:cs="Courier New" w:eastAsia="Courier New" w:hAnsi="Courier New"/>
          <w:sz w:val="15"/>
          <w:szCs w:val="15"/>
          <w:color w:val="auto"/>
        </w:rPr>
        <w:t>ITEM</w:t>
        <w:tab/>
        <w:t>6.</w:t>
        <w:tab/>
        <w:t>Exhibits</w:t>
        <w:tab/>
        <w:t>and</w:t>
        <w:tab/>
        <w:t>Reports</w:t>
        <w:tab/>
        <w:t>on</w:t>
        <w:tab/>
        <w:t>Form</w:t>
      </w:r>
      <w:r>
        <w:rPr>
          <w:sz w:val="20"/>
          <w:szCs w:val="20"/>
          <w:color w:val="auto"/>
        </w:rPr>
        <w:tab/>
      </w:r>
      <w:r>
        <w:rPr>
          <w:rFonts w:ascii="Courier New" w:cs="Courier New" w:eastAsia="Courier New" w:hAnsi="Courier New"/>
          <w:sz w:val="14"/>
          <w:szCs w:val="14"/>
          <w:color w:val="auto"/>
        </w:rPr>
        <w:t>8-K.</w:t>
      </w:r>
    </w:p>
    <w:p>
      <w:pPr>
        <w:spacing w:after="0" w:line="169" w:lineRule="exact"/>
        <w:rPr>
          <w:sz w:val="20"/>
          <w:szCs w:val="20"/>
          <w:color w:val="auto"/>
        </w:rPr>
      </w:pPr>
    </w:p>
    <w:p>
      <w:pPr>
        <w:ind w:left="450"/>
        <w:spacing w:after="0"/>
        <w:tabs>
          <w:tab w:leader="none" w:pos="869"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4"/>
          <w:szCs w:val="14"/>
          <w:color w:val="auto"/>
        </w:rPr>
        <w:t>Exhibits</w:t>
      </w:r>
    </w:p>
    <w:p>
      <w:pPr>
        <w:sectPr>
          <w:pgSz w:w="11900" w:h="16838" w:orient="portrait"/>
          <w:cols w:equalWidth="0" w:num="1">
            <w:col w:w="10229"/>
          </w:cols>
          <w:pgMar w:left="230" w:top="791" w:right="1440" w:bottom="1440" w:gutter="0" w:footer="0" w:header="0"/>
        </w:sectPr>
      </w:pPr>
    </w:p>
    <w:p>
      <w:pPr>
        <w:spacing w:after="0" w:line="175" w:lineRule="exact"/>
        <w:rPr>
          <w:sz w:val="20"/>
          <w:szCs w:val="20"/>
          <w:color w:val="auto"/>
        </w:rPr>
      </w:pPr>
    </w:p>
    <w:p>
      <w:pPr>
        <w:jc w:val="center"/>
        <w:ind w:left="710"/>
        <w:spacing w:after="0" w:line="259" w:lineRule="auto"/>
        <w:rPr>
          <w:sz w:val="20"/>
          <w:szCs w:val="20"/>
          <w:color w:val="auto"/>
        </w:rPr>
      </w:pPr>
      <w:r>
        <w:rPr>
          <w:rFonts w:ascii="Courier New" w:cs="Courier New" w:eastAsia="Courier New" w:hAnsi="Courier New"/>
          <w:sz w:val="14"/>
          <w:szCs w:val="14"/>
          <w:color w:val="auto"/>
        </w:rPr>
        <w:t>Designation  of Exhibits  in This  Report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0"/>
        <w:spacing w:after="0"/>
        <w:tabs>
          <w:tab w:leader="none" w:pos="1300" w:val="left"/>
          <w:tab w:leader="none" w:pos="1660" w:val="left"/>
        </w:tabs>
        <w:rPr>
          <w:sz w:val="20"/>
          <w:szCs w:val="20"/>
          <w:color w:val="auto"/>
        </w:rPr>
      </w:pPr>
      <w:r>
        <w:rPr>
          <w:rFonts w:ascii="Courier New" w:cs="Courier New" w:eastAsia="Courier New" w:hAnsi="Courier New"/>
          <w:sz w:val="15"/>
          <w:szCs w:val="15"/>
          <w:color w:val="auto"/>
        </w:rPr>
        <w:t>Description</w:t>
        <w:tab/>
        <w:t>of</w:t>
      </w:r>
      <w:r>
        <w:rPr>
          <w:sz w:val="20"/>
          <w:szCs w:val="20"/>
          <w:color w:val="auto"/>
        </w:rPr>
        <w:tab/>
      </w:r>
      <w:r>
        <w:rPr>
          <w:rFonts w:ascii="Courier New" w:cs="Courier New" w:eastAsia="Courier New" w:hAnsi="Courier New"/>
          <w:sz w:val="14"/>
          <w:szCs w:val="14"/>
          <w:color w:val="auto"/>
        </w:rPr>
        <w:t>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2">
            <w:col w:w="2030" w:space="520"/>
            <w:col w:w="7679"/>
          </w:cols>
          <w:pgMar w:left="230" w:top="791" w:right="1440" w:bottom="1440" w:gutter="0" w:footer="0" w:header="0"/>
          <w:type w:val="continuous"/>
        </w:sectPr>
      </w:pPr>
    </w:p>
    <w:p>
      <w:pPr>
        <w:spacing w:after="0" w:line="6" w:lineRule="exact"/>
        <w:rPr>
          <w:sz w:val="20"/>
          <w:szCs w:val="20"/>
          <w:color w:val="auto"/>
        </w:rPr>
      </w:pPr>
    </w:p>
    <w:p>
      <w:pPr>
        <w:ind w:left="890"/>
        <w:spacing w:after="0"/>
        <w:rPr>
          <w:sz w:val="20"/>
          <w:szCs w:val="20"/>
          <w:color w:val="auto"/>
        </w:rPr>
      </w:pPr>
      <w:r>
        <w:rPr>
          <w:rFonts w:ascii="Courier New" w:cs="Courier New" w:eastAsia="Courier New" w:hAnsi="Courier New"/>
          <w:sz w:val="13"/>
          <w:szCs w:val="13"/>
          <w:color w:val="auto"/>
        </w:rPr>
        <w:t>11</w:t>
      </w:r>
    </w:p>
    <w:p>
      <w:pPr>
        <w:spacing w:after="0" w:line="20" w:lineRule="exact"/>
        <w:rPr>
          <w:sz w:val="20"/>
          <w:szCs w:val="20"/>
          <w:color w:val="auto"/>
        </w:rPr>
      </w:pPr>
      <w:r>
        <w:rPr>
          <w:sz w:val="20"/>
          <w:szCs w:val="20"/>
          <w:color w:val="auto"/>
        </w:rPr>
        <w:br w:type="column"/>
      </w:r>
    </w:p>
    <w:p>
      <w:pPr>
        <w:spacing w:after="0"/>
        <w:tabs>
          <w:tab w:leader="none" w:pos="860" w:val="left"/>
          <w:tab w:leader="none" w:pos="1560" w:val="left"/>
          <w:tab w:leader="none" w:pos="2000" w:val="left"/>
          <w:tab w:leader="none" w:pos="2700" w:val="left"/>
          <w:tab w:leader="none" w:pos="3140" w:val="left"/>
        </w:tabs>
        <w:rPr>
          <w:sz w:val="20"/>
          <w:szCs w:val="20"/>
          <w:color w:val="auto"/>
        </w:rPr>
      </w:pPr>
      <w:r>
        <w:rPr>
          <w:rFonts w:ascii="Courier New" w:cs="Courier New" w:eastAsia="Courier New" w:hAnsi="Courier New"/>
          <w:sz w:val="15"/>
          <w:szCs w:val="15"/>
          <w:color w:val="auto"/>
        </w:rPr>
        <w:t>Earnings</w:t>
        <w:tab/>
        <w:t>(Loss)</w:t>
        <w:tab/>
        <w:t>Per</w:t>
        <w:tab/>
        <w:t>Common</w:t>
        <w:tab/>
        <w:t>and</w:t>
      </w:r>
      <w:r>
        <w:rPr>
          <w:sz w:val="20"/>
          <w:szCs w:val="20"/>
          <w:color w:val="auto"/>
        </w:rPr>
        <w:tab/>
      </w:r>
      <w:r>
        <w:rPr>
          <w:rFonts w:ascii="Courier New" w:cs="Courier New" w:eastAsia="Courier New" w:hAnsi="Courier New"/>
          <w:sz w:val="14"/>
          <w:szCs w:val="14"/>
          <w:color w:val="auto"/>
        </w:rPr>
        <w:t>Dilutive</w:t>
      </w:r>
    </w:p>
    <w:p>
      <w:pPr>
        <w:spacing w:after="0"/>
        <w:tabs>
          <w:tab w:leader="none" w:pos="940" w:val="left"/>
          <w:tab w:leader="none" w:pos="1640" w:val="left"/>
        </w:tabs>
        <w:rPr>
          <w:sz w:val="20"/>
          <w:szCs w:val="20"/>
          <w:color w:val="auto"/>
        </w:rPr>
      </w:pPr>
      <w:r>
        <w:rPr>
          <w:rFonts w:ascii="Courier New" w:cs="Courier New" w:eastAsia="Courier New" w:hAnsi="Courier New"/>
          <w:sz w:val="15"/>
          <w:szCs w:val="15"/>
          <w:color w:val="auto"/>
        </w:rPr>
        <w:t>Potential</w:t>
        <w:tab/>
        <w:t>Common</w:t>
      </w:r>
      <w:r>
        <w:rPr>
          <w:sz w:val="20"/>
          <w:szCs w:val="20"/>
          <w:color w:val="auto"/>
        </w:rPr>
        <w:tab/>
      </w:r>
      <w:r>
        <w:rPr>
          <w:rFonts w:ascii="Courier New" w:cs="Courier New" w:eastAsia="Courier New" w:hAnsi="Courier New"/>
          <w:sz w:val="14"/>
          <w:szCs w:val="14"/>
          <w:color w:val="auto"/>
        </w:rPr>
        <w:t>Share</w:t>
      </w:r>
    </w:p>
    <w:p>
      <w:pPr>
        <w:spacing w:after="0" w:line="169" w:lineRule="exact"/>
        <w:rPr>
          <w:sz w:val="20"/>
          <w:szCs w:val="20"/>
          <w:color w:val="auto"/>
        </w:rPr>
      </w:pPr>
    </w:p>
    <w:p>
      <w:pPr>
        <w:sectPr>
          <w:pgSz w:w="11900" w:h="16838" w:orient="portrait"/>
          <w:cols w:equalWidth="0" w:num="2">
            <w:col w:w="2110" w:space="720"/>
            <w:col w:w="7399"/>
          </w:cols>
          <w:pgMar w:left="230" w:top="791" w:right="1440" w:bottom="1440" w:gutter="0" w:footer="0" w:header="0"/>
          <w:type w:val="continuous"/>
        </w:sectPr>
      </w:pPr>
    </w:p>
    <w:p>
      <w:pPr>
        <w:spacing w:after="0" w:line="5" w:lineRule="exact"/>
        <w:rPr>
          <w:sz w:val="20"/>
          <w:szCs w:val="20"/>
          <w:color w:val="auto"/>
        </w:rPr>
      </w:pPr>
    </w:p>
    <w:p>
      <w:pPr>
        <w:ind w:left="890"/>
        <w:spacing w:after="0"/>
        <w:rPr>
          <w:sz w:val="20"/>
          <w:szCs w:val="20"/>
          <w:color w:val="auto"/>
        </w:rPr>
      </w:pPr>
      <w:r>
        <w:rPr>
          <w:rFonts w:ascii="Courier New" w:cs="Courier New" w:eastAsia="Courier New" w:hAnsi="Courier New"/>
          <w:sz w:val="13"/>
          <w:szCs w:val="13"/>
          <w:color w:val="auto"/>
        </w:rPr>
        <w:t>12</w:t>
      </w:r>
    </w:p>
    <w:p>
      <w:pPr>
        <w:spacing w:after="0" w:line="20" w:lineRule="exact"/>
        <w:rPr>
          <w:sz w:val="20"/>
          <w:szCs w:val="20"/>
          <w:color w:val="auto"/>
        </w:rPr>
      </w:pPr>
      <w:r>
        <w:rPr>
          <w:sz w:val="20"/>
          <w:szCs w:val="20"/>
          <w:color w:val="auto"/>
        </w:rPr>
        <w:br w:type="column"/>
      </w:r>
    </w:p>
    <w:p>
      <w:pPr>
        <w:spacing w:after="0"/>
        <w:tabs>
          <w:tab w:leader="none" w:pos="1120" w:val="left"/>
          <w:tab w:leader="none" w:pos="1460" w:val="left"/>
          <w:tab w:leader="none" w:pos="2080" w:val="left"/>
          <w:tab w:leader="none" w:pos="2440" w:val="left"/>
          <w:tab w:leader="none" w:pos="3320" w:val="left"/>
        </w:tabs>
        <w:rPr>
          <w:sz w:val="20"/>
          <w:szCs w:val="20"/>
          <w:color w:val="auto"/>
        </w:rPr>
      </w:pPr>
      <w:r>
        <w:rPr>
          <w:rFonts w:ascii="Courier New" w:cs="Courier New" w:eastAsia="Courier New" w:hAnsi="Courier New"/>
          <w:sz w:val="15"/>
          <w:szCs w:val="15"/>
          <w:color w:val="auto"/>
        </w:rPr>
        <w:t>Computation</w:t>
        <w:tab/>
        <w:t>of</w:t>
        <w:tab/>
        <w:t>Ratio</w:t>
        <w:tab/>
        <w:t>of</w:t>
        <w:tab/>
        <w:t>Earnings</w:t>
        <w:tab/>
        <w:t>to</w:t>
      </w:r>
    </w:p>
    <w:p>
      <w:pPr>
        <w:spacing w:after="0"/>
        <w:tabs>
          <w:tab w:leader="none" w:pos="580" w:val="left"/>
        </w:tabs>
        <w:rPr>
          <w:sz w:val="20"/>
          <w:szCs w:val="20"/>
          <w:color w:val="auto"/>
        </w:rPr>
      </w:pPr>
      <w:r>
        <w:rPr>
          <w:rFonts w:ascii="Courier New" w:cs="Courier New" w:eastAsia="Courier New" w:hAnsi="Courier New"/>
          <w:sz w:val="15"/>
          <w:szCs w:val="15"/>
          <w:color w:val="auto"/>
        </w:rPr>
        <w:t>Fixed</w:t>
        <w:tab/>
        <w:t>Charges</w:t>
      </w:r>
    </w:p>
    <w:p>
      <w:pPr>
        <w:spacing w:after="0" w:line="169" w:lineRule="exact"/>
        <w:rPr>
          <w:sz w:val="20"/>
          <w:szCs w:val="20"/>
          <w:color w:val="auto"/>
        </w:rPr>
      </w:pPr>
    </w:p>
    <w:p>
      <w:pPr>
        <w:sectPr>
          <w:pgSz w:w="11900" w:h="16838" w:orient="portrait"/>
          <w:cols w:equalWidth="0" w:num="2">
            <w:col w:w="2110" w:space="720"/>
            <w:col w:w="7399"/>
          </w:cols>
          <w:pgMar w:left="230" w:top="791" w:right="1440" w:bottom="1440" w:gutter="0" w:footer="0" w:header="0"/>
          <w:type w:val="continuous"/>
        </w:sectPr>
      </w:pPr>
    </w:p>
    <w:p>
      <w:pPr>
        <w:ind w:left="890" w:hanging="449"/>
        <w:spacing w:after="0"/>
        <w:tabs>
          <w:tab w:leader="none" w:pos="89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During the quarter ended September 30, 2001, the Registrant filed reports on Form 8-K dated August 14, 2001 and September 5, 2001, each confirming its outlook for the third quarter of 2001 as set forth in the Outlook Section included in Item 2 of its Form 10-Q for the quarter ending June 30, 2001.</w:t>
      </w:r>
    </w:p>
    <w:p>
      <w:pPr>
        <w:spacing w:after="0" w:line="176" w:lineRule="exact"/>
        <w:rPr>
          <w:sz w:val="20"/>
          <w:szCs w:val="20"/>
          <w:color w:val="auto"/>
        </w:rPr>
      </w:pPr>
    </w:p>
    <w:p>
      <w:pPr>
        <w:jc w:val="both"/>
        <w:ind w:left="10" w:right="3179"/>
        <w:spacing w:after="0" w:line="235"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w:t>
      </w:r>
    </w:p>
    <w:p>
      <w:pPr>
        <w:spacing w:after="0" w:line="176" w:lineRule="exact"/>
        <w:rPr>
          <w:sz w:val="20"/>
          <w:szCs w:val="20"/>
          <w:color w:val="auto"/>
        </w:rPr>
      </w:pPr>
    </w:p>
    <w:p>
      <w:pPr>
        <w:ind w:left="10" w:right="3179"/>
        <w:spacing w:after="0"/>
        <w:rPr>
          <w:sz w:val="20"/>
          <w:szCs w:val="20"/>
          <w:color w:val="auto"/>
        </w:rPr>
      </w:pPr>
      <w:r>
        <w:rPr>
          <w:rFonts w:ascii="Courier New" w:cs="Courier New" w:eastAsia="Courier New" w:hAnsi="Courier New"/>
          <w:sz w:val="15"/>
          <w:szCs w:val="15"/>
          <w:color w:val="auto"/>
        </w:rPr>
        <w:t>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33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We urge you to carefully consider the following important factors that could cause actual results to differ materially from the expectations of the company or its management:</w:t>
      </w:r>
    </w:p>
    <w:p>
      <w:pPr>
        <w:spacing w:after="0" w:line="175" w:lineRule="exact"/>
        <w:rPr>
          <w:sz w:val="20"/>
          <w:szCs w:val="20"/>
          <w:color w:val="auto"/>
        </w:rPr>
      </w:pPr>
    </w:p>
    <w:p>
      <w:pPr>
        <w:ind w:left="270" w:right="3359" w:hanging="270"/>
        <w:spacing w:after="0" w:line="237" w:lineRule="auto"/>
        <w:tabs>
          <w:tab w:leader="none" w:pos="27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demand for semiconductors, particularly for digital signal processors and analog chips in key markets, such as telecommunications and computers;</w:t>
      </w:r>
    </w:p>
    <w:p>
      <w:pPr>
        <w:spacing w:after="0" w:line="175" w:lineRule="exact"/>
        <w:rPr>
          <w:sz w:val="20"/>
          <w:szCs w:val="20"/>
          <w:color w:val="auto"/>
        </w:rPr>
      </w:pPr>
    </w:p>
    <w:p>
      <w:pPr>
        <w:ind w:left="350" w:right="3359" w:hanging="339"/>
        <w:spacing w:after="0" w:line="235" w:lineRule="auto"/>
        <w:tabs>
          <w:tab w:leader="none" w:pos="329" w:val="left"/>
        </w:tabs>
        <w:rPr>
          <w:sz w:val="20"/>
          <w:szCs w:val="20"/>
          <w:color w:val="auto"/>
        </w:rPr>
      </w:pPr>
      <w:r>
        <w:rPr>
          <w:rFonts w:ascii="Courier New" w:cs="Courier New" w:eastAsia="Courier New" w:hAnsi="Courier New"/>
          <w:sz w:val="15"/>
          <w:szCs w:val="15"/>
          <w:color w:val="auto"/>
        </w:rPr>
        <w:t>-</w:t>
        <w:tab/>
        <w:t>TI's ability to develop, manufacture and market innovative products in a rapidly changing technological environment;</w:t>
      </w:r>
    </w:p>
    <w:p>
      <w:pPr>
        <w:spacing w:after="0" w:line="170"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791" w:right="1440" w:bottom="1440" w:gutter="0" w:footer="0" w:header="0"/>
          <w:type w:val="continuous"/>
        </w:sectPr>
      </w:pPr>
    </w:p>
    <w:bookmarkStart w:id="21" w:name="page22"/>
    <w:bookmarkEnd w:id="21"/>
    <w:p>
      <w:pPr>
        <w:ind w:left="270" w:right="3619" w:hanging="270"/>
        <w:spacing w:after="0" w:line="235" w:lineRule="auto"/>
        <w:tabs>
          <w:tab w:leader="none" w:pos="27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compete in products and prices in an intensely competitive industry;</w:t>
      </w:r>
    </w:p>
    <w:p>
      <w:pPr>
        <w:spacing w:after="0" w:line="170"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maintain  and  enforce  a  strong intellectual property</w:t>
      </w:r>
    </w:p>
    <w:p>
      <w:pPr>
        <w:ind w:left="270"/>
        <w:spacing w:after="0"/>
        <w:tabs>
          <w:tab w:leader="none" w:pos="1209" w:val="left"/>
          <w:tab w:leader="none" w:pos="1649" w:val="left"/>
          <w:tab w:leader="none" w:pos="2369" w:val="left"/>
          <w:tab w:leader="none" w:pos="3069" w:val="left"/>
          <w:tab w:leader="none" w:pos="3949" w:val="left"/>
          <w:tab w:leader="none" w:pos="4469" w:val="left"/>
          <w:tab w:leader="none" w:pos="5089" w:val="left"/>
        </w:tabs>
        <w:rPr>
          <w:sz w:val="20"/>
          <w:szCs w:val="20"/>
          <w:color w:val="auto"/>
        </w:rPr>
      </w:pPr>
      <w:r>
        <w:rPr>
          <w:rFonts w:ascii="Courier New" w:cs="Courier New" w:eastAsia="Courier New" w:hAnsi="Courier New"/>
          <w:sz w:val="15"/>
          <w:szCs w:val="15"/>
          <w:color w:val="auto"/>
        </w:rPr>
        <w:t>portfolio</w:t>
        <w:tab/>
        <w:t>and</w:t>
        <w:tab/>
        <w:t>obtain</w:t>
        <w:tab/>
        <w:t>needed</w:t>
        <w:tab/>
        <w:t>licenses</w:t>
        <w:tab/>
        <w:t>from</w:t>
        <w:tab/>
        <w:t>third</w:t>
      </w:r>
      <w:r>
        <w:rPr>
          <w:sz w:val="20"/>
          <w:szCs w:val="20"/>
          <w:color w:val="auto"/>
        </w:rPr>
        <w:tab/>
      </w:r>
      <w:r>
        <w:rPr>
          <w:rFonts w:ascii="Courier New" w:cs="Courier New" w:eastAsia="Courier New" w:hAnsi="Courier New"/>
          <w:sz w:val="14"/>
          <w:szCs w:val="14"/>
          <w:color w:val="auto"/>
        </w:rPr>
        <w:t>parties;</w:t>
      </w:r>
    </w:p>
    <w:p>
      <w:pPr>
        <w:spacing w:after="0" w:line="169" w:lineRule="exact"/>
        <w:rPr>
          <w:sz w:val="20"/>
          <w:szCs w:val="20"/>
          <w:color w:val="auto"/>
        </w:rPr>
      </w:pPr>
    </w:p>
    <w:p>
      <w:pPr>
        <w:ind w:left="10"/>
        <w:spacing w:after="0"/>
        <w:tabs>
          <w:tab w:leader="none" w:pos="249" w:val="left"/>
          <w:tab w:leader="none" w:pos="949" w:val="left"/>
          <w:tab w:leader="none" w:pos="2009" w:val="left"/>
          <w:tab w:leader="none" w:pos="2449" w:val="left"/>
        </w:tabs>
        <w:rPr>
          <w:sz w:val="20"/>
          <w:szCs w:val="20"/>
          <w:color w:val="auto"/>
        </w:rPr>
      </w:pPr>
      <w:r>
        <w:rPr>
          <w:rFonts w:ascii="Courier New" w:cs="Courier New" w:eastAsia="Courier New" w:hAnsi="Courier New"/>
          <w:sz w:val="15"/>
          <w:szCs w:val="15"/>
          <w:color w:val="auto"/>
        </w:rPr>
        <w:t>-</w:t>
        <w:tab/>
        <w:t>Timely</w:t>
        <w:tab/>
        <w:t>completion</w:t>
        <w:tab/>
        <w:t>and</w:t>
      </w:r>
      <w:r>
        <w:rPr>
          <w:sz w:val="20"/>
          <w:szCs w:val="20"/>
          <w:color w:val="auto"/>
        </w:rPr>
        <w:tab/>
      </w:r>
      <w:r>
        <w:rPr>
          <w:rFonts w:ascii="Courier New" w:cs="Courier New" w:eastAsia="Courier New" w:hAnsi="Courier New"/>
          <w:sz w:val="14"/>
          <w:szCs w:val="14"/>
          <w:color w:val="auto"/>
        </w:rPr>
        <w:t>successful integration of announced acquisitions;</w:t>
      </w:r>
    </w:p>
    <w:p>
      <w:pPr>
        <w:spacing w:after="0" w:line="175" w:lineRule="exact"/>
        <w:rPr>
          <w:sz w:val="20"/>
          <w:szCs w:val="20"/>
          <w:color w:val="auto"/>
        </w:rPr>
      </w:pPr>
    </w:p>
    <w:p>
      <w:pPr>
        <w:ind w:left="270" w:right="3439" w:hanging="270"/>
        <w:spacing w:after="0" w:line="235" w:lineRule="auto"/>
        <w:tabs>
          <w:tab w:leader="none" w:pos="27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economic, social and political conditions in the countries in which TI and its customers and suppliers operate, including</w:t>
      </w:r>
    </w:p>
    <w:p>
      <w:pPr>
        <w:spacing w:after="0" w:line="1" w:lineRule="exact"/>
        <w:rPr>
          <w:sz w:val="20"/>
          <w:szCs w:val="20"/>
          <w:color w:val="auto"/>
        </w:rPr>
      </w:pPr>
    </w:p>
    <w:p>
      <w:pPr>
        <w:ind w:left="270"/>
        <w:spacing w:after="0"/>
        <w:tabs>
          <w:tab w:leader="none" w:pos="1469" w:val="left"/>
          <w:tab w:leader="none" w:pos="1829" w:val="left"/>
          <w:tab w:leader="none" w:pos="2629" w:val="left"/>
          <w:tab w:leader="none" w:pos="3509" w:val="left"/>
          <w:tab w:leader="none" w:pos="4389" w:val="left"/>
        </w:tabs>
        <w:rPr>
          <w:sz w:val="20"/>
          <w:szCs w:val="20"/>
          <w:color w:val="auto"/>
        </w:rPr>
      </w:pPr>
      <w:r>
        <w:rPr>
          <w:rFonts w:ascii="Courier New" w:cs="Courier New" w:eastAsia="Courier New" w:hAnsi="Courier New"/>
          <w:sz w:val="15"/>
          <w:szCs w:val="15"/>
          <w:color w:val="auto"/>
        </w:rPr>
        <w:t>fluctuations</w:t>
        <w:tab/>
        <w:t>in</w:t>
        <w:tab/>
        <w:t>foreign</w:t>
        <w:tab/>
        <w:t>currency</w:t>
        <w:tab/>
        <w:t>exchange</w:t>
      </w:r>
      <w:r>
        <w:rPr>
          <w:sz w:val="20"/>
          <w:szCs w:val="20"/>
          <w:color w:val="auto"/>
        </w:rPr>
        <w:tab/>
      </w:r>
      <w:r>
        <w:rPr>
          <w:rFonts w:ascii="Courier New" w:cs="Courier New" w:eastAsia="Courier New" w:hAnsi="Courier New"/>
          <w:sz w:val="14"/>
          <w:szCs w:val="14"/>
          <w:color w:val="auto"/>
        </w:rPr>
        <w:t>rates;</w:t>
      </w:r>
    </w:p>
    <w:p>
      <w:pPr>
        <w:spacing w:after="0" w:line="169" w:lineRule="exact"/>
        <w:rPr>
          <w:sz w:val="20"/>
          <w:szCs w:val="20"/>
          <w:color w:val="auto"/>
        </w:rPr>
      </w:pPr>
    </w:p>
    <w:p>
      <w:pPr>
        <w:ind w:left="10"/>
        <w:spacing w:after="0"/>
        <w:tabs>
          <w:tab w:leader="none" w:pos="249" w:val="left"/>
          <w:tab w:leader="none" w:pos="949" w:val="left"/>
          <w:tab w:leader="none" w:pos="1309" w:val="left"/>
          <w:tab w:leader="none" w:pos="2529" w:val="left"/>
          <w:tab w:leader="none" w:pos="2889" w:val="left"/>
          <w:tab w:leader="none" w:pos="3849" w:val="left"/>
          <w:tab w:leader="none" w:pos="4389" w:val="left"/>
          <w:tab w:leader="none" w:pos="4829" w:val="left"/>
        </w:tabs>
        <w:rPr>
          <w:sz w:val="20"/>
          <w:szCs w:val="20"/>
          <w:color w:val="auto"/>
        </w:rPr>
      </w:pPr>
      <w:r>
        <w:rPr>
          <w:rFonts w:ascii="Courier New" w:cs="Courier New" w:eastAsia="Courier New" w:hAnsi="Courier New"/>
          <w:sz w:val="15"/>
          <w:szCs w:val="15"/>
          <w:color w:val="auto"/>
        </w:rPr>
        <w:t>-</w:t>
        <w:tab/>
        <w:t>Losses</w:t>
        <w:tab/>
        <w:t>or</w:t>
        <w:tab/>
        <w:t>curtailments</w:t>
        <w:tab/>
        <w:t>of</w:t>
        <w:tab/>
        <w:t>purchases</w:t>
        <w:tab/>
        <w:t>from</w:t>
        <w:tab/>
        <w:t>key</w:t>
      </w:r>
      <w:r>
        <w:rPr>
          <w:sz w:val="20"/>
          <w:szCs w:val="20"/>
          <w:color w:val="auto"/>
        </w:rPr>
        <w:tab/>
      </w:r>
      <w:r>
        <w:rPr>
          <w:rFonts w:ascii="Courier New" w:cs="Courier New" w:eastAsia="Courier New" w:hAnsi="Courier New"/>
          <w:sz w:val="14"/>
          <w:szCs w:val="14"/>
          <w:color w:val="auto"/>
        </w:rPr>
        <w:t>customers;</w:t>
      </w:r>
    </w:p>
    <w:p>
      <w:pPr>
        <w:spacing w:after="0" w:line="169" w:lineRule="exact"/>
        <w:rPr>
          <w:sz w:val="20"/>
          <w:szCs w:val="20"/>
          <w:color w:val="auto"/>
        </w:rPr>
      </w:pPr>
    </w:p>
    <w:p>
      <w:pPr>
        <w:ind w:left="10"/>
        <w:spacing w:after="0"/>
        <w:tabs>
          <w:tab w:leader="none" w:pos="249" w:val="left"/>
          <w:tab w:leader="none" w:pos="769" w:val="left"/>
          <w:tab w:leader="none" w:pos="1569" w:val="left"/>
          <w:tab w:leader="none" w:pos="1909" w:val="left"/>
          <w:tab w:leader="none" w:pos="2709" w:val="left"/>
          <w:tab w:leader="none" w:pos="3149" w:val="left"/>
          <w:tab w:leader="none" w:pos="3849" w:val="left"/>
          <w:tab w:leader="none" w:pos="4649" w:val="left"/>
          <w:tab w:leader="none" w:pos="5709" w:val="left"/>
        </w:tabs>
        <w:rPr>
          <w:sz w:val="20"/>
          <w:szCs w:val="20"/>
          <w:color w:val="auto"/>
        </w:rPr>
      </w:pPr>
      <w:r>
        <w:rPr>
          <w:rFonts w:ascii="Courier New" w:cs="Courier New" w:eastAsia="Courier New" w:hAnsi="Courier New"/>
          <w:sz w:val="15"/>
          <w:szCs w:val="15"/>
          <w:color w:val="auto"/>
        </w:rPr>
        <w:t>-</w:t>
        <w:tab/>
        <w:t>TI's</w:t>
        <w:tab/>
        <w:t>ability</w:t>
        <w:tab/>
        <w:t>to</w:t>
        <w:tab/>
        <w:t>recruit</w:t>
        <w:tab/>
        <w:t>and</w:t>
        <w:tab/>
        <w:t>retain</w:t>
        <w:tab/>
        <w:t>skilled</w:t>
        <w:tab/>
        <w:t>personnel;</w:t>
      </w:r>
      <w:r>
        <w:rPr>
          <w:sz w:val="20"/>
          <w:szCs w:val="20"/>
          <w:color w:val="auto"/>
        </w:rPr>
        <w:tab/>
      </w:r>
      <w:r>
        <w:rPr>
          <w:rFonts w:ascii="Courier New" w:cs="Courier New" w:eastAsia="Courier New" w:hAnsi="Courier New"/>
          <w:sz w:val="14"/>
          <w:szCs w:val="14"/>
          <w:color w:val="auto"/>
        </w:rPr>
        <w:t>and</w:t>
      </w:r>
    </w:p>
    <w:p>
      <w:pPr>
        <w:spacing w:after="0" w:line="169" w:lineRule="exact"/>
        <w:rPr>
          <w:sz w:val="20"/>
          <w:szCs w:val="20"/>
          <w:color w:val="auto"/>
        </w:rPr>
      </w:pPr>
    </w:p>
    <w:p>
      <w:pPr>
        <w:ind w:left="10"/>
        <w:spacing w:after="0"/>
        <w:tabs>
          <w:tab w:leader="none" w:pos="249" w:val="left"/>
          <w:tab w:leader="none" w:pos="1469" w:val="left"/>
          <w:tab w:leader="none" w:pos="1829" w:val="left"/>
          <w:tab w:leader="none" w:pos="2269" w:val="left"/>
          <w:tab w:leader="none" w:pos="3249" w:val="left"/>
          <w:tab w:leader="none" w:pos="3689" w:val="left"/>
          <w:tab w:leader="none" w:pos="4569" w:val="left"/>
          <w:tab w:leader="none" w:pos="5889" w:val="left"/>
        </w:tabs>
        <w:rPr>
          <w:sz w:val="20"/>
          <w:szCs w:val="20"/>
          <w:color w:val="auto"/>
        </w:rPr>
      </w:pPr>
      <w:r>
        <w:rPr>
          <w:rFonts w:ascii="Courier New" w:cs="Courier New" w:eastAsia="Courier New" w:hAnsi="Courier New"/>
          <w:sz w:val="15"/>
          <w:szCs w:val="15"/>
          <w:color w:val="auto"/>
        </w:rPr>
        <w:t>-</w:t>
        <w:tab/>
        <w:t>Availability</w:t>
        <w:tab/>
        <w:t>of</w:t>
        <w:tab/>
        <w:t>raw</w:t>
        <w:tab/>
        <w:t>materials</w:t>
        <w:tab/>
        <w:t>and</w:t>
        <w:tab/>
        <w:t>critical</w:t>
        <w:tab/>
        <w:t>manufacturing</w:t>
      </w:r>
      <w:r>
        <w:rPr>
          <w:sz w:val="20"/>
          <w:szCs w:val="20"/>
          <w:color w:val="auto"/>
        </w:rPr>
        <w:tab/>
      </w:r>
      <w:r>
        <w:rPr>
          <w:rFonts w:ascii="Courier New" w:cs="Courier New" w:eastAsia="Courier New" w:hAnsi="Courier New"/>
          <w:sz w:val="14"/>
          <w:szCs w:val="14"/>
          <w:color w:val="auto"/>
        </w:rPr>
        <w:t>equipment.</w:t>
      </w:r>
    </w:p>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For a more detailed discussion of these factors, see the text under the heading "Cautionary Statements Regarding Future Results of Operations" in Item 1 of the company's most recent Form 10-K. The forward-looking statements included in this Form 10-Q are made only as of the date of this Form 10-Q and the company undertakes no obligation to update the forward-looking statements to reflect subsequent events or circumstances.</w:t>
      </w:r>
    </w:p>
    <w:p>
      <w:pPr>
        <w:spacing w:after="0" w:line="33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SIGNATURE</w:t>
      </w:r>
    </w:p>
    <w:p>
      <w:pPr>
        <w:spacing w:after="0" w:line="344"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2910"/>
        <w:spacing w:after="0"/>
        <w:tabs>
          <w:tab w:leader="none" w:pos="3509" w:val="left"/>
          <w:tab w:leader="none" w:pos="4649" w:val="left"/>
        </w:tabs>
        <w:rPr>
          <w:sz w:val="20"/>
          <w:szCs w:val="20"/>
          <w:color w:val="auto"/>
        </w:rPr>
      </w:pPr>
      <w:r>
        <w:rPr>
          <w:rFonts w:ascii="Courier New" w:cs="Courier New" w:eastAsia="Courier New" w:hAnsi="Courier New"/>
          <w:sz w:val="15"/>
          <w:szCs w:val="15"/>
          <w:color w:val="auto"/>
        </w:rPr>
        <w:t>TEXAS</w:t>
        <w:tab/>
        <w:t>INSTRUMENTS</w:t>
      </w:r>
      <w:r>
        <w:rPr>
          <w:sz w:val="20"/>
          <w:szCs w:val="20"/>
          <w:color w:val="auto"/>
        </w:rPr>
        <w:tab/>
      </w:r>
      <w:r>
        <w:rPr>
          <w:rFonts w:ascii="Courier New" w:cs="Courier New" w:eastAsia="Courier New" w:hAnsi="Courier New"/>
          <w:sz w:val="14"/>
          <w:szCs w:val="14"/>
          <w:color w:val="auto"/>
        </w:rPr>
        <w:t>INCORPORATED</w:t>
      </w:r>
    </w:p>
    <w:p>
      <w:pPr>
        <w:spacing w:after="0" w:line="339" w:lineRule="exact"/>
        <w:rPr>
          <w:sz w:val="20"/>
          <w:szCs w:val="20"/>
          <w:color w:val="auto"/>
        </w:rPr>
      </w:pPr>
    </w:p>
    <w:p>
      <w:pPr>
        <w:ind w:left="3090"/>
        <w:spacing w:after="0"/>
        <w:tabs>
          <w:tab w:leader="none" w:pos="350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WILLIAM A. AYLESWORTH</w:t>
      </w:r>
    </w:p>
    <w:p>
      <w:pPr>
        <w:ind w:left="3090"/>
        <w:spacing w:after="0"/>
        <w:rPr>
          <w:sz w:val="20"/>
          <w:szCs w:val="20"/>
          <w:color w:val="auto"/>
        </w:rPr>
      </w:pPr>
      <w:r>
        <w:rPr>
          <w:rFonts w:ascii="Courier New" w:cs="Courier New" w:eastAsia="Courier New" w:hAnsi="Courier New"/>
          <w:sz w:val="15"/>
          <w:szCs w:val="15"/>
          <w:color w:val="auto"/>
        </w:rPr>
        <w:t>------------------------------</w:t>
      </w:r>
    </w:p>
    <w:p>
      <w:pPr>
        <w:ind w:left="3090"/>
        <w:spacing w:after="0"/>
        <w:tabs>
          <w:tab w:leader="none" w:pos="3849" w:val="left"/>
          <w:tab w:leader="none" w:pos="4209" w:val="left"/>
        </w:tabs>
        <w:rPr>
          <w:sz w:val="20"/>
          <w:szCs w:val="20"/>
          <w:color w:val="auto"/>
        </w:rPr>
      </w:pPr>
      <w:r>
        <w:rPr>
          <w:rFonts w:ascii="Courier New" w:cs="Courier New" w:eastAsia="Courier New" w:hAnsi="Courier New"/>
          <w:sz w:val="15"/>
          <w:szCs w:val="15"/>
          <w:color w:val="auto"/>
        </w:rPr>
        <w:t>William</w:t>
        <w:tab/>
        <w:t>A.</w:t>
      </w:r>
      <w:r>
        <w:rPr>
          <w:sz w:val="20"/>
          <w:szCs w:val="20"/>
          <w:color w:val="auto"/>
        </w:rPr>
        <w:tab/>
      </w:r>
      <w:r>
        <w:rPr>
          <w:rFonts w:ascii="Courier New" w:cs="Courier New" w:eastAsia="Courier New" w:hAnsi="Courier New"/>
          <w:sz w:val="14"/>
          <w:szCs w:val="14"/>
          <w:color w:val="auto"/>
        </w:rPr>
        <w:t>Aylesworth</w:t>
      </w:r>
    </w:p>
    <w:p>
      <w:pPr>
        <w:ind w:left="3090"/>
        <w:spacing w:after="0" w:line="238" w:lineRule="auto"/>
        <w:tabs>
          <w:tab w:leader="none" w:pos="3769" w:val="left"/>
          <w:tab w:leader="none" w:pos="4289" w:val="left"/>
        </w:tabs>
        <w:rPr>
          <w:sz w:val="20"/>
          <w:szCs w:val="20"/>
          <w:color w:val="auto"/>
        </w:rPr>
      </w:pPr>
      <w:r>
        <w:rPr>
          <w:rFonts w:ascii="Courier New" w:cs="Courier New" w:eastAsia="Courier New" w:hAnsi="Courier New"/>
          <w:sz w:val="15"/>
          <w:szCs w:val="15"/>
          <w:color w:val="auto"/>
        </w:rPr>
        <w:t>Senior</w:t>
        <w:tab/>
        <w:t>Vice</w:t>
        <w:tab/>
        <w:t>President,</w:t>
      </w:r>
    </w:p>
    <w:p>
      <w:pPr>
        <w:ind w:left="3090"/>
        <w:spacing w:after="0"/>
        <w:tabs>
          <w:tab w:leader="none" w:pos="4029" w:val="left"/>
        </w:tabs>
        <w:rPr>
          <w:sz w:val="20"/>
          <w:szCs w:val="20"/>
          <w:color w:val="auto"/>
        </w:rPr>
      </w:pPr>
      <w:r>
        <w:rPr>
          <w:rFonts w:ascii="Courier New" w:cs="Courier New" w:eastAsia="Courier New" w:hAnsi="Courier New"/>
          <w:sz w:val="15"/>
          <w:szCs w:val="15"/>
          <w:color w:val="auto"/>
        </w:rPr>
        <w:t>Treasurer</w:t>
        <w:tab/>
        <w:t>and</w:t>
      </w:r>
    </w:p>
    <w:p>
      <w:pPr>
        <w:ind w:left="3090"/>
        <w:spacing w:after="0"/>
        <w:tabs>
          <w:tab w:leader="none" w:pos="3689" w:val="left"/>
          <w:tab w:leader="none" w:pos="4649" w:val="left"/>
        </w:tabs>
        <w:rPr>
          <w:sz w:val="20"/>
          <w:szCs w:val="20"/>
          <w:color w:val="auto"/>
        </w:rPr>
      </w:pPr>
      <w:r>
        <w:rPr>
          <w:rFonts w:ascii="Courier New" w:cs="Courier New" w:eastAsia="Courier New" w:hAnsi="Courier New"/>
          <w:sz w:val="15"/>
          <w:szCs w:val="15"/>
          <w:color w:val="auto"/>
        </w:rPr>
        <w:t>Chief</w:t>
        <w:tab/>
        <w:t>Financial</w:t>
      </w:r>
      <w:r>
        <w:rPr>
          <w:sz w:val="20"/>
          <w:szCs w:val="20"/>
          <w:color w:val="auto"/>
        </w:rPr>
        <w:tab/>
      </w:r>
      <w:r>
        <w:rPr>
          <w:rFonts w:ascii="Courier New" w:cs="Courier New" w:eastAsia="Courier New" w:hAnsi="Courier New"/>
          <w:sz w:val="14"/>
          <w:szCs w:val="14"/>
          <w:color w:val="auto"/>
        </w:rPr>
        <w:t>Officer</w:t>
      </w:r>
    </w:p>
    <w:p>
      <w:pPr>
        <w:spacing w:after="0" w:line="168" w:lineRule="exact"/>
        <w:rPr>
          <w:sz w:val="20"/>
          <w:szCs w:val="20"/>
          <w:color w:val="auto"/>
        </w:rPr>
      </w:pPr>
    </w:p>
    <w:p>
      <w:pPr>
        <w:ind w:left="10"/>
        <w:spacing w:after="0"/>
        <w:tabs>
          <w:tab w:leader="none" w:pos="589" w:val="left"/>
          <w:tab w:leader="none" w:pos="1749" w:val="left"/>
        </w:tabs>
        <w:rPr>
          <w:sz w:val="20"/>
          <w:szCs w:val="20"/>
          <w:color w:val="auto"/>
        </w:rPr>
      </w:pPr>
      <w:r>
        <w:rPr>
          <w:rFonts w:ascii="Courier New" w:cs="Courier New" w:eastAsia="Courier New" w:hAnsi="Courier New"/>
          <w:sz w:val="15"/>
          <w:szCs w:val="15"/>
          <w:color w:val="auto"/>
        </w:rPr>
        <w:t>Date:</w:t>
        <w:tab/>
        <w:t>October 24,</w:t>
      </w:r>
      <w:r>
        <w:rPr>
          <w:sz w:val="20"/>
          <w:szCs w:val="20"/>
          <w:color w:val="auto"/>
        </w:rPr>
        <w:tab/>
      </w:r>
      <w:r>
        <w:rPr>
          <w:rFonts w:ascii="Courier New" w:cs="Courier New" w:eastAsia="Courier New" w:hAnsi="Courier New"/>
          <w:sz w:val="14"/>
          <w:szCs w:val="14"/>
          <w:color w:val="auto"/>
        </w:rPr>
        <w:t>2001</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627" w:right="1440" w:bottom="1440" w:gutter="0" w:footer="0" w:header="0"/>
        </w:sectPr>
      </w:pPr>
    </w:p>
    <w:bookmarkStart w:id="22" w:name="page23"/>
    <w:bookmarkEnd w:id="22"/>
    <w:p>
      <w:pPr>
        <w:ind w:left="5720"/>
        <w:spacing w:after="0"/>
        <w:tabs>
          <w:tab w:leader="none" w:pos="6500" w:val="left"/>
        </w:tabs>
        <w:rPr>
          <w:sz w:val="20"/>
          <w:szCs w:val="20"/>
          <w:color w:val="auto"/>
        </w:rPr>
      </w:pPr>
      <w:r>
        <w:rPr>
          <w:rFonts w:ascii="Courier New" w:cs="Courier New" w:eastAsia="Courier New" w:hAnsi="Courier New"/>
          <w:sz w:val="15"/>
          <w:szCs w:val="15"/>
          <w:color w:val="auto"/>
        </w:rPr>
        <w:t>EXHIBIT</w:t>
        <w:tab/>
        <w:t>11</w:t>
      </w:r>
    </w:p>
    <w:p>
      <w:pPr>
        <w:ind w:left="57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TEXAS INSTRUMENTS INCORPORATED AND SUBSIDIARIES</w:t>
      </w:r>
    </w:p>
    <w:tbl>
      <w:tblPr>
        <w:tblLayout w:type="fixed"/>
        <w:tblInd w:w="0" w:type="dxa"/>
        <w:tblCellMar>
          <w:top w:w="0" w:type="dxa"/>
          <w:left w:w="0" w:type="dxa"/>
          <w:bottom w:w="0" w:type="dxa"/>
          <w:right w:w="0" w:type="dxa"/>
        </w:tblCellMar>
      </w:tblPr>
      <w:tr>
        <w:trPr>
          <w:trHeight w:val="170"/>
        </w:trPr>
        <w:tc>
          <w:tcPr>
            <w:tcW w:w="8180" w:type="dxa"/>
            <w:vAlign w:val="bottom"/>
            <w:gridSpan w:val="6"/>
          </w:tcPr>
          <w:p>
            <w:pPr>
              <w:ind w:left="2720"/>
              <w:spacing w:after="0"/>
              <w:rPr>
                <w:sz w:val="20"/>
                <w:szCs w:val="20"/>
                <w:color w:val="auto"/>
              </w:rPr>
            </w:pPr>
            <w:r>
              <w:rPr>
                <w:rFonts w:ascii="Courier New" w:cs="Courier New" w:eastAsia="Courier New" w:hAnsi="Courier New"/>
                <w:sz w:val="15"/>
                <w:szCs w:val="15"/>
                <w:color w:val="auto"/>
                <w:w w:val="97"/>
              </w:rPr>
              <w:t>EARNINGS (LOSS) PER COMMON AND DILUTIVE POTENTIAL COMMON SHARE</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5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6"/>
              </w:rPr>
              <w:t>For Three Months Ended</w:t>
            </w:r>
          </w:p>
        </w:tc>
        <w:tc>
          <w:tcPr>
            <w:tcW w:w="160" w:type="dxa"/>
            <w:vAlign w:val="bottom"/>
          </w:tcPr>
          <w:p>
            <w:pPr>
              <w:spacing w:after="0"/>
              <w:rPr>
                <w:sz w:val="24"/>
                <w:szCs w:val="24"/>
                <w:color w:val="auto"/>
              </w:rPr>
            </w:pPr>
          </w:p>
        </w:tc>
        <w:tc>
          <w:tcPr>
            <w:tcW w:w="20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For Nine Months Ended</w:t>
            </w:r>
          </w:p>
        </w:tc>
      </w:tr>
      <w:tr>
        <w:trPr>
          <w:trHeight w:val="170"/>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Sept. 30</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Sept. 30</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Sept. 30</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Sept. 30</w:t>
            </w:r>
          </w:p>
        </w:tc>
      </w:tr>
      <w:tr>
        <w:trPr>
          <w:trHeight w:val="170"/>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0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80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w w:val="98"/>
              </w:rPr>
              <w:t>Income (loss) before cumulative effect of an accounting change.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2,422</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Add: Interest, net of tax effect, on convertible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debentures assumed converted. . . . . . . . . . . . . . . . . .</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58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Adjusted income (loss) before cumulative effect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 an accounting change . . . . . . . . . . . . . . . . . . . .</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678</w:t>
            </w:r>
          </w:p>
        </w:tc>
        <w:tc>
          <w:tcPr>
            <w:tcW w:w="1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2,426</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Cumulative effect of an accounting change . . . . . . . . . . . .</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0"/>
        </w:trPr>
        <w:tc>
          <w:tcPr>
            <w:tcW w:w="58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Adjusted net income (loss) in millions. . . . . . . . . . . . .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2,397</w:t>
            </w:r>
          </w:p>
        </w:tc>
      </w:tr>
      <w:tr>
        <w:trPr>
          <w:trHeight w:val="170"/>
        </w:trPr>
        <w:tc>
          <w:tcPr>
            <w:tcW w:w="58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509"/>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Diluted earnings(loss) per common and dilutive potential common share:</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Weighted average common shares outstanding (in thousands) . . . .</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1,733,511</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1,720,890</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1,734,555</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1,712,804</w:t>
            </w:r>
          </w:p>
        </w:tc>
      </w:tr>
      <w:tr>
        <w:trPr>
          <w:trHeight w:val="170"/>
        </w:trPr>
        <w:tc>
          <w:tcPr>
            <w:tcW w:w="58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Weighted average dilutive potential common shares: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Stock option and compensation plans . . . . . . . . . . . . .</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65,358</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71,049</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Convertible debentures. . . . . . . . . . . . . . . . . . . . .</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5,625</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4,496</w:t>
            </w:r>
          </w:p>
        </w:tc>
      </w:tr>
      <w:tr>
        <w:trPr>
          <w:trHeight w:val="170"/>
        </w:trPr>
        <w:tc>
          <w:tcPr>
            <w:tcW w:w="58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Weighted average common and dilutive potential common shares. . .</w:t>
            </w:r>
          </w:p>
        </w:tc>
        <w:tc>
          <w:tcPr>
            <w:tcW w:w="18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1,733,511</w:t>
            </w:r>
          </w:p>
        </w:tc>
        <w:tc>
          <w:tcPr>
            <w:tcW w:w="10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1,791,873</w:t>
            </w:r>
          </w:p>
        </w:tc>
        <w:tc>
          <w:tcPr>
            <w:tcW w:w="1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1,734,555</w:t>
            </w:r>
          </w:p>
        </w:tc>
        <w:tc>
          <w:tcPr>
            <w:tcW w:w="18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1,788,349</w:t>
            </w:r>
          </w:p>
        </w:tc>
      </w:tr>
      <w:tr>
        <w:trPr>
          <w:trHeight w:val="170"/>
        </w:trPr>
        <w:tc>
          <w:tcPr>
            <w:tcW w:w="58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509"/>
        </w:trPr>
        <w:tc>
          <w:tcPr>
            <w:tcW w:w="58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(loss) before cumulative effect of an accounting change.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Cumulative effect of an accounting change . . . . . . . . . . .</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0"/>
        </w:trPr>
        <w:tc>
          <w:tcPr>
            <w:tcW w:w="58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(loss) . . . . . . . . . . . . . . . . . . . . . . .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w:t>
            </w:r>
          </w:p>
        </w:tc>
      </w:tr>
      <w:tr>
        <w:trPr>
          <w:trHeight w:val="170"/>
        </w:trPr>
        <w:tc>
          <w:tcPr>
            <w:tcW w:w="580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58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Weighted average common shares outstanding (in thousands) . . . .</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1,733,511</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1,720,890</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1,734,555</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1,712,804</w:t>
            </w:r>
          </w:p>
        </w:tc>
      </w:tr>
      <w:tr>
        <w:trPr>
          <w:trHeight w:val="170"/>
        </w:trPr>
        <w:tc>
          <w:tcPr>
            <w:tcW w:w="580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58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(loss) before cumulative effect of an accounting change.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0.39</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Cumulative effect of an accounting change . . . . . . . . . . .</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0"/>
        </w:trPr>
        <w:tc>
          <w:tcPr>
            <w:tcW w:w="58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(loss) . . . . . . . . . . . . . . . . . . . . . . .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0.39</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w:t>
            </w:r>
          </w:p>
        </w:tc>
      </w:tr>
      <w:tr>
        <w:trPr>
          <w:trHeight w:val="170"/>
        </w:trPr>
        <w:tc>
          <w:tcPr>
            <w:tcW w:w="58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bl>
    <w:p>
      <w:pPr>
        <w:sectPr>
          <w:pgSz w:w="11900" w:h="16838" w:orient="portrait"/>
          <w:cols w:equalWidth="0" w:num="1">
            <w:col w:w="10220"/>
          </w:cols>
          <w:pgMar w:left="240" w:top="622" w:right="1439" w:bottom="1440" w:gutter="0" w:footer="0" w:header="0"/>
        </w:sectPr>
      </w:pPr>
    </w:p>
    <w:bookmarkStart w:id="23" w:name="page24"/>
    <w:bookmarkEnd w:id="23"/>
    <w:p>
      <w:pPr>
        <w:jc w:val="right"/>
        <w:ind w:right="3619"/>
        <w:spacing w:after="0"/>
        <w:tabs>
          <w:tab w:leader="none" w:pos="1400" w:val="left"/>
        </w:tabs>
        <w:rPr>
          <w:sz w:val="20"/>
          <w:szCs w:val="20"/>
          <w:color w:val="auto"/>
        </w:rPr>
      </w:pPr>
      <w:r>
        <w:rPr>
          <w:rFonts w:ascii="Courier New" w:cs="Courier New" w:eastAsia="Courier New" w:hAnsi="Courier New"/>
          <w:sz w:val="15"/>
          <w:szCs w:val="15"/>
          <w:color w:val="auto"/>
        </w:rPr>
        <w:t>Exhibit</w:t>
        <w:tab/>
        <w:t>12</w:t>
      </w:r>
    </w:p>
    <w:p>
      <w:pPr>
        <w:ind w:left="555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370"/>
        <w:spacing w:after="0"/>
        <w:rPr>
          <w:sz w:val="20"/>
          <w:szCs w:val="20"/>
          <w:color w:val="auto"/>
        </w:rPr>
      </w:pPr>
      <w:r>
        <w:rPr>
          <w:rFonts w:ascii="Courier New" w:cs="Courier New" w:eastAsia="Courier New" w:hAnsi="Courier New"/>
          <w:sz w:val="15"/>
          <w:szCs w:val="15"/>
          <w:color w:val="auto"/>
        </w:rPr>
        <w:t>TEXAS INSTRUMENTS INCORPORATED AND SUBSIDIARIES</w:t>
      </w:r>
    </w:p>
    <w:p>
      <w:pPr>
        <w:jc w:val="center"/>
        <w:ind w:right="2370"/>
        <w:spacing w:after="0"/>
        <w:rPr>
          <w:sz w:val="20"/>
          <w:szCs w:val="20"/>
          <w:color w:val="auto"/>
        </w:rPr>
      </w:pPr>
      <w:r>
        <w:rPr>
          <w:rFonts w:ascii="Courier New" w:cs="Courier New" w:eastAsia="Courier New" w:hAnsi="Courier New"/>
          <w:sz w:val="15"/>
          <w:szCs w:val="15"/>
          <w:color w:val="auto"/>
        </w:rPr>
        <w:t>COMPUTATION OF RATIO OF EARNINGS TO FIXED CHARGES</w:t>
      </w:r>
    </w:p>
    <w:p>
      <w:pPr>
        <w:jc w:val="center"/>
        <w:ind w:right="2370"/>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For Nine Months</w:t>
            </w:r>
          </w:p>
        </w:tc>
      </w:tr>
      <w:tr>
        <w:trPr>
          <w:trHeight w:val="170"/>
        </w:trPr>
        <w:tc>
          <w:tcPr>
            <w:tcW w:w="3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Ended Sept. 30</w:t>
            </w:r>
          </w:p>
        </w:tc>
      </w:tr>
      <w:tr>
        <w:trPr>
          <w:trHeight w:val="170"/>
        </w:trPr>
        <w:tc>
          <w:tcPr>
            <w:tcW w:w="3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1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378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before income taxes plus fixed</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charges and amortization of</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capitalized interest less</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interest capitalized. . . . . .</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$ 190</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$ 973</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$ 815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$4,702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$3,799</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(74)</w:t>
            </w:r>
          </w:p>
        </w:tc>
      </w:tr>
      <w:tr>
        <w:trPr>
          <w:trHeight w:val="170"/>
        </w:trPr>
        <w:tc>
          <w:tcPr>
            <w:tcW w:w="31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Total interest on loans (expensed</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and capitalized . . . . . . . .</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w:t>
            </w: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Interest attributable to rental</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and lease expense . . . . . . .</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r>
      <w:tr>
        <w:trPr>
          <w:trHeight w:val="170"/>
        </w:trPr>
        <w:tc>
          <w:tcPr>
            <w:tcW w:w="31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Fixed charges . . . . . . . . . . .</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$ 152</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$ 159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$ 127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98</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84</w:t>
            </w:r>
          </w:p>
        </w:tc>
      </w:tr>
      <w:tr>
        <w:trPr>
          <w:trHeight w:val="170"/>
        </w:trPr>
        <w:tc>
          <w:tcPr>
            <w:tcW w:w="31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Ratio of earnings to fixed charges.</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38.8</w:t>
            </w:r>
          </w:p>
        </w:tc>
        <w:tc>
          <w:tcPr>
            <w:tcW w:w="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right="2479" w:hanging="10"/>
        <w:spacing w:after="0" w:line="235" w:lineRule="auto"/>
        <w:tabs>
          <w:tab w:leader="none" w:pos="27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meaningful. The coverage deficiency was $158 million for the nine months ended September 30, 2001.</w:t>
      </w:r>
    </w:p>
    <w:sectPr>
      <w:pgSz w:w="11900" w:h="16838" w:orient="portrait"/>
      <w:cols w:equalWidth="0" w:num="1">
        <w:col w:w="10229"/>
      </w:cols>
      <w:pgMar w:left="230" w:top="11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decimal"/>
      <w:start w:val="4"/>
    </w:lvl>
  </w:abstractNum>
  <w:abstractNum w:abstractNumId="4">
    <w:nsid w:val="628C895D"/>
    <w:multiLevelType w:val="hybridMultilevel"/>
    <w:lvl w:ilvl="0">
      <w:lvlJc w:val="left"/>
      <w:lvlText w:val="%1."/>
      <w:numFmt w:val="decimal"/>
      <w:start w:val="6"/>
    </w:lvl>
  </w:abstractNum>
  <w:abstractNum w:abstractNumId="5">
    <w:nsid w:val="333AB105"/>
    <w:multiLevelType w:val="hybridMultilevel"/>
    <w:lvl w:ilvl="0">
      <w:lvlJc w:val="left"/>
      <w:lvlText w:val="%1."/>
      <w:numFmt w:val="decimal"/>
      <w:start w:val="7"/>
    </w:lvl>
  </w:abstractNum>
  <w:abstractNum w:abstractNumId="6">
    <w:nsid w:val="721DA317"/>
    <w:multiLevelType w:val="hybridMultilevel"/>
    <w:lvl w:ilvl="0">
      <w:lvlJc w:val="left"/>
      <w:lvlText w:val="%1."/>
      <w:numFmt w:val="decimal"/>
      <w:start w:val="8"/>
    </w:lvl>
  </w:abstractNum>
  <w:abstractNum w:abstractNumId="7">
    <w:nsid w:val="2443A858"/>
    <w:multiLevelType w:val="hybridMultilevel"/>
    <w:lvl w:ilvl="0">
      <w:lvlJc w:val="left"/>
      <w:lvlText w:val="%1."/>
      <w:numFmt w:val="decimal"/>
      <w:start w:val="9"/>
    </w:lvl>
  </w:abstractNum>
  <w:abstractNum w:abstractNumId="8">
    <w:nsid w:val="2D1D5AE9"/>
    <w:multiLevelType w:val="hybridMultilevel"/>
    <w:lvl w:ilvl="0">
      <w:lvlJc w:val="left"/>
      <w:lvlText w:val="%1."/>
      <w:numFmt w:val="decimal"/>
      <w:start w:val="10"/>
    </w:lvl>
  </w:abstractNum>
  <w:abstractNum w:abstractNumId="9">
    <w:nsid w:val="6763845E"/>
    <w:multiLevelType w:val="hybridMultilevel"/>
    <w:lvl w:ilvl="0">
      <w:lvlJc w:val="left"/>
      <w:lvlText w:val="%1."/>
      <w:numFmt w:val="decimal"/>
      <w:start w:val="11"/>
    </w:lvl>
  </w:abstractNum>
  <w:abstractNum w:abstractNumId="10">
    <w:nsid w:val="75A2A8D4"/>
    <w:multiLevelType w:val="hybridMultilevel"/>
    <w:lvl w:ilvl="0">
      <w:lvlJc w:val="left"/>
      <w:lvlText w:val="%1."/>
      <w:numFmt w:val="decimal"/>
      <w:start w:val="12"/>
    </w:lvl>
  </w:abstractNum>
  <w:abstractNum w:abstractNumId="11">
    <w:nsid w:val="8EDBDAB"/>
    <w:multiLevelType w:val="hybridMultilevel"/>
    <w:lvl w:ilvl="0">
      <w:lvlJc w:val="left"/>
      <w:lvlText w:val="%1."/>
      <w:numFmt w:val="decimal"/>
      <w:start w:val="13"/>
    </w:lvl>
  </w:abstractNum>
  <w:abstractNum w:abstractNumId="12">
    <w:nsid w:val="79838CB2"/>
    <w:multiLevelType w:val="hybridMultilevel"/>
    <w:lvl w:ilvl="0">
      <w:lvlJc w:val="left"/>
      <w:lvlText w:val="%1."/>
      <w:numFmt w:val="decimal"/>
      <w:start w:val="14"/>
    </w:lvl>
  </w:abstractNum>
  <w:abstractNum w:abstractNumId="13">
    <w:nsid w:val="4353D0CD"/>
    <w:multiLevelType w:val="hybridMultilevel"/>
    <w:lvl w:ilvl="0">
      <w:lvlJc w:val="left"/>
      <w:lvlText w:val="%1."/>
      <w:numFmt w:val="decimal"/>
      <w:start w:val="15"/>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lowerLetter"/>
      <w:start w:val="2"/>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2019-12-13T07:45:08Z</dcterms:created>
  <dcterms:modified xsi:type="dcterms:W3CDTF">2019-12-13T07:45:08Z</dcterms:modified>
</cp:coreProperties>
</file>