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75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4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jc w:val="right"/>
        <w:ind w:right="2659"/>
        <w:spacing w:after="0" w:line="238" w:lineRule="auto"/>
        <w:rPr>
          <w:sz w:val="20"/>
          <w:szCs w:val="20"/>
          <w:color w:val="auto"/>
        </w:rPr>
      </w:pPr>
      <w:r>
        <w:rPr>
          <w:rFonts w:ascii="Courier New" w:cs="Courier New" w:eastAsia="Courier New" w:hAnsi="Courier New"/>
          <w:sz w:val="18"/>
          <w:szCs w:val="18"/>
          <w:color w:val="auto"/>
        </w:rPr>
        <w:t>(a)</w:t>
      </w:r>
    </w:p>
    <w:p>
      <w:pPr>
        <w:spacing w:after="0" w:line="201" w:lineRule="exact"/>
        <w:rPr>
          <w:sz w:val="24"/>
          <w:szCs w:val="24"/>
          <w:color w:val="auto"/>
        </w:rPr>
      </w:pPr>
    </w:p>
    <w:p>
      <w:pPr>
        <w:jc w:val="right"/>
        <w:ind w:right="2659"/>
        <w:spacing w:after="0"/>
        <w:rPr>
          <w:sz w:val="20"/>
          <w:szCs w:val="20"/>
          <w:color w:val="auto"/>
        </w:rPr>
      </w:pPr>
      <w:r>
        <w:rPr>
          <w:rFonts w:ascii="Courier New" w:cs="Courier New" w:eastAsia="Courier New" w:hAnsi="Courier New"/>
          <w:sz w:val="18"/>
          <w:szCs w:val="18"/>
          <w:color w:val="auto"/>
        </w:rPr>
        <w:t>(b)</w:t>
      </w:r>
    </w:p>
    <w:p>
      <w:pPr>
        <w:sectPr>
          <w:pgSz w:w="11900" w:h="16838" w:orient="portrait"/>
          <w:cols w:equalWidth="0" w:num="1">
            <w:col w:w="10139"/>
          </w:cols>
          <w:pgMar w:left="320" w:top="447" w:right="1440" w:bottom="0" w:gutter="0" w:footer="0" w:header="0"/>
        </w:sectPr>
      </w:pPr>
    </w:p>
    <w:bookmarkStart w:id="1" w:name="page2"/>
    <w:bookmarkEnd w:id="1"/>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right="5819" w:hanging="427"/>
        <w:spacing w:after="0" w:line="469"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6" w:lineRule="exact"/>
        <w:rPr>
          <w:sz w:val="20"/>
          <w:szCs w:val="20"/>
          <w:color w:val="auto"/>
        </w:rPr>
      </w:pPr>
    </w:p>
    <w:p>
      <w:pPr>
        <w:ind w:left="1900" w:right="6439" w:hanging="418"/>
        <w:spacing w:after="0" w:line="469"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10"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90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jc w:val="right"/>
        <w:ind w:right="897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97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8" w:lineRule="auto"/>
        <w:rPr>
          <w:sz w:val="20"/>
          <w:szCs w:val="20"/>
          <w:color w:val="auto"/>
        </w:rPr>
      </w:pPr>
      <w:r>
        <w:rPr>
          <w:rFonts w:ascii="Courier New" w:cs="Courier New" w:eastAsia="Courier New" w:hAnsi="Courier New"/>
          <w:sz w:val="18"/>
          <w:szCs w:val="18"/>
          <w:color w:val="auto"/>
        </w:rPr>
        <w:t>EACH</w:t>
      </w: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7" w:lineRule="auto"/>
        <w:rPr>
          <w:sz w:val="20"/>
          <w:szCs w:val="20"/>
          <w:color w:val="auto"/>
        </w:rPr>
      </w:pPr>
      <w:r>
        <w:rPr>
          <w:rFonts w:ascii="Courier New" w:cs="Courier New" w:eastAsia="Courier New" w:hAnsi="Courier New"/>
          <w:sz w:val="18"/>
          <w:szCs w:val="18"/>
          <w:color w:val="auto"/>
        </w:rPr>
        <w:t>32,836,510</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10" w:lineRule="exact"/>
        <w:rPr>
          <w:sz w:val="20"/>
          <w:szCs w:val="20"/>
          <w:color w:val="auto"/>
        </w:rPr>
      </w:pPr>
    </w:p>
    <w:p>
      <w:pPr>
        <w:ind w:left="1900" w:right="5699" w:hanging="418"/>
        <w:spacing w:after="0" w:line="469"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6" w:lineRule="exact"/>
        <w:rPr>
          <w:sz w:val="20"/>
          <w:szCs w:val="20"/>
          <w:color w:val="auto"/>
        </w:rPr>
      </w:pPr>
    </w:p>
    <w:p>
      <w:pPr>
        <w:ind w:left="540" w:right="2559" w:hanging="427"/>
        <w:spacing w:after="0" w:line="469"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32,836,510 Beneficial ownership disclaimed pursuant to Rule 13d-4</w:t>
      </w:r>
    </w:p>
    <w:p>
      <w:pPr>
        <w:spacing w:after="0" w:line="216"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659" w:hanging="427"/>
        <w:spacing w:after="0" w:line="469"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4.1%</w:t>
      </w:r>
    </w:p>
    <w:p>
      <w:pPr>
        <w:spacing w:after="0" w:line="215" w:lineRule="exact"/>
        <w:rPr>
          <w:rFonts w:ascii="Courier New" w:cs="Courier New" w:eastAsia="Courier New" w:hAnsi="Courier New"/>
          <w:sz w:val="18"/>
          <w:szCs w:val="18"/>
          <w:color w:val="auto"/>
        </w:rPr>
      </w:pPr>
    </w:p>
    <w:p>
      <w:pPr>
        <w:ind w:left="540" w:right="6979" w:hanging="427"/>
        <w:spacing w:after="0" w:line="469"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139"/>
          </w:cols>
          <w:pgMar w:left="320" w:top="339" w:right="1440" w:bottom="1440" w:gutter="0" w:footer="0" w:header="0"/>
        </w:sectPr>
      </w:pPr>
    </w:p>
    <w:bookmarkStart w:id="2" w:name="page3"/>
    <w:bookmarkEnd w:id="2"/>
    <w:p>
      <w:pPr>
        <w:jc w:val="center"/>
        <w:ind w:right="2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8"/>
          <w:szCs w:val="18"/>
          <w:color w:val="auto"/>
        </w:rPr>
        <w:t>Schedule 13G</w:t>
      </w:r>
    </w:p>
    <w:p>
      <w:pPr>
        <w:jc w:val="center"/>
        <w:ind w:right="26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8505 Forest Lane</w:t>
      </w:r>
    </w:p>
    <w:p>
      <w:pPr>
        <w:ind w:left="740"/>
        <w:spacing w:after="0" w:line="238" w:lineRule="auto"/>
        <w:rPr>
          <w:sz w:val="20"/>
          <w:szCs w:val="20"/>
          <w:color w:val="auto"/>
        </w:rPr>
      </w:pPr>
      <w:r>
        <w:rPr>
          <w:rFonts w:ascii="Courier New" w:cs="Courier New" w:eastAsia="Courier New" w:hAnsi="Courier New"/>
          <w:sz w:val="18"/>
          <w:szCs w:val="18"/>
          <w:color w:val="auto"/>
        </w:rPr>
        <w:t>P.O. Box 660199</w:t>
      </w:r>
    </w:p>
    <w:p>
      <w:pPr>
        <w:ind w:left="740"/>
        <w:spacing w:after="0"/>
        <w:rPr>
          <w:sz w:val="20"/>
          <w:szCs w:val="20"/>
          <w:color w:val="auto"/>
        </w:rPr>
      </w:pPr>
      <w:r>
        <w:rPr>
          <w:rFonts w:ascii="Courier New" w:cs="Courier New" w:eastAsia="Courier New" w:hAnsi="Courier New"/>
          <w:sz w:val="18"/>
          <w:szCs w:val="18"/>
          <w:color w:val="auto"/>
        </w:rPr>
        <w:t>Dallas, TX 75266</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759" w:hanging="535"/>
        <w:spacing w:after="0" w:line="235" w:lineRule="auto"/>
        <w:tabs>
          <w:tab w:leader="none" w:pos="14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left="740" w:right="285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32,836,510 shares or 4.1% of the 801,995,000 shares of Common Stock believed to be outstanding as a result of acting as investment adviser to various investment companies registered under Section 8 of the Investment Company Act of 1940.</w:t>
      </w:r>
    </w:p>
    <w:p>
      <w:pPr>
        <w:spacing w:after="0" w:line="1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[X]</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29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ectPr>
          <w:pgSz w:w="11900" w:h="16838" w:orient="portrait"/>
          <w:cols w:equalWidth="0" w:num="1">
            <w:col w:w="10139"/>
          </w:cols>
          <w:pgMar w:left="320" w:top="919" w:right="1440"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ectPr>
          <w:pgSz w:w="11900" w:h="16838" w:orient="portrait"/>
          <w:cols w:equalWidth="0" w:num="2">
            <w:col w:w="640" w:space="100"/>
            <w:col w:w="9399"/>
          </w:cols>
          <w:pgMar w:left="320" w:top="919"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Notice of Dissolution of the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640" w:space="320"/>
            <w:col w:w="3680" w:space="220"/>
            <w:col w:w="5279"/>
          </w:cols>
          <w:pgMar w:left="320" w:top="91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740" w:space="320"/>
            <w:col w:w="9079"/>
          </w:cols>
          <w:pgMar w:left="320" w:top="919"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4</w:t>
      </w:r>
    </w:p>
    <w:p>
      <w:pPr>
        <w:spacing w:after="0" w:line="200" w:lineRule="exact"/>
        <w:rPr>
          <w:sz w:val="20"/>
          <w:szCs w:val="20"/>
          <w:color w:val="auto"/>
        </w:rPr>
      </w:pPr>
    </w:p>
    <w:p>
      <w:pPr>
        <w:sectPr>
          <w:pgSz w:w="11900" w:h="16838" w:orient="portrait"/>
          <w:cols w:equalWidth="0" w:num="2">
            <w:col w:w="6020" w:space="720"/>
            <w:col w:w="3399"/>
          </w:cols>
          <w:pgMar w:left="320" w:top="919" w:right="1440" w:bottom="0" w:gutter="0" w:footer="0" w:header="0"/>
          <w:type w:val="continuous"/>
        </w:sectPr>
      </w:pPr>
    </w:p>
    <w:p>
      <w:pPr>
        <w:spacing w:after="0" w:line="24" w:lineRule="exact"/>
        <w:rPr>
          <w:sz w:val="20"/>
          <w:szCs w:val="20"/>
          <w:color w:val="auto"/>
        </w:rPr>
      </w:pPr>
    </w:p>
    <w:p>
      <w:pPr>
        <w:ind w:left="740" w:right="2759"/>
        <w:spacing w:after="0" w:line="237" w:lineRule="auto"/>
        <w:rPr>
          <w:sz w:val="20"/>
          <w:szCs w:val="20"/>
          <w:color w:val="auto"/>
        </w:rPr>
      </w:pPr>
      <w:r>
        <w:rPr>
          <w:rFonts w:ascii="Courier New" w:cs="Courier New" w:eastAsia="Courier New" w:hAnsi="Courier New"/>
          <w:sz w:val="18"/>
          <w:szCs w:val="18"/>
          <w:color w:val="auto"/>
        </w:rPr>
        <w:t>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0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139"/>
          </w:cols>
          <w:pgMar w:left="320" w:top="919"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February 10, 2000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1999)</w:t>
      </w:r>
    </w:p>
    <w:p>
      <w:pPr>
        <w:spacing w:after="0" w:line="200" w:lineRule="exact"/>
        <w:rPr>
          <w:sz w:val="20"/>
          <w:szCs w:val="20"/>
          <w:color w:val="auto"/>
        </w:rPr>
      </w:pPr>
    </w:p>
    <w:p>
      <w:pPr>
        <w:sectPr>
          <w:pgSz w:w="11900" w:h="16838" w:orient="portrait"/>
          <w:cols w:equalWidth="0" w:num="2">
            <w:col w:w="840" w:space="720"/>
            <w:col w:w="7719"/>
          </w:cols>
          <w:pgMar w:left="1180" w:top="344"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G. Haaga, Jr.</w:t>
      </w:r>
    </w:p>
    <w:p>
      <w:pPr>
        <w:spacing w:after="0" w:line="200" w:lineRule="exact"/>
        <w:rPr>
          <w:sz w:val="20"/>
          <w:szCs w:val="20"/>
          <w:color w:val="auto"/>
        </w:rPr>
      </w:pPr>
    </w:p>
    <w:p>
      <w:pPr>
        <w:sectPr>
          <w:pgSz w:w="11900" w:h="16838" w:orient="portrait"/>
          <w:cols w:equalWidth="0" w:num="2">
            <w:col w:w="1040" w:space="520"/>
            <w:col w:w="7719"/>
          </w:cols>
          <w:pgMar w:left="1180" w:top="34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G. Haaga, Jr., Executive Vice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1140" w:space="420"/>
            <w:col w:w="7719"/>
          </w:cols>
          <w:pgMar w:left="1180" w:top="344" w:right="1440" w:bottom="1440" w:gutter="0" w:footer="0" w:header="0"/>
          <w:type w:val="continuous"/>
        </w:sectPr>
      </w:pP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1">
            <w:col w:w="9279"/>
          </w:cols>
          <w:pgMar w:left="1180" w:top="3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James P. Ryan</w:t>
      </w:r>
    </w:p>
    <w:p>
      <w:pPr>
        <w:ind w:left="72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720" w:right="265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18, 2000 included as an Exhibit to Schedule 13G filed with the Securities and Exchange Commission by Capital Research and Management Company on February 10, 2000 with respect to 3COM Corporation</w:t>
      </w:r>
    </w:p>
    <w:sectPr>
      <w:pgSz w:w="11900" w:h="16838" w:orient="portrait"/>
      <w:cols w:equalWidth="0" w:num="1">
        <w:col w:w="9279"/>
      </w:cols>
      <w:pgMar w:left="118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2020-10-06T05:37:16Z</dcterms:created>
  <dcterms:modified xsi:type="dcterms:W3CDTF">2020-10-06T05:37:16Z</dcterms:modified>
</cp:coreProperties>
</file>