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0" w:lineRule="exact"/>
        <w:rPr>
          <w:sz w:val="24"/>
          <w:szCs w:val="24"/>
          <w:color w:val="auto"/>
        </w:rPr>
      </w:pP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48" w:lineRule="exact"/>
        <w:rPr>
          <w:sz w:val="24"/>
          <w:szCs w:val="24"/>
          <w:color w:val="auto"/>
        </w:rPr>
      </w:pPr>
    </w:p>
    <w:p>
      <w:pPr>
        <w:ind w:left="4100" w:right="2140" w:hanging="4092"/>
        <w:spacing w:after="0" w:line="534" w:lineRule="auto"/>
        <w:tabs>
          <w:tab w:leader="none" w:pos="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December 31, 2009</w:t>
      </w:r>
    </w:p>
    <w:p>
      <w:pPr>
        <w:spacing w:after="0" w:line="1" w:lineRule="exact"/>
        <w:rPr>
          <w:rFonts w:ascii="Arial" w:cs="Arial" w:eastAsia="Arial" w:hAnsi="Arial"/>
          <w:sz w:val="18"/>
          <w:szCs w:val="18"/>
          <w:b w:val="1"/>
          <w:bCs w:val="1"/>
          <w:color w:val="auto"/>
        </w:rPr>
      </w:pPr>
    </w:p>
    <w:p>
      <w:pPr>
        <w:ind w:left="5580"/>
        <w:spacing w:after="0"/>
        <w:rPr>
          <w:rFonts w:ascii="Arial" w:cs="Arial" w:eastAsia="Arial" w:hAnsi="Arial"/>
          <w:sz w:val="18"/>
          <w:szCs w:val="18"/>
          <w:b w:val="1"/>
          <w:bCs w:val="1"/>
          <w:color w:val="auto"/>
        </w:rPr>
      </w:pPr>
      <w:r>
        <w:rPr>
          <w:rFonts w:ascii="Arial" w:cs="Arial" w:eastAsia="Arial" w:hAnsi="Arial"/>
          <w:sz w:val="18"/>
          <w:szCs w:val="18"/>
          <w:color w:val="auto"/>
        </w:rPr>
        <w:t>OR</w:t>
      </w:r>
    </w:p>
    <w:p>
      <w:pPr>
        <w:spacing w:after="0" w:line="248" w:lineRule="exact"/>
        <w:rPr>
          <w:sz w:val="24"/>
          <w:szCs w:val="24"/>
          <w:color w:val="auto"/>
        </w:rPr>
      </w:pPr>
    </w:p>
    <w:p>
      <w:pPr>
        <w:ind w:left="3540" w:right="1760" w:hanging="3532"/>
        <w:spacing w:after="0" w:line="534" w:lineRule="auto"/>
        <w:tabs>
          <w:tab w:leader="none" w:pos="497"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___________ to ___________</w:t>
      </w:r>
    </w:p>
    <w:p>
      <w:pPr>
        <w:spacing w:after="0" w:line="1" w:lineRule="exact"/>
        <w:rPr>
          <w:rFonts w:ascii="MS PGothic" w:cs="MS PGothic" w:eastAsia="MS PGothic" w:hAnsi="MS PGothic"/>
          <w:sz w:val="18"/>
          <w:szCs w:val="18"/>
          <w:color w:val="auto"/>
          <w:highlight w:val="black"/>
        </w:rPr>
      </w:pPr>
    </w:p>
    <w:p>
      <w:pPr>
        <w:ind w:left="4500"/>
        <w:spacing w:after="0"/>
        <w:rPr>
          <w:rFonts w:ascii="MS PGothic" w:cs="MS PGothic" w:eastAsia="MS PGothic" w:hAnsi="MS PGothic"/>
          <w:sz w:val="18"/>
          <w:szCs w:val="18"/>
          <w:color w:val="auto"/>
          <w:highlight w:val="black"/>
        </w:rPr>
      </w:pPr>
      <w:r>
        <w:rPr>
          <w:rFonts w:ascii="Arial" w:cs="Arial" w:eastAsia="Arial" w:hAnsi="Arial"/>
          <w:sz w:val="18"/>
          <w:szCs w:val="18"/>
          <w:color w:val="auto"/>
        </w:rPr>
        <w:t>Commission File Number 1-3761</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32" w:lineRule="exact"/>
        <w:rPr>
          <w:sz w:val="24"/>
          <w:szCs w:val="24"/>
          <w:color w:val="auto"/>
        </w:rPr>
      </w:pPr>
    </w:p>
    <w:tbl>
      <w:tblPr>
        <w:tblLayout w:type="fixed"/>
        <w:tblInd w:w="880" w:type="dxa"/>
        <w:tblCellMar>
          <w:top w:w="0" w:type="dxa"/>
          <w:left w:w="0" w:type="dxa"/>
          <w:bottom w:w="0" w:type="dxa"/>
          <w:right w:w="0" w:type="dxa"/>
        </w:tblCellMar>
      </w:tblPr>
      <w:tr>
        <w:trPr>
          <w:trHeight w:val="216"/>
        </w:trPr>
        <w:tc>
          <w:tcPr>
            <w:tcW w:w="5120" w:type="dxa"/>
            <w:vAlign w:val="bottom"/>
          </w:tcPr>
          <w:p>
            <w:pPr>
              <w:jc w:val="center"/>
              <w:ind w:right="1070"/>
              <w:spacing w:after="0"/>
              <w:rPr>
                <w:sz w:val="20"/>
                <w:szCs w:val="20"/>
                <w:color w:val="auto"/>
              </w:rPr>
            </w:pPr>
            <w:r>
              <w:rPr>
                <w:rFonts w:ascii="Arial" w:cs="Arial" w:eastAsia="Arial" w:hAnsi="Arial"/>
                <w:sz w:val="18"/>
                <w:szCs w:val="18"/>
                <w:b w:val="1"/>
                <w:bCs w:val="1"/>
                <w:color w:val="auto"/>
                <w:w w:val="91"/>
              </w:rPr>
              <w:t>Delaware</w:t>
            </w:r>
          </w:p>
        </w:tc>
        <w:tc>
          <w:tcPr>
            <w:tcW w:w="3980" w:type="dxa"/>
            <w:vAlign w:val="bottom"/>
          </w:tcPr>
          <w:p>
            <w:pPr>
              <w:jc w:val="center"/>
              <w:ind w:left="1070"/>
              <w:spacing w:after="0"/>
              <w:rPr>
                <w:sz w:val="20"/>
                <w:szCs w:val="20"/>
                <w:color w:val="auto"/>
              </w:rPr>
            </w:pPr>
            <w:r>
              <w:rPr>
                <w:rFonts w:ascii="Arial" w:cs="Arial" w:eastAsia="Arial" w:hAnsi="Arial"/>
                <w:sz w:val="18"/>
                <w:szCs w:val="18"/>
                <w:b w:val="1"/>
                <w:bCs w:val="1"/>
                <w:color w:val="auto"/>
                <w:w w:val="89"/>
              </w:rPr>
              <w:t>75-0289970</w:t>
            </w:r>
          </w:p>
        </w:tc>
      </w:tr>
      <w:tr>
        <w:trPr>
          <w:trHeight w:val="234"/>
        </w:trPr>
        <w:tc>
          <w:tcPr>
            <w:tcW w:w="5120" w:type="dxa"/>
            <w:vAlign w:val="bottom"/>
          </w:tcPr>
          <w:p>
            <w:pPr>
              <w:jc w:val="center"/>
              <w:ind w:right="1070"/>
              <w:spacing w:after="0"/>
              <w:rPr>
                <w:sz w:val="20"/>
                <w:szCs w:val="20"/>
                <w:color w:val="auto"/>
              </w:rPr>
            </w:pPr>
            <w:r>
              <w:rPr>
                <w:rFonts w:ascii="Arial" w:cs="Arial" w:eastAsia="Arial" w:hAnsi="Arial"/>
                <w:sz w:val="18"/>
                <w:szCs w:val="18"/>
                <w:b w:val="1"/>
                <w:bCs w:val="1"/>
                <w:color w:val="auto"/>
                <w:w w:val="92"/>
              </w:rPr>
              <w:t>(State of Incorporation)</w:t>
            </w:r>
          </w:p>
        </w:tc>
        <w:tc>
          <w:tcPr>
            <w:tcW w:w="3980" w:type="dxa"/>
            <w:vAlign w:val="bottom"/>
          </w:tcPr>
          <w:p>
            <w:pPr>
              <w:jc w:val="center"/>
              <w:ind w:left="1090"/>
              <w:spacing w:after="0"/>
              <w:rPr>
                <w:sz w:val="20"/>
                <w:szCs w:val="20"/>
                <w:color w:val="auto"/>
              </w:rPr>
            </w:pPr>
            <w:r>
              <w:rPr>
                <w:rFonts w:ascii="Arial" w:cs="Arial" w:eastAsia="Arial" w:hAnsi="Arial"/>
                <w:sz w:val="18"/>
                <w:szCs w:val="18"/>
                <w:b w:val="1"/>
                <w:bCs w:val="1"/>
                <w:color w:val="auto"/>
                <w:w w:val="94"/>
              </w:rPr>
              <w:t>(I.R.S. Employer Identification No.)</w:t>
            </w:r>
          </w:p>
        </w:tc>
      </w:tr>
      <w:tr>
        <w:trPr>
          <w:trHeight w:val="414"/>
        </w:trPr>
        <w:tc>
          <w:tcPr>
            <w:tcW w:w="5120" w:type="dxa"/>
            <w:vAlign w:val="bottom"/>
          </w:tcPr>
          <w:p>
            <w:pPr>
              <w:jc w:val="center"/>
              <w:ind w:right="1070"/>
              <w:spacing w:after="0"/>
              <w:rPr>
                <w:sz w:val="20"/>
                <w:szCs w:val="20"/>
                <w:color w:val="auto"/>
              </w:rPr>
            </w:pPr>
            <w:r>
              <w:rPr>
                <w:rFonts w:ascii="Arial" w:cs="Arial" w:eastAsia="Arial" w:hAnsi="Arial"/>
                <w:sz w:val="18"/>
                <w:szCs w:val="18"/>
                <w:b w:val="1"/>
                <w:bCs w:val="1"/>
                <w:color w:val="auto"/>
                <w:w w:val="90"/>
              </w:rPr>
              <w:t>12500 TI Boulevard, P.O. Box 660199, Dallas, Texas</w:t>
            </w:r>
          </w:p>
        </w:tc>
        <w:tc>
          <w:tcPr>
            <w:tcW w:w="3980" w:type="dxa"/>
            <w:vAlign w:val="bottom"/>
          </w:tcPr>
          <w:p>
            <w:pPr>
              <w:jc w:val="center"/>
              <w:ind w:left="1070"/>
              <w:spacing w:after="0"/>
              <w:rPr>
                <w:sz w:val="20"/>
                <w:szCs w:val="20"/>
                <w:color w:val="auto"/>
              </w:rPr>
            </w:pPr>
            <w:r>
              <w:rPr>
                <w:rFonts w:ascii="Arial" w:cs="Arial" w:eastAsia="Arial" w:hAnsi="Arial"/>
                <w:sz w:val="18"/>
                <w:szCs w:val="18"/>
                <w:b w:val="1"/>
                <w:bCs w:val="1"/>
                <w:color w:val="auto"/>
                <w:w w:val="89"/>
              </w:rPr>
              <w:t>75266-0199</w:t>
            </w:r>
          </w:p>
        </w:tc>
      </w:tr>
      <w:tr>
        <w:trPr>
          <w:trHeight w:val="234"/>
        </w:trPr>
        <w:tc>
          <w:tcPr>
            <w:tcW w:w="5120" w:type="dxa"/>
            <w:vAlign w:val="bottom"/>
          </w:tcPr>
          <w:p>
            <w:pPr>
              <w:jc w:val="center"/>
              <w:ind w:right="107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3980" w:type="dxa"/>
            <w:vAlign w:val="bottom"/>
          </w:tcPr>
          <w:p>
            <w:pPr>
              <w:jc w:val="center"/>
              <w:ind w:left="1070"/>
              <w:spacing w:after="0"/>
              <w:rPr>
                <w:sz w:val="20"/>
                <w:szCs w:val="20"/>
                <w:color w:val="auto"/>
              </w:rPr>
            </w:pPr>
            <w:r>
              <w:rPr>
                <w:rFonts w:ascii="Arial" w:cs="Arial" w:eastAsia="Arial" w:hAnsi="Arial"/>
                <w:sz w:val="18"/>
                <w:szCs w:val="18"/>
                <w:b w:val="1"/>
                <w:bCs w:val="1"/>
                <w:color w:val="auto"/>
                <w:w w:val="92"/>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972-995-3773</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46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87"/>
              </w:rPr>
              <w:t>Title of each class</w:t>
            </w:r>
          </w:p>
        </w:tc>
        <w:tc>
          <w:tcPr>
            <w:tcW w:w="596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5460" w:type="dxa"/>
            <w:vAlign w:val="bottom"/>
          </w:tcPr>
          <w:p>
            <w:pPr>
              <w:jc w:val="center"/>
              <w:ind w:left="170"/>
              <w:spacing w:after="0"/>
              <w:rPr>
                <w:sz w:val="20"/>
                <w:szCs w:val="20"/>
                <w:color w:val="auto"/>
              </w:rPr>
            </w:pPr>
            <w:r>
              <w:rPr>
                <w:rFonts w:ascii="Arial" w:cs="Arial" w:eastAsia="Arial" w:hAnsi="Arial"/>
                <w:sz w:val="18"/>
                <w:szCs w:val="18"/>
                <w:color w:val="auto"/>
                <w:w w:val="90"/>
              </w:rPr>
              <w:t>Common Stock, par value $1.00</w:t>
            </w:r>
          </w:p>
        </w:tc>
        <w:tc>
          <w:tcPr>
            <w:tcW w:w="5960" w:type="dxa"/>
            <w:vAlign w:val="bottom"/>
          </w:tcPr>
          <w:p>
            <w:pPr>
              <w:jc w:val="center"/>
              <w:ind w:left="170"/>
              <w:spacing w:after="0"/>
              <w:rPr>
                <w:sz w:val="20"/>
                <w:szCs w:val="20"/>
                <w:color w:val="auto"/>
              </w:rPr>
            </w:pPr>
            <w:r>
              <w:rPr>
                <w:rFonts w:ascii="Arial" w:cs="Arial" w:eastAsia="Arial" w:hAnsi="Arial"/>
                <w:sz w:val="18"/>
                <w:szCs w:val="18"/>
                <w:color w:val="auto"/>
                <w:w w:val="91"/>
              </w:rPr>
              <w:t>New York Stock Exchange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Securities registered pursuant to Section 12(g) of the Act: </w:t>
      </w:r>
      <w:r>
        <w:rPr>
          <w:rFonts w:ascii="Arial" w:cs="Arial" w:eastAsia="Arial" w:hAnsi="Arial"/>
          <w:sz w:val="18"/>
          <w:szCs w:val="18"/>
          <w:color w:val="auto"/>
        </w:rPr>
        <w:t>None</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S No </w:t>
      </w:r>
      <w:r>
        <w:rPr>
          <w:rFonts w:ascii="MS PGothic" w:cs="MS PGothic" w:eastAsia="MS PGothic" w:hAnsi="MS PGothic"/>
          <w:sz w:val="18"/>
          <w:szCs w:val="18"/>
          <w:color w:val="auto"/>
        </w:rPr>
        <w:t>☐</w:t>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S</w:t>
      </w:r>
    </w:p>
    <w:p>
      <w:pPr>
        <w:spacing w:after="0" w:line="238"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S No </w:t>
      </w:r>
      <w:r>
        <w:rPr>
          <w:rFonts w:ascii="MS PGothic" w:cs="MS PGothic" w:eastAsia="MS PGothic" w:hAnsi="MS PGothic"/>
          <w:sz w:val="18"/>
          <w:szCs w:val="18"/>
          <w:color w:val="auto"/>
        </w:rPr>
        <w:t>☐</w:t>
      </w:r>
    </w:p>
    <w:p>
      <w:pPr>
        <w:spacing w:after="0" w:line="211" w:lineRule="exact"/>
        <w:rPr>
          <w:sz w:val="24"/>
          <w:szCs w:val="24"/>
          <w:color w:val="auto"/>
        </w:rPr>
      </w:pPr>
    </w:p>
    <w:p>
      <w:pPr>
        <w:ind w:right="20"/>
        <w:spacing w:after="0" w:line="254" w:lineRule="auto"/>
        <w:rPr>
          <w:sz w:val="20"/>
          <w:szCs w:val="20"/>
          <w:color w:val="auto"/>
        </w:rPr>
      </w:pPr>
      <w:r>
        <w:rPr>
          <w:rFonts w:ascii="Arial" w:cs="Arial" w:eastAsia="Arial" w:hAnsi="Arial"/>
          <w:sz w:val="18"/>
          <w:szCs w:val="18"/>
          <w:color w:val="auto"/>
        </w:rPr>
        <w:t>Insert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color w:val="auto"/>
        </w:rPr>
        <w:t xml:space="preserve">Yes S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444500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 w:name="page2"/>
    <w:bookmarkEnd w:id="1"/>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S</w:t>
      </w:r>
    </w:p>
    <w:p>
      <w:pPr>
        <w:spacing w:after="0" w:line="208"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60"/>
          </w:cols>
          <w:pgMar w:left="240" w:top="517" w:right="299" w:bottom="1440" w:gutter="0" w:footer="0" w:header="0"/>
        </w:sectPr>
      </w:pP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 S</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jc w:val="center"/>
        <w:ind w:right="422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32" w:lineRule="exact"/>
        <w:rPr>
          <w:sz w:val="20"/>
          <w:szCs w:val="20"/>
          <w:color w:val="auto"/>
        </w:rPr>
      </w:pPr>
    </w:p>
    <w:p>
      <w:pPr>
        <w:sectPr>
          <w:pgSz w:w="11900" w:h="16838" w:orient="portrait"/>
          <w:cols w:equalWidth="0" w:num="2">
            <w:col w:w="5000" w:space="720"/>
            <w:col w:w="5640"/>
          </w:cols>
          <w:pgMar w:left="240" w:top="517" w:right="299" w:bottom="1440" w:gutter="0" w:footer="0" w:header="0"/>
          <w:type w:val="continuous"/>
        </w:sectPr>
      </w:pPr>
    </w:p>
    <w:p>
      <w:pPr>
        <w:spacing w:after="0" w:line="16"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2">
            <w:col w:w="5000" w:space="720"/>
            <w:col w:w="5640"/>
          </w:cols>
          <w:pgMar w:left="240" w:top="517" w:right="299"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aggregate market value of voting stock held by non-affiliates of the Registrant was approximately $26,413,333,167 as of June 30, 2009.</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1,241,888,536 (Number of shares of common stock outstanding as of January 31, 2010)</w:t>
      </w:r>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Parts I, II and IV hereof incorporate information by reference to the Registrant’s 2009 annual report to stockholders. Part III hereof incorporates information by reference to the Registrant’s proxy statement for the 2010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type w:val="continuous"/>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Overview</w:t>
      </w:r>
    </w:p>
    <w:p>
      <w:pPr>
        <w:spacing w:after="0" w:line="2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At TI, we design and make semiconductors that we sell to electronics designers and manufacturers all over the world. We began operations in 1930. We are incorporated in Delaware, headquartered in Dallas, Texas, and have design, manufacturing or sales operations in more than 30 countries. We have four segments: Analog, Embedded Processing, Wireless and Other. We expect Analog and Embedded Processing to be our primary growth engines in the years ahead, and we therefore focus our resources on these segments.</w:t>
      </w:r>
    </w:p>
    <w:p>
      <w:pPr>
        <w:spacing w:after="0" w:line="214"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We were the world’s fourth largest semiconductor company in 2009 as measured by revenue, according to preliminary estimates from an external source. Additionally, we sell calculators and related products.</w:t>
      </w:r>
    </w:p>
    <w:p>
      <w:pPr>
        <w:spacing w:after="0" w:line="19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Financial information with respect to our segments and our operations outside the United States is contained in the note to the financial statements captioned “Segment and geographic area data” on pages 29 and 30 of TI’s 2009 annual report to stockholders. It is incorporated herein by reference to such annual report.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Information</w:t>
      </w:r>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Semiconductors are electronic components that serve as the building blocks inside modern electronic systems and equipment. Semiconductors come in two basic forms: individual transistors and integrated circuits (generally known as “chips”) that combine multiple transistors on a single piece of material to form a complete electronic circuit. Our semiconductors are used to accomplish many different things, such as converting and amplifying signals, interfacing with other devices, managing and distributing power, processing data, canceling noise and improving signal resolution. Our portfolio includes products that are integral to almost all electronic equipment.</w:t>
      </w:r>
    </w:p>
    <w:p>
      <w:pPr>
        <w:spacing w:after="0" w:line="21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sell custom and standard semiconductor products. Custom products are designed for a specific customer for a specific application, are sold only to that customer and are typically sold directly to the customer. The life cycles of custom products are generally determined by end-equipment upgrade cycles and can be as short as 12 to 24 months. Standard products are designed for use by many customers and/or many applications and are generally sold through both distribution and direct channels. They include both proprietary and commodity products. The life cycles of standard products are generally longer than for custom products.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each segment’s products follows.</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Analog</w:t>
      </w:r>
    </w:p>
    <w:p>
      <w:pPr>
        <w:spacing w:after="0" w:line="256" w:lineRule="exact"/>
        <w:rPr>
          <w:sz w:val="20"/>
          <w:szCs w:val="20"/>
          <w:color w:val="auto"/>
        </w:rPr>
      </w:pPr>
    </w:p>
    <w:p>
      <w:pPr>
        <w:ind w:left="500"/>
        <w:spacing w:after="0" w:line="286" w:lineRule="auto"/>
        <w:rPr>
          <w:sz w:val="20"/>
          <w:szCs w:val="20"/>
          <w:color w:val="auto"/>
        </w:rPr>
      </w:pPr>
      <w:r>
        <w:rPr>
          <w:rFonts w:ascii="Arial" w:cs="Arial" w:eastAsia="Arial" w:hAnsi="Arial"/>
          <w:sz w:val="16"/>
          <w:szCs w:val="16"/>
          <w:color w:val="auto"/>
        </w:rPr>
        <w:t>Analog semiconductors change real-world signals – such as sound, temperature, pressure or images – by conditioning them, amplifying them and often converting them to a stream of digital data that can be processed by other semiconductors, such as digital signal processors (DSPs). Analog semiconductors are also used to manage power distribution and consumption. Sales to our Analog segment’s nearly 80,000 customers generated about 40 percent of our revenue in 2009. According to external sources, the worldwide market for analog semiconductors was about $32 billion in</w:t>
      </w:r>
    </w:p>
    <w:p>
      <w:pPr>
        <w:spacing w:after="0" w:line="2" w:lineRule="exact"/>
        <w:rPr>
          <w:sz w:val="20"/>
          <w:szCs w:val="20"/>
          <w:color w:val="auto"/>
        </w:rPr>
      </w:pPr>
    </w:p>
    <w:p>
      <w:pPr>
        <w:ind w:left="500" w:right="140"/>
        <w:spacing w:after="0" w:line="261" w:lineRule="auto"/>
        <w:rPr>
          <w:sz w:val="20"/>
          <w:szCs w:val="20"/>
          <w:color w:val="auto"/>
        </w:rPr>
      </w:pPr>
      <w:r>
        <w:rPr>
          <w:rFonts w:ascii="Arial" w:cs="Arial" w:eastAsia="Arial" w:hAnsi="Arial"/>
          <w:sz w:val="18"/>
          <w:szCs w:val="18"/>
          <w:color w:val="auto"/>
        </w:rPr>
        <w:t>2009. Our Analog segment’s revenue in 2009 was $4.3 billion, or about 13 percent of this market, the leading position. We believe that we are well-positioned to increase our market share over time.</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Analog product lines are: high-performance analog, high-volume analog &amp; logic and power management.</w:t>
      </w:r>
    </w:p>
    <w:p>
      <w:pPr>
        <w:spacing w:after="0" w:line="252" w:lineRule="exact"/>
        <w:rPr>
          <w:sz w:val="20"/>
          <w:szCs w:val="20"/>
          <w:color w:val="auto"/>
        </w:rPr>
      </w:pPr>
    </w:p>
    <w:p>
      <w:pPr>
        <w:ind w:left="500"/>
        <w:spacing w:after="0" w:line="259" w:lineRule="auto"/>
        <w:rPr>
          <w:sz w:val="20"/>
          <w:szCs w:val="20"/>
          <w:color w:val="auto"/>
        </w:rPr>
      </w:pPr>
      <w:r>
        <w:rPr>
          <w:rFonts w:ascii="Arial" w:cs="Arial" w:eastAsia="Arial" w:hAnsi="Arial"/>
          <w:sz w:val="18"/>
          <w:szCs w:val="18"/>
          <w:color w:val="auto"/>
        </w:rPr>
        <w:t>High-performance analog products: These include standard analog semiconductors, such as amplifiers, data converters and interface semiconductors (our portfolio includes more than 15,000 products), that we market to many different customers who use them in manufacturing a wide range of products sold in many end markets, including the industrial, communications, computing and consumer electronics markets. High-performance analog products generally have long life cycles, often more than 10 years.</w:t>
      </w:r>
    </w:p>
    <w:p>
      <w:pPr>
        <w:spacing w:after="0" w:line="214" w:lineRule="exact"/>
        <w:rPr>
          <w:sz w:val="20"/>
          <w:szCs w:val="20"/>
          <w:color w:val="auto"/>
        </w:rPr>
      </w:pPr>
    </w:p>
    <w:p>
      <w:pPr>
        <w:ind w:left="500" w:right="60"/>
        <w:spacing w:after="0" w:line="259" w:lineRule="auto"/>
        <w:rPr>
          <w:sz w:val="20"/>
          <w:szCs w:val="20"/>
          <w:color w:val="auto"/>
        </w:rPr>
      </w:pPr>
      <w:r>
        <w:rPr>
          <w:rFonts w:ascii="Arial" w:cs="Arial" w:eastAsia="Arial" w:hAnsi="Arial"/>
          <w:sz w:val="18"/>
          <w:szCs w:val="18"/>
          <w:color w:val="auto"/>
        </w:rPr>
        <w:t>High-volume analog &amp; logic products: High-volume analog includes products for specific applications, including custom products. The life cycles of our high-volume analog products are generally shorter than those of our high-performance analog products. End markets for high-volume analog products include communications, automotive, computing and many consumer electronics products. Logic and standard linear includes commodity products marketed to many different customers for many different applications.</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3" w:name="page4"/>
    <w:bookmarkEnd w:id="3"/>
    <w:p>
      <w:pPr>
        <w:ind w:left="500" w:right="160"/>
        <w:spacing w:after="0" w:line="279" w:lineRule="auto"/>
        <w:rPr>
          <w:sz w:val="20"/>
          <w:szCs w:val="20"/>
          <w:color w:val="auto"/>
        </w:rPr>
      </w:pPr>
      <w:r>
        <w:rPr>
          <w:rFonts w:ascii="Arial" w:cs="Arial" w:eastAsia="Arial" w:hAnsi="Arial"/>
          <w:sz w:val="17"/>
          <w:szCs w:val="17"/>
          <w:color w:val="auto"/>
        </w:rPr>
        <w:t>Power management products: These include both standard and custom semiconductors that help customers manage power in any type of electronic system. We design and manufacture power management semiconductors for both portable devices (battery-powered devices, such as handheld consumer electronics, laptop computers and cordless power tools) and line-powered systems (products that require an external electrical source, such as computers, digital TVs, wireless base stations and high-voltage industrial equipment).</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Embedded Processing</w:t>
      </w:r>
    </w:p>
    <w:p>
      <w:pPr>
        <w:spacing w:after="0" w:line="256" w:lineRule="exact"/>
        <w:rPr>
          <w:sz w:val="20"/>
          <w:szCs w:val="20"/>
          <w:color w:val="auto"/>
        </w:rPr>
      </w:pPr>
    </w:p>
    <w:p>
      <w:pPr>
        <w:ind w:left="500" w:right="40"/>
        <w:spacing w:after="0" w:line="257" w:lineRule="auto"/>
        <w:rPr>
          <w:sz w:val="20"/>
          <w:szCs w:val="20"/>
          <w:color w:val="auto"/>
        </w:rPr>
      </w:pPr>
      <w:r>
        <w:rPr>
          <w:rFonts w:ascii="Arial" w:cs="Arial" w:eastAsia="Arial" w:hAnsi="Arial"/>
          <w:sz w:val="18"/>
          <w:szCs w:val="18"/>
          <w:color w:val="auto"/>
        </w:rPr>
        <w:t>Our Embedded Processing products include our DSPs (other than DSPs specific to our Wireless segment) and microcontrollers. DSPs perform mathematical computations almost instantaneously to process or improve digital data. Microcontrollers are designed to control a set of specific tasks for electronic equipment. Sales of Embedded Processing products generated about 15 percent of our revenue in 2009. The worldwide market for embedded processors was about $14 billion in 2009. According to external sources, we have about 11 percent share in this fragmented market, and we believe we are well-positioned to increase our market share over time.</w:t>
      </w:r>
    </w:p>
    <w:p>
      <w:pPr>
        <w:spacing w:after="0" w:line="215" w:lineRule="exact"/>
        <w:rPr>
          <w:sz w:val="20"/>
          <w:szCs w:val="20"/>
          <w:color w:val="auto"/>
        </w:rPr>
      </w:pPr>
    </w:p>
    <w:p>
      <w:pPr>
        <w:ind w:left="500"/>
        <w:spacing w:after="0" w:line="257" w:lineRule="auto"/>
        <w:rPr>
          <w:sz w:val="20"/>
          <w:szCs w:val="20"/>
          <w:color w:val="auto"/>
        </w:rPr>
      </w:pPr>
      <w:r>
        <w:rPr>
          <w:rFonts w:ascii="Arial" w:cs="Arial" w:eastAsia="Arial" w:hAnsi="Arial"/>
          <w:sz w:val="18"/>
          <w:szCs w:val="18"/>
          <w:color w:val="auto"/>
        </w:rPr>
        <w:t>An important characteristic of our Embedded Processing products is that our customers often invest their own research and development (R&amp;D) to write software that operates on our products. This investment tends to increase the length of our customer relationships because customers prefer to re-use software from one product generation to the next. We make and sell standard, or catalog, Embedded Processing products used in many different applications and custom Embedded Processing products used in specific applications, such as communications infrastructure equipment and automotive.</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Wireless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Cell phones require a modem or “baseband” to connect to the wireless carrier’s network. Many of today’s advanced cell phones, which contain email,</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media, games and computing capability, also require an applications processor to run the phone’s software and services, and semiconductors to enable</w:t>
      </w:r>
    </w:p>
    <w:p>
      <w:pPr>
        <w:ind w:left="500"/>
        <w:spacing w:after="0" w:line="208" w:lineRule="auto"/>
        <w:rPr>
          <w:sz w:val="20"/>
          <w:szCs w:val="20"/>
          <w:color w:val="auto"/>
        </w:rPr>
      </w:pPr>
      <w:r>
        <w:rPr>
          <w:rFonts w:ascii="Arial" w:cs="Arial" w:eastAsia="Arial" w:hAnsi="Arial"/>
          <w:sz w:val="18"/>
          <w:szCs w:val="18"/>
          <w:color w:val="auto"/>
        </w:rPr>
        <w:t>connectivity to Bluetooth</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devices, WiFi networks or GPS location services. We design, make and sell products to satisfy each of these</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requirements. Wireless products are typically sold in high volumes, and our Wireless portfolio includes both standard products and custom</w:t>
      </w:r>
    </w:p>
    <w:p>
      <w:pPr>
        <w:spacing w:after="0" w:line="1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products. Sales of Wireless products generated about 25 percent of our revenue in 2009, and a significant portion of our Wireless sales were to a single</w:t>
      </w:r>
    </w:p>
    <w:p>
      <w:pPr>
        <w:spacing w:after="0" w:line="3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customer.</w:t>
      </w:r>
    </w:p>
    <w:p>
      <w:pPr>
        <w:spacing w:after="0" w:line="238" w:lineRule="exact"/>
        <w:rPr>
          <w:sz w:val="20"/>
          <w:szCs w:val="20"/>
          <w:color w:val="auto"/>
        </w:rPr>
      </w:pPr>
    </w:p>
    <w:p>
      <w:pPr>
        <w:ind w:left="500" w:right="20"/>
        <w:spacing w:after="0" w:line="271" w:lineRule="auto"/>
        <w:rPr>
          <w:sz w:val="20"/>
          <w:szCs w:val="20"/>
          <w:color w:val="auto"/>
        </w:rPr>
      </w:pPr>
      <w:r>
        <w:rPr>
          <w:rFonts w:ascii="Arial" w:cs="Arial" w:eastAsia="Arial" w:hAnsi="Arial"/>
          <w:sz w:val="16"/>
          <w:szCs w:val="16"/>
          <w:color w:val="auto"/>
        </w:rPr>
        <w:t>Our Wireless segment has shifted focus from baseband chips, a market with shrinking competitive barriers and slowing growth rates, to applications processors and connectivity products, markets we expect will grow faster than the baseband market. Consistent with this shift in market focus, we are concentrating our Wireless investments on our OMAP</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applications processors and connectivity products and have discontinued further development of standard baseband products. While we continue to sell custom baseband products, we have discontinued essentially all custom baseband investment. We expect substantially all of our baseband revenue, which was $1.73 billion in 2009, to cease by the end of 2012.</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Other</w:t>
      </w:r>
    </w:p>
    <w:p>
      <w:pPr>
        <w:spacing w:after="0" w:line="256" w:lineRule="exact"/>
        <w:rPr>
          <w:sz w:val="20"/>
          <w:szCs w:val="20"/>
          <w:color w:val="auto"/>
        </w:rPr>
      </w:pPr>
    </w:p>
    <w:p>
      <w:pPr>
        <w:ind w:left="500" w:right="80"/>
        <w:spacing w:after="0" w:line="276" w:lineRule="auto"/>
        <w:rPr>
          <w:sz w:val="20"/>
          <w:szCs w:val="20"/>
          <w:color w:val="auto"/>
        </w:rPr>
      </w:pPr>
      <w:r>
        <w:rPr>
          <w:rFonts w:ascii="Arial" w:cs="Arial" w:eastAsia="Arial" w:hAnsi="Arial"/>
          <w:sz w:val="17"/>
          <w:szCs w:val="17"/>
          <w:color w:val="auto"/>
        </w:rPr>
        <w:t>Our Other segment includes revenue from sales from our smaller semiconductor product lines and of our handheld graphing and scientific calculators, as well as royalties received for our patented technology that we license to other electronics companies. The semiconductor products in our Other segment include DLP® products (primarily used in projectors to create high-definition images), reduced-instruction set computing (RISC) microprocessors (designed to provide very fast computing and often implemented in servers) and custom semiconductors known as application-specific integrated circuits (ASICs). This segment generated about 20 percent of our revenue in 2009.</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Applications for our products</w:t>
      </w:r>
    </w:p>
    <w:p>
      <w:pPr>
        <w:spacing w:after="0" w:line="25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table below lists the major end markets that use our products and the approximate percentage of our product revenue that the market represents. The chart also lists the most frequent applications and our products used within these key markets.</w:t>
      </w: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41"/>
        </w:trPr>
        <w:tc>
          <w:tcPr>
            <w:tcW w:w="2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End Market</w:t>
            </w:r>
          </w:p>
        </w:tc>
        <w:tc>
          <w:tcPr>
            <w:tcW w:w="674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Applications</w:t>
            </w:r>
          </w:p>
        </w:tc>
        <w:tc>
          <w:tcPr>
            <w:tcW w:w="26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TI Products</w:t>
            </w:r>
          </w:p>
        </w:tc>
      </w:tr>
      <w:tr>
        <w:trPr>
          <w:trHeight w:val="202"/>
        </w:trPr>
        <w:tc>
          <w:tcPr>
            <w:tcW w:w="2000" w:type="dxa"/>
            <w:vAlign w:val="bottom"/>
          </w:tcPr>
          <w:p>
            <w:pPr>
              <w:spacing w:after="0" w:line="201" w:lineRule="exact"/>
              <w:rPr>
                <w:sz w:val="20"/>
                <w:szCs w:val="20"/>
                <w:color w:val="auto"/>
              </w:rPr>
            </w:pPr>
            <w:r>
              <w:rPr>
                <w:rFonts w:ascii="Arial" w:cs="Arial" w:eastAsia="Arial" w:hAnsi="Arial"/>
                <w:sz w:val="18"/>
                <w:szCs w:val="18"/>
                <w:b w:val="1"/>
                <w:bCs w:val="1"/>
                <w:color w:val="auto"/>
              </w:rPr>
              <w:t>Communications</w:t>
            </w:r>
          </w:p>
        </w:tc>
        <w:tc>
          <w:tcPr>
            <w:tcW w:w="6740" w:type="dxa"/>
            <w:vAlign w:val="bottom"/>
          </w:tcPr>
          <w:p>
            <w:pPr>
              <w:ind w:left="300"/>
              <w:spacing w:after="0" w:line="201" w:lineRule="exact"/>
              <w:rPr>
                <w:sz w:val="20"/>
                <w:szCs w:val="20"/>
                <w:color w:val="auto"/>
              </w:rPr>
            </w:pPr>
            <w:r>
              <w:rPr>
                <w:rFonts w:ascii="Arial" w:cs="Arial" w:eastAsia="Arial" w:hAnsi="Arial"/>
                <w:sz w:val="18"/>
                <w:szCs w:val="18"/>
                <w:color w:val="auto"/>
              </w:rPr>
              <w:t>Phones and infrastructure equipment</w:t>
            </w:r>
          </w:p>
        </w:tc>
        <w:tc>
          <w:tcPr>
            <w:tcW w:w="2680" w:type="dxa"/>
            <w:vAlign w:val="bottom"/>
          </w:tcPr>
          <w:p>
            <w:pPr>
              <w:ind w:left="400"/>
              <w:spacing w:after="0" w:line="201" w:lineRule="exact"/>
              <w:rPr>
                <w:sz w:val="20"/>
                <w:szCs w:val="20"/>
                <w:color w:val="auto"/>
              </w:rPr>
            </w:pPr>
            <w:r>
              <w:rPr>
                <w:rFonts w:ascii="Arial" w:cs="Arial" w:eastAsia="Arial" w:hAnsi="Arial"/>
                <w:sz w:val="18"/>
                <w:szCs w:val="18"/>
                <w:color w:val="auto"/>
                <w:w w:val="89"/>
              </w:rPr>
              <w:t>Analog, Embedded Processing,</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(45% of product</w:t>
            </w:r>
          </w:p>
        </w:tc>
        <w:tc>
          <w:tcPr>
            <w:tcW w:w="6740" w:type="dxa"/>
            <w:vAlign w:val="bottom"/>
          </w:tcPr>
          <w:p>
            <w:pPr>
              <w:ind w:left="300"/>
              <w:spacing w:after="0"/>
              <w:rPr>
                <w:sz w:val="20"/>
                <w:szCs w:val="20"/>
                <w:color w:val="auto"/>
              </w:rPr>
            </w:pPr>
            <w:r>
              <w:rPr>
                <w:rFonts w:ascii="Arial" w:cs="Arial" w:eastAsia="Arial" w:hAnsi="Arial"/>
                <w:sz w:val="18"/>
                <w:szCs w:val="18"/>
                <w:color w:val="auto"/>
                <w:w w:val="99"/>
              </w:rPr>
              <w:t>Mobile connectivity solutions (including wireless LAN, global positioning systems,</w:t>
            </w:r>
          </w:p>
        </w:tc>
        <w:tc>
          <w:tcPr>
            <w:tcW w:w="2680" w:type="dxa"/>
            <w:vAlign w:val="bottom"/>
          </w:tcPr>
          <w:p>
            <w:pPr>
              <w:ind w:left="400"/>
              <w:spacing w:after="0"/>
              <w:rPr>
                <w:sz w:val="20"/>
                <w:szCs w:val="20"/>
                <w:color w:val="auto"/>
              </w:rPr>
            </w:pPr>
            <w:r>
              <w:rPr>
                <w:rFonts w:ascii="Arial" w:cs="Arial" w:eastAsia="Arial" w:hAnsi="Arial"/>
                <w:sz w:val="18"/>
                <w:szCs w:val="18"/>
                <w:color w:val="auto"/>
              </w:rPr>
              <w:t>Wireless, Other</w:t>
            </w:r>
          </w:p>
        </w:tc>
      </w:tr>
      <w:tr>
        <w:trPr>
          <w:trHeight w:val="329"/>
        </w:trPr>
        <w:tc>
          <w:tcPr>
            <w:tcW w:w="2000" w:type="dxa"/>
            <w:vAlign w:val="bottom"/>
          </w:tcPr>
          <w:p>
            <w:pPr>
              <w:spacing w:after="0"/>
              <w:rPr>
                <w:sz w:val="20"/>
                <w:szCs w:val="20"/>
                <w:color w:val="auto"/>
              </w:rPr>
            </w:pPr>
            <w:r>
              <w:rPr>
                <w:rFonts w:ascii="Arial" w:cs="Arial" w:eastAsia="Arial" w:hAnsi="Arial"/>
                <w:sz w:val="18"/>
                <w:szCs w:val="18"/>
                <w:color w:val="auto"/>
              </w:rPr>
              <w:t>revenue)</w:t>
            </w:r>
          </w:p>
        </w:tc>
        <w:tc>
          <w:tcPr>
            <w:tcW w:w="6740" w:type="dxa"/>
            <w:vAlign w:val="bottom"/>
          </w:tcPr>
          <w:p>
            <w:pPr>
              <w:ind w:left="300"/>
              <w:spacing w:after="0"/>
              <w:rPr>
                <w:sz w:val="20"/>
                <w:szCs w:val="20"/>
                <w:color w:val="auto"/>
              </w:rPr>
            </w:pPr>
            <w:r>
              <w:rPr>
                <w:rFonts w:ascii="Arial" w:cs="Arial" w:eastAsia="Arial" w:hAnsi="Arial"/>
                <w:sz w:val="18"/>
                <w:szCs w:val="18"/>
                <w:color w:val="auto"/>
              </w:rPr>
              <w:t>Bluetooth</w:t>
            </w:r>
            <w:r>
              <w:rPr>
                <w:rFonts w:ascii="Arial" w:cs="Arial" w:eastAsia="Arial" w:hAnsi="Arial"/>
                <w:sz w:val="25"/>
                <w:szCs w:val="25"/>
                <w:color w:val="auto"/>
                <w:vertAlign w:val="superscript"/>
              </w:rPr>
              <w:t>®</w:t>
            </w:r>
            <w:r>
              <w:rPr>
                <w:rFonts w:ascii="Arial" w:cs="Arial" w:eastAsia="Arial" w:hAnsi="Arial"/>
                <w:sz w:val="18"/>
                <w:szCs w:val="18"/>
                <w:color w:val="auto"/>
              </w:rPr>
              <w:t>)</w:t>
            </w:r>
          </w:p>
        </w:tc>
        <w:tc>
          <w:tcPr>
            <w:tcW w:w="2680" w:type="dxa"/>
            <w:vAlign w:val="bottom"/>
          </w:tcPr>
          <w:p>
            <w:pPr>
              <w:spacing w:after="0"/>
              <w:rPr>
                <w:sz w:val="24"/>
                <w:szCs w:val="24"/>
                <w:color w:val="auto"/>
              </w:rPr>
            </w:pPr>
          </w:p>
        </w:tc>
      </w:tr>
      <w:tr>
        <w:trPr>
          <w:trHeight w:val="319"/>
        </w:trPr>
        <w:tc>
          <w:tcPr>
            <w:tcW w:w="2000" w:type="dxa"/>
            <w:vAlign w:val="bottom"/>
          </w:tcPr>
          <w:p>
            <w:pPr>
              <w:spacing w:after="0"/>
              <w:rPr>
                <w:sz w:val="20"/>
                <w:szCs w:val="20"/>
                <w:color w:val="auto"/>
              </w:rPr>
            </w:pPr>
            <w:r>
              <w:rPr>
                <w:rFonts w:ascii="Arial" w:cs="Arial" w:eastAsia="Arial" w:hAnsi="Arial"/>
                <w:sz w:val="18"/>
                <w:szCs w:val="18"/>
                <w:b w:val="1"/>
                <w:bCs w:val="1"/>
                <w:color w:val="auto"/>
              </w:rPr>
              <w:t>Computing</w:t>
            </w:r>
          </w:p>
        </w:tc>
        <w:tc>
          <w:tcPr>
            <w:tcW w:w="6740" w:type="dxa"/>
            <w:vAlign w:val="bottom"/>
          </w:tcPr>
          <w:p>
            <w:pPr>
              <w:ind w:left="300"/>
              <w:spacing w:after="0"/>
              <w:rPr>
                <w:sz w:val="20"/>
                <w:szCs w:val="20"/>
                <w:color w:val="auto"/>
              </w:rPr>
            </w:pPr>
            <w:r>
              <w:rPr>
                <w:rFonts w:ascii="Arial" w:cs="Arial" w:eastAsia="Arial" w:hAnsi="Arial"/>
                <w:sz w:val="18"/>
                <w:szCs w:val="18"/>
                <w:color w:val="auto"/>
              </w:rPr>
              <w:t>Printers</w:t>
            </w:r>
          </w:p>
        </w:tc>
        <w:tc>
          <w:tcPr>
            <w:tcW w:w="2680" w:type="dxa"/>
            <w:vAlign w:val="bottom"/>
          </w:tcPr>
          <w:p>
            <w:pPr>
              <w:ind w:left="400"/>
              <w:spacing w:after="0"/>
              <w:rPr>
                <w:sz w:val="20"/>
                <w:szCs w:val="20"/>
                <w:color w:val="auto"/>
              </w:rPr>
            </w:pPr>
            <w:r>
              <w:rPr>
                <w:rFonts w:ascii="Arial" w:cs="Arial" w:eastAsia="Arial" w:hAnsi="Arial"/>
                <w:sz w:val="18"/>
                <w:szCs w:val="18"/>
                <w:color w:val="auto"/>
                <w:w w:val="89"/>
              </w:rPr>
              <w:t>Analog, Embedded Processing,</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(23% of product</w:t>
            </w:r>
          </w:p>
        </w:tc>
        <w:tc>
          <w:tcPr>
            <w:tcW w:w="6740" w:type="dxa"/>
            <w:vAlign w:val="bottom"/>
          </w:tcPr>
          <w:p>
            <w:pPr>
              <w:ind w:left="300"/>
              <w:spacing w:after="0"/>
              <w:rPr>
                <w:sz w:val="20"/>
                <w:szCs w:val="20"/>
                <w:color w:val="auto"/>
              </w:rPr>
            </w:pPr>
            <w:r>
              <w:rPr>
                <w:rFonts w:ascii="Arial" w:cs="Arial" w:eastAsia="Arial" w:hAnsi="Arial"/>
                <w:sz w:val="18"/>
                <w:szCs w:val="18"/>
                <w:color w:val="auto"/>
              </w:rPr>
              <w:t>Hard disk drives</w:t>
            </w:r>
          </w:p>
        </w:tc>
        <w:tc>
          <w:tcPr>
            <w:tcW w:w="2680" w:type="dxa"/>
            <w:vAlign w:val="bottom"/>
          </w:tcPr>
          <w:p>
            <w:pPr>
              <w:ind w:left="400"/>
              <w:spacing w:after="0"/>
              <w:rPr>
                <w:sz w:val="20"/>
                <w:szCs w:val="20"/>
                <w:color w:val="auto"/>
              </w:rPr>
            </w:pPr>
            <w:r>
              <w:rPr>
                <w:rFonts w:ascii="Arial" w:cs="Arial" w:eastAsia="Arial" w:hAnsi="Arial"/>
                <w:sz w:val="18"/>
                <w:szCs w:val="18"/>
                <w:color w:val="auto"/>
              </w:rPr>
              <w:t>Other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revenue)</w:t>
            </w:r>
          </w:p>
        </w:tc>
        <w:tc>
          <w:tcPr>
            <w:tcW w:w="6740" w:type="dxa"/>
            <w:vAlign w:val="bottom"/>
          </w:tcPr>
          <w:p>
            <w:pPr>
              <w:ind w:left="300"/>
              <w:spacing w:after="0"/>
              <w:rPr>
                <w:sz w:val="20"/>
                <w:szCs w:val="20"/>
                <w:color w:val="auto"/>
              </w:rPr>
            </w:pPr>
            <w:r>
              <w:rPr>
                <w:rFonts w:ascii="Arial" w:cs="Arial" w:eastAsia="Arial" w:hAnsi="Arial"/>
                <w:sz w:val="18"/>
                <w:szCs w:val="18"/>
                <w:color w:val="auto"/>
              </w:rPr>
              <w:t>Monitors and projectors</w:t>
            </w:r>
          </w:p>
        </w:tc>
        <w:tc>
          <w:tcPr>
            <w:tcW w:w="2680" w:type="dxa"/>
            <w:vAlign w:val="bottom"/>
          </w:tcPr>
          <w:p>
            <w:pPr>
              <w:spacing w:after="0"/>
              <w:rPr>
                <w:sz w:val="18"/>
                <w:szCs w:val="18"/>
                <w:color w:val="auto"/>
              </w:rPr>
            </w:pPr>
          </w:p>
        </w:tc>
      </w:tr>
      <w:tr>
        <w:trPr>
          <w:trHeight w:val="230"/>
        </w:trPr>
        <w:tc>
          <w:tcPr>
            <w:tcW w:w="2000" w:type="dxa"/>
            <w:vAlign w:val="bottom"/>
          </w:tcPr>
          <w:p>
            <w:pPr>
              <w:spacing w:after="0"/>
              <w:rPr>
                <w:sz w:val="20"/>
                <w:szCs w:val="20"/>
                <w:color w:val="auto"/>
              </w:rPr>
            </w:pPr>
          </w:p>
        </w:tc>
        <w:tc>
          <w:tcPr>
            <w:tcW w:w="6740" w:type="dxa"/>
            <w:vAlign w:val="bottom"/>
          </w:tcPr>
          <w:p>
            <w:pPr>
              <w:ind w:left="300"/>
              <w:spacing w:after="0"/>
              <w:rPr>
                <w:sz w:val="20"/>
                <w:szCs w:val="20"/>
                <w:color w:val="auto"/>
              </w:rPr>
            </w:pPr>
            <w:r>
              <w:rPr>
                <w:rFonts w:ascii="Arial" w:cs="Arial" w:eastAsia="Arial" w:hAnsi="Arial"/>
                <w:sz w:val="18"/>
                <w:szCs w:val="18"/>
                <w:color w:val="auto"/>
              </w:rPr>
              <w:t>Notebooks, netbooks, desktop computers and servers</w:t>
            </w:r>
          </w:p>
        </w:tc>
        <w:tc>
          <w:tcPr>
            <w:tcW w:w="2680" w:type="dxa"/>
            <w:vAlign w:val="bottom"/>
          </w:tcPr>
          <w:p>
            <w:pPr>
              <w:spacing w:after="0"/>
              <w:rPr>
                <w:sz w:val="20"/>
                <w:szCs w:val="20"/>
                <w:color w:val="auto"/>
              </w:rPr>
            </w:pPr>
          </w:p>
        </w:tc>
      </w:tr>
      <w:tr>
        <w:trPr>
          <w:trHeight w:val="418"/>
        </w:trPr>
        <w:tc>
          <w:tcPr>
            <w:tcW w:w="2000" w:type="dxa"/>
            <w:vAlign w:val="bottom"/>
          </w:tcPr>
          <w:p>
            <w:pPr>
              <w:spacing w:after="0"/>
              <w:rPr>
                <w:sz w:val="20"/>
                <w:szCs w:val="20"/>
                <w:color w:val="auto"/>
              </w:rPr>
            </w:pPr>
            <w:r>
              <w:rPr>
                <w:rFonts w:ascii="Arial" w:cs="Arial" w:eastAsia="Arial" w:hAnsi="Arial"/>
                <w:sz w:val="18"/>
                <w:szCs w:val="18"/>
                <w:b w:val="1"/>
                <w:bCs w:val="1"/>
                <w:color w:val="auto"/>
              </w:rPr>
              <w:t>Industrial</w:t>
            </w:r>
          </w:p>
        </w:tc>
        <w:tc>
          <w:tcPr>
            <w:tcW w:w="6740" w:type="dxa"/>
            <w:vAlign w:val="bottom"/>
          </w:tcPr>
          <w:p>
            <w:pPr>
              <w:ind w:left="300"/>
              <w:spacing w:after="0"/>
              <w:rPr>
                <w:sz w:val="20"/>
                <w:szCs w:val="20"/>
                <w:color w:val="auto"/>
              </w:rPr>
            </w:pPr>
            <w:r>
              <w:rPr>
                <w:rFonts w:ascii="Arial" w:cs="Arial" w:eastAsia="Arial" w:hAnsi="Arial"/>
                <w:sz w:val="18"/>
                <w:szCs w:val="18"/>
                <w:color w:val="auto"/>
              </w:rPr>
              <w:t>Digital power controls:</w:t>
            </w:r>
          </w:p>
        </w:tc>
        <w:tc>
          <w:tcPr>
            <w:tcW w:w="2680" w:type="dxa"/>
            <w:vAlign w:val="bottom"/>
          </w:tcPr>
          <w:p>
            <w:pPr>
              <w:ind w:left="400"/>
              <w:spacing w:after="0"/>
              <w:rPr>
                <w:sz w:val="20"/>
                <w:szCs w:val="20"/>
                <w:color w:val="auto"/>
              </w:rPr>
            </w:pPr>
            <w:r>
              <w:rPr>
                <w:rFonts w:ascii="Arial" w:cs="Arial" w:eastAsia="Arial" w:hAnsi="Arial"/>
                <w:sz w:val="18"/>
                <w:szCs w:val="18"/>
                <w:color w:val="auto"/>
                <w:w w:val="89"/>
              </w:rPr>
              <w:t>Analog, Embedded Processing,</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(11% of product</w:t>
            </w:r>
          </w:p>
        </w:tc>
        <w:tc>
          <w:tcPr>
            <w:tcW w:w="6740" w:type="dxa"/>
            <w:vAlign w:val="bottom"/>
          </w:tcPr>
          <w:p>
            <w:pPr>
              <w:ind w:left="1100"/>
              <w:spacing w:after="0"/>
              <w:rPr>
                <w:sz w:val="20"/>
                <w:szCs w:val="20"/>
                <w:color w:val="auto"/>
              </w:rPr>
            </w:pPr>
            <w:r>
              <w:rPr>
                <w:rFonts w:ascii="Arial" w:cs="Arial" w:eastAsia="Arial" w:hAnsi="Arial"/>
                <w:sz w:val="18"/>
                <w:szCs w:val="18"/>
                <w:color w:val="auto"/>
              </w:rPr>
              <w:t>Switch mode power supplies</w:t>
            </w:r>
          </w:p>
        </w:tc>
        <w:tc>
          <w:tcPr>
            <w:tcW w:w="2680" w:type="dxa"/>
            <w:vAlign w:val="bottom"/>
          </w:tcPr>
          <w:p>
            <w:pPr>
              <w:ind w:left="400"/>
              <w:spacing w:after="0"/>
              <w:rPr>
                <w:sz w:val="20"/>
                <w:szCs w:val="20"/>
                <w:color w:val="auto"/>
              </w:rPr>
            </w:pPr>
            <w:r>
              <w:rPr>
                <w:rFonts w:ascii="Arial" w:cs="Arial" w:eastAsia="Arial" w:hAnsi="Arial"/>
                <w:sz w:val="18"/>
                <w:szCs w:val="18"/>
                <w:color w:val="auto"/>
              </w:rPr>
              <w:t>Other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revenue)</w:t>
            </w:r>
          </w:p>
        </w:tc>
        <w:tc>
          <w:tcPr>
            <w:tcW w:w="6740" w:type="dxa"/>
            <w:vAlign w:val="bottom"/>
          </w:tcPr>
          <w:p>
            <w:pPr>
              <w:ind w:left="1100"/>
              <w:spacing w:after="0"/>
              <w:rPr>
                <w:sz w:val="20"/>
                <w:szCs w:val="20"/>
                <w:color w:val="auto"/>
              </w:rPr>
            </w:pPr>
            <w:r>
              <w:rPr>
                <w:rFonts w:ascii="Arial" w:cs="Arial" w:eastAsia="Arial" w:hAnsi="Arial"/>
                <w:sz w:val="18"/>
                <w:szCs w:val="18"/>
                <w:color w:val="auto"/>
              </w:rPr>
              <w:t>Uninterruptible power supplies</w:t>
            </w:r>
          </w:p>
        </w:tc>
        <w:tc>
          <w:tcPr>
            <w:tcW w:w="268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6740" w:type="dxa"/>
            <w:vAlign w:val="bottom"/>
          </w:tcPr>
          <w:p>
            <w:pPr>
              <w:ind w:left="300"/>
              <w:spacing w:after="0"/>
              <w:rPr>
                <w:sz w:val="20"/>
                <w:szCs w:val="20"/>
                <w:color w:val="auto"/>
              </w:rPr>
            </w:pPr>
            <w:r>
              <w:rPr>
                <w:rFonts w:ascii="Arial" w:cs="Arial" w:eastAsia="Arial" w:hAnsi="Arial"/>
                <w:sz w:val="18"/>
                <w:szCs w:val="18"/>
                <w:color w:val="auto"/>
              </w:rPr>
              <w:t>Motor controls:</w:t>
            </w:r>
          </w:p>
        </w:tc>
        <w:tc>
          <w:tcPr>
            <w:tcW w:w="268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6740" w:type="dxa"/>
            <w:vAlign w:val="bottom"/>
          </w:tcPr>
          <w:p>
            <w:pPr>
              <w:ind w:left="1100"/>
              <w:spacing w:after="0"/>
              <w:rPr>
                <w:sz w:val="20"/>
                <w:szCs w:val="20"/>
                <w:color w:val="auto"/>
              </w:rPr>
            </w:pPr>
            <w:r>
              <w:rPr>
                <w:rFonts w:ascii="Arial" w:cs="Arial" w:eastAsia="Arial" w:hAnsi="Arial"/>
                <w:sz w:val="18"/>
                <w:szCs w:val="18"/>
                <w:color w:val="auto"/>
              </w:rPr>
              <w:t>Heating/ventilation/air conditioning</w:t>
            </w:r>
          </w:p>
        </w:tc>
        <w:tc>
          <w:tcPr>
            <w:tcW w:w="268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6740" w:type="dxa"/>
            <w:vAlign w:val="bottom"/>
          </w:tcPr>
          <w:p>
            <w:pPr>
              <w:ind w:left="1100"/>
              <w:spacing w:after="0"/>
              <w:rPr>
                <w:sz w:val="20"/>
                <w:szCs w:val="20"/>
                <w:color w:val="auto"/>
              </w:rPr>
            </w:pPr>
            <w:r>
              <w:rPr>
                <w:rFonts w:ascii="Arial" w:cs="Arial" w:eastAsia="Arial" w:hAnsi="Arial"/>
                <w:sz w:val="18"/>
                <w:szCs w:val="18"/>
                <w:color w:val="auto"/>
              </w:rPr>
              <w:t>Industrial control motor drives</w:t>
            </w:r>
          </w:p>
        </w:tc>
        <w:tc>
          <w:tcPr>
            <w:tcW w:w="268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6740" w:type="dxa"/>
            <w:vAlign w:val="bottom"/>
          </w:tcPr>
          <w:p>
            <w:pPr>
              <w:ind w:left="1100"/>
              <w:spacing w:after="0"/>
              <w:rPr>
                <w:sz w:val="20"/>
                <w:szCs w:val="20"/>
                <w:color w:val="auto"/>
              </w:rPr>
            </w:pPr>
            <w:r>
              <w:rPr>
                <w:rFonts w:ascii="Arial" w:cs="Arial" w:eastAsia="Arial" w:hAnsi="Arial"/>
                <w:sz w:val="18"/>
                <w:szCs w:val="18"/>
                <w:color w:val="auto"/>
              </w:rPr>
              <w:t>Power tools</w:t>
            </w:r>
          </w:p>
        </w:tc>
        <w:tc>
          <w:tcPr>
            <w:tcW w:w="268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6740" w:type="dxa"/>
            <w:vAlign w:val="bottom"/>
          </w:tcPr>
          <w:p>
            <w:pPr>
              <w:ind w:left="1100"/>
              <w:spacing w:after="0"/>
              <w:rPr>
                <w:sz w:val="20"/>
                <w:szCs w:val="20"/>
                <w:color w:val="auto"/>
              </w:rPr>
            </w:pPr>
            <w:r>
              <w:rPr>
                <w:rFonts w:ascii="Arial" w:cs="Arial" w:eastAsia="Arial" w:hAnsi="Arial"/>
                <w:sz w:val="18"/>
                <w:szCs w:val="18"/>
                <w:color w:val="auto"/>
              </w:rPr>
              <w:t>Printers/copiers</w:t>
            </w:r>
          </w:p>
        </w:tc>
        <w:tc>
          <w:tcPr>
            <w:tcW w:w="268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6740" w:type="dxa"/>
            <w:vAlign w:val="bottom"/>
          </w:tcPr>
          <w:p>
            <w:pPr>
              <w:ind w:left="300"/>
              <w:spacing w:after="0"/>
              <w:rPr>
                <w:sz w:val="20"/>
                <w:szCs w:val="20"/>
                <w:color w:val="auto"/>
              </w:rPr>
            </w:pPr>
            <w:r>
              <w:rPr>
                <w:rFonts w:ascii="Arial" w:cs="Arial" w:eastAsia="Arial" w:hAnsi="Arial"/>
                <w:sz w:val="18"/>
                <w:szCs w:val="18"/>
                <w:color w:val="auto"/>
              </w:rPr>
              <w:t>Security:</w:t>
            </w:r>
          </w:p>
        </w:tc>
        <w:tc>
          <w:tcPr>
            <w:tcW w:w="268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6740" w:type="dxa"/>
            <w:vAlign w:val="bottom"/>
          </w:tcPr>
          <w:p>
            <w:pPr>
              <w:ind w:left="1100"/>
              <w:spacing w:after="0"/>
              <w:rPr>
                <w:sz w:val="20"/>
                <w:szCs w:val="20"/>
                <w:color w:val="auto"/>
              </w:rPr>
            </w:pPr>
            <w:r>
              <w:rPr>
                <w:rFonts w:ascii="Arial" w:cs="Arial" w:eastAsia="Arial" w:hAnsi="Arial"/>
                <w:sz w:val="18"/>
                <w:szCs w:val="18"/>
                <w:color w:val="auto"/>
              </w:rPr>
              <w:t>Biometrics (fingerprint identification and authentication)</w:t>
            </w:r>
          </w:p>
        </w:tc>
        <w:tc>
          <w:tcPr>
            <w:tcW w:w="268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6740" w:type="dxa"/>
            <w:vAlign w:val="bottom"/>
          </w:tcPr>
          <w:p>
            <w:pPr>
              <w:ind w:left="1100"/>
              <w:spacing w:after="0"/>
              <w:rPr>
                <w:sz w:val="20"/>
                <w:szCs w:val="20"/>
                <w:color w:val="auto"/>
              </w:rPr>
            </w:pPr>
            <w:r>
              <w:rPr>
                <w:rFonts w:ascii="Arial" w:cs="Arial" w:eastAsia="Arial" w:hAnsi="Arial"/>
                <w:sz w:val="18"/>
                <w:szCs w:val="18"/>
                <w:color w:val="auto"/>
              </w:rPr>
              <w:t>Intelligent sensing (smoke and glass-breakage detection)</w:t>
            </w:r>
          </w:p>
        </w:tc>
        <w:tc>
          <w:tcPr>
            <w:tcW w:w="2680" w:type="dxa"/>
            <w:vAlign w:val="bottom"/>
          </w:tcPr>
          <w:p>
            <w:pPr>
              <w:spacing w:after="0"/>
              <w:rPr>
                <w:sz w:val="18"/>
                <w:szCs w:val="18"/>
                <w:color w:val="auto"/>
              </w:rPr>
            </w:pPr>
          </w:p>
        </w:tc>
      </w:tr>
      <w:tr>
        <w:trPr>
          <w:trHeight w:val="230"/>
        </w:trPr>
        <w:tc>
          <w:tcPr>
            <w:tcW w:w="2000" w:type="dxa"/>
            <w:vAlign w:val="bottom"/>
          </w:tcPr>
          <w:p>
            <w:pPr>
              <w:spacing w:after="0"/>
              <w:rPr>
                <w:sz w:val="20"/>
                <w:szCs w:val="20"/>
                <w:color w:val="auto"/>
              </w:rPr>
            </w:pPr>
          </w:p>
        </w:tc>
        <w:tc>
          <w:tcPr>
            <w:tcW w:w="6740" w:type="dxa"/>
            <w:vAlign w:val="bottom"/>
          </w:tcPr>
          <w:p>
            <w:pPr>
              <w:ind w:left="1100"/>
              <w:spacing w:after="0"/>
              <w:rPr>
                <w:sz w:val="20"/>
                <w:szCs w:val="20"/>
                <w:color w:val="auto"/>
              </w:rPr>
            </w:pPr>
            <w:r>
              <w:rPr>
                <w:rFonts w:ascii="Arial" w:cs="Arial" w:eastAsia="Arial" w:hAnsi="Arial"/>
                <w:sz w:val="18"/>
                <w:szCs w:val="18"/>
                <w:color w:val="auto"/>
              </w:rPr>
              <w:t>Video analytics (surveillance)</w:t>
            </w:r>
          </w:p>
        </w:tc>
        <w:tc>
          <w:tcPr>
            <w:tcW w:w="2680" w:type="dxa"/>
            <w:vAlign w:val="bottom"/>
          </w:tcPr>
          <w:p>
            <w:pPr>
              <w:spacing w:after="0"/>
              <w:rPr>
                <w:sz w:val="20"/>
                <w:szCs w:val="20"/>
                <w:color w:val="auto"/>
              </w:rPr>
            </w:pPr>
          </w:p>
        </w:tc>
      </w:tr>
      <w:tr>
        <w:trPr>
          <w:trHeight w:val="418"/>
        </w:trPr>
        <w:tc>
          <w:tcPr>
            <w:tcW w:w="2000" w:type="dxa"/>
            <w:vAlign w:val="bottom"/>
          </w:tcPr>
          <w:p>
            <w:pPr>
              <w:spacing w:after="0"/>
              <w:rPr>
                <w:sz w:val="20"/>
                <w:szCs w:val="20"/>
                <w:color w:val="auto"/>
              </w:rPr>
            </w:pPr>
            <w:r>
              <w:rPr>
                <w:rFonts w:ascii="Arial" w:cs="Arial" w:eastAsia="Arial" w:hAnsi="Arial"/>
                <w:sz w:val="18"/>
                <w:szCs w:val="18"/>
                <w:b w:val="1"/>
                <w:bCs w:val="1"/>
                <w:color w:val="auto"/>
              </w:rPr>
              <w:t>Consumer Electronics</w:t>
            </w:r>
          </w:p>
        </w:tc>
        <w:tc>
          <w:tcPr>
            <w:tcW w:w="6740" w:type="dxa"/>
            <w:vAlign w:val="bottom"/>
          </w:tcPr>
          <w:p>
            <w:pPr>
              <w:ind w:left="300"/>
              <w:spacing w:after="0"/>
              <w:rPr>
                <w:sz w:val="20"/>
                <w:szCs w:val="20"/>
                <w:color w:val="auto"/>
              </w:rPr>
            </w:pPr>
            <w:r>
              <w:rPr>
                <w:rFonts w:ascii="Arial" w:cs="Arial" w:eastAsia="Arial" w:hAnsi="Arial"/>
                <w:sz w:val="18"/>
                <w:szCs w:val="18"/>
                <w:color w:val="auto"/>
              </w:rPr>
              <w:t>Digital cameras, gaming and audio/visual equipment</w:t>
            </w:r>
          </w:p>
        </w:tc>
        <w:tc>
          <w:tcPr>
            <w:tcW w:w="2680" w:type="dxa"/>
            <w:vAlign w:val="bottom"/>
          </w:tcPr>
          <w:p>
            <w:pPr>
              <w:ind w:left="400"/>
              <w:spacing w:after="0"/>
              <w:rPr>
                <w:sz w:val="20"/>
                <w:szCs w:val="20"/>
                <w:color w:val="auto"/>
              </w:rPr>
            </w:pPr>
            <w:r>
              <w:rPr>
                <w:rFonts w:ascii="Arial" w:cs="Arial" w:eastAsia="Arial" w:hAnsi="Arial"/>
                <w:sz w:val="18"/>
                <w:szCs w:val="18"/>
                <w:color w:val="auto"/>
                <w:w w:val="89"/>
              </w:rPr>
              <w:t>Analog, Embedded Processing,</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(11% of product</w:t>
            </w:r>
          </w:p>
        </w:tc>
        <w:tc>
          <w:tcPr>
            <w:tcW w:w="6740" w:type="dxa"/>
            <w:vAlign w:val="bottom"/>
          </w:tcPr>
          <w:p>
            <w:pPr>
              <w:ind w:left="300"/>
              <w:spacing w:after="0"/>
              <w:rPr>
                <w:sz w:val="20"/>
                <w:szCs w:val="20"/>
                <w:color w:val="auto"/>
              </w:rPr>
            </w:pPr>
            <w:r>
              <w:rPr>
                <w:rFonts w:ascii="Arial" w:cs="Arial" w:eastAsia="Arial" w:hAnsi="Arial"/>
                <w:sz w:val="18"/>
                <w:szCs w:val="18"/>
                <w:color w:val="auto"/>
              </w:rPr>
              <w:t>Medical (personal and portable medical devices, medical imagery)</w:t>
            </w:r>
          </w:p>
        </w:tc>
        <w:tc>
          <w:tcPr>
            <w:tcW w:w="2680" w:type="dxa"/>
            <w:vAlign w:val="bottom"/>
          </w:tcPr>
          <w:p>
            <w:pPr>
              <w:ind w:left="400"/>
              <w:spacing w:after="0"/>
              <w:rPr>
                <w:sz w:val="20"/>
                <w:szCs w:val="20"/>
                <w:color w:val="auto"/>
              </w:rPr>
            </w:pPr>
            <w:r>
              <w:rPr>
                <w:rFonts w:ascii="Arial" w:cs="Arial" w:eastAsia="Arial" w:hAnsi="Arial"/>
                <w:sz w:val="18"/>
                <w:szCs w:val="18"/>
                <w:color w:val="auto"/>
              </w:rPr>
              <w:t>Wireless, Other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revenue)</w:t>
            </w:r>
          </w:p>
        </w:tc>
        <w:tc>
          <w:tcPr>
            <w:tcW w:w="6740" w:type="dxa"/>
            <w:vAlign w:val="bottom"/>
          </w:tcPr>
          <w:p>
            <w:pPr>
              <w:ind w:left="300"/>
              <w:spacing w:after="0"/>
              <w:rPr>
                <w:sz w:val="20"/>
                <w:szCs w:val="20"/>
                <w:color w:val="auto"/>
              </w:rPr>
            </w:pPr>
            <w:r>
              <w:rPr>
                <w:rFonts w:ascii="Arial" w:cs="Arial" w:eastAsia="Arial" w:hAnsi="Arial"/>
                <w:sz w:val="18"/>
                <w:szCs w:val="18"/>
                <w:color w:val="auto"/>
              </w:rPr>
              <w:t>Portable and car audio</w:t>
            </w:r>
          </w:p>
        </w:tc>
        <w:tc>
          <w:tcPr>
            <w:tcW w:w="268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6740" w:type="dxa"/>
            <w:vAlign w:val="bottom"/>
          </w:tcPr>
          <w:p>
            <w:pPr>
              <w:ind w:left="300"/>
              <w:spacing w:after="0"/>
              <w:rPr>
                <w:sz w:val="20"/>
                <w:szCs w:val="20"/>
                <w:color w:val="auto"/>
              </w:rPr>
            </w:pPr>
            <w:r>
              <w:rPr>
                <w:rFonts w:ascii="Arial" w:cs="Arial" w:eastAsia="Arial" w:hAnsi="Arial"/>
                <w:sz w:val="18"/>
                <w:szCs w:val="18"/>
                <w:color w:val="auto"/>
              </w:rPr>
              <w:t>Home appliances</w:t>
            </w:r>
          </w:p>
        </w:tc>
        <w:tc>
          <w:tcPr>
            <w:tcW w:w="268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6740" w:type="dxa"/>
            <w:vAlign w:val="bottom"/>
          </w:tcPr>
          <w:p>
            <w:pPr>
              <w:ind w:left="300"/>
              <w:spacing w:after="0"/>
              <w:rPr>
                <w:sz w:val="20"/>
                <w:szCs w:val="20"/>
                <w:color w:val="auto"/>
              </w:rPr>
            </w:pPr>
            <w:r>
              <w:rPr>
                <w:rFonts w:ascii="Arial" w:cs="Arial" w:eastAsia="Arial" w:hAnsi="Arial"/>
                <w:sz w:val="18"/>
                <w:szCs w:val="18"/>
                <w:color w:val="auto"/>
              </w:rPr>
              <w:t>Personal navigation devices</w:t>
            </w:r>
          </w:p>
        </w:tc>
        <w:tc>
          <w:tcPr>
            <w:tcW w:w="2680" w:type="dxa"/>
            <w:vAlign w:val="bottom"/>
          </w:tcPr>
          <w:p>
            <w:pPr>
              <w:spacing w:after="0"/>
              <w:rPr>
                <w:sz w:val="18"/>
                <w:szCs w:val="18"/>
                <w:color w:val="auto"/>
              </w:rPr>
            </w:pPr>
          </w:p>
        </w:tc>
      </w:tr>
      <w:tr>
        <w:trPr>
          <w:trHeight w:val="230"/>
        </w:trPr>
        <w:tc>
          <w:tcPr>
            <w:tcW w:w="2000" w:type="dxa"/>
            <w:vAlign w:val="bottom"/>
          </w:tcPr>
          <w:p>
            <w:pPr>
              <w:spacing w:after="0"/>
              <w:rPr>
                <w:sz w:val="20"/>
                <w:szCs w:val="20"/>
                <w:color w:val="auto"/>
              </w:rPr>
            </w:pPr>
          </w:p>
        </w:tc>
        <w:tc>
          <w:tcPr>
            <w:tcW w:w="6740" w:type="dxa"/>
            <w:vAlign w:val="bottom"/>
          </w:tcPr>
          <w:p>
            <w:pPr>
              <w:ind w:left="300"/>
              <w:spacing w:after="0"/>
              <w:rPr>
                <w:sz w:val="20"/>
                <w:szCs w:val="20"/>
                <w:color w:val="auto"/>
              </w:rPr>
            </w:pPr>
            <w:r>
              <w:rPr>
                <w:rFonts w:ascii="Arial" w:cs="Arial" w:eastAsia="Arial" w:hAnsi="Arial"/>
                <w:sz w:val="18"/>
                <w:szCs w:val="18"/>
                <w:color w:val="auto"/>
              </w:rPr>
              <w:t>eBook readers</w:t>
            </w:r>
          </w:p>
        </w:tc>
        <w:tc>
          <w:tcPr>
            <w:tcW w:w="2680" w:type="dxa"/>
            <w:vAlign w:val="bottom"/>
          </w:tcPr>
          <w:p>
            <w:pPr>
              <w:spacing w:after="0"/>
              <w:rPr>
                <w:sz w:val="20"/>
                <w:szCs w:val="20"/>
                <w:color w:val="auto"/>
              </w:rPr>
            </w:pPr>
          </w:p>
        </w:tc>
      </w:tr>
      <w:tr>
        <w:trPr>
          <w:trHeight w:val="418"/>
        </w:trPr>
        <w:tc>
          <w:tcPr>
            <w:tcW w:w="2000" w:type="dxa"/>
            <w:vAlign w:val="bottom"/>
          </w:tcPr>
          <w:p>
            <w:pPr>
              <w:spacing w:after="0"/>
              <w:rPr>
                <w:sz w:val="20"/>
                <w:szCs w:val="20"/>
                <w:color w:val="auto"/>
              </w:rPr>
            </w:pPr>
            <w:r>
              <w:rPr>
                <w:rFonts w:ascii="Arial" w:cs="Arial" w:eastAsia="Arial" w:hAnsi="Arial"/>
                <w:sz w:val="18"/>
                <w:szCs w:val="18"/>
                <w:b w:val="1"/>
                <w:bCs w:val="1"/>
                <w:color w:val="auto"/>
              </w:rPr>
              <w:t>Automotive</w:t>
            </w:r>
          </w:p>
        </w:tc>
        <w:tc>
          <w:tcPr>
            <w:tcW w:w="6740" w:type="dxa"/>
            <w:vAlign w:val="bottom"/>
          </w:tcPr>
          <w:p>
            <w:pPr>
              <w:ind w:left="300"/>
              <w:spacing w:after="0"/>
              <w:rPr>
                <w:sz w:val="20"/>
                <w:szCs w:val="20"/>
                <w:color w:val="auto"/>
              </w:rPr>
            </w:pPr>
            <w:r>
              <w:rPr>
                <w:rFonts w:ascii="Arial" w:cs="Arial" w:eastAsia="Arial" w:hAnsi="Arial"/>
                <w:sz w:val="18"/>
                <w:szCs w:val="18"/>
                <w:color w:val="auto"/>
              </w:rPr>
              <w:t>Body systems</w:t>
            </w:r>
          </w:p>
        </w:tc>
        <w:tc>
          <w:tcPr>
            <w:tcW w:w="2680" w:type="dxa"/>
            <w:vAlign w:val="bottom"/>
          </w:tcPr>
          <w:p>
            <w:pPr>
              <w:ind w:left="400"/>
              <w:spacing w:after="0"/>
              <w:rPr>
                <w:sz w:val="20"/>
                <w:szCs w:val="20"/>
                <w:color w:val="auto"/>
              </w:rPr>
            </w:pPr>
            <w:r>
              <w:rPr>
                <w:rFonts w:ascii="Arial" w:cs="Arial" w:eastAsia="Arial" w:hAnsi="Arial"/>
                <w:sz w:val="18"/>
                <w:szCs w:val="18"/>
                <w:color w:val="auto"/>
                <w:w w:val="89"/>
              </w:rPr>
              <w:t>Analog, Embedded Processing,</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(6% of product</w:t>
            </w:r>
          </w:p>
        </w:tc>
        <w:tc>
          <w:tcPr>
            <w:tcW w:w="6740" w:type="dxa"/>
            <w:vAlign w:val="bottom"/>
          </w:tcPr>
          <w:p>
            <w:pPr>
              <w:ind w:left="300"/>
              <w:spacing w:after="0"/>
              <w:rPr>
                <w:sz w:val="20"/>
                <w:szCs w:val="20"/>
                <w:color w:val="auto"/>
              </w:rPr>
            </w:pPr>
            <w:r>
              <w:rPr>
                <w:rFonts w:ascii="Arial" w:cs="Arial" w:eastAsia="Arial" w:hAnsi="Arial"/>
                <w:sz w:val="18"/>
                <w:szCs w:val="18"/>
                <w:color w:val="auto"/>
              </w:rPr>
              <w:t>Chassis systems</w:t>
            </w:r>
          </w:p>
        </w:tc>
        <w:tc>
          <w:tcPr>
            <w:tcW w:w="2680" w:type="dxa"/>
            <w:vAlign w:val="bottom"/>
          </w:tcPr>
          <w:p>
            <w:pPr>
              <w:ind w:left="400"/>
              <w:spacing w:after="0"/>
              <w:rPr>
                <w:sz w:val="20"/>
                <w:szCs w:val="20"/>
                <w:color w:val="auto"/>
              </w:rPr>
            </w:pPr>
            <w:r>
              <w:rPr>
                <w:rFonts w:ascii="Arial" w:cs="Arial" w:eastAsia="Arial" w:hAnsi="Arial"/>
                <w:sz w:val="18"/>
                <w:szCs w:val="18"/>
                <w:color w:val="auto"/>
              </w:rPr>
              <w:t>Other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revenue)</w:t>
            </w:r>
          </w:p>
        </w:tc>
        <w:tc>
          <w:tcPr>
            <w:tcW w:w="6740" w:type="dxa"/>
            <w:vAlign w:val="bottom"/>
          </w:tcPr>
          <w:p>
            <w:pPr>
              <w:ind w:left="300"/>
              <w:spacing w:after="0"/>
              <w:rPr>
                <w:sz w:val="20"/>
                <w:szCs w:val="20"/>
                <w:color w:val="auto"/>
              </w:rPr>
            </w:pPr>
            <w:r>
              <w:rPr>
                <w:rFonts w:ascii="Arial" w:cs="Arial" w:eastAsia="Arial" w:hAnsi="Arial"/>
                <w:sz w:val="18"/>
                <w:szCs w:val="18"/>
                <w:color w:val="auto"/>
              </w:rPr>
              <w:t>Driver information/telemetrics</w:t>
            </w:r>
          </w:p>
        </w:tc>
        <w:tc>
          <w:tcPr>
            <w:tcW w:w="268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6740" w:type="dxa"/>
            <w:vAlign w:val="bottom"/>
          </w:tcPr>
          <w:p>
            <w:pPr>
              <w:ind w:left="300"/>
              <w:spacing w:after="0"/>
              <w:rPr>
                <w:sz w:val="20"/>
                <w:szCs w:val="20"/>
                <w:color w:val="auto"/>
              </w:rPr>
            </w:pPr>
            <w:r>
              <w:rPr>
                <w:rFonts w:ascii="Arial" w:cs="Arial" w:eastAsia="Arial" w:hAnsi="Arial"/>
                <w:sz w:val="18"/>
                <w:szCs w:val="18"/>
                <w:color w:val="auto"/>
              </w:rPr>
              <w:t>Entertainment</w:t>
            </w:r>
          </w:p>
        </w:tc>
        <w:tc>
          <w:tcPr>
            <w:tcW w:w="268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6740" w:type="dxa"/>
            <w:vAlign w:val="bottom"/>
          </w:tcPr>
          <w:p>
            <w:pPr>
              <w:ind w:left="300"/>
              <w:spacing w:after="0"/>
              <w:rPr>
                <w:sz w:val="20"/>
                <w:szCs w:val="20"/>
                <w:color w:val="auto"/>
              </w:rPr>
            </w:pPr>
            <w:r>
              <w:rPr>
                <w:rFonts w:ascii="Arial" w:cs="Arial" w:eastAsia="Arial" w:hAnsi="Arial"/>
                <w:sz w:val="18"/>
                <w:szCs w:val="18"/>
                <w:color w:val="auto"/>
              </w:rPr>
              <w:t>Powertrain</w:t>
            </w:r>
          </w:p>
        </w:tc>
        <w:tc>
          <w:tcPr>
            <w:tcW w:w="268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6740" w:type="dxa"/>
            <w:vAlign w:val="bottom"/>
          </w:tcPr>
          <w:p>
            <w:pPr>
              <w:ind w:left="300"/>
              <w:spacing w:after="0"/>
              <w:rPr>
                <w:sz w:val="20"/>
                <w:szCs w:val="20"/>
                <w:color w:val="auto"/>
              </w:rPr>
            </w:pPr>
            <w:r>
              <w:rPr>
                <w:rFonts w:ascii="Arial" w:cs="Arial" w:eastAsia="Arial" w:hAnsi="Arial"/>
                <w:sz w:val="18"/>
                <w:szCs w:val="18"/>
                <w:color w:val="auto"/>
              </w:rPr>
              <w:t>Safety systems</w:t>
            </w:r>
          </w:p>
        </w:tc>
        <w:tc>
          <w:tcPr>
            <w:tcW w:w="2680" w:type="dxa"/>
            <w:vAlign w:val="bottom"/>
          </w:tcPr>
          <w:p>
            <w:pPr>
              <w:spacing w:after="0"/>
              <w:rPr>
                <w:sz w:val="18"/>
                <w:szCs w:val="18"/>
                <w:color w:val="auto"/>
              </w:rPr>
            </w:pPr>
          </w:p>
        </w:tc>
      </w:tr>
      <w:tr>
        <w:trPr>
          <w:trHeight w:val="230"/>
        </w:trPr>
        <w:tc>
          <w:tcPr>
            <w:tcW w:w="2000" w:type="dxa"/>
            <w:vAlign w:val="bottom"/>
          </w:tcPr>
          <w:p>
            <w:pPr>
              <w:spacing w:after="0"/>
              <w:rPr>
                <w:sz w:val="20"/>
                <w:szCs w:val="20"/>
                <w:color w:val="auto"/>
              </w:rPr>
            </w:pPr>
          </w:p>
        </w:tc>
        <w:tc>
          <w:tcPr>
            <w:tcW w:w="6740" w:type="dxa"/>
            <w:vAlign w:val="bottom"/>
          </w:tcPr>
          <w:p>
            <w:pPr>
              <w:ind w:left="300"/>
              <w:spacing w:after="0"/>
              <w:rPr>
                <w:sz w:val="20"/>
                <w:szCs w:val="20"/>
                <w:color w:val="auto"/>
              </w:rPr>
            </w:pPr>
            <w:r>
              <w:rPr>
                <w:rFonts w:ascii="Arial" w:cs="Arial" w:eastAsia="Arial" w:hAnsi="Arial"/>
                <w:sz w:val="18"/>
                <w:szCs w:val="18"/>
                <w:color w:val="auto"/>
              </w:rPr>
              <w:t>Security systems</w:t>
            </w:r>
          </w:p>
        </w:tc>
        <w:tc>
          <w:tcPr>
            <w:tcW w:w="2680" w:type="dxa"/>
            <w:vAlign w:val="bottom"/>
          </w:tcPr>
          <w:p>
            <w:pPr>
              <w:spacing w:after="0"/>
              <w:rPr>
                <w:sz w:val="20"/>
                <w:szCs w:val="20"/>
                <w:color w:val="auto"/>
              </w:rPr>
            </w:pPr>
          </w:p>
        </w:tc>
      </w:tr>
      <w:tr>
        <w:trPr>
          <w:trHeight w:val="418"/>
        </w:trPr>
        <w:tc>
          <w:tcPr>
            <w:tcW w:w="2000" w:type="dxa"/>
            <w:vAlign w:val="bottom"/>
          </w:tcPr>
          <w:p>
            <w:pPr>
              <w:spacing w:after="0"/>
              <w:rPr>
                <w:sz w:val="20"/>
                <w:szCs w:val="20"/>
                <w:color w:val="auto"/>
              </w:rPr>
            </w:pPr>
            <w:r>
              <w:rPr>
                <w:rFonts w:ascii="Arial" w:cs="Arial" w:eastAsia="Arial" w:hAnsi="Arial"/>
                <w:sz w:val="18"/>
                <w:szCs w:val="18"/>
                <w:b w:val="1"/>
                <w:bCs w:val="1"/>
                <w:color w:val="auto"/>
              </w:rPr>
              <w:t>Education</w:t>
            </w:r>
          </w:p>
        </w:tc>
        <w:tc>
          <w:tcPr>
            <w:tcW w:w="6740" w:type="dxa"/>
            <w:vAlign w:val="bottom"/>
          </w:tcPr>
          <w:p>
            <w:pPr>
              <w:ind w:left="300"/>
              <w:spacing w:after="0"/>
              <w:rPr>
                <w:sz w:val="20"/>
                <w:szCs w:val="20"/>
                <w:color w:val="auto"/>
              </w:rPr>
            </w:pPr>
            <w:r>
              <w:rPr>
                <w:rFonts w:ascii="Arial" w:cs="Arial" w:eastAsia="Arial" w:hAnsi="Arial"/>
                <w:sz w:val="18"/>
                <w:szCs w:val="18"/>
                <w:color w:val="auto"/>
              </w:rPr>
              <w:t>Handheld graphing and scientific calculators</w:t>
            </w:r>
          </w:p>
        </w:tc>
        <w:tc>
          <w:tcPr>
            <w:tcW w:w="2680" w:type="dxa"/>
            <w:vAlign w:val="bottom"/>
          </w:tcPr>
          <w:p>
            <w:pPr>
              <w:ind w:left="400"/>
              <w:spacing w:after="0"/>
              <w:rPr>
                <w:sz w:val="20"/>
                <w:szCs w:val="20"/>
                <w:color w:val="auto"/>
              </w:rPr>
            </w:pPr>
            <w:r>
              <w:rPr>
                <w:rFonts w:ascii="Arial" w:cs="Arial" w:eastAsia="Arial" w:hAnsi="Arial"/>
                <w:sz w:val="18"/>
                <w:szCs w:val="18"/>
                <w:color w:val="auto"/>
              </w:rPr>
              <w:t>Other</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(4% of product</w:t>
            </w:r>
          </w:p>
        </w:tc>
        <w:tc>
          <w:tcPr>
            <w:tcW w:w="6740" w:type="dxa"/>
            <w:vAlign w:val="bottom"/>
          </w:tcPr>
          <w:p>
            <w:pPr>
              <w:ind w:left="300"/>
              <w:spacing w:after="0"/>
              <w:rPr>
                <w:sz w:val="20"/>
                <w:szCs w:val="20"/>
                <w:color w:val="auto"/>
              </w:rPr>
            </w:pPr>
            <w:r>
              <w:rPr>
                <w:rFonts w:ascii="Arial" w:cs="Arial" w:eastAsia="Arial" w:hAnsi="Arial"/>
                <w:sz w:val="18"/>
                <w:szCs w:val="18"/>
                <w:color w:val="auto"/>
              </w:rPr>
              <w:t>Educational software</w:t>
            </w:r>
          </w:p>
        </w:tc>
        <w:tc>
          <w:tcPr>
            <w:tcW w:w="2680" w:type="dxa"/>
            <w:vAlign w:val="bottom"/>
          </w:tcPr>
          <w:p>
            <w:pPr>
              <w:spacing w:after="0"/>
              <w:rPr>
                <w:sz w:val="18"/>
                <w:szCs w:val="18"/>
                <w:color w:val="auto"/>
              </w:rPr>
            </w:pPr>
          </w:p>
        </w:tc>
      </w:tr>
      <w:tr>
        <w:trPr>
          <w:trHeight w:val="230"/>
        </w:trPr>
        <w:tc>
          <w:tcPr>
            <w:tcW w:w="2000" w:type="dxa"/>
            <w:vAlign w:val="bottom"/>
          </w:tcPr>
          <w:p>
            <w:pPr>
              <w:spacing w:after="0"/>
              <w:rPr>
                <w:sz w:val="20"/>
                <w:szCs w:val="20"/>
                <w:color w:val="auto"/>
              </w:rPr>
            </w:pPr>
            <w:r>
              <w:rPr>
                <w:rFonts w:ascii="Arial" w:cs="Arial" w:eastAsia="Arial" w:hAnsi="Arial"/>
                <w:sz w:val="18"/>
                <w:szCs w:val="18"/>
                <w:color w:val="auto"/>
              </w:rPr>
              <w:t>revenue)</w:t>
            </w:r>
          </w:p>
        </w:tc>
        <w:tc>
          <w:tcPr>
            <w:tcW w:w="6740" w:type="dxa"/>
            <w:vAlign w:val="bottom"/>
          </w:tcPr>
          <w:p>
            <w:pPr>
              <w:spacing w:after="0"/>
              <w:rPr>
                <w:sz w:val="20"/>
                <w:szCs w:val="20"/>
                <w:color w:val="auto"/>
              </w:rPr>
            </w:pPr>
          </w:p>
        </w:tc>
        <w:tc>
          <w:tcPr>
            <w:tcW w:w="2680" w:type="dxa"/>
            <w:vAlign w:val="bottom"/>
          </w:tcPr>
          <w:p>
            <w:pPr>
              <w:spacing w:after="0"/>
              <w:rPr>
                <w:sz w:val="20"/>
                <w:szCs w:val="20"/>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Characteristics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cycle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global semiconductor market is characterized by constant, though generally incremental, advances in product designs and manufacturing</w:t>
      </w:r>
    </w:p>
    <w:p>
      <w:pPr>
        <w:spacing w:after="0" w:line="2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processes. Semiconductor prices and manufacturing costs tend to decline over time as manufacturing processes and product life cycles mature. Typically, new chips are produced in limited quantities at first and then ramp to high-volume production over time.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cycle</w:t>
      </w:r>
    </w:p>
    <w:p>
      <w:pPr>
        <w:spacing w:after="0" w:line="25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“semiconductor cycle” is an important concept that refers to the ebb and flow of supply. The semiconductor market historically has been characterized by periods of tight supply caused by strengthening demand and/or insufficient manufacturing capacity, followed by periods of surplus inventory caused by weakening demand and/or excess manufacturing capacity. This cycle is affected by the significant time and money required to build and maintain semiconductor manufacturing facilities.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Seasonality</w:t>
      </w:r>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revenue and operating results are subject to some seasonal variation. Our semiconductor sales generally are seasonally weaker in the first quarter than in other quarters, particularly for products sold into cell phones and other consumer electronics devices, which have stronger sales later in the year as manufacturers prepare for the major holiday selling seasons. Calculator revenue is tied to the U.S. back-to-school season and is therefore at its highest in the second and third quarters. Royalty revenue is not always uniform or predictable, in part due to the performance of our licensees and in part due to the timing of new license agreements or the expiration and renewal of existing agreements.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Competitive landscape</w:t>
      </w:r>
    </w:p>
    <w:p>
      <w:pPr>
        <w:spacing w:after="0" w:line="25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each segment, we face significant global competition from numerous large and small companies, including both broad-based suppliers and niche suppliers. We believe that competitive performance in the semiconductor market generally depends on several factors, including the breadth of a company’s product line, technological innovation, technical support, customer service, quality, reliability, price and scale. With expertise in both analog and embedded processing , we believe we are capable of providing best-in-class solutions and system-level knowledge to help our customers create more advanced systems and products and bring their products to market sooner.</w:t>
      </w:r>
    </w:p>
    <w:p>
      <w:pPr>
        <w:spacing w:after="0" w:line="21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primary competitive factors for our Analog products include design proficiency, a diverse product portfolio to meet wide-ranging customer needs, manufacturing process technologies that provide differentiated levels of performance and manufacturing expertise. Our primary Analog competitors include Analog Devices, Inc.; Freescale Semiconductor, Inc.; Infineon Technologies AG; Intersil Corporation; Linear Technology Corporation; Maxim Integrated Products, Inc.; National Semiconductor Corporation; NXP B.V.; Richtek Technology Corporation; and STMicroelectronics NV.</w:t>
      </w:r>
    </w:p>
    <w:p>
      <w:pPr>
        <w:spacing w:after="0" w:line="198"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The primary competitive factors for our Embedded Processing products are the ability to design and cost-effectively manufacture products, system-level knowledge about targeted end markets, installed base of software, software expertise, applications support and a product’s performance and power characteristics. Primary competitors of our Embedded Processing segment include Atmel Corporation; Freescale Semiconductor, Inc.; Microchip Technology, Inc.; NEC Electronics; Renesas Technology Corp.; and STMicroelectronics NV.</w:t>
      </w:r>
    </w:p>
    <w:p>
      <w:pPr>
        <w:spacing w:after="0" w:line="21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primary competitive factors for our Wireless products are the ability to design and cost-effectively manufacture products, system-level knowledge about targeted end markets, installed base of software, software expertise, applications support and a product’s performance and power characteristics. Primary Wireless competitors include Broadcom Corp.; CSR plc; Freescale Semiconductor, Inc.; Infineon Technologies AG; Intel Corporation; Marvell Technology Group, Ltd.; NVIDIA Corporation; QUALCOMM Incorporated and ST-Ericsson.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252"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Semiconductor manufacturing begins with a sequence of photo-lithographic and chemical processing steps that fabricate a number of semiconductor devices on a thin silicon wafer. Each device on the wafer is tested and the wafer is cut into pieces called chips. Each chip is assembled into a package that then may be retested. The entire process typically requires between 12 and 18 weeks and takes place in highly specialized facilities.</w:t>
      </w:r>
    </w:p>
    <w:p>
      <w:pPr>
        <w:spacing w:after="0" w:line="19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own and operate semiconductor manufacturing facilities in North America, Asia and Europe. These include both high-volume wafer fabrication and assembly/test facilities. Our facilities require substantial investment to construct and are largely fixed-cost assets once in operation. Because we own much of our manufacturing capacity, a significant portion of our operating cost is fixed. In general, these fixed costs do not decline with reductions in customer demand or utilization of capacity, potentially hurting our profit margins. Conversely, as product demand rises and factory utilization increases, the fixed costs are spread over increased output, potentially benefiting our profit margins.</w:t>
      </w:r>
    </w:p>
    <w:p>
      <w:pPr>
        <w:spacing w:after="0" w:line="21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cost and lifespan of the equipment and processes we use to manufacture semiconductors varies by product. Our Analog products and most of our Embedded Processing products can be manufactured using older, less expensive equipment than is needed for manufacturing advanced logic products, such as our Wireless products. Advanced logic wafer manufacturing continually requires new and expensive processes and equipment. In contrast, the processes and equipment required for manufacturing our Analog products and most of our Embedded Processing products do not have this requirement.</w:t>
      </w:r>
    </w:p>
    <w:p>
      <w:pPr>
        <w:spacing w:after="0" w:line="18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To supplement our internal wafer fabrication capacity and maximize our responsiveness to customer demand and return on capital expenditures, our wafer manufacturing strategy utilizes the capacity of outside suppliers, commonly known as foundries. Our strategy involves installing internal wafer fabrication capacity to a level we believe will remain fully utilized over the equipment’s useful lifetime and then outsourcing remaining capacity needs to foundries. In 2009, external foundries provided about 55 percent of the fabricated wafers for our advanced logic manufacturing needs. We expect the proportion of our advanced logic wafers provided by foundries will increase over time. We expect to maintain sufficient internal wafer fabrication capacity to meet the vast majority of our analog production needs.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p>
      <w:pPr>
        <w:ind w:right="20"/>
        <w:spacing w:after="0" w:line="259" w:lineRule="auto"/>
        <w:rPr>
          <w:sz w:val="20"/>
          <w:szCs w:val="20"/>
          <w:color w:val="auto"/>
        </w:rPr>
      </w:pPr>
      <w:r>
        <w:rPr>
          <w:rFonts w:ascii="Arial" w:cs="Arial" w:eastAsia="Arial" w:hAnsi="Arial"/>
          <w:sz w:val="18"/>
          <w:szCs w:val="18"/>
          <w:color w:val="auto"/>
        </w:rPr>
        <w:t>In addition to using foundries to supplement our wafer fabrication capacity, we selectively use subcontractors to supplement our assembly/test capacity. We generally use subcontractors for assembly/test of products that would be less cost-efficient to complete in-house (e.g., relatively low-volume products that are unlikely to keep internal equipment fully utilized), or when demand temporarily exceeds our internal capacity. We believe we often have a cost advantage in maintaining internal assembly/test capacity.</w:t>
      </w:r>
    </w:p>
    <w:p>
      <w:pPr>
        <w:spacing w:after="0" w:line="21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internal/external manufacturing strategy reduces the level of our required capital expenditures, and thereby reduces our subsequent levels of depreciation below what it would be if we sourced all manufacturing internally. Consequently, we experience less fluctuation in our profit margins due to changing product demand, and lower cash requirements for expanding and updating our manufacturing capabilities.</w:t>
      </w:r>
    </w:p>
    <w:p>
      <w:pPr>
        <w:spacing w:after="0" w:line="20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2009, to expand our existing wafer fabrication capacity, we began installing equipment in the industry’s first 300-millimeter analog wafer factory, located in Richardson, Texas, and are currently qualifying for production. We also opened a new assembly/test facility in the Philippines to significantly increase our assembly/test capacity.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inventory practices differ by product, but we generally maintain inventory levels that are consistent with our expectations of customer demand. Because of the longer product life cycles of standard products and their inherently lower risk of obsolescence, we generally carry more of those products than custom products. Additionally, we sometimes maintain standard-product inventory in unfinished wafer form, allowing greater flexibility to meet final package and test configurations.</w:t>
      </w:r>
    </w:p>
    <w:p>
      <w:pPr>
        <w:spacing w:after="0" w:line="21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a result of two multi-year trends, in general we expect to carry higher levels of inventory relative to our revenue expectations (commonly viewed by investors as days of inventory) than in past years. First, standard products have become a larger part of our portfolio. Second, we have increased consignment programs for our largest customers and some distributors and, as a result, we now carry more inventory on average than in the past in order to service the needs of these customers.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 Centers</w:t>
      </w:r>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design centers provide design, engineering and product application support as well as after-sales customer service. The design centers are strategically located around the world to take advantage of key technical and engineering talent and proximity to key customers.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52"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Our products are sold to original equipment manufacturers (OEMs), original design manufacturers (ODMs), contract manufacturers and distributors. (An OEM designs and sells products under its own brand that it manufactures in-house or has manufactured by others. An ODM designs and manufactures products for other companies, which then sell those products under their own brand.) Our largest single customer in 2009 was an OEM, the Nokia group of companies. Sales to Nokia were about 20 percent of our revenue in 2009, and a majority of this revenue was in our Wireless segment.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Distribution</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market and sell our semiconductor products through a direct sales force, distributors and authorized third-party sales representatives. We have sales or marketing offices in over 30 countries worldwide and have expanded our sales networks in the emerging markets of China, India and Eastern Europe over the last few years. Distributors located around the world account for about 30 percent of our revenue. Our distributors maintain an inventory of our products and sell directly to a wide range of customers. They also sell products from our competitors. Our distribution network holds a mix of distributor-owned and TI-consigned inventory. Over time, we expect this mix will shift more toward consignment. We sell our calculator products primarily through retailers and instructional dealers.</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Acquisitions, Divestitures and Investments</w:t>
      </w:r>
    </w:p>
    <w:p>
      <w:pPr>
        <w:spacing w:after="0" w:line="25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From time to time we consider acquisitions and divestitures that may strengthen or better focus our business portfolio. We also make investments directly or indirectly in private companies. Investments are focused primarily on next-generation technologies and markets strategic to 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252"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We define backlog as of a particular date as firm purchase orders with a customer-requested delivery date within a specified length of time. As customer requirements and industry conditions change, orders may be, under certain circumstances, subject to cancellation or modification of terms such as pricing, quantity or delivery date. Customer order placement practices continually evolve based on customers’ individual business needs and capabilities, as well as industry supply and capacity considerations. Accordingly, our backlog at any particular date may not be indicative of revenue for any future period. Our backlog of orders was $1.79 billion at December 31, 2009, and $0.86 billion at December 31, 2008.</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Raw Materials</w:t>
      </w:r>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purchase materials, parts and supplies from a number of suppliers. In some cases we purchase such items from sole source suppliers. The materials, parts and supplies essential to our business are generally available at present, and we believe that such materials, parts and supplies will be available in the foreseeable future.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own many patents, and have many patent applications pending, in the United States and other countries in fields relating to our business. We have developed a strong, broad-based patent portfolio and continually add patents to that portfolio. We also have agreements with numerous companies involving license rights and anticipate that other license agreements may be negotiated in the future. In general, our license agreements have multi-year terms and may be renewed after renegotiation.</w:t>
      </w:r>
    </w:p>
    <w:p>
      <w:pPr>
        <w:spacing w:after="0" w:line="21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Our semiconductor patent portfolio is an ongoing contributor to our revenue. We do not consider our business materially dependent upon any one patent or patent license, although taken as a whole, our rights and the products made and sold under patents and patent licenses are important to our business.</w:t>
      </w:r>
    </w:p>
    <w:p>
      <w:pPr>
        <w:spacing w:after="0" w:line="15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often participate in industry initiatives to set technical standards. Our competitors may also participate in the same initiatives. Participation in these initiatives may require us to license our patents to other companies.</w:t>
      </w:r>
    </w:p>
    <w:p>
      <w:pPr>
        <w:spacing w:after="0" w:line="197"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We own trademarks that are used in the conduct of our business. These trademarks are valuable assets, the most important of which are “Texas Instruments” and our corporate monogram. Other valuable trademarks include OMAP</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and DLP</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52"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Our primary area of R&amp;D investment is Analog and Embedded Processing products. We conduct most of our R&amp;D internally. However, we also closely engage with a wide range of universities and select external industry consortia, and we collaborate with our foundry suppliers on semiconductor manufacturing technology.</w:t>
      </w:r>
    </w:p>
    <w:p>
      <w:pPr>
        <w:spacing w:after="0" w:line="20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From time to time we may terminate R&amp;D projects before completion or decide not to manufacture and sell a developed product. We do not expect that all of our R&amp;D projects will result in products that are ultimately released for sale, or that our projects will contribute significant revenue until at least a few years following completion.</w:t>
      </w:r>
    </w:p>
    <w:p>
      <w:pPr>
        <w:spacing w:after="0" w:line="20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R&amp;D expense was $1.48 billion in 2009, compared with $1.94 billion in 2008 and $2.14 billion in 2007. The recent decrease in our R&amp;D expense is largely the result of our decisions to discontinue R&amp;D for advanced logic manufacturing and Wireless baseband products.</w:t>
      </w: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Executive Officers of the Registrant</w:t>
      </w:r>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is an alphabetical list of the names and ages of the executive officers of the company and the positions or offices with the company presently held by each person named: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940" w:type="dxa"/>
            <w:vAlign w:val="bottom"/>
          </w:tcPr>
          <w:p>
            <w:pPr>
              <w:jc w:val="center"/>
              <w:ind w:left="270"/>
              <w:spacing w:after="0"/>
              <w:rPr>
                <w:sz w:val="20"/>
                <w:szCs w:val="20"/>
                <w:color w:val="auto"/>
              </w:rPr>
            </w:pPr>
            <w:r>
              <w:rPr>
                <w:rFonts w:ascii="Arial" w:cs="Arial" w:eastAsia="Arial" w:hAnsi="Arial"/>
                <w:sz w:val="18"/>
                <w:szCs w:val="18"/>
                <w:b w:val="1"/>
                <w:bCs w:val="1"/>
                <w:color w:val="auto"/>
                <w:w w:val="88"/>
              </w:rPr>
              <w:t>Age</w:t>
            </w:r>
          </w:p>
        </w:tc>
        <w:tc>
          <w:tcPr>
            <w:tcW w:w="8360" w:type="dxa"/>
            <w:vAlign w:val="bottom"/>
          </w:tcPr>
          <w:p>
            <w:pPr>
              <w:ind w:left="140"/>
              <w:spacing w:after="0"/>
              <w:rPr>
                <w:sz w:val="20"/>
                <w:szCs w:val="20"/>
                <w:color w:val="auto"/>
              </w:rPr>
            </w:pPr>
            <w:r>
              <w:rPr>
                <w:rFonts w:ascii="Arial" w:cs="Arial" w:eastAsia="Arial" w:hAnsi="Arial"/>
                <w:sz w:val="18"/>
                <w:szCs w:val="18"/>
                <w:b w:val="1"/>
                <w:bCs w:val="1"/>
                <w:color w:val="auto"/>
              </w:rPr>
              <w:t>Position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Stephen A. Anderson</w:t>
            </w:r>
          </w:p>
        </w:tc>
        <w:tc>
          <w:tcPr>
            <w:tcW w:w="94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9"/>
              </w:rPr>
              <w:t>48</w:t>
            </w:r>
          </w:p>
        </w:tc>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Senior Vice President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R. Gregory Delagi</w:t>
            </w:r>
          </w:p>
        </w:tc>
        <w:tc>
          <w:tcPr>
            <w:tcW w:w="940" w:type="dxa"/>
            <w:vAlign w:val="bottom"/>
          </w:tcPr>
          <w:p>
            <w:pPr>
              <w:jc w:val="center"/>
              <w:ind w:left="270"/>
              <w:spacing w:after="0"/>
              <w:rPr>
                <w:sz w:val="20"/>
                <w:szCs w:val="20"/>
                <w:color w:val="auto"/>
              </w:rPr>
            </w:pPr>
            <w:r>
              <w:rPr>
                <w:rFonts w:ascii="Arial" w:cs="Arial" w:eastAsia="Arial" w:hAnsi="Arial"/>
                <w:sz w:val="18"/>
                <w:szCs w:val="18"/>
                <w:color w:val="auto"/>
                <w:w w:val="89"/>
              </w:rPr>
              <w:t>47</w:t>
            </w:r>
          </w:p>
        </w:tc>
        <w:tc>
          <w:tcPr>
            <w:tcW w:w="8360" w:type="dxa"/>
            <w:vAlign w:val="bottom"/>
          </w:tcPr>
          <w:p>
            <w:pPr>
              <w:ind w:left="140"/>
              <w:spacing w:after="0"/>
              <w:rPr>
                <w:sz w:val="20"/>
                <w:szCs w:val="20"/>
                <w:color w:val="auto"/>
              </w:rPr>
            </w:pPr>
            <w:r>
              <w:rPr>
                <w:rFonts w:ascii="Arial" w:cs="Arial" w:eastAsia="Arial" w:hAnsi="Arial"/>
                <w:sz w:val="18"/>
                <w:szCs w:val="18"/>
                <w:color w:val="auto"/>
              </w:rPr>
              <w:t>Senior Vice President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Arthur L. George, Jr.</w:t>
            </w:r>
          </w:p>
        </w:tc>
        <w:tc>
          <w:tcPr>
            <w:tcW w:w="94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9"/>
              </w:rPr>
              <w:t>48</w:t>
            </w:r>
          </w:p>
        </w:tc>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Senior Vice President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Michael J. Hames</w:t>
            </w:r>
          </w:p>
        </w:tc>
        <w:tc>
          <w:tcPr>
            <w:tcW w:w="940" w:type="dxa"/>
            <w:vAlign w:val="bottom"/>
          </w:tcPr>
          <w:p>
            <w:pPr>
              <w:jc w:val="center"/>
              <w:ind w:left="270"/>
              <w:spacing w:after="0"/>
              <w:rPr>
                <w:sz w:val="20"/>
                <w:szCs w:val="20"/>
                <w:color w:val="auto"/>
              </w:rPr>
            </w:pPr>
            <w:r>
              <w:rPr>
                <w:rFonts w:ascii="Arial" w:cs="Arial" w:eastAsia="Arial" w:hAnsi="Arial"/>
                <w:sz w:val="18"/>
                <w:szCs w:val="18"/>
                <w:color w:val="auto"/>
                <w:w w:val="89"/>
              </w:rPr>
              <w:t>51</w:t>
            </w:r>
          </w:p>
        </w:tc>
        <w:tc>
          <w:tcPr>
            <w:tcW w:w="8360" w:type="dxa"/>
            <w:vAlign w:val="bottom"/>
          </w:tcPr>
          <w:p>
            <w:pPr>
              <w:ind w:left="140"/>
              <w:spacing w:after="0"/>
              <w:rPr>
                <w:sz w:val="20"/>
                <w:szCs w:val="20"/>
                <w:color w:val="auto"/>
              </w:rPr>
            </w:pPr>
            <w:r>
              <w:rPr>
                <w:rFonts w:ascii="Arial" w:cs="Arial" w:eastAsia="Arial" w:hAnsi="Arial"/>
                <w:sz w:val="18"/>
                <w:szCs w:val="18"/>
                <w:color w:val="auto"/>
              </w:rPr>
              <w:t>Senior Vice President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David K. Heacock</w:t>
            </w:r>
          </w:p>
        </w:tc>
        <w:tc>
          <w:tcPr>
            <w:tcW w:w="94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9"/>
              </w:rPr>
              <w:t>49</w:t>
            </w:r>
          </w:p>
        </w:tc>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Senior Vice President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Joseph F. Hubach</w:t>
            </w:r>
          </w:p>
        </w:tc>
        <w:tc>
          <w:tcPr>
            <w:tcW w:w="940" w:type="dxa"/>
            <w:vAlign w:val="bottom"/>
          </w:tcPr>
          <w:p>
            <w:pPr>
              <w:jc w:val="center"/>
              <w:ind w:left="270"/>
              <w:spacing w:after="0"/>
              <w:rPr>
                <w:sz w:val="20"/>
                <w:szCs w:val="20"/>
                <w:color w:val="auto"/>
              </w:rPr>
            </w:pPr>
            <w:r>
              <w:rPr>
                <w:rFonts w:ascii="Arial" w:cs="Arial" w:eastAsia="Arial" w:hAnsi="Arial"/>
                <w:sz w:val="18"/>
                <w:szCs w:val="18"/>
                <w:color w:val="auto"/>
                <w:w w:val="89"/>
              </w:rPr>
              <w:t>52</w:t>
            </w:r>
          </w:p>
        </w:tc>
        <w:tc>
          <w:tcPr>
            <w:tcW w:w="8360" w:type="dxa"/>
            <w:vAlign w:val="bottom"/>
          </w:tcPr>
          <w:p>
            <w:pPr>
              <w:ind w:left="140"/>
              <w:spacing w:after="0"/>
              <w:rPr>
                <w:sz w:val="20"/>
                <w:szCs w:val="20"/>
                <w:color w:val="auto"/>
              </w:rPr>
            </w:pPr>
            <w:r>
              <w:rPr>
                <w:rFonts w:ascii="Arial" w:cs="Arial" w:eastAsia="Arial" w:hAnsi="Arial"/>
                <w:sz w:val="18"/>
                <w:szCs w:val="18"/>
                <w:color w:val="auto"/>
              </w:rPr>
              <w:t>Senior Vice President, Secretary and General Counsel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Melendy E. Lovett</w:t>
            </w:r>
          </w:p>
        </w:tc>
        <w:tc>
          <w:tcPr>
            <w:tcW w:w="94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9"/>
              </w:rPr>
              <w:t>51</w:t>
            </w:r>
          </w:p>
        </w:tc>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Senior Vice President (President, Education Technology)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Gregg A. Lowe</w:t>
            </w:r>
          </w:p>
        </w:tc>
        <w:tc>
          <w:tcPr>
            <w:tcW w:w="940" w:type="dxa"/>
            <w:vAlign w:val="bottom"/>
          </w:tcPr>
          <w:p>
            <w:pPr>
              <w:jc w:val="center"/>
              <w:ind w:left="270"/>
              <w:spacing w:after="0"/>
              <w:rPr>
                <w:sz w:val="20"/>
                <w:szCs w:val="20"/>
                <w:color w:val="auto"/>
              </w:rPr>
            </w:pPr>
            <w:r>
              <w:rPr>
                <w:rFonts w:ascii="Arial" w:cs="Arial" w:eastAsia="Arial" w:hAnsi="Arial"/>
                <w:sz w:val="18"/>
                <w:szCs w:val="18"/>
                <w:color w:val="auto"/>
                <w:w w:val="89"/>
              </w:rPr>
              <w:t>47</w:t>
            </w:r>
          </w:p>
        </w:tc>
        <w:tc>
          <w:tcPr>
            <w:tcW w:w="8360" w:type="dxa"/>
            <w:vAlign w:val="bottom"/>
          </w:tcPr>
          <w:p>
            <w:pPr>
              <w:ind w:left="140"/>
              <w:spacing w:after="0"/>
              <w:rPr>
                <w:sz w:val="20"/>
                <w:szCs w:val="20"/>
                <w:color w:val="auto"/>
              </w:rPr>
            </w:pPr>
            <w:r>
              <w:rPr>
                <w:rFonts w:ascii="Arial" w:cs="Arial" w:eastAsia="Arial" w:hAnsi="Arial"/>
                <w:sz w:val="18"/>
                <w:szCs w:val="18"/>
                <w:color w:val="auto"/>
              </w:rPr>
              <w:t>Senior Vice President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Kevin P. March</w:t>
            </w:r>
          </w:p>
        </w:tc>
        <w:tc>
          <w:tcPr>
            <w:tcW w:w="94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9"/>
              </w:rPr>
              <w:t>52</w:t>
            </w:r>
          </w:p>
        </w:tc>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Robert K. Novak</w:t>
            </w:r>
          </w:p>
        </w:tc>
        <w:tc>
          <w:tcPr>
            <w:tcW w:w="940" w:type="dxa"/>
            <w:vAlign w:val="bottom"/>
          </w:tcPr>
          <w:p>
            <w:pPr>
              <w:jc w:val="center"/>
              <w:ind w:left="270"/>
              <w:spacing w:after="0"/>
              <w:rPr>
                <w:sz w:val="20"/>
                <w:szCs w:val="20"/>
                <w:color w:val="auto"/>
              </w:rPr>
            </w:pPr>
            <w:r>
              <w:rPr>
                <w:rFonts w:ascii="Arial" w:cs="Arial" w:eastAsia="Arial" w:hAnsi="Arial"/>
                <w:sz w:val="18"/>
                <w:szCs w:val="18"/>
                <w:color w:val="auto"/>
                <w:w w:val="89"/>
              </w:rPr>
              <w:t>44</w:t>
            </w:r>
          </w:p>
        </w:tc>
        <w:tc>
          <w:tcPr>
            <w:tcW w:w="8360" w:type="dxa"/>
            <w:vAlign w:val="bottom"/>
          </w:tcPr>
          <w:p>
            <w:pPr>
              <w:ind w:left="140"/>
              <w:spacing w:after="0"/>
              <w:rPr>
                <w:sz w:val="20"/>
                <w:szCs w:val="20"/>
                <w:color w:val="auto"/>
              </w:rPr>
            </w:pPr>
            <w:r>
              <w:rPr>
                <w:rFonts w:ascii="Arial" w:cs="Arial" w:eastAsia="Arial" w:hAnsi="Arial"/>
                <w:sz w:val="18"/>
                <w:szCs w:val="18"/>
                <w:color w:val="auto"/>
              </w:rPr>
              <w:t>Senior Vice President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Kevin J. Ritchie</w:t>
            </w:r>
          </w:p>
        </w:tc>
        <w:tc>
          <w:tcPr>
            <w:tcW w:w="94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9"/>
              </w:rPr>
              <w:t>53</w:t>
            </w:r>
          </w:p>
        </w:tc>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Senior Vice President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John J. Szczsponik, Jr.</w:t>
            </w:r>
          </w:p>
        </w:tc>
        <w:tc>
          <w:tcPr>
            <w:tcW w:w="940" w:type="dxa"/>
            <w:vAlign w:val="bottom"/>
          </w:tcPr>
          <w:p>
            <w:pPr>
              <w:jc w:val="center"/>
              <w:ind w:left="270"/>
              <w:spacing w:after="0"/>
              <w:rPr>
                <w:sz w:val="20"/>
                <w:szCs w:val="20"/>
                <w:color w:val="auto"/>
              </w:rPr>
            </w:pPr>
            <w:r>
              <w:rPr>
                <w:rFonts w:ascii="Arial" w:cs="Arial" w:eastAsia="Arial" w:hAnsi="Arial"/>
                <w:sz w:val="18"/>
                <w:szCs w:val="18"/>
                <w:color w:val="auto"/>
                <w:w w:val="89"/>
              </w:rPr>
              <w:t>49</w:t>
            </w:r>
          </w:p>
        </w:tc>
        <w:tc>
          <w:tcPr>
            <w:tcW w:w="8360" w:type="dxa"/>
            <w:vAlign w:val="bottom"/>
          </w:tcPr>
          <w:p>
            <w:pPr>
              <w:ind w:left="140"/>
              <w:spacing w:after="0"/>
              <w:rPr>
                <w:sz w:val="20"/>
                <w:szCs w:val="20"/>
                <w:color w:val="auto"/>
              </w:rPr>
            </w:pPr>
            <w:r>
              <w:rPr>
                <w:rFonts w:ascii="Arial" w:cs="Arial" w:eastAsia="Arial" w:hAnsi="Arial"/>
                <w:sz w:val="18"/>
                <w:szCs w:val="18"/>
                <w:color w:val="auto"/>
              </w:rPr>
              <w:t>Senior Vice President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Richard K. Templeton</w:t>
            </w:r>
          </w:p>
        </w:tc>
        <w:tc>
          <w:tcPr>
            <w:tcW w:w="94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9"/>
              </w:rPr>
              <w:t>51</w:t>
            </w:r>
          </w:p>
        </w:tc>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Director; Chairman of the Board; President and 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Teresa L. West</w:t>
            </w:r>
          </w:p>
        </w:tc>
        <w:tc>
          <w:tcPr>
            <w:tcW w:w="940" w:type="dxa"/>
            <w:vAlign w:val="bottom"/>
          </w:tcPr>
          <w:p>
            <w:pPr>
              <w:jc w:val="center"/>
              <w:ind w:left="270"/>
              <w:spacing w:after="0"/>
              <w:rPr>
                <w:sz w:val="20"/>
                <w:szCs w:val="20"/>
                <w:color w:val="auto"/>
              </w:rPr>
            </w:pPr>
            <w:r>
              <w:rPr>
                <w:rFonts w:ascii="Arial" w:cs="Arial" w:eastAsia="Arial" w:hAnsi="Arial"/>
                <w:sz w:val="18"/>
                <w:szCs w:val="18"/>
                <w:color w:val="auto"/>
                <w:w w:val="89"/>
              </w:rPr>
              <w:t>49</w:t>
            </w:r>
          </w:p>
        </w:tc>
        <w:tc>
          <w:tcPr>
            <w:tcW w:w="8360" w:type="dxa"/>
            <w:vAlign w:val="bottom"/>
          </w:tcPr>
          <w:p>
            <w:pPr>
              <w:ind w:left="140"/>
              <w:spacing w:after="0"/>
              <w:rPr>
                <w:sz w:val="20"/>
                <w:szCs w:val="20"/>
                <w:color w:val="auto"/>
              </w:rPr>
            </w:pPr>
            <w:r>
              <w:rPr>
                <w:rFonts w:ascii="Arial" w:cs="Arial" w:eastAsia="Arial" w:hAnsi="Arial"/>
                <w:sz w:val="18"/>
                <w:szCs w:val="18"/>
                <w:color w:val="auto"/>
              </w:rPr>
              <w:t>Senior Vice President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Darla H. Whitaker</w:t>
            </w:r>
          </w:p>
        </w:tc>
        <w:tc>
          <w:tcPr>
            <w:tcW w:w="94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9"/>
              </w:rPr>
              <w:t>44</w:t>
            </w:r>
          </w:p>
        </w:tc>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Senior Vice President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The term of office of the above-listed officers is from the date of their election until their successor shall have been elected and qualified. All executive officers of the company have been employees of the company for more than five years. Mses. Lovett and West and Messrs. Hames, Hubach, Lowe, March, Ritchie and Templeton have served as executive officers of the company for more than five years. Mr. George and Ms. Whitaker became executive officers of the company in 2006. Messrs. Delagi and Heacock became executive officers of the company in 2007. Messrs. Anderson and Novak became executive officers of the company in 2008. Mr. Szczsponik became an executive officer of the company in 2009.</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2009, we had 26,584 employees.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25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Internet address is www.ti.com. Information on our web site is not a part of this report. We make available, free of charge, through our investor relations web site our reports on Forms 10-K, 10-Q and 8-K, and amendments to those reports, as soon as reasonably practicable after they are filed with the</w:t>
      </w:r>
    </w:p>
    <w:p>
      <w:pPr>
        <w:ind w:right="120"/>
        <w:spacing w:after="0" w:line="261" w:lineRule="auto"/>
        <w:rPr>
          <w:sz w:val="20"/>
          <w:szCs w:val="20"/>
          <w:color w:val="auto"/>
        </w:rPr>
      </w:pPr>
      <w:r>
        <w:rPr>
          <w:rFonts w:ascii="Arial" w:cs="Arial" w:eastAsia="Arial" w:hAnsi="Arial"/>
          <w:sz w:val="18"/>
          <w:szCs w:val="18"/>
          <w:color w:val="auto"/>
        </w:rPr>
        <w:t>SEC. Also available through the TI investor relations web site are reports filed by our directors and executive officers on Forms 3, 4 and 5, and amendments to those reports.</w:t>
      </w:r>
    </w:p>
    <w:p>
      <w:pPr>
        <w:spacing w:after="0" w:line="21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Available on our web site at www.ti.com/corporategovernance are: (i) our Corporate Governance Guidelines; (ii) charters for the Audit, Compensation, and Governance and Stockholder Relations Committees of our board of directors; (iii) our Code of Business Conduct; and (iv) our Code of Ethics for TI Chief Executive Officer and Senior Financial Officers. Stockholders may request copies of these documents free of charge by writing to Texas Instruments Incorporated, P.O. Box 660199, MS 8657, Dallas, Texas, 75266-0199, Attention: Investor Relations.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You should read the following Risk Factors in conjunction with the factors discussed elsewhere in this and other of our filings with the Securities and Exchange Commission (SEC) and in materials incorporated by reference in these filings. These Risk Factors are intended to highlight certain factors that may affect our financial condition and results of operations and are not meant to be an exhaustive discussion of risks that apply to companies like TI with broad international operations. Like other companies, we are susceptible to macroeconomic downturns in the United States or abroad that may affect the general economic climate and our performance and the performance of our customers. Similarly, the price of our securities is subject to volatility due to fluctuations in general market conditions, actual financial results that do not meet our and/or the investment community’s expectations, changes in our and/or the investment community’s expectations for our future results and other factors, many of which are beyond our control.</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p>
      <w:pPr>
        <w:ind w:left="820"/>
        <w:spacing w:after="0"/>
        <w:rPr>
          <w:sz w:val="20"/>
          <w:szCs w:val="20"/>
          <w:color w:val="auto"/>
        </w:rPr>
      </w:pPr>
      <w:r>
        <w:rPr>
          <w:rFonts w:ascii="Arial" w:cs="Arial" w:eastAsia="Arial" w:hAnsi="Arial"/>
          <w:sz w:val="18"/>
          <w:szCs w:val="18"/>
          <w:u w:val="single" w:color="auto"/>
          <w:color w:val="auto"/>
        </w:rPr>
        <w:t>Cyclicality in the Semiconductor Market May Affect Our Performance.</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Semiconductor products are the principal source of our revenue. The semiconductor market historically has been cyclical and subject to significant and often rapid increases and decreases in product demand. These changes could have adverse effects on our results of operations, and on the market price of our securities. The results of our operations may be adversely affected in the future if demand for our semiconductors decreases or if this market or key end-equipment markets grow at a significantly slower pace than management expects.</w:t>
      </w:r>
    </w:p>
    <w:p>
      <w:pPr>
        <w:spacing w:after="0" w:line="214"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Our Margins May Vary over Time.</w:t>
      </w:r>
    </w:p>
    <w:p>
      <w:pPr>
        <w:spacing w:after="0" w:line="25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profit margins may be adversely affected in the future by a number of factors, including decreases in our shipment volume, reductions in, or obsolescence of our inventory and shifts in our product mix. In addition, the highly competitive market environment in which we operate might adversely affect pricing for our products. Because we own much of our manufacturing capacity, a significant portion of our operating costs is fixed. In general, these fixed costs do not decline with reductions in customer demand or utilization of manufacturing capacity, and can adversely affect profit margins as a result.</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7"/>
          <w:szCs w:val="17"/>
          <w:u w:val="single" w:color="auto"/>
          <w:color w:val="auto"/>
        </w:rPr>
        <w:t>The Technology Industry Is Characterized by Rapid Technological Change That Requires Us to Develop New Technologies and Products.</w:t>
      </w:r>
    </w:p>
    <w:p>
      <w:pPr>
        <w:spacing w:after="0" w:line="26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results of operations depend in part upon our ability to successfully develop, manufacture and market innovative products in a rapidly changing technological environment. We require significant capital to develop new technologies and products to meet changing customer demands that, in turn, may result in shortened product life cycles. Moreover, expenditures for technology and product development are generally made before the commercial viability for such developments can be assured. As a result, there can be no assurance that we will successfully develop and market these new products. There also is no assurance that the products we do develop and market will be well received by customers, nor that we will realize a return on the capital expended to develop such products.</w:t>
      </w:r>
    </w:p>
    <w:p>
      <w:pPr>
        <w:spacing w:after="0" w:line="220"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We Face Substantial Competition That Requires Us to Respond Rapidly to Product Development and Pricing Pressures.</w:t>
      </w:r>
    </w:p>
    <w:p>
      <w:pPr>
        <w:spacing w:after="0" w:line="25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face intense technological and pricing competition in the markets in which we operate. We expect this competition will continue to increase from large competitors and from smaller competitors serving niche markets. Certain of our competitors possess sufficient financial, technical and management resources to develop and market products that may compete favorably against our products. The price and product development pressures that result from competition may lead to reduced profit margins and lost business opportunities in the event that we are unable to match the price declines or cost efficiencies, or meet the technological, product, support, software or manufacturing advancements of our competitors.</w:t>
      </w:r>
    </w:p>
    <w:p>
      <w:pPr>
        <w:spacing w:after="0" w:line="200" w:lineRule="exact"/>
        <w:rPr>
          <w:sz w:val="20"/>
          <w:szCs w:val="20"/>
          <w:color w:val="auto"/>
        </w:rPr>
      </w:pPr>
    </w:p>
    <w:p>
      <w:pPr>
        <w:ind w:left="820" w:right="580"/>
        <w:spacing w:after="0" w:line="277" w:lineRule="auto"/>
        <w:rPr>
          <w:sz w:val="20"/>
          <w:szCs w:val="20"/>
          <w:color w:val="auto"/>
        </w:rPr>
      </w:pPr>
      <w:r>
        <w:rPr>
          <w:rFonts w:ascii="Arial" w:cs="Arial" w:eastAsia="Arial" w:hAnsi="Arial"/>
          <w:sz w:val="18"/>
          <w:szCs w:val="18"/>
          <w:u w:val="single" w:color="auto"/>
          <w:color w:val="auto"/>
        </w:rPr>
        <w:t>Our Performance Depends in Part on Our Ability to Enforce Our Intellectual Property Rights and to Develop and License New Intellectual Property.</w:t>
      </w:r>
    </w:p>
    <w:p>
      <w:pPr>
        <w:spacing w:after="0" w:line="19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Access to worldwide markets depends in part on the continued strength of our intellectual property portfolio. There can be no assurance that, as our business expands into new areas, we will be able to independently develop the technology, software or know-how necessary to conduct our business or that we can do so without infringing the intellectual property rights of others. To the extent that we have to rely on licensed technology from others, there can be no assurance that we will be able to obtain licenses at all or on terms we consider reasonable. The lack of a necessary license could expose us to claims for damages and/or injunction from third parties, as well as claims for indemnification by our customers in instances where we have a contractual or other legal obligation to indemnify them against damages resulting from infringement claims.</w:t>
      </w:r>
    </w:p>
    <w:p>
      <w:pPr>
        <w:spacing w:after="0" w:line="2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With regard to our own intellectual property, we actively enforce and protect our rights. However, there can be no assurance that our efforts will be adequate to prevent the misappropriation or improper use of our protected technology.</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0" w:name="page11"/>
    <w:bookmarkEnd w:id="10"/>
    <w:p>
      <w:pPr>
        <w:ind w:right="140"/>
        <w:spacing w:after="0" w:line="255" w:lineRule="auto"/>
        <w:rPr>
          <w:sz w:val="20"/>
          <w:szCs w:val="20"/>
          <w:color w:val="auto"/>
        </w:rPr>
      </w:pPr>
      <w:r>
        <w:rPr>
          <w:rFonts w:ascii="Arial" w:cs="Arial" w:eastAsia="Arial" w:hAnsi="Arial"/>
          <w:sz w:val="18"/>
          <w:szCs w:val="18"/>
          <w:color w:val="auto"/>
        </w:rPr>
        <w:t>We benefit from royalty revenue generated from various patent license agreements. The amount of such revenue depends in part on negotiations with new licensees, and with existing licensees in connection with renewals of their licenses. There is no guarantee that such negotiations will be successful. Future royalty revenue also depends on the strength and enforceability of our patent portfolio and our enforcement efforts, and on the sales and financial stability of our licensees. Additionally, consolidation of our licensees may negatively affect our royalty revenue. Royalty revenue from licensees is not always uniform or predictable, in part due to the performance of our licensees and in part due to the timing of new license agreements or the expiration and renewal of existing agreements.</w:t>
      </w:r>
    </w:p>
    <w:p>
      <w:pPr>
        <w:spacing w:after="0" w:line="220" w:lineRule="exact"/>
        <w:rPr>
          <w:sz w:val="20"/>
          <w:szCs w:val="20"/>
          <w:color w:val="auto"/>
        </w:rPr>
      </w:pPr>
    </w:p>
    <w:p>
      <w:pPr>
        <w:ind w:left="820" w:right="600"/>
        <w:spacing w:after="0" w:line="277" w:lineRule="auto"/>
        <w:rPr>
          <w:sz w:val="20"/>
          <w:szCs w:val="20"/>
          <w:color w:val="auto"/>
        </w:rPr>
      </w:pPr>
      <w:r>
        <w:rPr>
          <w:rFonts w:ascii="Arial" w:cs="Arial" w:eastAsia="Arial" w:hAnsi="Arial"/>
          <w:sz w:val="18"/>
          <w:szCs w:val="18"/>
          <w:u w:val="single" w:color="auto"/>
          <w:color w:val="auto"/>
        </w:rPr>
        <w:t>A Decline in Demand in Certain End-User Markets Could Have a Material Adverse Effect on the Demand for Our Products and Results of Operations.</w:t>
      </w:r>
    </w:p>
    <w:p>
      <w:pPr>
        <w:spacing w:after="0" w:line="197"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Our customer base includes companies in a wide range of industries, but we generate a significant amount of revenue from sales to customers in the communications- and computer-related industries. Within these industries, a large portion of our revenue is generated from sales to customers in the cell phone, personal computer and communications infrastructure markets. Decline in one or several of these end-user markets could have a material adverse effect on the demand for our products and our results of operations and financial condition.</w:t>
      </w:r>
    </w:p>
    <w:p>
      <w:pPr>
        <w:spacing w:after="0" w:line="198" w:lineRule="exact"/>
        <w:rPr>
          <w:sz w:val="20"/>
          <w:szCs w:val="20"/>
          <w:color w:val="auto"/>
        </w:rPr>
      </w:pPr>
    </w:p>
    <w:p>
      <w:pPr>
        <w:ind w:left="820"/>
        <w:spacing w:after="0"/>
        <w:rPr>
          <w:sz w:val="20"/>
          <w:szCs w:val="20"/>
          <w:color w:val="auto"/>
        </w:rPr>
      </w:pPr>
      <w:r>
        <w:rPr>
          <w:rFonts w:ascii="Arial" w:cs="Arial" w:eastAsia="Arial" w:hAnsi="Arial"/>
          <w:sz w:val="17"/>
          <w:szCs w:val="17"/>
          <w:u w:val="single" w:color="auto"/>
          <w:color w:val="auto"/>
        </w:rPr>
        <w:t>Our Global Manufacturing, Design and Sales Activities Subject Us to Risks Associated with Legal, Political, Economic or Other Changes.</w:t>
      </w:r>
    </w:p>
    <w:p>
      <w:pPr>
        <w:spacing w:after="0" w:line="26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facilities in more than 30 countries worldwide, and in 2009 about 90 percent of our revenue came from sales to locations outside the United States. Operating internationally exposes us to changes in export controls and other laws or policies, as well as political and economic conditions, security risks, health conditions and possible disruptions in transportation networks of the various countries in which we operate. Any of these could result in an adverse effect on our business operations and our financial results. Additionally, in periods when the U.S. dollar significantly fluctuates in relation to the non-U.S. currencies in which we transact business, the remeasurement of non-U.S. dollar transactions can have an adverse effect on our results of operations and financial condition.</w:t>
      </w:r>
    </w:p>
    <w:p>
      <w:pPr>
        <w:spacing w:after="0" w:line="220" w:lineRule="exact"/>
        <w:rPr>
          <w:sz w:val="20"/>
          <w:szCs w:val="20"/>
          <w:color w:val="auto"/>
        </w:rPr>
      </w:pPr>
    </w:p>
    <w:p>
      <w:pPr>
        <w:jc w:val="center"/>
        <w:ind w:right="80"/>
        <w:spacing w:after="0"/>
        <w:rPr>
          <w:sz w:val="20"/>
          <w:szCs w:val="20"/>
          <w:color w:val="auto"/>
        </w:rPr>
      </w:pPr>
      <w:r>
        <w:rPr>
          <w:rFonts w:ascii="Arial" w:cs="Arial" w:eastAsia="Arial" w:hAnsi="Arial"/>
          <w:sz w:val="18"/>
          <w:szCs w:val="18"/>
          <w:u w:val="single" w:color="auto"/>
          <w:color w:val="auto"/>
        </w:rPr>
        <w:t>Our Results of Operations Could be Affected by Natural Events in the Locations in Which We or Our Customers or Suppliers Operate.</w:t>
      </w:r>
    </w:p>
    <w:p>
      <w:pPr>
        <w:spacing w:after="0" w:line="252"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We have manufacturing and other operations in locations subject to natural occurrences such as severe weather and geological events that could disrupt operations. In addition, our suppliers and customers also have operations in such locations. A natural disaster that results in a prolonged disruption to our operations, or the operations of our customers or suppliers, may adversely affect our results and financial condition.</w:t>
      </w:r>
    </w:p>
    <w:p>
      <w:pPr>
        <w:spacing w:after="0" w:line="193" w:lineRule="exact"/>
        <w:rPr>
          <w:sz w:val="20"/>
          <w:szCs w:val="20"/>
          <w:color w:val="auto"/>
        </w:rPr>
      </w:pPr>
    </w:p>
    <w:p>
      <w:pPr>
        <w:ind w:left="820"/>
        <w:spacing w:after="0"/>
        <w:rPr>
          <w:sz w:val="20"/>
          <w:szCs w:val="20"/>
          <w:color w:val="auto"/>
        </w:rPr>
      </w:pPr>
      <w:r>
        <w:rPr>
          <w:rFonts w:ascii="Arial" w:cs="Arial" w:eastAsia="Arial" w:hAnsi="Arial"/>
          <w:sz w:val="17"/>
          <w:szCs w:val="17"/>
          <w:u w:val="single" w:color="auto"/>
          <w:color w:val="auto"/>
        </w:rPr>
        <w:t>The Loss of or Significant Curtailment of Purchases by Any of Our Largest Customers Could Adversely Affect Our Results of Operations.</w:t>
      </w:r>
    </w:p>
    <w:p>
      <w:pPr>
        <w:spacing w:after="0" w:line="26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While we generate revenue from thousands of customers worldwide, the loss of or significant curtailment of purchases by one or more of our top customers (including curtailments due to a change in the design or manufacturing sourcing policies or practices of these customers, or the timing of customer or distributor inventory adjustments) may adversely affect our results of operations and financial condition.</w:t>
      </w:r>
    </w:p>
    <w:p>
      <w:pPr>
        <w:spacing w:after="0" w:line="208"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Incorrect Forecasts of Customer Demand Could Adversely Affect Our Results of Operations.</w:t>
      </w:r>
    </w:p>
    <w:p>
      <w:pPr>
        <w:spacing w:after="0" w:line="2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ability to match inventory and production with the product mix needed to fill orders may affect our ability to meet a quarter’s revenue forecast. In addition, when responding to customers’ requests for shorter shipment lead times, we manufacture products based on forecasts of customers’ demands. These forecasts are based on multiple assumptions. If we inaccurately forecast customer demand, we may hold inadequate, excess or obsolete inventory that would reduce our profit margins and adversely affect our results of operations and financial condition.</w:t>
      </w:r>
    </w:p>
    <w:p>
      <w:pPr>
        <w:spacing w:after="0" w:line="198" w:lineRule="exact"/>
        <w:rPr>
          <w:sz w:val="20"/>
          <w:szCs w:val="20"/>
          <w:color w:val="auto"/>
        </w:rPr>
      </w:pPr>
    </w:p>
    <w:p>
      <w:pPr>
        <w:ind w:left="820" w:right="180"/>
        <w:spacing w:after="0" w:line="277" w:lineRule="auto"/>
        <w:rPr>
          <w:sz w:val="20"/>
          <w:szCs w:val="20"/>
          <w:color w:val="auto"/>
        </w:rPr>
      </w:pPr>
      <w:r>
        <w:rPr>
          <w:rFonts w:ascii="Arial" w:cs="Arial" w:eastAsia="Arial" w:hAnsi="Arial"/>
          <w:sz w:val="18"/>
          <w:szCs w:val="18"/>
          <w:u w:val="single" w:color="auto"/>
          <w:color w:val="auto"/>
        </w:rPr>
        <w:t>Our Performance Depends on the Availability and Cost of Raw Materials, Utilities, Critical Manufacturing Equipment, Manufacturing Processes and Third-Party Manufacturing Services.</w:t>
      </w:r>
    </w:p>
    <w:p>
      <w:pPr>
        <w:spacing w:after="0" w:line="19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manufacturing processes and critical manufacturing equipment require that certain key raw materials and utilities be available. Limited or delayed access to and high costs of these items could adversely affect our results of operations. Additionally, the inability to timely implement new manufacturing technologies or install manufacturing equipment could adversely affect our results of operations. We subcontract a portion of our wafer fabrication and assembly and testing of our integrated circuits. We also depend on third parties to provide advanced logic manufacturing process technology development. A limited number of third parties perform these functions, and we do not have long-term contracts with all of them. Reliance on these third parties involves risks, including possible shortages of capacity in periods of high demand, the third parties’ inability to develop and deliver advanced logic manufacturing process technology in a timely, cost effective and appropriate manner and the possibility of third parties imposing increased costs on us.</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 w:name="page12"/>
    <w:bookmarkEnd w:id="11"/>
    <w:p>
      <w:pPr>
        <w:ind w:left="820"/>
        <w:spacing w:after="0"/>
        <w:rPr>
          <w:sz w:val="20"/>
          <w:szCs w:val="20"/>
          <w:color w:val="auto"/>
        </w:rPr>
      </w:pPr>
      <w:r>
        <w:rPr>
          <w:rFonts w:ascii="Arial" w:cs="Arial" w:eastAsia="Arial" w:hAnsi="Arial"/>
          <w:sz w:val="18"/>
          <w:szCs w:val="18"/>
          <w:u w:val="single" w:color="auto"/>
          <w:color w:val="auto"/>
        </w:rPr>
        <w:t>Our Results of Operations Could be Affected by Changes in Tax-Related Matters.</w:t>
      </w:r>
    </w:p>
    <w:p>
      <w:pPr>
        <w:spacing w:after="0" w:line="25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have facilities in more than 30 countries worldwide and as a result are subject to taxation and audit by a number of taxing authorities. Tax rates vary among the jurisdictions in which we operate. Our results of operations could be affected by market opportunities or decisions we make that cause us to increase or decrease operations in one or more countries, or by changes in applicable tax rates or audits by the taxing authorities in countries in which we operate.</w:t>
      </w:r>
    </w:p>
    <w:p>
      <w:pPr>
        <w:spacing w:after="0" w:line="21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addition, we are subject to laws and regulations in various jurisdictions that determine how much profit has been earned and when it is subject to taxation in that jurisdiction. Changes in these laws and regulations could affect the locations where we are deemed to earn income, which could in turn affect our results of operations. We have deferred tax assets on our balance sheet. Changes in applicable tax laws and regulations or in our business performance could affect our ability to realize those deferred tax assets, which could also affect our results of operations. Each quarter we forecast our tax liability based on our forecast of our performance for the year. If that performance forecast changes, our forecasted tax liability will change.</w:t>
      </w:r>
    </w:p>
    <w:p>
      <w:pPr>
        <w:spacing w:after="0" w:line="200"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Our Operations Could be Affected by Changes in Environmental, Safety and Health Laws and Regulations</w:t>
      </w:r>
    </w:p>
    <w:p>
      <w:pPr>
        <w:spacing w:after="0" w:line="25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are subject to environmental, safety and health laws and regulations in the jurisdictions in which we operate our business, particularly those in which we manufacture our products. If we fail to comply with these laws and regulations, we could be subject to fines, penalties or other legal liability. Furthermore, should these laws and regulations be amended or expanded, or new ones enacted, we could incur materially greater compliance costs or restrictions on our ability to manufacture our products and operate our business, particularly if such laws and regulations: require the use of abatement equipment beyond what we currently employ; require the addition or elimination of a raw material or process to or from our current manufacturing processes; or impose costs, fees or reporting requirements on the direct or indirect use of energy, or of materials or gases used or emitted into the environment, in connection with the manufacture of our products. There can be no assurance that in all instances a substitute for a prohibited raw material or process would be available, or be available at reasonable cost.</w:t>
      </w:r>
    </w:p>
    <w:p>
      <w:pPr>
        <w:spacing w:after="0" w:line="219"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Our Results of Operations Could be Affected by Changes in the Financial Markets.</w:t>
      </w:r>
    </w:p>
    <w:p>
      <w:pPr>
        <w:spacing w:after="0" w:line="25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maintain bank accounts, a multi-year revolving credit agreement, and a portfolio of investments to support the financing needs of the company. Our ability to fund our daily operations, invest in our business, and make strategic acquisitions requires continuous access to our bank and investment accounts, as well as access to our bank credit lines that support commercial paper borrowings and provide additional liquidity through short-term bank loans. If we are unable to access these accounts and credit lines (for example, due to instability in the financial markets), our results of operations and financial condition could be adversely affected. Similarly, such circumstances could also restrict our ability to access the capital markets or redeem our investments. If our customers or suppliers are unable to access credit markets and other sources of needed liquidity, we may receive fewer customer orders or be unable to obtain needed supplies, collect accounts receivable or access needed technology.</w:t>
      </w:r>
    </w:p>
    <w:p>
      <w:pPr>
        <w:spacing w:after="0" w:line="205"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Material Impairments of Our Goodwill Could Adversely Affect Our Results of Operations</w:t>
      </w:r>
    </w:p>
    <w:p>
      <w:pPr>
        <w:spacing w:after="0" w:line="25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Charges associated with impairments of our goodwill could adversely affect our financial condition and results of operations. Goodwill is reviewed for impairment annually or more frequently if certain impairment indicators arise or upon the disposition of a significant portion of a reporting unit. The review compares the fair value for each reporting unit to its associated book value including goodwill. A decrease in the fair value associated with a reporting unit resulting from, among other things, unfavorable changes in the estimated future discounted cash flow of the reporting unit, may require us to recognize impairments of goodwill.</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12" w:name="page13"/>
    <w:bookmarkEnd w:id="12"/>
    <w:p>
      <w:pPr>
        <w:ind w:left="820"/>
        <w:spacing w:after="0"/>
        <w:rPr>
          <w:sz w:val="20"/>
          <w:szCs w:val="20"/>
          <w:color w:val="auto"/>
        </w:rPr>
      </w:pPr>
      <w:r>
        <w:rPr>
          <w:rFonts w:ascii="Arial" w:cs="Arial" w:eastAsia="Arial" w:hAnsi="Arial"/>
          <w:sz w:val="18"/>
          <w:szCs w:val="18"/>
          <w:u w:val="single" w:color="auto"/>
          <w:color w:val="auto"/>
        </w:rPr>
        <w:t>Our Results of Operations Could be Affected by Warranty Claims, Product Recalls or Product Liability.</w:t>
      </w:r>
    </w:p>
    <w:p>
      <w:pPr>
        <w:spacing w:after="0" w:line="25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could be subject to warranty or product liability claims or claims based on epidemic or delivery failures that could lead to significant expenses as we defend such claims or pay damage awards. The risk of a significant claim is generally greater for products used in health and safety applications. In the event of a warranty claim, we may also incur costs if we decide to compensate the affected customer or end consumer. We maintain product liability insurance, but there is no guarantee that such insurance will be available or adequate to protect against all such claims. In addition, it is possible for one of our customers to recall a product containing a TI part. In such instances, we may incur costs and expenses relating to the recall. Costs or payments we may make in connection with warranty, epidemic failure and delivery claims or product recalls may adversely affect our results of operations and financial condition.</w:t>
      </w:r>
    </w:p>
    <w:p>
      <w:pPr>
        <w:spacing w:after="0" w:line="192" w:lineRule="exact"/>
        <w:rPr>
          <w:sz w:val="20"/>
          <w:szCs w:val="20"/>
          <w:color w:val="auto"/>
        </w:rPr>
      </w:pPr>
    </w:p>
    <w:p>
      <w:pPr>
        <w:ind w:left="820" w:right="520"/>
        <w:spacing w:after="0" w:line="277" w:lineRule="auto"/>
        <w:rPr>
          <w:sz w:val="20"/>
          <w:szCs w:val="20"/>
          <w:color w:val="auto"/>
        </w:rPr>
      </w:pPr>
      <w:r>
        <w:rPr>
          <w:rFonts w:ascii="Arial" w:cs="Arial" w:eastAsia="Arial" w:hAnsi="Arial"/>
          <w:sz w:val="18"/>
          <w:szCs w:val="18"/>
          <w:u w:val="single" w:color="auto"/>
          <w:color w:val="auto"/>
        </w:rPr>
        <w:t>Our Continued Success Depends in Part on Our Ability to Retain and Recruit a Sufficient Number of Qualified Employees in a Competitive Environment.</w:t>
      </w:r>
    </w:p>
    <w:p>
      <w:pPr>
        <w:spacing w:after="0" w:line="197" w:lineRule="exact"/>
        <w:rPr>
          <w:sz w:val="20"/>
          <w:szCs w:val="20"/>
          <w:color w:val="auto"/>
        </w:rPr>
      </w:pPr>
    </w:p>
    <w:p>
      <w:pPr>
        <w:ind w:right="860"/>
        <w:spacing w:after="0" w:line="308" w:lineRule="auto"/>
        <w:rPr>
          <w:sz w:val="20"/>
          <w:szCs w:val="20"/>
          <w:color w:val="auto"/>
        </w:rPr>
      </w:pPr>
      <w:r>
        <w:rPr>
          <w:rFonts w:ascii="Arial" w:cs="Arial" w:eastAsia="Arial" w:hAnsi="Arial"/>
          <w:sz w:val="17"/>
          <w:szCs w:val="17"/>
          <w:color w:val="auto"/>
        </w:rPr>
        <w:t>Our continued success depends in part on the retention and recruitment of skilled personnel, including technical, marketing, management and staff personnel. There can be no assurance that we will be able to successfully retain and recruit the key personnel that we require.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56"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Our principal executive offices are located at 12500 TI Boulevard, Dallas, Texas. The following table indicates the general location of our principal manufacturing and design operations and the reportable segments that make major use of them. Except as otherwise indicated, we own these facilities.</w:t>
      </w:r>
    </w:p>
    <w:p>
      <w:pPr>
        <w:spacing w:after="0" w:line="134"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Analog</w:t>
            </w:r>
          </w:p>
        </w:tc>
        <w:tc>
          <w:tcPr>
            <w:tcW w:w="340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87"/>
              </w:rPr>
              <w:t>Embedded Processing</w:t>
            </w:r>
          </w:p>
        </w:tc>
        <w:tc>
          <w:tcPr>
            <w:tcW w:w="146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86"/>
              </w:rPr>
              <w:t>Wireless</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00" w:type="dxa"/>
            <w:vAlign w:val="bottom"/>
            <w:tcBorders>
              <w:top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Dallas, Texas</w:t>
            </w:r>
          </w:p>
        </w:tc>
        <w:tc>
          <w:tcPr>
            <w:tcW w:w="6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rPr>
              <w:t>X</w:t>
            </w:r>
          </w:p>
        </w:tc>
        <w:tc>
          <w:tcPr>
            <w:tcW w:w="58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jc w:val="center"/>
              <w:ind w:right="1100"/>
              <w:spacing w:after="0"/>
              <w:rPr>
                <w:sz w:val="20"/>
                <w:szCs w:val="20"/>
                <w:color w:val="auto"/>
              </w:rPr>
            </w:pPr>
            <w:r>
              <w:rPr>
                <w:rFonts w:ascii="Arial" w:cs="Arial" w:eastAsia="Arial" w:hAnsi="Arial"/>
                <w:sz w:val="18"/>
                <w:szCs w:val="18"/>
                <w:color w:val="auto"/>
                <w:w w:val="99"/>
              </w:rPr>
              <w:t>X</w:t>
            </w:r>
          </w:p>
        </w:tc>
        <w:tc>
          <w:tcPr>
            <w:tcW w:w="1460" w:type="dxa"/>
            <w:vAlign w:val="bottom"/>
            <w:gridSpan w:val="2"/>
            <w:shd w:val="clear" w:color="auto" w:fill="CCEEFF"/>
          </w:tcPr>
          <w:p>
            <w:pPr>
              <w:jc w:val="center"/>
              <w:ind w:right="82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line="216" w:lineRule="exact"/>
              <w:rPr>
                <w:sz w:val="20"/>
                <w:szCs w:val="20"/>
                <w:color w:val="auto"/>
              </w:rPr>
            </w:pPr>
            <w:r>
              <w:rPr>
                <w:rFonts w:ascii="Arial" w:cs="Arial" w:eastAsia="Arial" w:hAnsi="Arial"/>
                <w:sz w:val="18"/>
                <w:szCs w:val="18"/>
                <w:color w:val="auto"/>
              </w:rPr>
              <w:t>Sherman, Texas</w:t>
            </w:r>
            <w:r>
              <w:rPr>
                <w:rFonts w:ascii="Arial" w:cs="Arial" w:eastAsia="Arial" w:hAnsi="Arial"/>
                <w:sz w:val="25"/>
                <w:szCs w:val="25"/>
                <w:color w:val="auto"/>
                <w:vertAlign w:val="superscript"/>
              </w:rPr>
              <w:t>(1)</w:t>
            </w:r>
          </w:p>
        </w:tc>
        <w:tc>
          <w:tcPr>
            <w:tcW w:w="600" w:type="dxa"/>
            <w:vAlign w:val="bottom"/>
          </w:tcPr>
          <w:p>
            <w:pPr>
              <w:spacing w:after="0"/>
              <w:rPr>
                <w:sz w:val="18"/>
                <w:szCs w:val="18"/>
                <w:color w:val="auto"/>
              </w:rPr>
            </w:pPr>
          </w:p>
        </w:tc>
        <w:tc>
          <w:tcPr>
            <w:tcW w:w="1120" w:type="dxa"/>
            <w:vAlign w:val="bottom"/>
            <w:gridSpan w:val="2"/>
          </w:tcPr>
          <w:p>
            <w:pPr>
              <w:jc w:val="center"/>
              <w:ind w:right="580"/>
              <w:spacing w:after="0"/>
              <w:rPr>
                <w:sz w:val="20"/>
                <w:szCs w:val="20"/>
                <w:color w:val="auto"/>
              </w:rPr>
            </w:pPr>
            <w:r>
              <w:rPr>
                <w:rFonts w:ascii="Arial" w:cs="Arial" w:eastAsia="Arial" w:hAnsi="Arial"/>
                <w:sz w:val="18"/>
                <w:szCs w:val="18"/>
                <w:color w:val="auto"/>
              </w:rPr>
              <w:t>X</w:t>
            </w:r>
          </w:p>
        </w:tc>
        <w:tc>
          <w:tcPr>
            <w:tcW w:w="5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Houston, Texas</w:t>
            </w:r>
          </w:p>
        </w:tc>
        <w:tc>
          <w:tcPr>
            <w:tcW w:w="6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rPr>
              <w:t>X</w:t>
            </w:r>
          </w:p>
        </w:tc>
        <w:tc>
          <w:tcPr>
            <w:tcW w:w="58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jc w:val="center"/>
              <w:ind w:right="1100"/>
              <w:spacing w:after="0"/>
              <w:rPr>
                <w:sz w:val="20"/>
                <w:szCs w:val="20"/>
                <w:color w:val="auto"/>
              </w:rPr>
            </w:pPr>
            <w:r>
              <w:rPr>
                <w:rFonts w:ascii="Arial" w:cs="Arial" w:eastAsia="Arial" w:hAnsi="Arial"/>
                <w:sz w:val="18"/>
                <w:szCs w:val="18"/>
                <w:color w:val="auto"/>
                <w:w w:val="99"/>
              </w:rPr>
              <w:t>X</w:t>
            </w: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Miho, Japan</w:t>
            </w:r>
          </w:p>
        </w:tc>
        <w:tc>
          <w:tcPr>
            <w:tcW w:w="600" w:type="dxa"/>
            <w:vAlign w:val="bottom"/>
          </w:tcPr>
          <w:p>
            <w:pPr>
              <w:spacing w:after="0"/>
              <w:rPr>
                <w:sz w:val="18"/>
                <w:szCs w:val="18"/>
                <w:color w:val="auto"/>
              </w:rPr>
            </w:pPr>
          </w:p>
        </w:tc>
        <w:tc>
          <w:tcPr>
            <w:tcW w:w="1120" w:type="dxa"/>
            <w:vAlign w:val="bottom"/>
            <w:gridSpan w:val="2"/>
          </w:tcPr>
          <w:p>
            <w:pPr>
              <w:jc w:val="center"/>
              <w:ind w:right="580"/>
              <w:spacing w:after="0"/>
              <w:rPr>
                <w:sz w:val="20"/>
                <w:szCs w:val="20"/>
                <w:color w:val="auto"/>
              </w:rPr>
            </w:pPr>
            <w:r>
              <w:rPr>
                <w:rFonts w:ascii="Arial" w:cs="Arial" w:eastAsia="Arial" w:hAnsi="Arial"/>
                <w:sz w:val="18"/>
                <w:szCs w:val="18"/>
                <w:color w:val="auto"/>
              </w:rPr>
              <w:t>X</w:t>
            </w:r>
          </w:p>
        </w:tc>
        <w:tc>
          <w:tcPr>
            <w:tcW w:w="580" w:type="dxa"/>
            <w:vAlign w:val="bottom"/>
          </w:tcPr>
          <w:p>
            <w:pPr>
              <w:spacing w:after="0"/>
              <w:rPr>
                <w:sz w:val="18"/>
                <w:szCs w:val="18"/>
                <w:color w:val="auto"/>
              </w:rPr>
            </w:pPr>
          </w:p>
        </w:tc>
        <w:tc>
          <w:tcPr>
            <w:tcW w:w="2820" w:type="dxa"/>
            <w:vAlign w:val="bottom"/>
            <w:gridSpan w:val="2"/>
          </w:tcPr>
          <w:p>
            <w:pPr>
              <w:jc w:val="center"/>
              <w:ind w:right="1100"/>
              <w:spacing w:after="0"/>
              <w:rPr>
                <w:sz w:val="20"/>
                <w:szCs w:val="20"/>
                <w:color w:val="auto"/>
              </w:rPr>
            </w:pPr>
            <w:r>
              <w:rPr>
                <w:rFonts w:ascii="Arial" w:cs="Arial" w:eastAsia="Arial" w:hAnsi="Arial"/>
                <w:sz w:val="18"/>
                <w:szCs w:val="18"/>
                <w:color w:val="auto"/>
                <w:w w:val="99"/>
              </w:rPr>
              <w:t>X</w:t>
            </w:r>
          </w:p>
        </w:tc>
        <w:tc>
          <w:tcPr>
            <w:tcW w:w="1460" w:type="dxa"/>
            <w:vAlign w:val="bottom"/>
            <w:gridSpan w:val="2"/>
          </w:tcPr>
          <w:p>
            <w:pPr>
              <w:jc w:val="center"/>
              <w:ind w:right="82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Kuala Lumpur, Malaysia</w:t>
            </w:r>
            <w:r>
              <w:rPr>
                <w:rFonts w:ascii="Arial" w:cs="Arial" w:eastAsia="Arial" w:hAnsi="Arial"/>
                <w:sz w:val="25"/>
                <w:szCs w:val="25"/>
                <w:color w:val="auto"/>
                <w:vertAlign w:val="superscript"/>
              </w:rPr>
              <w:t>(1)</w:t>
            </w:r>
          </w:p>
        </w:tc>
        <w:tc>
          <w:tcPr>
            <w:tcW w:w="6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rPr>
              <w:t>X</w:t>
            </w:r>
          </w:p>
        </w:tc>
        <w:tc>
          <w:tcPr>
            <w:tcW w:w="58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jc w:val="center"/>
              <w:ind w:right="1100"/>
              <w:spacing w:after="0"/>
              <w:rPr>
                <w:sz w:val="20"/>
                <w:szCs w:val="20"/>
                <w:color w:val="auto"/>
              </w:rPr>
            </w:pPr>
            <w:r>
              <w:rPr>
                <w:rFonts w:ascii="Arial" w:cs="Arial" w:eastAsia="Arial" w:hAnsi="Arial"/>
                <w:sz w:val="18"/>
                <w:szCs w:val="18"/>
                <w:color w:val="auto"/>
                <w:w w:val="99"/>
              </w:rPr>
              <w:t>X</w:t>
            </w: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Freising, Germany</w:t>
            </w:r>
          </w:p>
        </w:tc>
        <w:tc>
          <w:tcPr>
            <w:tcW w:w="600" w:type="dxa"/>
            <w:vAlign w:val="bottom"/>
          </w:tcPr>
          <w:p>
            <w:pPr>
              <w:spacing w:after="0"/>
              <w:rPr>
                <w:sz w:val="18"/>
                <w:szCs w:val="18"/>
                <w:color w:val="auto"/>
              </w:rPr>
            </w:pPr>
          </w:p>
        </w:tc>
        <w:tc>
          <w:tcPr>
            <w:tcW w:w="1120" w:type="dxa"/>
            <w:vAlign w:val="bottom"/>
            <w:gridSpan w:val="2"/>
          </w:tcPr>
          <w:p>
            <w:pPr>
              <w:jc w:val="center"/>
              <w:ind w:right="580"/>
              <w:spacing w:after="0"/>
              <w:rPr>
                <w:sz w:val="20"/>
                <w:szCs w:val="20"/>
                <w:color w:val="auto"/>
              </w:rPr>
            </w:pPr>
            <w:r>
              <w:rPr>
                <w:rFonts w:ascii="Arial" w:cs="Arial" w:eastAsia="Arial" w:hAnsi="Arial"/>
                <w:sz w:val="18"/>
                <w:szCs w:val="18"/>
                <w:color w:val="auto"/>
              </w:rPr>
              <w:t>X</w:t>
            </w:r>
          </w:p>
        </w:tc>
        <w:tc>
          <w:tcPr>
            <w:tcW w:w="580" w:type="dxa"/>
            <w:vAlign w:val="bottom"/>
          </w:tcPr>
          <w:p>
            <w:pPr>
              <w:spacing w:after="0"/>
              <w:rPr>
                <w:sz w:val="18"/>
                <w:szCs w:val="18"/>
                <w:color w:val="auto"/>
              </w:rPr>
            </w:pPr>
          </w:p>
        </w:tc>
        <w:tc>
          <w:tcPr>
            <w:tcW w:w="2820" w:type="dxa"/>
            <w:vAlign w:val="bottom"/>
            <w:gridSpan w:val="2"/>
          </w:tcPr>
          <w:p>
            <w:pPr>
              <w:jc w:val="center"/>
              <w:ind w:right="1100"/>
              <w:spacing w:after="0"/>
              <w:rPr>
                <w:sz w:val="20"/>
                <w:szCs w:val="20"/>
                <w:color w:val="auto"/>
              </w:rPr>
            </w:pPr>
            <w:r>
              <w:rPr>
                <w:rFonts w:ascii="Arial" w:cs="Arial" w:eastAsia="Arial" w:hAnsi="Arial"/>
                <w:sz w:val="18"/>
                <w:szCs w:val="18"/>
                <w:color w:val="auto"/>
                <w:w w:val="99"/>
              </w:rPr>
              <w:t>X</w:t>
            </w:r>
          </w:p>
        </w:tc>
        <w:tc>
          <w:tcPr>
            <w:tcW w:w="1460" w:type="dxa"/>
            <w:vAlign w:val="bottom"/>
            <w:gridSpan w:val="2"/>
          </w:tcPr>
          <w:p>
            <w:pPr>
              <w:jc w:val="center"/>
              <w:ind w:right="82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Baguio, Philippines</w:t>
            </w:r>
            <w:r>
              <w:rPr>
                <w:rFonts w:ascii="Arial" w:cs="Arial" w:eastAsia="Arial" w:hAnsi="Arial"/>
                <w:sz w:val="25"/>
                <w:szCs w:val="25"/>
                <w:color w:val="auto"/>
                <w:vertAlign w:val="superscript"/>
              </w:rPr>
              <w:t>(1)</w:t>
            </w:r>
          </w:p>
        </w:tc>
        <w:tc>
          <w:tcPr>
            <w:tcW w:w="6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rPr>
              <w:t>X</w:t>
            </w:r>
          </w:p>
        </w:tc>
        <w:tc>
          <w:tcPr>
            <w:tcW w:w="58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jc w:val="center"/>
              <w:ind w:right="1100"/>
              <w:spacing w:after="0"/>
              <w:rPr>
                <w:sz w:val="20"/>
                <w:szCs w:val="20"/>
                <w:color w:val="auto"/>
              </w:rPr>
            </w:pPr>
            <w:r>
              <w:rPr>
                <w:rFonts w:ascii="Arial" w:cs="Arial" w:eastAsia="Arial" w:hAnsi="Arial"/>
                <w:sz w:val="18"/>
                <w:szCs w:val="18"/>
                <w:color w:val="auto"/>
                <w:w w:val="99"/>
              </w:rPr>
              <w:t>X</w:t>
            </w:r>
          </w:p>
        </w:tc>
        <w:tc>
          <w:tcPr>
            <w:tcW w:w="1460" w:type="dxa"/>
            <w:vAlign w:val="bottom"/>
            <w:gridSpan w:val="2"/>
            <w:shd w:val="clear" w:color="auto" w:fill="CCEEFF"/>
          </w:tcPr>
          <w:p>
            <w:pPr>
              <w:jc w:val="center"/>
              <w:ind w:right="82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line="216" w:lineRule="exact"/>
              <w:rPr>
                <w:sz w:val="20"/>
                <w:szCs w:val="20"/>
                <w:color w:val="auto"/>
              </w:rPr>
            </w:pPr>
            <w:r>
              <w:rPr>
                <w:rFonts w:ascii="Arial" w:cs="Arial" w:eastAsia="Arial" w:hAnsi="Arial"/>
                <w:sz w:val="18"/>
                <w:szCs w:val="18"/>
                <w:color w:val="auto"/>
              </w:rPr>
              <w:t>Taipei, Taiwan</w:t>
            </w:r>
            <w:r>
              <w:rPr>
                <w:rFonts w:ascii="Arial" w:cs="Arial" w:eastAsia="Arial" w:hAnsi="Arial"/>
                <w:sz w:val="25"/>
                <w:szCs w:val="25"/>
                <w:color w:val="auto"/>
                <w:vertAlign w:val="superscript"/>
              </w:rPr>
              <w:t>(1)</w:t>
            </w:r>
          </w:p>
        </w:tc>
        <w:tc>
          <w:tcPr>
            <w:tcW w:w="600" w:type="dxa"/>
            <w:vAlign w:val="bottom"/>
          </w:tcPr>
          <w:p>
            <w:pPr>
              <w:spacing w:after="0"/>
              <w:rPr>
                <w:sz w:val="18"/>
                <w:szCs w:val="18"/>
                <w:color w:val="auto"/>
              </w:rPr>
            </w:pPr>
          </w:p>
        </w:tc>
        <w:tc>
          <w:tcPr>
            <w:tcW w:w="1120" w:type="dxa"/>
            <w:vAlign w:val="bottom"/>
            <w:gridSpan w:val="2"/>
          </w:tcPr>
          <w:p>
            <w:pPr>
              <w:jc w:val="center"/>
              <w:ind w:right="580"/>
              <w:spacing w:after="0"/>
              <w:rPr>
                <w:sz w:val="20"/>
                <w:szCs w:val="20"/>
                <w:color w:val="auto"/>
              </w:rPr>
            </w:pPr>
            <w:r>
              <w:rPr>
                <w:rFonts w:ascii="Arial" w:cs="Arial" w:eastAsia="Arial" w:hAnsi="Arial"/>
                <w:sz w:val="18"/>
                <w:szCs w:val="18"/>
                <w:color w:val="auto"/>
              </w:rPr>
              <w:t>X</w:t>
            </w:r>
          </w:p>
        </w:tc>
        <w:tc>
          <w:tcPr>
            <w:tcW w:w="580" w:type="dxa"/>
            <w:vAlign w:val="bottom"/>
          </w:tcPr>
          <w:p>
            <w:pPr>
              <w:spacing w:after="0"/>
              <w:rPr>
                <w:sz w:val="18"/>
                <w:szCs w:val="18"/>
                <w:color w:val="auto"/>
              </w:rPr>
            </w:pPr>
          </w:p>
        </w:tc>
        <w:tc>
          <w:tcPr>
            <w:tcW w:w="2820" w:type="dxa"/>
            <w:vAlign w:val="bottom"/>
            <w:gridSpan w:val="2"/>
          </w:tcPr>
          <w:p>
            <w:pPr>
              <w:jc w:val="center"/>
              <w:ind w:right="1100"/>
              <w:spacing w:after="0"/>
              <w:rPr>
                <w:sz w:val="20"/>
                <w:szCs w:val="20"/>
                <w:color w:val="auto"/>
              </w:rPr>
            </w:pPr>
            <w:r>
              <w:rPr>
                <w:rFonts w:ascii="Arial" w:cs="Arial" w:eastAsia="Arial" w:hAnsi="Arial"/>
                <w:sz w:val="18"/>
                <w:szCs w:val="18"/>
                <w:color w:val="auto"/>
                <w:w w:val="99"/>
              </w:rPr>
              <w:t>X</w:t>
            </w:r>
          </w:p>
        </w:tc>
        <w:tc>
          <w:tcPr>
            <w:tcW w:w="1460" w:type="dxa"/>
            <w:vAlign w:val="bottom"/>
            <w:gridSpan w:val="2"/>
          </w:tcPr>
          <w:p>
            <w:pPr>
              <w:jc w:val="center"/>
              <w:ind w:right="82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Hiji, Japan</w:t>
            </w:r>
            <w:r>
              <w:rPr>
                <w:rFonts w:ascii="Arial" w:cs="Arial" w:eastAsia="Arial" w:hAnsi="Arial"/>
                <w:sz w:val="25"/>
                <w:szCs w:val="25"/>
                <w:color w:val="auto"/>
                <w:vertAlign w:val="superscript"/>
              </w:rPr>
              <w:t>(1)</w:t>
            </w:r>
          </w:p>
        </w:tc>
        <w:tc>
          <w:tcPr>
            <w:tcW w:w="6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rPr>
              <w:t>X</w:t>
            </w:r>
          </w:p>
        </w:tc>
        <w:tc>
          <w:tcPr>
            <w:tcW w:w="58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jc w:val="center"/>
              <w:ind w:right="1100"/>
              <w:spacing w:after="0"/>
              <w:rPr>
                <w:sz w:val="20"/>
                <w:szCs w:val="20"/>
                <w:color w:val="auto"/>
              </w:rPr>
            </w:pPr>
            <w:r>
              <w:rPr>
                <w:rFonts w:ascii="Arial" w:cs="Arial" w:eastAsia="Arial" w:hAnsi="Arial"/>
                <w:sz w:val="18"/>
                <w:szCs w:val="18"/>
                <w:color w:val="auto"/>
                <w:w w:val="99"/>
              </w:rPr>
              <w:t>X</w:t>
            </w:r>
          </w:p>
        </w:tc>
        <w:tc>
          <w:tcPr>
            <w:tcW w:w="1460" w:type="dxa"/>
            <w:vAlign w:val="bottom"/>
            <w:gridSpan w:val="2"/>
            <w:shd w:val="clear" w:color="auto" w:fill="CCEEFF"/>
          </w:tcPr>
          <w:p>
            <w:pPr>
              <w:jc w:val="center"/>
              <w:ind w:right="82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line="216" w:lineRule="exact"/>
              <w:rPr>
                <w:sz w:val="20"/>
                <w:szCs w:val="20"/>
                <w:color w:val="auto"/>
              </w:rPr>
            </w:pPr>
            <w:r>
              <w:rPr>
                <w:rFonts w:ascii="Arial" w:cs="Arial" w:eastAsia="Arial" w:hAnsi="Arial"/>
                <w:sz w:val="18"/>
                <w:szCs w:val="18"/>
                <w:color w:val="auto"/>
              </w:rPr>
              <w:t>Tucson, Arizona</w:t>
            </w:r>
            <w:r>
              <w:rPr>
                <w:rFonts w:ascii="Arial" w:cs="Arial" w:eastAsia="Arial" w:hAnsi="Arial"/>
                <w:sz w:val="25"/>
                <w:szCs w:val="25"/>
                <w:color w:val="auto"/>
                <w:vertAlign w:val="superscript"/>
              </w:rPr>
              <w:t>(1)</w:t>
            </w:r>
          </w:p>
        </w:tc>
        <w:tc>
          <w:tcPr>
            <w:tcW w:w="600" w:type="dxa"/>
            <w:vAlign w:val="bottom"/>
          </w:tcPr>
          <w:p>
            <w:pPr>
              <w:spacing w:after="0"/>
              <w:rPr>
                <w:sz w:val="18"/>
                <w:szCs w:val="18"/>
                <w:color w:val="auto"/>
              </w:rPr>
            </w:pPr>
          </w:p>
        </w:tc>
        <w:tc>
          <w:tcPr>
            <w:tcW w:w="1120" w:type="dxa"/>
            <w:vAlign w:val="bottom"/>
            <w:gridSpan w:val="2"/>
          </w:tcPr>
          <w:p>
            <w:pPr>
              <w:jc w:val="center"/>
              <w:ind w:right="580"/>
              <w:spacing w:after="0"/>
              <w:rPr>
                <w:sz w:val="20"/>
                <w:szCs w:val="20"/>
                <w:color w:val="auto"/>
              </w:rPr>
            </w:pPr>
            <w:r>
              <w:rPr>
                <w:rFonts w:ascii="Arial" w:cs="Arial" w:eastAsia="Arial" w:hAnsi="Arial"/>
                <w:sz w:val="18"/>
                <w:szCs w:val="18"/>
                <w:color w:val="auto"/>
              </w:rPr>
              <w:t>X</w:t>
            </w:r>
          </w:p>
        </w:tc>
        <w:tc>
          <w:tcPr>
            <w:tcW w:w="5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Bangalore, India</w:t>
            </w:r>
            <w:r>
              <w:rPr>
                <w:rFonts w:ascii="Arial" w:cs="Arial" w:eastAsia="Arial" w:hAnsi="Arial"/>
                <w:sz w:val="25"/>
                <w:szCs w:val="25"/>
                <w:color w:val="auto"/>
                <w:vertAlign w:val="superscript"/>
              </w:rPr>
              <w:t>(1)</w:t>
            </w:r>
          </w:p>
        </w:tc>
        <w:tc>
          <w:tcPr>
            <w:tcW w:w="6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rPr>
              <w:t>X</w:t>
            </w:r>
          </w:p>
        </w:tc>
        <w:tc>
          <w:tcPr>
            <w:tcW w:w="58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jc w:val="center"/>
              <w:ind w:right="1100"/>
              <w:spacing w:after="0"/>
              <w:rPr>
                <w:sz w:val="20"/>
                <w:szCs w:val="20"/>
                <w:color w:val="auto"/>
              </w:rPr>
            </w:pPr>
            <w:r>
              <w:rPr>
                <w:rFonts w:ascii="Arial" w:cs="Arial" w:eastAsia="Arial" w:hAnsi="Arial"/>
                <w:sz w:val="18"/>
                <w:szCs w:val="18"/>
                <w:color w:val="auto"/>
                <w:w w:val="99"/>
              </w:rPr>
              <w:t>X</w:t>
            </w:r>
          </w:p>
        </w:tc>
        <w:tc>
          <w:tcPr>
            <w:tcW w:w="1460" w:type="dxa"/>
            <w:vAlign w:val="bottom"/>
            <w:gridSpan w:val="2"/>
            <w:shd w:val="clear" w:color="auto" w:fill="CCEEFF"/>
          </w:tcPr>
          <w:p>
            <w:pPr>
              <w:jc w:val="center"/>
              <w:ind w:right="82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line="216" w:lineRule="exact"/>
              <w:rPr>
                <w:sz w:val="20"/>
                <w:szCs w:val="20"/>
                <w:color w:val="auto"/>
              </w:rPr>
            </w:pPr>
            <w:r>
              <w:rPr>
                <w:rFonts w:ascii="Arial" w:cs="Arial" w:eastAsia="Arial" w:hAnsi="Arial"/>
                <w:sz w:val="18"/>
                <w:szCs w:val="18"/>
                <w:color w:val="auto"/>
              </w:rPr>
              <w:t>Nice, France</w:t>
            </w:r>
            <w:r>
              <w:rPr>
                <w:rFonts w:ascii="Arial" w:cs="Arial" w:eastAsia="Arial" w:hAnsi="Arial"/>
                <w:sz w:val="25"/>
                <w:szCs w:val="25"/>
                <w:color w:val="auto"/>
                <w:vertAlign w:val="superscript"/>
              </w:rPr>
              <w:t>(1)</w:t>
            </w:r>
          </w:p>
        </w:tc>
        <w:tc>
          <w:tcPr>
            <w:tcW w:w="600" w:type="dxa"/>
            <w:vAlign w:val="bottom"/>
          </w:tcPr>
          <w:p>
            <w:pPr>
              <w:spacing w:after="0"/>
              <w:rPr>
                <w:sz w:val="18"/>
                <w:szCs w:val="18"/>
                <w:color w:val="auto"/>
              </w:rPr>
            </w:pPr>
          </w:p>
        </w:tc>
        <w:tc>
          <w:tcPr>
            <w:tcW w:w="1120" w:type="dxa"/>
            <w:vAlign w:val="bottom"/>
            <w:gridSpan w:val="2"/>
          </w:tcPr>
          <w:p>
            <w:pPr>
              <w:jc w:val="center"/>
              <w:ind w:right="580"/>
              <w:spacing w:after="0"/>
              <w:rPr>
                <w:sz w:val="20"/>
                <w:szCs w:val="20"/>
                <w:color w:val="auto"/>
              </w:rPr>
            </w:pPr>
            <w:r>
              <w:rPr>
                <w:rFonts w:ascii="Arial" w:cs="Arial" w:eastAsia="Arial" w:hAnsi="Arial"/>
                <w:sz w:val="18"/>
                <w:szCs w:val="18"/>
                <w:color w:val="auto"/>
              </w:rPr>
              <w:t>X</w:t>
            </w:r>
          </w:p>
        </w:tc>
        <w:tc>
          <w:tcPr>
            <w:tcW w:w="5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gridSpan w:val="2"/>
          </w:tcPr>
          <w:p>
            <w:pPr>
              <w:jc w:val="center"/>
              <w:ind w:right="82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Aguascalientes, Mexico</w:t>
            </w:r>
            <w:r>
              <w:rPr>
                <w:rFonts w:ascii="Arial" w:cs="Arial" w:eastAsia="Arial" w:hAnsi="Arial"/>
                <w:sz w:val="25"/>
                <w:szCs w:val="25"/>
                <w:color w:val="auto"/>
                <w:vertAlign w:val="superscript"/>
              </w:rPr>
              <w:t>(2)</w:t>
            </w:r>
          </w:p>
        </w:tc>
        <w:tc>
          <w:tcPr>
            <w:tcW w:w="6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rPr>
              <w:t>X</w:t>
            </w:r>
          </w:p>
        </w:tc>
        <w:tc>
          <w:tcPr>
            <w:tcW w:w="5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40" w:type="dxa"/>
            <w:vAlign w:val="bottom"/>
          </w:tcPr>
          <w:p>
            <w:pPr>
              <w:spacing w:after="0" w:line="201" w:lineRule="exact"/>
              <w:rPr>
                <w:sz w:val="20"/>
                <w:szCs w:val="20"/>
                <w:color w:val="auto"/>
              </w:rPr>
            </w:pPr>
            <w:r>
              <w:rPr>
                <w:rFonts w:ascii="Arial" w:cs="Arial" w:eastAsia="Arial" w:hAnsi="Arial"/>
                <w:sz w:val="18"/>
                <w:szCs w:val="18"/>
                <w:color w:val="auto"/>
              </w:rPr>
              <w:t>Pampanga (Clark),</w:t>
            </w:r>
          </w:p>
        </w:tc>
        <w:tc>
          <w:tcPr>
            <w:tcW w:w="600" w:type="dxa"/>
            <w:vAlign w:val="bottom"/>
          </w:tcPr>
          <w:p>
            <w:pPr>
              <w:spacing w:after="0"/>
              <w:rPr>
                <w:sz w:val="17"/>
                <w:szCs w:val="17"/>
                <w:color w:val="auto"/>
              </w:rPr>
            </w:pPr>
          </w:p>
        </w:tc>
        <w:tc>
          <w:tcPr>
            <w:tcW w:w="1120" w:type="dxa"/>
            <w:vAlign w:val="bottom"/>
            <w:gridSpan w:val="2"/>
          </w:tcPr>
          <w:p>
            <w:pPr>
              <w:jc w:val="center"/>
              <w:ind w:right="580"/>
              <w:spacing w:after="0" w:line="201" w:lineRule="exact"/>
              <w:rPr>
                <w:sz w:val="20"/>
                <w:szCs w:val="20"/>
                <w:color w:val="auto"/>
              </w:rPr>
            </w:pPr>
            <w:r>
              <w:rPr>
                <w:rFonts w:ascii="Arial" w:cs="Arial" w:eastAsia="Arial" w:hAnsi="Arial"/>
                <w:sz w:val="18"/>
                <w:szCs w:val="18"/>
                <w:color w:val="auto"/>
              </w:rPr>
              <w:t>X</w:t>
            </w:r>
          </w:p>
        </w:tc>
        <w:tc>
          <w:tcPr>
            <w:tcW w:w="580" w:type="dxa"/>
            <w:vAlign w:val="bottom"/>
          </w:tcPr>
          <w:p>
            <w:pPr>
              <w:spacing w:after="0"/>
              <w:rPr>
                <w:sz w:val="17"/>
                <w:szCs w:val="17"/>
                <w:color w:val="auto"/>
              </w:rPr>
            </w:pPr>
          </w:p>
        </w:tc>
        <w:tc>
          <w:tcPr>
            <w:tcW w:w="2820" w:type="dxa"/>
            <w:vAlign w:val="bottom"/>
            <w:gridSpan w:val="2"/>
          </w:tcPr>
          <w:p>
            <w:pPr>
              <w:jc w:val="center"/>
              <w:ind w:right="1100"/>
              <w:spacing w:after="0" w:line="201" w:lineRule="exact"/>
              <w:rPr>
                <w:sz w:val="20"/>
                <w:szCs w:val="20"/>
                <w:color w:val="auto"/>
              </w:rPr>
            </w:pPr>
            <w:r>
              <w:rPr>
                <w:rFonts w:ascii="Arial" w:cs="Arial" w:eastAsia="Arial" w:hAnsi="Arial"/>
                <w:sz w:val="18"/>
                <w:szCs w:val="18"/>
                <w:color w:val="auto"/>
                <w:w w:val="99"/>
              </w:rPr>
              <w:t>X</w:t>
            </w: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60" w:type="dxa"/>
            <w:vAlign w:val="bottom"/>
            <w:gridSpan w:val="2"/>
          </w:tcPr>
          <w:p>
            <w:pPr>
              <w:spacing w:after="0" w:line="230" w:lineRule="exact"/>
              <w:rPr>
                <w:sz w:val="20"/>
                <w:szCs w:val="20"/>
                <w:color w:val="auto"/>
              </w:rPr>
            </w:pPr>
            <w:r>
              <w:rPr>
                <w:rFonts w:ascii="Arial" w:cs="Arial" w:eastAsia="Arial" w:hAnsi="Arial"/>
                <w:sz w:val="18"/>
                <w:szCs w:val="18"/>
                <w:color w:val="auto"/>
              </w:rPr>
              <w:t>Philippines</w:t>
            </w:r>
            <w:r>
              <w:rPr>
                <w:rFonts w:ascii="Arial" w:cs="Arial" w:eastAsia="Arial" w:hAnsi="Arial"/>
                <w:sz w:val="25"/>
                <w:szCs w:val="25"/>
                <w:color w:val="auto"/>
                <w:vertAlign w:val="superscript"/>
              </w:rPr>
              <w:t>(1)</w:t>
            </w: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60" w:type="dxa"/>
            <w:vAlign w:val="bottom"/>
            <w:gridSpan w:val="2"/>
          </w:tcPr>
          <w:p>
            <w:pPr>
              <w:jc w:val="center"/>
              <w:ind w:right="82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Tokyo, Japan</w:t>
            </w:r>
            <w:r>
              <w:rPr>
                <w:rFonts w:ascii="Arial" w:cs="Arial" w:eastAsia="Arial" w:hAnsi="Arial"/>
                <w:sz w:val="25"/>
                <w:szCs w:val="25"/>
                <w:color w:val="auto"/>
                <w:vertAlign w:val="superscript"/>
              </w:rPr>
              <w:t>(2)</w:t>
            </w:r>
          </w:p>
        </w:tc>
        <w:tc>
          <w:tcPr>
            <w:tcW w:w="6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rPr>
              <w:t>X</w:t>
            </w:r>
          </w:p>
        </w:tc>
        <w:tc>
          <w:tcPr>
            <w:tcW w:w="58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jc w:val="center"/>
              <w:ind w:right="1100"/>
              <w:spacing w:after="0"/>
              <w:rPr>
                <w:sz w:val="20"/>
                <w:szCs w:val="20"/>
                <w:color w:val="auto"/>
              </w:rPr>
            </w:pPr>
            <w:r>
              <w:rPr>
                <w:rFonts w:ascii="Arial" w:cs="Arial" w:eastAsia="Arial" w:hAnsi="Arial"/>
                <w:sz w:val="18"/>
                <w:szCs w:val="18"/>
                <w:color w:val="auto"/>
                <w:w w:val="99"/>
              </w:rPr>
              <w:t>X</w:t>
            </w:r>
          </w:p>
        </w:tc>
        <w:tc>
          <w:tcPr>
            <w:tcW w:w="1460" w:type="dxa"/>
            <w:vAlign w:val="bottom"/>
            <w:gridSpan w:val="2"/>
            <w:shd w:val="clear" w:color="auto" w:fill="CCEEFF"/>
          </w:tcPr>
          <w:p>
            <w:pPr>
              <w:jc w:val="center"/>
              <w:ind w:right="82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_______</w:t>
      </w:r>
    </w:p>
    <w:p>
      <w:pPr>
        <w:ind w:left="340" w:hanging="332"/>
        <w:spacing w:after="0" w:line="190" w:lineRule="auto"/>
        <w:tabs>
          <w:tab w:leader="none" w:pos="34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Portions of the facilities are leased and owned.</w:t>
      </w:r>
    </w:p>
    <w:p>
      <w:pPr>
        <w:spacing w:after="0" w:line="171"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Leased.</w:t>
      </w:r>
    </w:p>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Our facilities in the United States contained approximately 14.1 million square feet at December 31, 2009, of which approximately 1.7 million square feet were leased. Our facilities outside the United States contained approximately 6.8 million square feet at December 31, 2009, of which approximately 1.5 million square feet were leased.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At the end of 2009, we occupied substantially all of the space in our facilities.</w:t>
      </w:r>
    </w:p>
    <w:p>
      <w:pPr>
        <w:spacing w:after="0" w:line="25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Leases covering our currently occupied leased facilities expire at varying dates generally within the next 7 years. We believe our current properties are suitable and adequate for both their intended purpose and our current and foreseeable future needs.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are involved in various inquiries and proceedings regarding laws and regulations related to the protection of the environment. These matters involve various parties, including government agencies and, in certain cases, other potentially responsible parties. Although the factual situations and the progress of each of these matters differ, we believe that the amount of our liability, if any, will not have a material adverse effect upon our financial condition, results of operations or liquidity.</w:t>
      </w:r>
    </w:p>
    <w:p>
      <w:pPr>
        <w:spacing w:after="0" w:line="21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Internal Revenue Code requires that companies disclose in their Form 10-K whether they have been required to pay penalties to the Internal Revenue Service for certain transactions that have been identified by the IRS as abusive or that have a significant tax avoidance purpose. We have not been required to pay any such penalties.</w:t>
      </w:r>
    </w:p>
    <w:p>
      <w:pPr>
        <w:spacing w:after="0" w:line="20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00" w:lineRule="exact"/>
        <w:rPr>
          <w:sz w:val="20"/>
          <w:szCs w:val="20"/>
          <w:color w:val="auto"/>
        </w:rPr>
      </w:pPr>
    </w:p>
    <w:p>
      <w:pPr>
        <w:spacing w:after="0" w:line="27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information contained under the caption “Common stock prices and dividends” on page 47 of TI’s 2009 annual report to stockholders, and the information concerning the number of stockholders of record at December 31, 2009, on page 34 of such annual report are incorporated herein by reference to such annual report.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repurchases of our common stock in the fourth quarter of 2009:</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40" w:type="dxa"/>
            <w:vAlign w:val="bottom"/>
          </w:tcPr>
          <w:p>
            <w:pPr>
              <w:ind w:left="360"/>
              <w:spacing w:after="0"/>
              <w:rPr>
                <w:sz w:val="20"/>
                <w:szCs w:val="20"/>
                <w:color w:val="auto"/>
              </w:rPr>
            </w:pPr>
            <w:r>
              <w:rPr>
                <w:rFonts w:ascii="Arial" w:cs="Arial" w:eastAsia="Arial" w:hAnsi="Arial"/>
                <w:sz w:val="18"/>
                <w:szCs w:val="18"/>
                <w:b w:val="1"/>
                <w:bCs w:val="1"/>
                <w:color w:val="auto"/>
              </w:rPr>
              <w:t>Total Number</w:t>
            </w:r>
          </w:p>
        </w:tc>
        <w:tc>
          <w:tcPr>
            <w:tcW w:w="2560" w:type="dxa"/>
            <w:vAlign w:val="bottom"/>
          </w:tcPr>
          <w:p>
            <w:pPr>
              <w:ind w:left="160"/>
              <w:spacing w:after="0"/>
              <w:rPr>
                <w:sz w:val="20"/>
                <w:szCs w:val="20"/>
                <w:color w:val="auto"/>
              </w:rPr>
            </w:pPr>
            <w:r>
              <w:rPr>
                <w:rFonts w:ascii="Arial" w:cs="Arial" w:eastAsia="Arial" w:hAnsi="Arial"/>
                <w:sz w:val="18"/>
                <w:szCs w:val="18"/>
                <w:b w:val="1"/>
                <w:bCs w:val="1"/>
                <w:color w:val="auto"/>
              </w:rPr>
              <w:t>Approximate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40" w:type="dxa"/>
            <w:vAlign w:val="bottom"/>
          </w:tcPr>
          <w:p>
            <w:pPr>
              <w:ind w:left="360"/>
              <w:spacing w:after="0"/>
              <w:rPr>
                <w:sz w:val="20"/>
                <w:szCs w:val="20"/>
                <w:color w:val="auto"/>
              </w:rPr>
            </w:pPr>
            <w:r>
              <w:rPr>
                <w:rFonts w:ascii="Arial" w:cs="Arial" w:eastAsia="Arial" w:hAnsi="Arial"/>
                <w:sz w:val="18"/>
                <w:szCs w:val="18"/>
                <w:b w:val="1"/>
                <w:bCs w:val="1"/>
                <w:color w:val="auto"/>
              </w:rPr>
              <w:t>of Shares</w:t>
            </w:r>
          </w:p>
        </w:tc>
        <w:tc>
          <w:tcPr>
            <w:tcW w:w="2560" w:type="dxa"/>
            <w:vAlign w:val="bottom"/>
          </w:tcPr>
          <w:p>
            <w:pPr>
              <w:ind w:left="160"/>
              <w:spacing w:after="0"/>
              <w:rPr>
                <w:sz w:val="20"/>
                <w:szCs w:val="20"/>
                <w:color w:val="auto"/>
              </w:rPr>
            </w:pPr>
            <w:r>
              <w:rPr>
                <w:rFonts w:ascii="Arial" w:cs="Arial" w:eastAsia="Arial" w:hAnsi="Arial"/>
                <w:sz w:val="18"/>
                <w:szCs w:val="18"/>
                <w:b w:val="1"/>
                <w:bCs w:val="1"/>
                <w:color w:val="auto"/>
              </w:rPr>
              <w:t>Dollar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40" w:type="dxa"/>
            <w:vAlign w:val="bottom"/>
          </w:tcPr>
          <w:p>
            <w:pPr>
              <w:ind w:left="360"/>
              <w:spacing w:after="0"/>
              <w:rPr>
                <w:sz w:val="20"/>
                <w:szCs w:val="20"/>
                <w:color w:val="auto"/>
              </w:rPr>
            </w:pPr>
            <w:r>
              <w:rPr>
                <w:rFonts w:ascii="Arial" w:cs="Arial" w:eastAsia="Arial" w:hAnsi="Arial"/>
                <w:sz w:val="18"/>
                <w:szCs w:val="18"/>
                <w:b w:val="1"/>
                <w:bCs w:val="1"/>
                <w:color w:val="auto"/>
              </w:rPr>
              <w:t>Purchased as</w:t>
            </w:r>
          </w:p>
        </w:tc>
        <w:tc>
          <w:tcPr>
            <w:tcW w:w="2560" w:type="dxa"/>
            <w:vAlign w:val="bottom"/>
          </w:tcPr>
          <w:p>
            <w:pPr>
              <w:ind w:left="160"/>
              <w:spacing w:after="0"/>
              <w:rPr>
                <w:sz w:val="20"/>
                <w:szCs w:val="20"/>
                <w:color w:val="auto"/>
              </w:rPr>
            </w:pPr>
            <w:r>
              <w:rPr>
                <w:rFonts w:ascii="Arial" w:cs="Arial" w:eastAsia="Arial" w:hAnsi="Arial"/>
                <w:sz w:val="18"/>
                <w:szCs w:val="18"/>
                <w:b w:val="1"/>
                <w:bCs w:val="1"/>
                <w:color w:val="auto"/>
              </w:rPr>
              <w:t>of 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40" w:type="dxa"/>
            <w:vAlign w:val="bottom"/>
          </w:tcPr>
          <w:p>
            <w:pPr>
              <w:ind w:left="360"/>
              <w:spacing w:after="0"/>
              <w:rPr>
                <w:sz w:val="20"/>
                <w:szCs w:val="20"/>
                <w:color w:val="auto"/>
              </w:rPr>
            </w:pPr>
            <w:r>
              <w:rPr>
                <w:rFonts w:ascii="Arial" w:cs="Arial" w:eastAsia="Arial" w:hAnsi="Arial"/>
                <w:sz w:val="18"/>
                <w:szCs w:val="18"/>
                <w:b w:val="1"/>
                <w:bCs w:val="1"/>
                <w:color w:val="auto"/>
              </w:rPr>
              <w:t>Part of</w:t>
            </w:r>
          </w:p>
        </w:tc>
        <w:tc>
          <w:tcPr>
            <w:tcW w:w="2560" w:type="dxa"/>
            <w:vAlign w:val="bottom"/>
          </w:tcPr>
          <w:p>
            <w:pPr>
              <w:ind w:left="160"/>
              <w:spacing w:after="0"/>
              <w:rPr>
                <w:sz w:val="20"/>
                <w:szCs w:val="20"/>
                <w:color w:val="auto"/>
              </w:rPr>
            </w:pPr>
            <w:r>
              <w:rPr>
                <w:rFonts w:ascii="Arial" w:cs="Arial" w:eastAsia="Arial" w:hAnsi="Arial"/>
                <w:sz w:val="18"/>
                <w:szCs w:val="18"/>
                <w:b w:val="1"/>
                <w:bCs w:val="1"/>
                <w:color w:val="auto"/>
              </w:rPr>
              <w:t>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980" w:type="dxa"/>
            <w:vAlign w:val="bottom"/>
          </w:tcPr>
          <w:p>
            <w:pPr>
              <w:ind w:left="800"/>
              <w:spacing w:after="0"/>
              <w:rPr>
                <w:sz w:val="20"/>
                <w:szCs w:val="20"/>
                <w:color w:val="auto"/>
              </w:rPr>
            </w:pPr>
            <w:r>
              <w:rPr>
                <w:rFonts w:ascii="Arial" w:cs="Arial" w:eastAsia="Arial" w:hAnsi="Arial"/>
                <w:sz w:val="18"/>
                <w:szCs w:val="18"/>
                <w:b w:val="1"/>
                <w:bCs w:val="1"/>
                <w:color w:val="auto"/>
              </w:rPr>
              <w:t>Total</w:t>
            </w:r>
          </w:p>
        </w:tc>
        <w:tc>
          <w:tcPr>
            <w:tcW w:w="1460" w:type="dxa"/>
            <w:vAlign w:val="bottom"/>
          </w:tcPr>
          <w:p>
            <w:pPr>
              <w:spacing w:after="0"/>
              <w:rPr>
                <w:sz w:val="18"/>
                <w:szCs w:val="18"/>
                <w:color w:val="auto"/>
              </w:rPr>
            </w:pPr>
          </w:p>
        </w:tc>
        <w:tc>
          <w:tcPr>
            <w:tcW w:w="1640" w:type="dxa"/>
            <w:vAlign w:val="bottom"/>
          </w:tcPr>
          <w:p>
            <w:pPr>
              <w:ind w:left="360"/>
              <w:spacing w:after="0"/>
              <w:rPr>
                <w:sz w:val="20"/>
                <w:szCs w:val="20"/>
                <w:color w:val="auto"/>
              </w:rPr>
            </w:pPr>
            <w:r>
              <w:rPr>
                <w:rFonts w:ascii="Arial" w:cs="Arial" w:eastAsia="Arial" w:hAnsi="Arial"/>
                <w:sz w:val="18"/>
                <w:szCs w:val="18"/>
                <w:b w:val="1"/>
                <w:bCs w:val="1"/>
                <w:color w:val="auto"/>
              </w:rPr>
              <w:t>Publicly</w:t>
            </w:r>
          </w:p>
        </w:tc>
        <w:tc>
          <w:tcPr>
            <w:tcW w:w="2560" w:type="dxa"/>
            <w:vAlign w:val="bottom"/>
          </w:tcPr>
          <w:p>
            <w:pPr>
              <w:ind w:left="160"/>
              <w:spacing w:after="0"/>
              <w:rPr>
                <w:sz w:val="20"/>
                <w:szCs w:val="20"/>
                <w:color w:val="auto"/>
              </w:rPr>
            </w:pPr>
            <w:r>
              <w:rPr>
                <w:rFonts w:ascii="Arial" w:cs="Arial" w:eastAsia="Arial" w:hAnsi="Arial"/>
                <w:sz w:val="18"/>
                <w:szCs w:val="18"/>
                <w:b w:val="1"/>
                <w:bCs w:val="1"/>
                <w:color w:val="auto"/>
              </w:rPr>
              <w:t>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980" w:type="dxa"/>
            <w:vAlign w:val="bottom"/>
          </w:tcPr>
          <w:p>
            <w:pPr>
              <w:ind w:left="800"/>
              <w:spacing w:after="0"/>
              <w:rPr>
                <w:sz w:val="20"/>
                <w:szCs w:val="20"/>
                <w:color w:val="auto"/>
              </w:rPr>
            </w:pPr>
            <w:r>
              <w:rPr>
                <w:rFonts w:ascii="Arial" w:cs="Arial" w:eastAsia="Arial" w:hAnsi="Arial"/>
                <w:sz w:val="18"/>
                <w:szCs w:val="18"/>
                <w:b w:val="1"/>
                <w:bCs w:val="1"/>
                <w:color w:val="auto"/>
              </w:rPr>
              <w:t>Number of</w:t>
            </w:r>
          </w:p>
        </w:tc>
        <w:tc>
          <w:tcPr>
            <w:tcW w:w="1460" w:type="dxa"/>
            <w:vAlign w:val="bottom"/>
          </w:tcPr>
          <w:p>
            <w:pPr>
              <w:ind w:left="320"/>
              <w:spacing w:after="0"/>
              <w:rPr>
                <w:sz w:val="20"/>
                <w:szCs w:val="20"/>
                <w:color w:val="auto"/>
              </w:rPr>
            </w:pPr>
            <w:r>
              <w:rPr>
                <w:rFonts w:ascii="Arial" w:cs="Arial" w:eastAsia="Arial" w:hAnsi="Arial"/>
                <w:sz w:val="18"/>
                <w:szCs w:val="18"/>
                <w:b w:val="1"/>
                <w:bCs w:val="1"/>
                <w:color w:val="auto"/>
              </w:rPr>
              <w:t>Average</w:t>
            </w:r>
          </w:p>
        </w:tc>
        <w:tc>
          <w:tcPr>
            <w:tcW w:w="1640" w:type="dxa"/>
            <w:vAlign w:val="bottom"/>
          </w:tcPr>
          <w:p>
            <w:pPr>
              <w:ind w:left="360"/>
              <w:spacing w:after="0"/>
              <w:rPr>
                <w:sz w:val="20"/>
                <w:szCs w:val="20"/>
                <w:color w:val="auto"/>
              </w:rPr>
            </w:pPr>
            <w:r>
              <w:rPr>
                <w:rFonts w:ascii="Arial" w:cs="Arial" w:eastAsia="Arial" w:hAnsi="Arial"/>
                <w:sz w:val="18"/>
                <w:szCs w:val="18"/>
                <w:b w:val="1"/>
                <w:bCs w:val="1"/>
                <w:color w:val="auto"/>
              </w:rPr>
              <w:t>Announced</w:t>
            </w:r>
          </w:p>
        </w:tc>
        <w:tc>
          <w:tcPr>
            <w:tcW w:w="2560" w:type="dxa"/>
            <w:vAlign w:val="bottom"/>
          </w:tcPr>
          <w:p>
            <w:pPr>
              <w:ind w:left="160"/>
              <w:spacing w:after="0"/>
              <w:rPr>
                <w:sz w:val="20"/>
                <w:szCs w:val="20"/>
                <w:color w:val="auto"/>
              </w:rPr>
            </w:pPr>
            <w:r>
              <w:rPr>
                <w:rFonts w:ascii="Arial" w:cs="Arial" w:eastAsia="Arial" w:hAnsi="Arial"/>
                <w:sz w:val="18"/>
                <w:szCs w:val="18"/>
                <w:b w:val="1"/>
                <w:bCs w:val="1"/>
                <w:color w:val="auto"/>
              </w:rPr>
              <w:t>Under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980" w:type="dxa"/>
            <w:vAlign w:val="bottom"/>
          </w:tcPr>
          <w:p>
            <w:pPr>
              <w:ind w:left="800"/>
              <w:spacing w:after="0"/>
              <w:rPr>
                <w:sz w:val="20"/>
                <w:szCs w:val="20"/>
                <w:color w:val="auto"/>
              </w:rPr>
            </w:pPr>
            <w:r>
              <w:rPr>
                <w:rFonts w:ascii="Arial" w:cs="Arial" w:eastAsia="Arial" w:hAnsi="Arial"/>
                <w:sz w:val="18"/>
                <w:szCs w:val="18"/>
                <w:b w:val="1"/>
                <w:bCs w:val="1"/>
                <w:color w:val="auto"/>
              </w:rPr>
              <w:t>Shares</w:t>
            </w:r>
          </w:p>
        </w:tc>
        <w:tc>
          <w:tcPr>
            <w:tcW w:w="1460" w:type="dxa"/>
            <w:vAlign w:val="bottom"/>
          </w:tcPr>
          <w:p>
            <w:pPr>
              <w:ind w:left="320"/>
              <w:spacing w:after="0"/>
              <w:rPr>
                <w:sz w:val="20"/>
                <w:szCs w:val="20"/>
                <w:color w:val="auto"/>
              </w:rPr>
            </w:pPr>
            <w:r>
              <w:rPr>
                <w:rFonts w:ascii="Arial" w:cs="Arial" w:eastAsia="Arial" w:hAnsi="Arial"/>
                <w:sz w:val="18"/>
                <w:szCs w:val="18"/>
                <w:b w:val="1"/>
                <w:bCs w:val="1"/>
                <w:color w:val="auto"/>
              </w:rPr>
              <w:t>Price Paid</w:t>
            </w:r>
          </w:p>
        </w:tc>
        <w:tc>
          <w:tcPr>
            <w:tcW w:w="1640" w:type="dxa"/>
            <w:vAlign w:val="bottom"/>
          </w:tcPr>
          <w:p>
            <w:pPr>
              <w:ind w:left="360"/>
              <w:spacing w:after="0"/>
              <w:rPr>
                <w:sz w:val="20"/>
                <w:szCs w:val="20"/>
                <w:color w:val="auto"/>
              </w:rPr>
            </w:pPr>
            <w:r>
              <w:rPr>
                <w:rFonts w:ascii="Arial" w:cs="Arial" w:eastAsia="Arial" w:hAnsi="Arial"/>
                <w:sz w:val="18"/>
                <w:szCs w:val="18"/>
                <w:b w:val="1"/>
                <w:bCs w:val="1"/>
                <w:color w:val="auto"/>
              </w:rPr>
              <w:t>Plans or</w:t>
            </w:r>
          </w:p>
        </w:tc>
        <w:tc>
          <w:tcPr>
            <w:tcW w:w="2560" w:type="dxa"/>
            <w:vAlign w:val="bottom"/>
          </w:tcPr>
          <w:p>
            <w:pPr>
              <w:ind w:left="160"/>
              <w:spacing w:after="0"/>
              <w:rPr>
                <w:sz w:val="20"/>
                <w:szCs w:val="20"/>
                <w:color w:val="auto"/>
              </w:rPr>
            </w:pPr>
            <w:r>
              <w:rPr>
                <w:rFonts w:ascii="Arial" w:cs="Arial" w:eastAsia="Arial" w:hAnsi="Arial"/>
                <w:sz w:val="18"/>
                <w:szCs w:val="18"/>
                <w:b w:val="1"/>
                <w:bCs w:val="1"/>
                <w:color w:val="auto"/>
              </w:rPr>
              <w:t>Plans or</w:t>
            </w:r>
          </w:p>
        </w:tc>
        <w:tc>
          <w:tcPr>
            <w:tcW w:w="0" w:type="dxa"/>
            <w:vAlign w:val="bottom"/>
          </w:tcPr>
          <w:p>
            <w:pPr>
              <w:spacing w:after="0"/>
              <w:rPr>
                <w:sz w:val="1"/>
                <w:szCs w:val="1"/>
                <w:color w:val="auto"/>
              </w:rPr>
            </w:pPr>
          </w:p>
        </w:tc>
      </w:tr>
      <w:tr>
        <w:trPr>
          <w:trHeight w:val="333"/>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980" w:type="dxa"/>
            <w:vAlign w:val="bottom"/>
          </w:tcPr>
          <w:p>
            <w:pPr>
              <w:ind w:left="800"/>
              <w:spacing w:after="0"/>
              <w:rPr>
                <w:sz w:val="20"/>
                <w:szCs w:val="20"/>
                <w:color w:val="auto"/>
              </w:rPr>
            </w:pPr>
            <w:r>
              <w:rPr>
                <w:rFonts w:ascii="Arial" w:cs="Arial" w:eastAsia="Arial" w:hAnsi="Arial"/>
                <w:sz w:val="18"/>
                <w:szCs w:val="18"/>
                <w:b w:val="1"/>
                <w:bCs w:val="1"/>
                <w:color w:val="auto"/>
              </w:rPr>
              <w:t>Purchased</w:t>
            </w:r>
          </w:p>
        </w:tc>
        <w:tc>
          <w:tcPr>
            <w:tcW w:w="1460" w:type="dxa"/>
            <w:vAlign w:val="bottom"/>
          </w:tcPr>
          <w:p>
            <w:pPr>
              <w:ind w:left="320"/>
              <w:spacing w:after="0"/>
              <w:rPr>
                <w:sz w:val="20"/>
                <w:szCs w:val="20"/>
                <w:color w:val="auto"/>
              </w:rPr>
            </w:pPr>
            <w:r>
              <w:rPr>
                <w:rFonts w:ascii="Arial" w:cs="Arial" w:eastAsia="Arial" w:hAnsi="Arial"/>
                <w:sz w:val="18"/>
                <w:szCs w:val="18"/>
                <w:b w:val="1"/>
                <w:bCs w:val="1"/>
                <w:color w:val="auto"/>
              </w:rPr>
              <w:t>per Share</w:t>
            </w:r>
          </w:p>
        </w:tc>
        <w:tc>
          <w:tcPr>
            <w:tcW w:w="1640" w:type="dxa"/>
            <w:vAlign w:val="bottom"/>
          </w:tcPr>
          <w:p>
            <w:pPr>
              <w:ind w:left="360"/>
              <w:spacing w:after="0"/>
              <w:rPr>
                <w:sz w:val="20"/>
                <w:szCs w:val="20"/>
                <w:color w:val="auto"/>
              </w:rPr>
            </w:pPr>
            <w:r>
              <w:rPr>
                <w:rFonts w:ascii="Arial" w:cs="Arial" w:eastAsia="Arial" w:hAnsi="Arial"/>
                <w:sz w:val="18"/>
                <w:szCs w:val="18"/>
                <w:b w:val="1"/>
                <w:bCs w:val="1"/>
                <w:color w:val="auto"/>
              </w:rPr>
              <w:t>Programs</w:t>
            </w:r>
          </w:p>
        </w:tc>
        <w:tc>
          <w:tcPr>
            <w:tcW w:w="2560" w:type="dxa"/>
            <w:vAlign w:val="bottom"/>
          </w:tcPr>
          <w:p>
            <w:pPr>
              <w:ind w:left="160"/>
              <w:spacing w:after="0"/>
              <w:rPr>
                <w:sz w:val="20"/>
                <w:szCs w:val="20"/>
                <w:color w:val="auto"/>
              </w:rPr>
            </w:pPr>
            <w:r>
              <w:rPr>
                <w:rFonts w:ascii="Arial" w:cs="Arial" w:eastAsia="Arial" w:hAnsi="Arial"/>
                <w:sz w:val="18"/>
                <w:szCs w:val="18"/>
                <w:b w:val="1"/>
                <w:bCs w:val="1"/>
                <w:color w:val="auto"/>
              </w:rPr>
              <w:t xml:space="preserve">Programs </w:t>
            </w:r>
            <w:r>
              <w:rPr>
                <w:rFonts w:ascii="Arial" w:cs="Arial" w:eastAsia="Arial" w:hAnsi="Arial"/>
                <w:sz w:val="25"/>
                <w:szCs w:val="25"/>
                <w:b w:val="1"/>
                <w:bCs w:val="1"/>
                <w:color w:val="auto"/>
                <w:vertAlign w:val="superscript"/>
              </w:rPr>
              <w:t>(1)</w:t>
            </w:r>
          </w:p>
        </w:tc>
        <w:tc>
          <w:tcPr>
            <w:tcW w:w="0" w:type="dxa"/>
            <w:vAlign w:val="bottom"/>
          </w:tcPr>
          <w:p>
            <w:pPr>
              <w:spacing w:after="0"/>
              <w:rPr>
                <w:sz w:val="1"/>
                <w:szCs w:val="1"/>
                <w:color w:val="auto"/>
              </w:rPr>
            </w:pPr>
          </w:p>
        </w:tc>
      </w:tr>
      <w:tr>
        <w:trPr>
          <w:trHeight w:val="118"/>
        </w:trPr>
        <w:tc>
          <w:tcPr>
            <w:tcW w:w="20" w:type="dxa"/>
            <w:vAlign w:val="bottom"/>
            <w:vMerge w:val="restart"/>
          </w:tcPr>
          <w:p>
            <w:pPr>
              <w:spacing w:after="0"/>
              <w:rPr>
                <w:sz w:val="10"/>
                <w:szCs w:val="10"/>
                <w:color w:val="auto"/>
              </w:rPr>
            </w:pPr>
          </w:p>
        </w:tc>
        <w:tc>
          <w:tcPr>
            <w:tcW w:w="37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October 1 through October 31, 2009</w:t>
            </w:r>
          </w:p>
        </w:tc>
        <w:tc>
          <w:tcPr>
            <w:tcW w:w="19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14,773,300</w:t>
            </w: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$23.68</w:t>
            </w:r>
          </w:p>
        </w:tc>
        <w:tc>
          <w:tcPr>
            <w:tcW w:w="16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14,773,300</w:t>
            </w:r>
          </w:p>
        </w:tc>
        <w:tc>
          <w:tcPr>
            <w:tcW w:w="2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$2.60 billion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November 1 through November 30, 2009</w:t>
            </w:r>
          </w:p>
        </w:tc>
        <w:tc>
          <w:tcPr>
            <w:tcW w:w="1980" w:type="dxa"/>
            <w:vAlign w:val="bottom"/>
          </w:tcPr>
          <w:p>
            <w:pPr>
              <w:jc w:val="right"/>
              <w:ind w:right="270"/>
              <w:spacing w:after="0"/>
              <w:rPr>
                <w:sz w:val="20"/>
                <w:szCs w:val="20"/>
                <w:color w:val="auto"/>
              </w:rPr>
            </w:pPr>
            <w:r>
              <w:rPr>
                <w:rFonts w:ascii="Arial" w:cs="Arial" w:eastAsia="Arial" w:hAnsi="Arial"/>
                <w:sz w:val="18"/>
                <w:szCs w:val="18"/>
                <w:color w:val="auto"/>
              </w:rPr>
              <w:t>70,000</w:t>
            </w:r>
          </w:p>
        </w:tc>
        <w:tc>
          <w:tcPr>
            <w:tcW w:w="1460" w:type="dxa"/>
            <w:vAlign w:val="bottom"/>
          </w:tcPr>
          <w:p>
            <w:pPr>
              <w:ind w:left="320"/>
              <w:spacing w:after="0"/>
              <w:rPr>
                <w:sz w:val="20"/>
                <w:szCs w:val="20"/>
                <w:color w:val="auto"/>
              </w:rPr>
            </w:pPr>
            <w:r>
              <w:rPr>
                <w:rFonts w:ascii="Arial" w:cs="Arial" w:eastAsia="Arial" w:hAnsi="Arial"/>
                <w:sz w:val="18"/>
                <w:szCs w:val="18"/>
                <w:color w:val="auto"/>
              </w:rPr>
              <w:t>$18.67</w:t>
            </w:r>
          </w:p>
        </w:tc>
        <w:tc>
          <w:tcPr>
            <w:tcW w:w="1640" w:type="dxa"/>
            <w:vAlign w:val="bottom"/>
          </w:tcPr>
          <w:p>
            <w:pPr>
              <w:jc w:val="right"/>
              <w:ind w:right="390"/>
              <w:spacing w:after="0"/>
              <w:rPr>
                <w:sz w:val="20"/>
                <w:szCs w:val="20"/>
                <w:color w:val="auto"/>
              </w:rPr>
            </w:pPr>
            <w:r>
              <w:rPr>
                <w:rFonts w:ascii="Arial" w:cs="Arial" w:eastAsia="Arial" w:hAnsi="Arial"/>
                <w:sz w:val="18"/>
                <w:szCs w:val="18"/>
                <w:color w:val="auto"/>
              </w:rPr>
              <w:t>70,000</w:t>
            </w:r>
          </w:p>
        </w:tc>
        <w:tc>
          <w:tcPr>
            <w:tcW w:w="2560" w:type="dxa"/>
            <w:vAlign w:val="bottom"/>
          </w:tcPr>
          <w:p>
            <w:pPr>
              <w:ind w:left="160"/>
              <w:spacing w:after="0"/>
              <w:rPr>
                <w:sz w:val="20"/>
                <w:szCs w:val="20"/>
                <w:color w:val="auto"/>
              </w:rPr>
            </w:pPr>
            <w:r>
              <w:rPr>
                <w:rFonts w:ascii="Arial" w:cs="Arial" w:eastAsia="Arial" w:hAnsi="Arial"/>
                <w:sz w:val="18"/>
                <w:szCs w:val="18"/>
                <w:color w:val="auto"/>
              </w:rPr>
              <w:t>$2.60 billion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December 1 through December 31, 2009</w:t>
            </w:r>
          </w:p>
        </w:tc>
        <w:tc>
          <w:tcPr>
            <w:tcW w:w="19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220,000</w:t>
            </w: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$18.70</w:t>
            </w:r>
          </w:p>
        </w:tc>
        <w:tc>
          <w:tcPr>
            <w:tcW w:w="16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220,000</w:t>
            </w:r>
          </w:p>
        </w:tc>
        <w:tc>
          <w:tcPr>
            <w:tcW w:w="2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$2.59 billion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15,063,300</w:t>
            </w: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$23.59</w:t>
            </w: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15,063,300</w:t>
            </w:r>
            <w:r>
              <w:rPr>
                <w:rFonts w:ascii="Arial" w:cs="Arial" w:eastAsia="Arial" w:hAnsi="Arial"/>
                <w:sz w:val="13"/>
                <w:szCs w:val="13"/>
                <w:color w:val="auto"/>
              </w:rPr>
              <w:t>(2)(3)</w:t>
            </w:r>
          </w:p>
        </w:tc>
        <w:tc>
          <w:tcPr>
            <w:tcW w:w="256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$2.59 billion</w:t>
            </w:r>
            <w:r>
              <w:rPr>
                <w:rFonts w:ascii="Arial" w:cs="Arial" w:eastAsia="Arial" w:hAnsi="Arial"/>
                <w:sz w:val="25"/>
                <w:szCs w:val="25"/>
                <w:color w:val="auto"/>
                <w:vertAlign w:val="superscript"/>
              </w:rPr>
              <w:t>(3)</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_______</w:t>
      </w:r>
    </w:p>
    <w:p>
      <w:pPr>
        <w:spacing w:after="0" w:line="7" w:lineRule="exact"/>
        <w:rPr>
          <w:sz w:val="20"/>
          <w:szCs w:val="20"/>
          <w:color w:val="auto"/>
        </w:rPr>
      </w:pPr>
    </w:p>
    <w:p>
      <w:pPr>
        <w:ind w:left="340" w:right="340" w:hanging="332"/>
        <w:spacing w:after="0" w:line="211" w:lineRule="auto"/>
        <w:tabs>
          <w:tab w:leader="none" w:pos="34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All purchases during the quarter were made under the authorization from our board of directors to purchase up to $5 billion of additional shares of TI common stock announced on September 21, 2007. No expiration date has been specified for this authorization.</w:t>
      </w:r>
    </w:p>
    <w:p>
      <w:pPr>
        <w:spacing w:after="0" w:line="230" w:lineRule="exact"/>
        <w:rPr>
          <w:rFonts w:ascii="Arial" w:cs="Arial" w:eastAsia="Arial" w:hAnsi="Arial"/>
          <w:sz w:val="25"/>
          <w:szCs w:val="25"/>
          <w:color w:val="auto"/>
          <w:vertAlign w:val="superscript"/>
        </w:rPr>
      </w:pPr>
    </w:p>
    <w:p>
      <w:pPr>
        <w:ind w:left="340" w:right="180" w:hanging="332"/>
        <w:spacing w:after="0" w:line="262" w:lineRule="auto"/>
        <w:tabs>
          <w:tab w:leader="none" w:pos="340"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The purchases in October were made through open-market purchases. The purchases in November and December were made through a privately negotiated forward purchase contract with a non-affiliated financial institution. The forward purchase contract was designed to minimize the impact on our earnings from the effect of stock market value fluctuations on the portion of our deferred compensation obligations denominated in TI stock.</w:t>
      </w:r>
    </w:p>
    <w:p>
      <w:pPr>
        <w:spacing w:after="0" w:line="156" w:lineRule="exact"/>
        <w:rPr>
          <w:rFonts w:ascii="Arial" w:cs="Arial" w:eastAsia="Arial" w:hAnsi="Arial"/>
          <w:sz w:val="22"/>
          <w:szCs w:val="22"/>
          <w:color w:val="auto"/>
          <w:vertAlign w:val="superscript"/>
        </w:rPr>
      </w:pPr>
    </w:p>
    <w:p>
      <w:pPr>
        <w:ind w:left="340" w:hanging="332"/>
        <w:spacing w:after="0"/>
        <w:tabs>
          <w:tab w:leader="none" w:pos="34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The table includes the purchase of 220,000 shares for which trades were settled in the first three business days of January 2010.</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 w:name="page15"/>
    <w:bookmarkEnd w:id="14"/>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56"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“Summary of selected financial data” for the years 2005 through 2009, which appears on page 34 of TI’s 2009 annual report to stockholders, is incorporated herein by reference to such annual report.</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contained under the caption “Management’s discussion and analysis of financial condition and results of operations” on pages 35 through 45 of TI’s 2009 annual report to stockholders is incorporated herein by reference to such annual report.</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information concerning market risk contained on page 45 of TI’s 2009 annual report to stockholders is incorporated herein by reference to such annual report.</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56"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The consolidated financial statements of the company at December 31, 2009 and 2008, and for each of the three years in the period ended December 31, 2009, and the report thereon of the independent registered public accounting firm, on pages 2 through 31 of TI’s 2009 annual report to stockholders, are incorporated herein by reference to such annual report.</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The “Quarterly financial data” on page 46 of TI’s 2009 annual report to stockholders is also incorporated herein by reference to such annual report.</w:t>
      </w:r>
    </w:p>
    <w:p>
      <w:pPr>
        <w:spacing w:after="0" w:line="26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Disclosure Controls and Procedures</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 evaluation as of the end of the period covered by this report was carried out under the supervision and with the participation of TI's management, including its Chief Executive Officer and Chief Financial Officer, of the effectiveness of the design and operation of TI’s disclosure controls and procedures (as defined in Rules 13a-15(e) and 15d-15(e) under the Securities Exchange Act of 1934). Based upon that evaluation, the Chief Executive Officer and Chief Financial Officer concluded that those disclosure controls and procedures were effective.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Internal Control over Financial Reporting</w:t>
      </w:r>
    </w:p>
    <w:p>
      <w:pPr>
        <w:spacing w:after="0" w:line="252"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Management’s assessment of our internal control over financial reporting is contained in the report by management on internal control over financial reporting on page 32 of our 2009 annual report to stockholders and is incorporated herein by reference to such annual report.</w:t>
      </w:r>
    </w:p>
    <w:p>
      <w:pPr>
        <w:spacing w:after="0" w:line="174"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The report of independent registered public accounting firm on internal control over financial reporting opining on our internal control over financial reporting is contained on page 33 of our 2009 annual report to stockholders and is incorporated herein by reference to such annual report.</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15" w:name="page16"/>
    <w:bookmarkEnd w:id="15"/>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6"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information with respect to directors’ names, ages, positions, term of office and periods of service, which is contained under the caption “Election of directors” in our proxy statement for the 2010 annual meeting of stockholders, is incorporated herein by reference to such proxy statement.</w:t>
      </w:r>
    </w:p>
    <w:p>
      <w:pPr>
        <w:spacing w:after="0" w:line="15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information with respect to directors’ business experience, which is contained under the caption “Board diversity and nominee qualifications” in our proxy statement for the 2010 annual meeting of stockholders, is incorporated herein by reference to such proxy statement.</w:t>
      </w:r>
    </w:p>
    <w:p>
      <w:pPr>
        <w:spacing w:after="0" w:line="17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information with respect to the company’s audit committee financial expert contained under the caption “Board organization” in our proxy statement for the 2010 annual meeting of stockholders is incorporated herein by reference to such proxy statement.</w:t>
      </w:r>
    </w:p>
    <w:p>
      <w:pPr>
        <w:spacing w:after="0" w:line="19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information with respect to Section 16(a) beneficial ownership reporting compliance contained under the caption of the same name in our proxy statement for the 2010 annual meeting of stockholders is incorporated herein by reference to such proxy statement.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 list of our executive officers and their biographical information appears in Part I, Item 1 of this report.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Code of Ethics</w:t>
      </w:r>
    </w:p>
    <w:p>
      <w:pPr>
        <w:spacing w:after="0" w:line="252"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We have adopted the Code of Ethics for TI Chief Executive Officer and Senior Financial Officers. A copy of the Code can be found on our web site at www.ti.com/corporategovernance. We intend to satisfy the disclosure requirements of the SEC regarding amendments to, or waivers from, the Code by posting such information on the same web site.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w:t>
      </w:r>
    </w:p>
    <w:p>
      <w:pPr>
        <w:spacing w:after="0" w:line="252"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We have a separately designated standing audit committee established in accordance with Section 3(a)(58)(A) of the Securities Exchange Act of 1934. The following directors are members of TI’s Audit Committee: Pamela H. Patsley (Chair), David L. Boren, Stephen P. MacMillan and Wayne R. Sanders.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contained under the captions “Director compensation” and “Executive compensation” in our proxy statement for the 2010 annual meeting of stockholders is incorporated herein by reference to such proxy statement.</w:t>
      </w:r>
    </w:p>
    <w:p>
      <w:pPr>
        <w:spacing w:after="0" w:line="19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information contained under the caption “Compensation committee interlocks and insider participation” in our proxy statement for the 2010 annual meeting of stockholders is incorporated herein by reference to such proxy statement.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Compensation Plan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about the company’s equity compensation plans as of December 31, 2009:</w:t>
      </w: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58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58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Securities</w:t>
            </w:r>
          </w:p>
        </w:tc>
      </w:tr>
      <w:tr>
        <w:trPr>
          <w:trHeight w:val="216"/>
        </w:trPr>
        <w:tc>
          <w:tcPr>
            <w:tcW w:w="58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58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Available</w:t>
            </w:r>
          </w:p>
        </w:tc>
      </w:tr>
      <w:tr>
        <w:trPr>
          <w:trHeight w:val="216"/>
        </w:trPr>
        <w:tc>
          <w:tcPr>
            <w:tcW w:w="5880" w:type="dxa"/>
            <w:vAlign w:val="bottom"/>
          </w:tcPr>
          <w:p>
            <w:pPr>
              <w:spacing w:after="0"/>
              <w:rPr>
                <w:sz w:val="18"/>
                <w:szCs w:val="18"/>
                <w:color w:val="auto"/>
              </w:rPr>
            </w:pPr>
          </w:p>
        </w:tc>
        <w:tc>
          <w:tcPr>
            <w:tcW w:w="2820" w:type="dxa"/>
            <w:vAlign w:val="bottom"/>
          </w:tcPr>
          <w:p>
            <w:pPr>
              <w:jc w:val="center"/>
              <w:ind w:left="1130"/>
              <w:spacing w:after="0"/>
              <w:rPr>
                <w:sz w:val="20"/>
                <w:szCs w:val="20"/>
                <w:color w:val="auto"/>
              </w:rPr>
            </w:pPr>
            <w:r>
              <w:rPr>
                <w:rFonts w:ascii="Arial" w:cs="Arial" w:eastAsia="Arial" w:hAnsi="Arial"/>
                <w:sz w:val="18"/>
                <w:szCs w:val="18"/>
                <w:b w:val="1"/>
                <w:bCs w:val="1"/>
                <w:color w:val="auto"/>
                <w:w w:val="93"/>
              </w:rPr>
              <w:t>Number of</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for Future</w:t>
            </w:r>
          </w:p>
        </w:tc>
      </w:tr>
      <w:tr>
        <w:trPr>
          <w:trHeight w:val="216"/>
        </w:trPr>
        <w:tc>
          <w:tcPr>
            <w:tcW w:w="5880" w:type="dxa"/>
            <w:vAlign w:val="bottom"/>
          </w:tcPr>
          <w:p>
            <w:pPr>
              <w:spacing w:after="0"/>
              <w:rPr>
                <w:sz w:val="18"/>
                <w:szCs w:val="18"/>
                <w:color w:val="auto"/>
              </w:rPr>
            </w:pPr>
          </w:p>
        </w:tc>
        <w:tc>
          <w:tcPr>
            <w:tcW w:w="2820" w:type="dxa"/>
            <w:vAlign w:val="bottom"/>
          </w:tcPr>
          <w:p>
            <w:pPr>
              <w:jc w:val="center"/>
              <w:ind w:left="1110"/>
              <w:spacing w:after="0"/>
              <w:rPr>
                <w:sz w:val="20"/>
                <w:szCs w:val="20"/>
                <w:color w:val="auto"/>
              </w:rPr>
            </w:pPr>
            <w:r>
              <w:rPr>
                <w:rFonts w:ascii="Arial" w:cs="Arial" w:eastAsia="Arial" w:hAnsi="Arial"/>
                <w:sz w:val="18"/>
                <w:szCs w:val="18"/>
                <w:b w:val="1"/>
                <w:bCs w:val="1"/>
                <w:color w:val="auto"/>
                <w:w w:val="85"/>
              </w:rPr>
              <w:t>Securities</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280" w:type="dxa"/>
            <w:vAlign w:val="bottom"/>
          </w:tcPr>
          <w:p>
            <w:pPr>
              <w:spacing w:after="0"/>
              <w:rPr>
                <w:sz w:val="18"/>
                <w:szCs w:val="18"/>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Issuance</w:t>
            </w:r>
          </w:p>
        </w:tc>
      </w:tr>
      <w:tr>
        <w:trPr>
          <w:trHeight w:val="216"/>
        </w:trPr>
        <w:tc>
          <w:tcPr>
            <w:tcW w:w="5880" w:type="dxa"/>
            <w:vAlign w:val="bottom"/>
          </w:tcPr>
          <w:p>
            <w:pPr>
              <w:spacing w:after="0"/>
              <w:rPr>
                <w:sz w:val="18"/>
                <w:szCs w:val="18"/>
                <w:color w:val="auto"/>
              </w:rPr>
            </w:pPr>
          </w:p>
        </w:tc>
        <w:tc>
          <w:tcPr>
            <w:tcW w:w="2820" w:type="dxa"/>
            <w:vAlign w:val="bottom"/>
          </w:tcPr>
          <w:p>
            <w:pPr>
              <w:jc w:val="center"/>
              <w:ind w:left="1130"/>
              <w:spacing w:after="0"/>
              <w:rPr>
                <w:sz w:val="20"/>
                <w:szCs w:val="20"/>
                <w:color w:val="auto"/>
              </w:rPr>
            </w:pPr>
            <w:r>
              <w:rPr>
                <w:rFonts w:ascii="Arial" w:cs="Arial" w:eastAsia="Arial" w:hAnsi="Arial"/>
                <w:sz w:val="18"/>
                <w:szCs w:val="18"/>
                <w:b w:val="1"/>
                <w:bCs w:val="1"/>
                <w:color w:val="auto"/>
                <w:w w:val="87"/>
              </w:rPr>
              <w:t>to be Issued</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80" w:type="dxa"/>
            <w:vAlign w:val="bottom"/>
          </w:tcPr>
          <w:p>
            <w:pPr>
              <w:spacing w:after="0"/>
              <w:rPr>
                <w:sz w:val="18"/>
                <w:szCs w:val="18"/>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under Equity</w:t>
            </w:r>
          </w:p>
        </w:tc>
      </w:tr>
      <w:tr>
        <w:trPr>
          <w:trHeight w:val="216"/>
        </w:trPr>
        <w:tc>
          <w:tcPr>
            <w:tcW w:w="5880" w:type="dxa"/>
            <w:vAlign w:val="bottom"/>
          </w:tcPr>
          <w:p>
            <w:pPr>
              <w:spacing w:after="0"/>
              <w:rPr>
                <w:sz w:val="18"/>
                <w:szCs w:val="18"/>
                <w:color w:val="auto"/>
              </w:rPr>
            </w:pPr>
          </w:p>
        </w:tc>
        <w:tc>
          <w:tcPr>
            <w:tcW w:w="2820" w:type="dxa"/>
            <w:vAlign w:val="bottom"/>
          </w:tcPr>
          <w:p>
            <w:pPr>
              <w:jc w:val="center"/>
              <w:ind w:left="1110"/>
              <w:spacing w:after="0"/>
              <w:rPr>
                <w:sz w:val="20"/>
                <w:szCs w:val="20"/>
                <w:color w:val="auto"/>
              </w:rPr>
            </w:pPr>
            <w:r>
              <w:rPr>
                <w:rFonts w:ascii="Arial" w:cs="Arial" w:eastAsia="Arial" w:hAnsi="Arial"/>
                <w:sz w:val="18"/>
                <w:szCs w:val="18"/>
                <w:b w:val="1"/>
                <w:bCs w:val="1"/>
                <w:color w:val="auto"/>
                <w:w w:val="91"/>
              </w:rPr>
              <w:t>Upon</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6"/>
              </w:rPr>
              <w:t>Exercise</w:t>
            </w:r>
          </w:p>
        </w:tc>
        <w:tc>
          <w:tcPr>
            <w:tcW w:w="28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Compensation</w:t>
            </w:r>
          </w:p>
        </w:tc>
      </w:tr>
      <w:tr>
        <w:trPr>
          <w:trHeight w:val="216"/>
        </w:trPr>
        <w:tc>
          <w:tcPr>
            <w:tcW w:w="5880" w:type="dxa"/>
            <w:vAlign w:val="bottom"/>
          </w:tcPr>
          <w:p>
            <w:pPr>
              <w:spacing w:after="0"/>
              <w:rPr>
                <w:sz w:val="18"/>
                <w:szCs w:val="18"/>
                <w:color w:val="auto"/>
              </w:rPr>
            </w:pPr>
          </w:p>
        </w:tc>
        <w:tc>
          <w:tcPr>
            <w:tcW w:w="2820" w:type="dxa"/>
            <w:vAlign w:val="bottom"/>
          </w:tcPr>
          <w:p>
            <w:pPr>
              <w:jc w:val="center"/>
              <w:ind w:left="1130"/>
              <w:spacing w:after="0"/>
              <w:rPr>
                <w:sz w:val="20"/>
                <w:szCs w:val="20"/>
                <w:color w:val="auto"/>
              </w:rPr>
            </w:pPr>
            <w:r>
              <w:rPr>
                <w:rFonts w:ascii="Arial" w:cs="Arial" w:eastAsia="Arial" w:hAnsi="Arial"/>
                <w:sz w:val="18"/>
                <w:szCs w:val="18"/>
                <w:b w:val="1"/>
                <w:bCs w:val="1"/>
                <w:color w:val="auto"/>
                <w:w w:val="87"/>
              </w:rPr>
              <w:t>Exercise of</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0"/>
              </w:rPr>
              <w:t>Price of</w:t>
            </w:r>
          </w:p>
        </w:tc>
        <w:tc>
          <w:tcPr>
            <w:tcW w:w="280" w:type="dxa"/>
            <w:vAlign w:val="bottom"/>
          </w:tcPr>
          <w:p>
            <w:pPr>
              <w:spacing w:after="0"/>
              <w:rPr>
                <w:sz w:val="18"/>
                <w:szCs w:val="18"/>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Plans</w:t>
            </w:r>
          </w:p>
        </w:tc>
      </w:tr>
      <w:tr>
        <w:trPr>
          <w:trHeight w:val="216"/>
        </w:trPr>
        <w:tc>
          <w:tcPr>
            <w:tcW w:w="5880" w:type="dxa"/>
            <w:vAlign w:val="bottom"/>
          </w:tcPr>
          <w:p>
            <w:pPr>
              <w:spacing w:after="0"/>
              <w:rPr>
                <w:sz w:val="18"/>
                <w:szCs w:val="18"/>
                <w:color w:val="auto"/>
              </w:rPr>
            </w:pPr>
          </w:p>
        </w:tc>
        <w:tc>
          <w:tcPr>
            <w:tcW w:w="2820" w:type="dxa"/>
            <w:vAlign w:val="bottom"/>
          </w:tcPr>
          <w:p>
            <w:pPr>
              <w:jc w:val="center"/>
              <w:ind w:left="1130"/>
              <w:spacing w:after="0"/>
              <w:rPr>
                <w:sz w:val="20"/>
                <w:szCs w:val="20"/>
                <w:color w:val="auto"/>
              </w:rPr>
            </w:pPr>
            <w:r>
              <w:rPr>
                <w:rFonts w:ascii="Arial" w:cs="Arial" w:eastAsia="Arial" w:hAnsi="Arial"/>
                <w:sz w:val="18"/>
                <w:szCs w:val="18"/>
                <w:b w:val="1"/>
                <w:bCs w:val="1"/>
                <w:color w:val="auto"/>
                <w:w w:val="90"/>
              </w:rPr>
              <w:t>Outstanding</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28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(excluding</w:t>
            </w:r>
          </w:p>
        </w:tc>
      </w:tr>
      <w:tr>
        <w:trPr>
          <w:trHeight w:val="216"/>
        </w:trPr>
        <w:tc>
          <w:tcPr>
            <w:tcW w:w="5880" w:type="dxa"/>
            <w:vAlign w:val="bottom"/>
          </w:tcPr>
          <w:p>
            <w:pPr>
              <w:spacing w:after="0"/>
              <w:rPr>
                <w:sz w:val="18"/>
                <w:szCs w:val="18"/>
                <w:color w:val="auto"/>
              </w:rPr>
            </w:pPr>
          </w:p>
        </w:tc>
        <w:tc>
          <w:tcPr>
            <w:tcW w:w="2820" w:type="dxa"/>
            <w:vAlign w:val="bottom"/>
          </w:tcPr>
          <w:p>
            <w:pPr>
              <w:jc w:val="center"/>
              <w:ind w:left="1110"/>
              <w:spacing w:after="0"/>
              <w:rPr>
                <w:sz w:val="20"/>
                <w:szCs w:val="20"/>
                <w:color w:val="auto"/>
              </w:rPr>
            </w:pPr>
            <w:r>
              <w:rPr>
                <w:rFonts w:ascii="Arial" w:cs="Arial" w:eastAsia="Arial" w:hAnsi="Arial"/>
                <w:sz w:val="18"/>
                <w:szCs w:val="18"/>
                <w:b w:val="1"/>
                <w:bCs w:val="1"/>
                <w:color w:val="auto"/>
                <w:w w:val="90"/>
              </w:rPr>
              <w:t>Options,</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0"/>
              </w:rPr>
              <w:t>Options,</w:t>
            </w:r>
          </w:p>
        </w:tc>
        <w:tc>
          <w:tcPr>
            <w:tcW w:w="28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5880" w:type="dxa"/>
            <w:vAlign w:val="bottom"/>
          </w:tcPr>
          <w:p>
            <w:pPr>
              <w:spacing w:after="0"/>
              <w:rPr>
                <w:sz w:val="18"/>
                <w:szCs w:val="18"/>
                <w:color w:val="auto"/>
              </w:rPr>
            </w:pPr>
          </w:p>
        </w:tc>
        <w:tc>
          <w:tcPr>
            <w:tcW w:w="2820" w:type="dxa"/>
            <w:vAlign w:val="bottom"/>
          </w:tcPr>
          <w:p>
            <w:pPr>
              <w:jc w:val="center"/>
              <w:ind w:left="1110"/>
              <w:spacing w:after="0"/>
              <w:rPr>
                <w:sz w:val="20"/>
                <w:szCs w:val="20"/>
                <w:color w:val="auto"/>
              </w:rPr>
            </w:pPr>
            <w:r>
              <w:rPr>
                <w:rFonts w:ascii="Arial" w:cs="Arial" w:eastAsia="Arial" w:hAnsi="Arial"/>
                <w:sz w:val="18"/>
                <w:szCs w:val="18"/>
                <w:b w:val="1"/>
                <w:bCs w:val="1"/>
                <w:color w:val="auto"/>
                <w:w w:val="94"/>
              </w:rPr>
              <w:t>Warrants</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4"/>
              </w:rPr>
              <w:t>Warrants</w:t>
            </w:r>
          </w:p>
        </w:tc>
        <w:tc>
          <w:tcPr>
            <w:tcW w:w="280" w:type="dxa"/>
            <w:vAlign w:val="bottom"/>
          </w:tcPr>
          <w:p>
            <w:pPr>
              <w:spacing w:after="0"/>
              <w:rPr>
                <w:sz w:val="18"/>
                <w:szCs w:val="18"/>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reflected in</w:t>
            </w:r>
          </w:p>
        </w:tc>
      </w:tr>
      <w:tr>
        <w:trPr>
          <w:trHeight w:val="220"/>
        </w:trPr>
        <w:tc>
          <w:tcPr>
            <w:tcW w:w="5880" w:type="dxa"/>
            <w:vAlign w:val="bottom"/>
          </w:tcPr>
          <w:p>
            <w:pPr>
              <w:spacing w:after="0"/>
              <w:rPr>
                <w:sz w:val="20"/>
                <w:szCs w:val="20"/>
                <w:color w:val="auto"/>
              </w:rPr>
            </w:pPr>
            <w:r>
              <w:rPr>
                <w:rFonts w:ascii="Arial" w:cs="Arial" w:eastAsia="Arial" w:hAnsi="Arial"/>
                <w:sz w:val="18"/>
                <w:szCs w:val="18"/>
                <w:b w:val="1"/>
                <w:bCs w:val="1"/>
                <w:color w:val="auto"/>
              </w:rPr>
              <w:t>Plan Category</w:t>
            </w:r>
          </w:p>
        </w:tc>
        <w:tc>
          <w:tcPr>
            <w:tcW w:w="2820" w:type="dxa"/>
            <w:vAlign w:val="bottom"/>
          </w:tcPr>
          <w:p>
            <w:pPr>
              <w:jc w:val="center"/>
              <w:ind w:left="1130"/>
              <w:spacing w:after="0"/>
              <w:rPr>
                <w:sz w:val="20"/>
                <w:szCs w:val="20"/>
                <w:color w:val="auto"/>
              </w:rPr>
            </w:pPr>
            <w:r>
              <w:rPr>
                <w:rFonts w:ascii="Arial" w:cs="Arial" w:eastAsia="Arial" w:hAnsi="Arial"/>
                <w:sz w:val="18"/>
                <w:szCs w:val="18"/>
                <w:b w:val="1"/>
                <w:bCs w:val="1"/>
                <w:color w:val="auto"/>
                <w:w w:val="90"/>
              </w:rPr>
              <w:t>and Rights</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0"/>
              </w:rPr>
              <w:t>and Rights</w:t>
            </w:r>
          </w:p>
        </w:tc>
        <w:tc>
          <w:tcPr>
            <w:tcW w:w="280" w:type="dxa"/>
            <w:vAlign w:val="bottom"/>
          </w:tcPr>
          <w:p>
            <w:pPr>
              <w:spacing w:after="0"/>
              <w:rPr>
                <w:sz w:val="19"/>
                <w:szCs w:val="19"/>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column (a))</w:t>
            </w:r>
          </w:p>
        </w:tc>
      </w:tr>
      <w:tr>
        <w:trPr>
          <w:trHeight w:val="230"/>
        </w:trPr>
        <w:tc>
          <w:tcPr>
            <w:tcW w:w="5880" w:type="dxa"/>
            <w:vAlign w:val="bottom"/>
          </w:tcPr>
          <w:p>
            <w:pPr>
              <w:spacing w:after="0"/>
              <w:rPr>
                <w:sz w:val="20"/>
                <w:szCs w:val="20"/>
                <w:color w:val="auto"/>
              </w:rPr>
            </w:pPr>
          </w:p>
        </w:tc>
        <w:tc>
          <w:tcPr>
            <w:tcW w:w="2820" w:type="dxa"/>
            <w:vAlign w:val="bottom"/>
          </w:tcPr>
          <w:p>
            <w:pPr>
              <w:jc w:val="center"/>
              <w:ind w:left="1130"/>
              <w:spacing w:after="0"/>
              <w:rPr>
                <w:sz w:val="20"/>
                <w:szCs w:val="20"/>
                <w:color w:val="auto"/>
              </w:rPr>
            </w:pPr>
            <w:r>
              <w:rPr>
                <w:rFonts w:ascii="Arial" w:cs="Arial" w:eastAsia="Arial" w:hAnsi="Arial"/>
                <w:sz w:val="18"/>
                <w:szCs w:val="18"/>
                <w:color w:val="auto"/>
                <w:w w:val="90"/>
              </w:rPr>
              <w:t>(a)</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280" w:type="dxa"/>
            <w:vAlign w:val="bottom"/>
          </w:tcPr>
          <w:p>
            <w:pPr>
              <w:spacing w:after="0"/>
              <w:rPr>
                <w:sz w:val="20"/>
                <w:szCs w:val="20"/>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color w:val="auto"/>
                <w:w w:val="95"/>
              </w:rPr>
              <w:t>(c)</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108,126,713 (1)</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$ 34.01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111,477,709 (3)</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2820" w:type="dxa"/>
            <w:vAlign w:val="bottom"/>
          </w:tcPr>
          <w:p>
            <w:pPr>
              <w:jc w:val="right"/>
              <w:spacing w:after="0"/>
              <w:rPr>
                <w:sz w:val="20"/>
                <w:szCs w:val="20"/>
                <w:color w:val="auto"/>
              </w:rPr>
            </w:pPr>
            <w:r>
              <w:rPr>
                <w:rFonts w:ascii="Arial" w:cs="Arial" w:eastAsia="Arial" w:hAnsi="Arial"/>
                <w:sz w:val="18"/>
                <w:szCs w:val="18"/>
                <w:color w:val="auto"/>
              </w:rPr>
              <w:t>81,713,825 (4)</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$ 25.51</w:t>
            </w:r>
          </w:p>
        </w:tc>
        <w:tc>
          <w:tcPr>
            <w:tcW w:w="280" w:type="dxa"/>
            <w:vAlign w:val="bottom"/>
          </w:tcPr>
          <w:p>
            <w:pPr>
              <w:jc w:val="right"/>
              <w:spacing w:after="0"/>
              <w:rPr>
                <w:sz w:val="20"/>
                <w:szCs w:val="20"/>
                <w:color w:val="auto"/>
              </w:rPr>
            </w:pPr>
            <w:r>
              <w:rPr>
                <w:rFonts w:ascii="Arial" w:cs="Arial" w:eastAsia="Arial" w:hAnsi="Arial"/>
                <w:sz w:val="18"/>
                <w:szCs w:val="18"/>
                <w:color w:val="auto"/>
                <w:w w:val="90"/>
              </w:rPr>
              <w:t>(2)</w:t>
            </w: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0</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189,840,538 (5)</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$ 30.50</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111,477,709</w:t>
            </w:r>
          </w:p>
        </w:tc>
      </w:tr>
    </w:tbl>
    <w:p>
      <w:pPr>
        <w:spacing w:after="0" w:line="229" w:lineRule="exact"/>
        <w:rPr>
          <w:sz w:val="20"/>
          <w:szCs w:val="20"/>
          <w:color w:val="auto"/>
        </w:rPr>
      </w:pPr>
    </w:p>
    <w:p>
      <w:pPr>
        <w:ind w:left="340" w:right="76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shares of TI common stock to be issued under the Texas Instruments 2009 Long-Term Incentive Plan and predecessor plans, the Texas Instruments 2009 Director Compensation Plan and the TI Employees 2005 Stock Purchase Plan.</w:t>
      </w:r>
    </w:p>
    <w:p>
      <w:pPr>
        <w:spacing w:after="0" w:line="19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Also includes the following:</w:t>
      </w:r>
    </w:p>
    <w:p>
      <w:pPr>
        <w:spacing w:after="0" w:line="252" w:lineRule="exact"/>
        <w:rPr>
          <w:rFonts w:ascii="Arial" w:cs="Arial" w:eastAsia="Arial" w:hAnsi="Arial"/>
          <w:sz w:val="18"/>
          <w:szCs w:val="18"/>
          <w:color w:val="auto"/>
        </w:rPr>
      </w:pPr>
    </w:p>
    <w:p>
      <w:pPr>
        <w:ind w:left="500" w:hanging="168"/>
        <w:spacing w:after="0" w:line="256" w:lineRule="auto"/>
        <w:tabs>
          <w:tab w:leader="none" w:pos="500" w:val="left"/>
        </w:tabs>
        <w:numPr>
          <w:ilvl w:val="1"/>
          <w:numId w:val="5"/>
        </w:numPr>
        <w:rPr>
          <w:rFonts w:ascii="Arial" w:cs="Arial" w:eastAsia="Arial" w:hAnsi="Arial"/>
          <w:sz w:val="18"/>
          <w:szCs w:val="18"/>
          <w:color w:val="auto"/>
        </w:rPr>
      </w:pPr>
      <w:r>
        <w:rPr>
          <w:rFonts w:ascii="Arial" w:cs="Arial" w:eastAsia="Arial" w:hAnsi="Arial"/>
          <w:sz w:val="18"/>
          <w:szCs w:val="18"/>
          <w:color w:val="auto"/>
        </w:rPr>
        <w:t>957,073 shares of TI common stock to be issued upon exercise of outstanding options originally granted under the Burr-Brown Corporation 1993 Stock Incentive Plan, a plan approved by the stockholders of Burr-Brown Corporation. The options were assumed by the company in connection with the acquisition of Burr-Brown Corporation; and</w:t>
      </w:r>
    </w:p>
    <w:p>
      <w:pPr>
        <w:ind w:left="500" w:right="160" w:hanging="168"/>
        <w:spacing w:after="0" w:line="255" w:lineRule="auto"/>
        <w:tabs>
          <w:tab w:leader="none" w:pos="500" w:val="left"/>
        </w:tabs>
        <w:numPr>
          <w:ilvl w:val="1"/>
          <w:numId w:val="5"/>
        </w:numPr>
        <w:rPr>
          <w:rFonts w:ascii="Arial" w:cs="Arial" w:eastAsia="Arial" w:hAnsi="Arial"/>
          <w:sz w:val="18"/>
          <w:szCs w:val="18"/>
          <w:color w:val="auto"/>
        </w:rPr>
      </w:pPr>
      <w:r>
        <w:rPr>
          <w:rFonts w:ascii="Arial" w:cs="Arial" w:eastAsia="Arial" w:hAnsi="Arial"/>
          <w:sz w:val="18"/>
          <w:szCs w:val="18"/>
          <w:color w:val="auto"/>
        </w:rPr>
        <w:t>10,391 shares of TI common stock to be issued upon exercise of outstanding options originally granted under the Radia Communications, Inc. 2000 Stock Option/Stock Issuance Plan, a plan approved by the stockholders of Radia Communications, Inc. The options were assumed by the company in connection with the acquisition of Radia.</w:t>
      </w:r>
    </w:p>
    <w:p>
      <w:pPr>
        <w:spacing w:after="0" w:line="217" w:lineRule="exact"/>
        <w:rPr>
          <w:rFonts w:ascii="Arial" w:cs="Arial" w:eastAsia="Arial" w:hAnsi="Arial"/>
          <w:sz w:val="18"/>
          <w:szCs w:val="18"/>
          <w:color w:val="auto"/>
        </w:rPr>
      </w:pPr>
    </w:p>
    <w:p>
      <w:pPr>
        <w:ind w:left="340" w:right="30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Restricted stock units and stock units credited to directors’ deferred compensation accounts are settled in shares of TI common stock on a one-for-one basis. Accordingly, such units have been excluded for purposes of computing the weighted-average exercise price.</w:t>
      </w:r>
    </w:p>
    <w:p>
      <w:pPr>
        <w:spacing w:after="0" w:line="197" w:lineRule="exact"/>
        <w:rPr>
          <w:rFonts w:ascii="Arial" w:cs="Arial" w:eastAsia="Arial" w:hAnsi="Arial"/>
          <w:sz w:val="18"/>
          <w:szCs w:val="18"/>
          <w:color w:val="auto"/>
        </w:rPr>
      </w:pPr>
    </w:p>
    <w:p>
      <w:pPr>
        <w:ind w:left="340" w:right="36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Shares of TI common stock available for issuance under the Texas Instruments 2009 Long-Term Incentive Plan, the Texas Instruments 2009 Director Compensation Plan and the TI Employees 2005 Stock Purchase Plan.</w:t>
      </w:r>
    </w:p>
    <w:p>
      <w:pPr>
        <w:spacing w:after="0" w:line="197" w:lineRule="exact"/>
        <w:rPr>
          <w:rFonts w:ascii="Arial" w:cs="Arial" w:eastAsia="Arial" w:hAnsi="Arial"/>
          <w:sz w:val="18"/>
          <w:szCs w:val="18"/>
          <w:color w:val="auto"/>
        </w:rPr>
      </w:pPr>
    </w:p>
    <w:p>
      <w:pPr>
        <w:ind w:left="340" w:right="14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shares to be issued under the Texas Instruments 2003 Long-Term Incentive Plan. This plan was replaced by the Texas Instruments 2009 Long-Term Incentive Plan, which was approved by stockholders, and no further grants may be made under it.</w:t>
      </w:r>
    </w:p>
    <w:p>
      <w:pPr>
        <w:spacing w:after="0" w:line="197" w:lineRule="exact"/>
        <w:rPr>
          <w:rFonts w:ascii="Arial" w:cs="Arial" w:eastAsia="Arial" w:hAnsi="Arial"/>
          <w:sz w:val="18"/>
          <w:szCs w:val="18"/>
          <w:color w:val="auto"/>
        </w:rPr>
      </w:pPr>
    </w:p>
    <w:p>
      <w:pPr>
        <w:ind w:left="340" w:right="160"/>
        <w:spacing w:after="0" w:line="259" w:lineRule="auto"/>
        <w:rPr>
          <w:rFonts w:ascii="Arial" w:cs="Arial" w:eastAsia="Arial" w:hAnsi="Arial"/>
          <w:sz w:val="18"/>
          <w:szCs w:val="18"/>
          <w:color w:val="auto"/>
        </w:rPr>
      </w:pPr>
      <w:r>
        <w:rPr>
          <w:rFonts w:ascii="Arial" w:cs="Arial" w:eastAsia="Arial" w:hAnsi="Arial"/>
          <w:sz w:val="18"/>
          <w:szCs w:val="18"/>
          <w:color w:val="auto"/>
        </w:rPr>
        <w:t>Also includes shares to be issued under the Texas Instruments Directors Deferred Compensation Plan, the Texas Instruments Restricted Stock Unit Plan for Directors and the Texas Instruments Stock Option Plan for Non-Employee Directors. These plans were replaced by the Texas Instruments 2003 Director Compensation Plan, (which was replaced by the stockholder-approved 2009 Director Compensation Plan), and no further grants may be made under them.</w:t>
      </w:r>
    </w:p>
    <w:p>
      <w:pPr>
        <w:spacing w:after="0" w:line="213" w:lineRule="exact"/>
        <w:rPr>
          <w:rFonts w:ascii="Arial" w:cs="Arial" w:eastAsia="Arial" w:hAnsi="Arial"/>
          <w:sz w:val="18"/>
          <w:szCs w:val="18"/>
          <w:color w:val="auto"/>
        </w:rPr>
      </w:pPr>
    </w:p>
    <w:p>
      <w:pPr>
        <w:ind w:left="340" w:right="400" w:hanging="332"/>
        <w:spacing w:after="0" w:line="26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174,713,222 shares for issuance upon exercise of outstanding grants of options, 14,409,002 shares for issuance upon vesting of outstanding grants of restricted stock units, 579,681 shares for issuance under the TI Employees 2005 Stock Purchase Plan and 138,633 shares for issuance in settlement of directors’ deferred compensation accounts.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Security Ownership of Certain Beneficial Owners and Management</w:t>
      </w:r>
    </w:p>
    <w:p>
      <w:pPr>
        <w:spacing w:after="0" w:line="252" w:lineRule="exact"/>
        <w:rPr>
          <w:sz w:val="20"/>
          <w:szCs w:val="20"/>
          <w:color w:val="auto"/>
        </w:rPr>
      </w:pPr>
    </w:p>
    <w:p>
      <w:pPr>
        <w:ind w:right="1000"/>
        <w:spacing w:after="0" w:line="342" w:lineRule="auto"/>
        <w:rPr>
          <w:sz w:val="20"/>
          <w:szCs w:val="20"/>
          <w:color w:val="auto"/>
        </w:rPr>
      </w:pPr>
      <w:r>
        <w:rPr>
          <w:rFonts w:ascii="Arial" w:cs="Arial" w:eastAsia="Arial" w:hAnsi="Arial"/>
          <w:sz w:val="16"/>
          <w:szCs w:val="16"/>
          <w:color w:val="auto"/>
        </w:rPr>
        <w:t>The information that is contained under the captions “Security ownership of certain beneficial owners” and “Security ownership of directors and management” in our proxy statement for the 2010 annual meeting of stockholders is incorporated herein by reference to such proxy statement.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information contained under the caption “Related person transactions” in the company’s proxy statement for the 2010 annual meeting of stockholders is incorporated herein by reference to such proxy statement.</w:t>
      </w:r>
    </w:p>
    <w:p>
      <w:pPr>
        <w:spacing w:after="0" w:line="19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information contained under the caption “Director independence” in the company’s proxy statement for the 2010 annual meeting of stockholders is incorporated herein by reference to such proxy statement.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6"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information with respect to principal accountant fees and services contained under the caption “Proposal to ratify appointment of independent registered public accounting firm” in our proxy statement for the 2010 annual meeting of stockholders is incorporated herein by reference to such proxy statement.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56" w:lineRule="exact"/>
        <w:rPr>
          <w:sz w:val="20"/>
          <w:szCs w:val="20"/>
          <w:color w:val="auto"/>
        </w:rPr>
      </w:pPr>
    </w:p>
    <w:p>
      <w:pPr>
        <w:ind w:right="6380" w:firstLine="8"/>
        <w:spacing w:after="0" w:line="598" w:lineRule="auto"/>
        <w:tabs>
          <w:tab w:leader="none" w:pos="245" w:val="left"/>
        </w:tabs>
        <w:numPr>
          <w:ilvl w:val="0"/>
          <w:numId w:val="6"/>
        </w:numPr>
        <w:rPr>
          <w:rFonts w:ascii="Arial" w:cs="Arial" w:eastAsia="Arial" w:hAnsi="Arial"/>
          <w:sz w:val="16"/>
          <w:szCs w:val="16"/>
          <w:color w:val="auto"/>
        </w:rPr>
      </w:pPr>
      <w:r>
        <w:rPr>
          <w:rFonts w:ascii="Arial" w:cs="Arial" w:eastAsia="Arial" w:hAnsi="Arial"/>
          <w:sz w:val="16"/>
          <w:szCs w:val="16"/>
          <w:color w:val="auto"/>
        </w:rPr>
        <w:t>1 and 2. Financial Statements and Financial Statement Schedules: The financial statements are listed in the index on page 23 hereof.</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3. Exhibits: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jc w:val="center"/>
              <w:ind w:left="230"/>
              <w:spacing w:after="0"/>
              <w:rPr>
                <w:sz w:val="20"/>
                <w:szCs w:val="20"/>
                <w:color w:val="auto"/>
              </w:rPr>
            </w:pPr>
            <w:r>
              <w:rPr>
                <w:rFonts w:ascii="Arial" w:cs="Arial" w:eastAsia="Arial" w:hAnsi="Arial"/>
                <w:sz w:val="18"/>
                <w:szCs w:val="18"/>
                <w:color w:val="auto"/>
                <w:w w:val="92"/>
              </w:rPr>
              <w:t>Designation of</w:t>
            </w:r>
          </w:p>
        </w:tc>
        <w:tc>
          <w:tcPr>
            <w:tcW w:w="9440" w:type="dxa"/>
            <w:vAlign w:val="bottom"/>
          </w:tcPr>
          <w:p>
            <w:pPr>
              <w:spacing w:after="0"/>
              <w:rPr>
                <w:sz w:val="18"/>
                <w:szCs w:val="18"/>
                <w:color w:val="auto"/>
              </w:rPr>
            </w:pPr>
          </w:p>
        </w:tc>
      </w:tr>
      <w:tr>
        <w:trPr>
          <w:trHeight w:val="216"/>
        </w:trPr>
        <w:tc>
          <w:tcPr>
            <w:tcW w:w="1980" w:type="dxa"/>
            <w:vAlign w:val="bottom"/>
          </w:tcPr>
          <w:p>
            <w:pPr>
              <w:jc w:val="center"/>
              <w:ind w:left="230"/>
              <w:spacing w:after="0"/>
              <w:rPr>
                <w:sz w:val="20"/>
                <w:szCs w:val="20"/>
                <w:color w:val="auto"/>
              </w:rPr>
            </w:pPr>
            <w:r>
              <w:rPr>
                <w:rFonts w:ascii="Arial" w:cs="Arial" w:eastAsia="Arial" w:hAnsi="Arial"/>
                <w:sz w:val="18"/>
                <w:szCs w:val="18"/>
                <w:color w:val="auto"/>
                <w:w w:val="95"/>
              </w:rPr>
              <w:t>Exhibit in</w:t>
            </w:r>
          </w:p>
        </w:tc>
        <w:tc>
          <w:tcPr>
            <w:tcW w:w="9440" w:type="dxa"/>
            <w:vAlign w:val="bottom"/>
          </w:tcPr>
          <w:p>
            <w:pPr>
              <w:spacing w:after="0"/>
              <w:rPr>
                <w:sz w:val="18"/>
                <w:szCs w:val="18"/>
                <w:color w:val="auto"/>
              </w:rPr>
            </w:pPr>
          </w:p>
        </w:tc>
      </w:tr>
      <w:tr>
        <w:trPr>
          <w:trHeight w:val="237"/>
        </w:trPr>
        <w:tc>
          <w:tcPr>
            <w:tcW w:w="198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color w:val="auto"/>
                <w:w w:val="89"/>
              </w:rPr>
              <w:t>this Report</w:t>
            </w:r>
          </w:p>
        </w:tc>
        <w:tc>
          <w:tcPr>
            <w:tcW w:w="94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Description of Exhibit</w:t>
            </w:r>
          </w:p>
        </w:tc>
      </w:tr>
      <w:tr>
        <w:trPr>
          <w:trHeight w:val="216"/>
        </w:trPr>
        <w:tc>
          <w:tcPr>
            <w:tcW w:w="1980" w:type="dxa"/>
            <w:vAlign w:val="bottom"/>
          </w:tcPr>
          <w:p>
            <w:pPr>
              <w:spacing w:after="0"/>
              <w:rPr>
                <w:sz w:val="18"/>
                <w:szCs w:val="18"/>
                <w:color w:val="auto"/>
              </w:rPr>
            </w:pPr>
          </w:p>
        </w:tc>
        <w:tc>
          <w:tcPr>
            <w:tcW w:w="9440" w:type="dxa"/>
            <w:vAlign w:val="bottom"/>
          </w:tcPr>
          <w:p>
            <w:pPr>
              <w:spacing w:after="0"/>
              <w:rPr>
                <w:sz w:val="18"/>
                <w:szCs w:val="18"/>
                <w:color w:val="auto"/>
              </w:rPr>
            </w:pPr>
          </w:p>
        </w:tc>
      </w:tr>
      <w:tr>
        <w:trPr>
          <w:trHeight w:val="202"/>
        </w:trPr>
        <w:tc>
          <w:tcPr>
            <w:tcW w:w="1980" w:type="dxa"/>
            <w:vAlign w:val="bottom"/>
            <w:shd w:val="clear" w:color="auto" w:fill="CCEEFF"/>
          </w:tcPr>
          <w:p>
            <w:pPr>
              <w:jc w:val="center"/>
              <w:ind w:left="230"/>
              <w:spacing w:after="0" w:line="201" w:lineRule="exact"/>
              <w:rPr>
                <w:sz w:val="20"/>
                <w:szCs w:val="20"/>
                <w:color w:val="auto"/>
              </w:rPr>
            </w:pPr>
            <w:r>
              <w:rPr>
                <w:rFonts w:ascii="Arial" w:cs="Arial" w:eastAsia="Arial" w:hAnsi="Arial"/>
                <w:sz w:val="18"/>
                <w:szCs w:val="18"/>
                <w:color w:val="auto"/>
                <w:w w:val="93"/>
              </w:rPr>
              <w:t>3(a)</w:t>
            </w:r>
          </w:p>
        </w:tc>
        <w:tc>
          <w:tcPr>
            <w:tcW w:w="94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3"/>
              </w:rPr>
              <w:t>Restated Certificate of Incorporation of the Registrant (incorporated by reference to Exhibit 3(a) to the Registrant’s Annual</w:t>
            </w:r>
          </w:p>
        </w:tc>
      </w:tr>
      <w:tr>
        <w:trPr>
          <w:trHeight w:val="230"/>
        </w:trPr>
        <w:tc>
          <w:tcPr>
            <w:tcW w:w="1980" w:type="dxa"/>
            <w:vAlign w:val="bottom"/>
            <w:shd w:val="clear" w:color="auto" w:fill="CCEEFF"/>
          </w:tcPr>
          <w:p>
            <w:pPr>
              <w:spacing w:after="0"/>
              <w:rPr>
                <w:sz w:val="20"/>
                <w:szCs w:val="20"/>
                <w:color w:val="auto"/>
              </w:rPr>
            </w:pPr>
          </w:p>
        </w:tc>
        <w:tc>
          <w:tcPr>
            <w:tcW w:w="9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Report on Form 10-K for the year 1993).</w:t>
            </w:r>
          </w:p>
        </w:tc>
      </w:tr>
      <w:tr>
        <w:trPr>
          <w:trHeight w:val="216"/>
        </w:trPr>
        <w:tc>
          <w:tcPr>
            <w:tcW w:w="1980" w:type="dxa"/>
            <w:vAlign w:val="bottom"/>
          </w:tcPr>
          <w:p>
            <w:pPr>
              <w:spacing w:after="0"/>
              <w:rPr>
                <w:sz w:val="18"/>
                <w:szCs w:val="18"/>
                <w:color w:val="auto"/>
              </w:rPr>
            </w:pPr>
          </w:p>
        </w:tc>
        <w:tc>
          <w:tcPr>
            <w:tcW w:w="9440" w:type="dxa"/>
            <w:vAlign w:val="bottom"/>
          </w:tcPr>
          <w:p>
            <w:pPr>
              <w:spacing w:after="0"/>
              <w:rPr>
                <w:sz w:val="18"/>
                <w:szCs w:val="18"/>
                <w:color w:val="auto"/>
              </w:rPr>
            </w:pPr>
          </w:p>
        </w:tc>
      </w:tr>
      <w:tr>
        <w:trPr>
          <w:trHeight w:val="202"/>
        </w:trPr>
        <w:tc>
          <w:tcPr>
            <w:tcW w:w="1980" w:type="dxa"/>
            <w:vAlign w:val="bottom"/>
            <w:shd w:val="clear" w:color="auto" w:fill="CCEEFF"/>
          </w:tcPr>
          <w:p>
            <w:pPr>
              <w:jc w:val="center"/>
              <w:ind w:left="230"/>
              <w:spacing w:after="0" w:line="201" w:lineRule="exact"/>
              <w:rPr>
                <w:sz w:val="20"/>
                <w:szCs w:val="20"/>
                <w:color w:val="auto"/>
              </w:rPr>
            </w:pPr>
            <w:r>
              <w:rPr>
                <w:rFonts w:ascii="Arial" w:cs="Arial" w:eastAsia="Arial" w:hAnsi="Arial"/>
                <w:sz w:val="18"/>
                <w:szCs w:val="18"/>
                <w:color w:val="auto"/>
                <w:w w:val="93"/>
              </w:rPr>
              <w:t>3(b)</w:t>
            </w:r>
          </w:p>
        </w:tc>
        <w:tc>
          <w:tcPr>
            <w:tcW w:w="94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2"/>
              </w:rPr>
              <w:t>Certificate of Amendment to Restated Certificate of Incorporation of the Registrant (incorporated by reference to Exhibit 3(b)</w:t>
            </w:r>
          </w:p>
        </w:tc>
      </w:tr>
      <w:tr>
        <w:trPr>
          <w:trHeight w:val="230"/>
        </w:trPr>
        <w:tc>
          <w:tcPr>
            <w:tcW w:w="1980" w:type="dxa"/>
            <w:vAlign w:val="bottom"/>
            <w:shd w:val="clear" w:color="auto" w:fill="CCEEFF"/>
          </w:tcPr>
          <w:p>
            <w:pPr>
              <w:spacing w:after="0"/>
              <w:rPr>
                <w:sz w:val="20"/>
                <w:szCs w:val="20"/>
                <w:color w:val="auto"/>
              </w:rPr>
            </w:pPr>
          </w:p>
        </w:tc>
        <w:tc>
          <w:tcPr>
            <w:tcW w:w="9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 the Registrant’s Annual Report on Form 10-K for the year 1993).</w:t>
            </w:r>
          </w:p>
        </w:tc>
      </w:tr>
      <w:tr>
        <w:trPr>
          <w:trHeight w:val="216"/>
        </w:trPr>
        <w:tc>
          <w:tcPr>
            <w:tcW w:w="1980" w:type="dxa"/>
            <w:vAlign w:val="bottom"/>
          </w:tcPr>
          <w:p>
            <w:pPr>
              <w:spacing w:after="0"/>
              <w:rPr>
                <w:sz w:val="18"/>
                <w:szCs w:val="18"/>
                <w:color w:val="auto"/>
              </w:rPr>
            </w:pPr>
          </w:p>
        </w:tc>
        <w:tc>
          <w:tcPr>
            <w:tcW w:w="9440" w:type="dxa"/>
            <w:vAlign w:val="bottom"/>
          </w:tcPr>
          <w:p>
            <w:pPr>
              <w:spacing w:after="0"/>
              <w:rPr>
                <w:sz w:val="18"/>
                <w:szCs w:val="18"/>
                <w:color w:val="auto"/>
              </w:rPr>
            </w:pPr>
          </w:p>
        </w:tc>
      </w:tr>
      <w:tr>
        <w:trPr>
          <w:trHeight w:val="202"/>
        </w:trPr>
        <w:tc>
          <w:tcPr>
            <w:tcW w:w="1980" w:type="dxa"/>
            <w:vAlign w:val="bottom"/>
            <w:shd w:val="clear" w:color="auto" w:fill="CCEEFF"/>
          </w:tcPr>
          <w:p>
            <w:pPr>
              <w:jc w:val="center"/>
              <w:ind w:left="230"/>
              <w:spacing w:after="0" w:line="201" w:lineRule="exact"/>
              <w:rPr>
                <w:sz w:val="20"/>
                <w:szCs w:val="20"/>
                <w:color w:val="auto"/>
              </w:rPr>
            </w:pPr>
            <w:r>
              <w:rPr>
                <w:rFonts w:ascii="Arial" w:cs="Arial" w:eastAsia="Arial" w:hAnsi="Arial"/>
                <w:sz w:val="18"/>
                <w:szCs w:val="18"/>
                <w:color w:val="auto"/>
                <w:w w:val="96"/>
              </w:rPr>
              <w:t>3(c)</w:t>
            </w:r>
          </w:p>
        </w:tc>
        <w:tc>
          <w:tcPr>
            <w:tcW w:w="94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2"/>
              </w:rPr>
              <w:t>Certificate of Amendment to Restated Certificate of Incorporation of the Registrant (incorporated by reference to Exhibit 3(c)</w:t>
            </w:r>
          </w:p>
        </w:tc>
      </w:tr>
      <w:tr>
        <w:trPr>
          <w:trHeight w:val="230"/>
        </w:trPr>
        <w:tc>
          <w:tcPr>
            <w:tcW w:w="1980" w:type="dxa"/>
            <w:vAlign w:val="bottom"/>
            <w:shd w:val="clear" w:color="auto" w:fill="CCEEFF"/>
          </w:tcPr>
          <w:p>
            <w:pPr>
              <w:spacing w:after="0"/>
              <w:rPr>
                <w:sz w:val="20"/>
                <w:szCs w:val="20"/>
                <w:color w:val="auto"/>
              </w:rPr>
            </w:pPr>
          </w:p>
        </w:tc>
        <w:tc>
          <w:tcPr>
            <w:tcW w:w="9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 the Registrant’s Annual Report on Form 10-K for the year 1993).</w:t>
            </w:r>
          </w:p>
        </w:tc>
      </w:tr>
      <w:tr>
        <w:trPr>
          <w:trHeight w:val="216"/>
        </w:trPr>
        <w:tc>
          <w:tcPr>
            <w:tcW w:w="1980" w:type="dxa"/>
            <w:vAlign w:val="bottom"/>
          </w:tcPr>
          <w:p>
            <w:pPr>
              <w:spacing w:after="0"/>
              <w:rPr>
                <w:sz w:val="18"/>
                <w:szCs w:val="18"/>
                <w:color w:val="auto"/>
              </w:rPr>
            </w:pPr>
          </w:p>
        </w:tc>
        <w:tc>
          <w:tcPr>
            <w:tcW w:w="9440" w:type="dxa"/>
            <w:vAlign w:val="bottom"/>
          </w:tcPr>
          <w:p>
            <w:pPr>
              <w:spacing w:after="0"/>
              <w:rPr>
                <w:sz w:val="18"/>
                <w:szCs w:val="18"/>
                <w:color w:val="auto"/>
              </w:rPr>
            </w:pPr>
          </w:p>
        </w:tc>
      </w:tr>
      <w:tr>
        <w:trPr>
          <w:trHeight w:val="202"/>
        </w:trPr>
        <w:tc>
          <w:tcPr>
            <w:tcW w:w="1980" w:type="dxa"/>
            <w:vAlign w:val="bottom"/>
            <w:shd w:val="clear" w:color="auto" w:fill="CCEEFF"/>
          </w:tcPr>
          <w:p>
            <w:pPr>
              <w:jc w:val="center"/>
              <w:ind w:left="230"/>
              <w:spacing w:after="0" w:line="201" w:lineRule="exact"/>
              <w:rPr>
                <w:sz w:val="20"/>
                <w:szCs w:val="20"/>
                <w:color w:val="auto"/>
              </w:rPr>
            </w:pPr>
            <w:r>
              <w:rPr>
                <w:rFonts w:ascii="Arial" w:cs="Arial" w:eastAsia="Arial" w:hAnsi="Arial"/>
                <w:sz w:val="18"/>
                <w:szCs w:val="18"/>
                <w:color w:val="auto"/>
                <w:w w:val="93"/>
              </w:rPr>
              <w:t>3(d)</w:t>
            </w:r>
          </w:p>
        </w:tc>
        <w:tc>
          <w:tcPr>
            <w:tcW w:w="94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2"/>
              </w:rPr>
              <w:t>Certificate of Amendment to Restated Certificate of Incorporation of the Registrant (incorporated by reference to Exhibit 3 to</w:t>
            </w:r>
          </w:p>
        </w:tc>
      </w:tr>
      <w:tr>
        <w:trPr>
          <w:trHeight w:val="230"/>
        </w:trPr>
        <w:tc>
          <w:tcPr>
            <w:tcW w:w="1980" w:type="dxa"/>
            <w:vAlign w:val="bottom"/>
            <w:shd w:val="clear" w:color="auto" w:fill="CCEEFF"/>
          </w:tcPr>
          <w:p>
            <w:pPr>
              <w:spacing w:after="0"/>
              <w:rPr>
                <w:sz w:val="20"/>
                <w:szCs w:val="20"/>
                <w:color w:val="auto"/>
              </w:rPr>
            </w:pPr>
          </w:p>
        </w:tc>
        <w:tc>
          <w:tcPr>
            <w:tcW w:w="9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the Registrant’s Quarterly Report on Form 10-Q for the quarter ended June 30, 1996).</w:t>
            </w:r>
          </w:p>
        </w:tc>
      </w:tr>
      <w:tr>
        <w:trPr>
          <w:trHeight w:val="216"/>
        </w:trPr>
        <w:tc>
          <w:tcPr>
            <w:tcW w:w="1980" w:type="dxa"/>
            <w:vAlign w:val="bottom"/>
          </w:tcPr>
          <w:p>
            <w:pPr>
              <w:spacing w:after="0"/>
              <w:rPr>
                <w:sz w:val="18"/>
                <w:szCs w:val="18"/>
                <w:color w:val="auto"/>
              </w:rPr>
            </w:pPr>
          </w:p>
        </w:tc>
        <w:tc>
          <w:tcPr>
            <w:tcW w:w="9440" w:type="dxa"/>
            <w:vAlign w:val="bottom"/>
          </w:tcPr>
          <w:p>
            <w:pPr>
              <w:spacing w:after="0"/>
              <w:rPr>
                <w:sz w:val="18"/>
                <w:szCs w:val="18"/>
                <w:color w:val="auto"/>
              </w:rPr>
            </w:pPr>
          </w:p>
        </w:tc>
      </w:tr>
      <w:tr>
        <w:trPr>
          <w:trHeight w:val="202"/>
        </w:trPr>
        <w:tc>
          <w:tcPr>
            <w:tcW w:w="1980" w:type="dxa"/>
            <w:vAlign w:val="bottom"/>
            <w:shd w:val="clear" w:color="auto" w:fill="CCEEFF"/>
          </w:tcPr>
          <w:p>
            <w:pPr>
              <w:jc w:val="center"/>
              <w:ind w:left="230"/>
              <w:spacing w:after="0" w:line="201" w:lineRule="exact"/>
              <w:rPr>
                <w:sz w:val="20"/>
                <w:szCs w:val="20"/>
                <w:color w:val="auto"/>
              </w:rPr>
            </w:pPr>
            <w:r>
              <w:rPr>
                <w:rFonts w:ascii="Arial" w:cs="Arial" w:eastAsia="Arial" w:hAnsi="Arial"/>
                <w:sz w:val="18"/>
                <w:szCs w:val="18"/>
                <w:color w:val="auto"/>
                <w:w w:val="93"/>
              </w:rPr>
              <w:t>3(e)</w:t>
            </w:r>
          </w:p>
        </w:tc>
        <w:tc>
          <w:tcPr>
            <w:tcW w:w="94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1"/>
              </w:rPr>
              <w:t>Certificate of Ownership merging Texas Instruments Automation Controls, Inc. into the Registrant (incorporated by reference</w:t>
            </w:r>
          </w:p>
        </w:tc>
      </w:tr>
      <w:tr>
        <w:trPr>
          <w:trHeight w:val="230"/>
        </w:trPr>
        <w:tc>
          <w:tcPr>
            <w:tcW w:w="1980" w:type="dxa"/>
            <w:vAlign w:val="bottom"/>
            <w:shd w:val="clear" w:color="auto" w:fill="CCEEFF"/>
          </w:tcPr>
          <w:p>
            <w:pPr>
              <w:spacing w:after="0"/>
              <w:rPr>
                <w:sz w:val="20"/>
                <w:szCs w:val="20"/>
                <w:color w:val="auto"/>
              </w:rPr>
            </w:pPr>
          </w:p>
        </w:tc>
        <w:tc>
          <w:tcPr>
            <w:tcW w:w="9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 Exhibit 3(e) to the Registrant’s Annual Report on Form 10-K for the year 1993).</w:t>
            </w:r>
          </w:p>
        </w:tc>
      </w:tr>
      <w:tr>
        <w:trPr>
          <w:trHeight w:val="216"/>
        </w:trPr>
        <w:tc>
          <w:tcPr>
            <w:tcW w:w="1980" w:type="dxa"/>
            <w:vAlign w:val="bottom"/>
          </w:tcPr>
          <w:p>
            <w:pPr>
              <w:spacing w:after="0"/>
              <w:rPr>
                <w:sz w:val="18"/>
                <w:szCs w:val="18"/>
                <w:color w:val="auto"/>
              </w:rPr>
            </w:pPr>
          </w:p>
        </w:tc>
        <w:tc>
          <w:tcPr>
            <w:tcW w:w="9440" w:type="dxa"/>
            <w:vAlign w:val="bottom"/>
          </w:tcPr>
          <w:p>
            <w:pPr>
              <w:spacing w:after="0"/>
              <w:rPr>
                <w:sz w:val="18"/>
                <w:szCs w:val="18"/>
                <w:color w:val="auto"/>
              </w:rPr>
            </w:pPr>
          </w:p>
        </w:tc>
      </w:tr>
      <w:tr>
        <w:trPr>
          <w:trHeight w:val="202"/>
        </w:trPr>
        <w:tc>
          <w:tcPr>
            <w:tcW w:w="1980" w:type="dxa"/>
            <w:vAlign w:val="bottom"/>
            <w:shd w:val="clear" w:color="auto" w:fill="CCEEFF"/>
          </w:tcPr>
          <w:p>
            <w:pPr>
              <w:jc w:val="center"/>
              <w:ind w:left="230"/>
              <w:spacing w:after="0" w:line="201" w:lineRule="exact"/>
              <w:rPr>
                <w:sz w:val="20"/>
                <w:szCs w:val="20"/>
                <w:color w:val="auto"/>
              </w:rPr>
            </w:pPr>
            <w:r>
              <w:rPr>
                <w:rFonts w:ascii="Arial" w:cs="Arial" w:eastAsia="Arial" w:hAnsi="Arial"/>
                <w:sz w:val="18"/>
                <w:szCs w:val="18"/>
                <w:color w:val="auto"/>
                <w:w w:val="96"/>
              </w:rPr>
              <w:t>3(f)</w:t>
            </w:r>
          </w:p>
        </w:tc>
        <w:tc>
          <w:tcPr>
            <w:tcW w:w="94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2"/>
              </w:rPr>
              <w:t>Certificate of Elimination of Designations of Preferred Stock of the Registrant (incorporated by reference to Exhibit 3(f) to the</w:t>
            </w:r>
          </w:p>
        </w:tc>
      </w:tr>
      <w:tr>
        <w:trPr>
          <w:trHeight w:val="230"/>
        </w:trPr>
        <w:tc>
          <w:tcPr>
            <w:tcW w:w="1980" w:type="dxa"/>
            <w:vAlign w:val="bottom"/>
            <w:shd w:val="clear" w:color="auto" w:fill="CCEEFF"/>
          </w:tcPr>
          <w:p>
            <w:pPr>
              <w:spacing w:after="0"/>
              <w:rPr>
                <w:sz w:val="20"/>
                <w:szCs w:val="20"/>
                <w:color w:val="auto"/>
              </w:rPr>
            </w:pPr>
          </w:p>
        </w:tc>
        <w:tc>
          <w:tcPr>
            <w:tcW w:w="9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Registrant’s Annual Report on Form 10-K for the year 1993).</w:t>
            </w:r>
          </w:p>
        </w:tc>
      </w:tr>
      <w:tr>
        <w:trPr>
          <w:trHeight w:val="216"/>
        </w:trPr>
        <w:tc>
          <w:tcPr>
            <w:tcW w:w="1980" w:type="dxa"/>
            <w:vAlign w:val="bottom"/>
          </w:tcPr>
          <w:p>
            <w:pPr>
              <w:spacing w:after="0"/>
              <w:rPr>
                <w:sz w:val="18"/>
                <w:szCs w:val="18"/>
                <w:color w:val="auto"/>
              </w:rPr>
            </w:pPr>
          </w:p>
        </w:tc>
        <w:tc>
          <w:tcPr>
            <w:tcW w:w="9440" w:type="dxa"/>
            <w:vAlign w:val="bottom"/>
          </w:tcPr>
          <w:p>
            <w:pPr>
              <w:spacing w:after="0"/>
              <w:rPr>
                <w:sz w:val="18"/>
                <w:szCs w:val="18"/>
                <w:color w:val="auto"/>
              </w:rPr>
            </w:pPr>
          </w:p>
        </w:tc>
      </w:tr>
      <w:tr>
        <w:trPr>
          <w:trHeight w:val="202"/>
        </w:trPr>
        <w:tc>
          <w:tcPr>
            <w:tcW w:w="1980" w:type="dxa"/>
            <w:vAlign w:val="bottom"/>
            <w:shd w:val="clear" w:color="auto" w:fill="CCEEFF"/>
          </w:tcPr>
          <w:p>
            <w:pPr>
              <w:jc w:val="center"/>
              <w:ind w:left="230"/>
              <w:spacing w:after="0" w:line="201" w:lineRule="exact"/>
              <w:rPr>
                <w:sz w:val="20"/>
                <w:szCs w:val="20"/>
                <w:color w:val="auto"/>
              </w:rPr>
            </w:pPr>
            <w:r>
              <w:rPr>
                <w:rFonts w:ascii="Arial" w:cs="Arial" w:eastAsia="Arial" w:hAnsi="Arial"/>
                <w:sz w:val="18"/>
                <w:szCs w:val="18"/>
                <w:color w:val="auto"/>
                <w:w w:val="93"/>
              </w:rPr>
              <w:t>3(g)</w:t>
            </w:r>
          </w:p>
        </w:tc>
        <w:tc>
          <w:tcPr>
            <w:tcW w:w="94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2"/>
              </w:rPr>
              <w:t>Certificate of Ownership and Merger merging Tiburon Systems, Inc. into the Registrant (incorporated by reference to Exhibit</w:t>
            </w:r>
          </w:p>
        </w:tc>
      </w:tr>
      <w:tr>
        <w:trPr>
          <w:trHeight w:val="230"/>
        </w:trPr>
        <w:tc>
          <w:tcPr>
            <w:tcW w:w="1980" w:type="dxa"/>
            <w:vAlign w:val="bottom"/>
            <w:shd w:val="clear" w:color="auto" w:fill="CCEEFF"/>
          </w:tcPr>
          <w:p>
            <w:pPr>
              <w:spacing w:after="0"/>
              <w:rPr>
                <w:sz w:val="20"/>
                <w:szCs w:val="20"/>
                <w:color w:val="auto"/>
              </w:rPr>
            </w:pPr>
          </w:p>
        </w:tc>
        <w:tc>
          <w:tcPr>
            <w:tcW w:w="9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4(g) to the Registrant’s Registration Statement No. 333-41919 on Form S-8).</w:t>
            </w:r>
          </w:p>
        </w:tc>
      </w:tr>
      <w:tr>
        <w:trPr>
          <w:trHeight w:val="216"/>
        </w:trPr>
        <w:tc>
          <w:tcPr>
            <w:tcW w:w="1980" w:type="dxa"/>
            <w:vAlign w:val="bottom"/>
          </w:tcPr>
          <w:p>
            <w:pPr>
              <w:spacing w:after="0"/>
              <w:rPr>
                <w:sz w:val="18"/>
                <w:szCs w:val="18"/>
                <w:color w:val="auto"/>
              </w:rPr>
            </w:pPr>
          </w:p>
        </w:tc>
        <w:tc>
          <w:tcPr>
            <w:tcW w:w="9440" w:type="dxa"/>
            <w:vAlign w:val="bottom"/>
          </w:tcPr>
          <w:p>
            <w:pPr>
              <w:spacing w:after="0"/>
              <w:rPr>
                <w:sz w:val="18"/>
                <w:szCs w:val="18"/>
                <w:color w:val="auto"/>
              </w:rPr>
            </w:pPr>
          </w:p>
        </w:tc>
      </w:tr>
      <w:tr>
        <w:trPr>
          <w:trHeight w:val="202"/>
        </w:trPr>
        <w:tc>
          <w:tcPr>
            <w:tcW w:w="1980" w:type="dxa"/>
            <w:vAlign w:val="bottom"/>
            <w:shd w:val="clear" w:color="auto" w:fill="CCEEFF"/>
          </w:tcPr>
          <w:p>
            <w:pPr>
              <w:jc w:val="center"/>
              <w:ind w:left="230"/>
              <w:spacing w:after="0" w:line="201" w:lineRule="exact"/>
              <w:rPr>
                <w:sz w:val="20"/>
                <w:szCs w:val="20"/>
                <w:color w:val="auto"/>
              </w:rPr>
            </w:pPr>
            <w:r>
              <w:rPr>
                <w:rFonts w:ascii="Arial" w:cs="Arial" w:eastAsia="Arial" w:hAnsi="Arial"/>
                <w:sz w:val="18"/>
                <w:szCs w:val="18"/>
                <w:color w:val="auto"/>
                <w:w w:val="93"/>
              </w:rPr>
              <w:t>3(h)</w:t>
            </w:r>
          </w:p>
        </w:tc>
        <w:tc>
          <w:tcPr>
            <w:tcW w:w="94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2"/>
              </w:rPr>
              <w:t>Certificate of Ownership and Merger merging Tartan, Inc. into the Registrant (incorporated by reference to Exhibit 4(h) to the</w:t>
            </w:r>
          </w:p>
        </w:tc>
      </w:tr>
      <w:tr>
        <w:trPr>
          <w:trHeight w:val="230"/>
        </w:trPr>
        <w:tc>
          <w:tcPr>
            <w:tcW w:w="1980" w:type="dxa"/>
            <w:vAlign w:val="bottom"/>
            <w:shd w:val="clear" w:color="auto" w:fill="CCEEFF"/>
          </w:tcPr>
          <w:p>
            <w:pPr>
              <w:spacing w:after="0"/>
              <w:rPr>
                <w:sz w:val="20"/>
                <w:szCs w:val="20"/>
                <w:color w:val="auto"/>
              </w:rPr>
            </w:pPr>
          </w:p>
        </w:tc>
        <w:tc>
          <w:tcPr>
            <w:tcW w:w="9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Registrant’s Registration Statement No. 333-41919 on Form S-8).</w:t>
            </w:r>
          </w:p>
        </w:tc>
      </w:tr>
      <w:tr>
        <w:trPr>
          <w:trHeight w:val="555"/>
        </w:trPr>
        <w:tc>
          <w:tcPr>
            <w:tcW w:w="1980" w:type="dxa"/>
            <w:vAlign w:val="bottom"/>
          </w:tcPr>
          <w:p>
            <w:pPr>
              <w:spacing w:after="0"/>
              <w:rPr>
                <w:sz w:val="24"/>
                <w:szCs w:val="24"/>
                <w:color w:val="auto"/>
              </w:rPr>
            </w:pPr>
          </w:p>
        </w:tc>
        <w:tc>
          <w:tcPr>
            <w:tcW w:w="9440" w:type="dxa"/>
            <w:vAlign w:val="bottom"/>
          </w:tcPr>
          <w:p>
            <w:pPr>
              <w:ind w:left="3660"/>
              <w:spacing w:after="0"/>
              <w:rPr>
                <w:sz w:val="20"/>
                <w:szCs w:val="20"/>
                <w:color w:val="auto"/>
              </w:rPr>
            </w:pPr>
            <w:r>
              <w:rPr>
                <w:rFonts w:ascii="Arial" w:cs="Arial" w:eastAsia="Arial" w:hAnsi="Arial"/>
                <w:sz w:val="14"/>
                <w:szCs w:val="14"/>
                <w:color w:val="auto"/>
              </w:rPr>
              <w:t>17</w:t>
            </w:r>
          </w:p>
        </w:tc>
      </w:tr>
      <w:tr>
        <w:trPr>
          <w:trHeight w:val="103"/>
        </w:trPr>
        <w:tc>
          <w:tcPr>
            <w:tcW w:w="1980" w:type="dxa"/>
            <w:vAlign w:val="bottom"/>
            <w:tcBorders>
              <w:bottom w:val="single" w:sz="8" w:color="808080"/>
            </w:tcBorders>
          </w:tcPr>
          <w:p>
            <w:pPr>
              <w:spacing w:after="0"/>
              <w:rPr>
                <w:sz w:val="8"/>
                <w:szCs w:val="8"/>
                <w:color w:val="auto"/>
              </w:rPr>
            </w:pPr>
          </w:p>
        </w:tc>
        <w:tc>
          <w:tcPr>
            <w:tcW w:w="94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1980" w:type="dxa"/>
            <w:vAlign w:val="bottom"/>
            <w:gridSpan w:val="3"/>
          </w:tcPr>
          <w:p>
            <w:pPr>
              <w:jc w:val="center"/>
              <w:ind w:left="230"/>
              <w:spacing w:after="0"/>
              <w:rPr>
                <w:sz w:val="20"/>
                <w:szCs w:val="20"/>
                <w:color w:val="auto"/>
              </w:rPr>
            </w:pPr>
            <w:r>
              <w:rPr>
                <w:rFonts w:ascii="Arial" w:cs="Arial" w:eastAsia="Arial" w:hAnsi="Arial"/>
                <w:sz w:val="18"/>
                <w:szCs w:val="18"/>
                <w:color w:val="auto"/>
                <w:w w:val="92"/>
              </w:rPr>
              <w:t>Designation of</w:t>
            </w:r>
          </w:p>
        </w:tc>
        <w:tc>
          <w:tcPr>
            <w:tcW w:w="9440" w:type="dxa"/>
            <w:vAlign w:val="bottom"/>
          </w:tcPr>
          <w:p>
            <w:pPr>
              <w:spacing w:after="0"/>
              <w:rPr>
                <w:sz w:val="18"/>
                <w:szCs w:val="18"/>
                <w:color w:val="auto"/>
              </w:rPr>
            </w:pPr>
          </w:p>
        </w:tc>
      </w:tr>
      <w:tr>
        <w:trPr>
          <w:trHeight w:val="216"/>
        </w:trPr>
        <w:tc>
          <w:tcPr>
            <w:tcW w:w="1980" w:type="dxa"/>
            <w:vAlign w:val="bottom"/>
            <w:gridSpan w:val="3"/>
          </w:tcPr>
          <w:p>
            <w:pPr>
              <w:jc w:val="center"/>
              <w:ind w:left="230"/>
              <w:spacing w:after="0"/>
              <w:rPr>
                <w:sz w:val="20"/>
                <w:szCs w:val="20"/>
                <w:color w:val="auto"/>
              </w:rPr>
            </w:pPr>
            <w:r>
              <w:rPr>
                <w:rFonts w:ascii="Arial" w:cs="Arial" w:eastAsia="Arial" w:hAnsi="Arial"/>
                <w:sz w:val="18"/>
                <w:szCs w:val="18"/>
                <w:color w:val="auto"/>
                <w:w w:val="95"/>
              </w:rPr>
              <w:t>Exhibit in</w:t>
            </w:r>
          </w:p>
        </w:tc>
        <w:tc>
          <w:tcPr>
            <w:tcW w:w="9440" w:type="dxa"/>
            <w:vAlign w:val="bottom"/>
          </w:tcPr>
          <w:p>
            <w:pPr>
              <w:spacing w:after="0"/>
              <w:rPr>
                <w:sz w:val="18"/>
                <w:szCs w:val="18"/>
                <w:color w:val="auto"/>
              </w:rPr>
            </w:pPr>
          </w:p>
        </w:tc>
      </w:tr>
      <w:tr>
        <w:trPr>
          <w:trHeight w:val="237"/>
        </w:trPr>
        <w:tc>
          <w:tcPr>
            <w:tcW w:w="198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color w:val="auto"/>
                <w:w w:val="89"/>
              </w:rPr>
              <w:t>this Report</w:t>
            </w:r>
          </w:p>
        </w:tc>
        <w:tc>
          <w:tcPr>
            <w:tcW w:w="94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Description of Exhibit</w:t>
            </w:r>
          </w:p>
        </w:tc>
      </w:tr>
      <w:tr>
        <w:trPr>
          <w:trHeight w:val="216"/>
        </w:trPr>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40" w:type="dxa"/>
            <w:vAlign w:val="bottom"/>
          </w:tcPr>
          <w:p>
            <w:pPr>
              <w:spacing w:after="0"/>
              <w:rPr>
                <w:sz w:val="18"/>
                <w:szCs w:val="18"/>
                <w:color w:val="auto"/>
              </w:rPr>
            </w:pPr>
          </w:p>
        </w:tc>
      </w:tr>
      <w:tr>
        <w:trPr>
          <w:trHeight w:val="202"/>
        </w:trPr>
        <w:tc>
          <w:tcPr>
            <w:tcW w:w="8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right="520"/>
              <w:spacing w:after="0" w:line="201" w:lineRule="exact"/>
              <w:rPr>
                <w:sz w:val="20"/>
                <w:szCs w:val="20"/>
                <w:color w:val="auto"/>
              </w:rPr>
            </w:pPr>
            <w:r>
              <w:rPr>
                <w:rFonts w:ascii="Arial" w:cs="Arial" w:eastAsia="Arial" w:hAnsi="Arial"/>
                <w:sz w:val="18"/>
                <w:szCs w:val="18"/>
                <w:color w:val="auto"/>
                <w:w w:val="99"/>
              </w:rPr>
              <w:t>3(i)</w:t>
            </w:r>
          </w:p>
        </w:tc>
        <w:tc>
          <w:tcPr>
            <w:tcW w:w="94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2"/>
              </w:rPr>
              <w:t>Certificate of Designation relating to the Registrant’s Participating Cumulative Preferred Stock (incorporated by reference to</w:t>
            </w:r>
          </w:p>
        </w:tc>
      </w:tr>
      <w:tr>
        <w:trPr>
          <w:trHeight w:val="230"/>
        </w:trPr>
        <w:tc>
          <w:tcPr>
            <w:tcW w:w="8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Exhibit 4(a) to the Registrant’s Quarterly Report on Form 10-Q for the quarter ended September 30, 1998).</w:t>
            </w:r>
          </w:p>
        </w:tc>
      </w:tr>
      <w:tr>
        <w:trPr>
          <w:trHeight w:val="216"/>
        </w:trPr>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40" w:type="dxa"/>
            <w:vAlign w:val="bottom"/>
          </w:tcPr>
          <w:p>
            <w:pPr>
              <w:spacing w:after="0"/>
              <w:rPr>
                <w:sz w:val="18"/>
                <w:szCs w:val="18"/>
                <w:color w:val="auto"/>
              </w:rPr>
            </w:pPr>
          </w:p>
        </w:tc>
      </w:tr>
      <w:tr>
        <w:trPr>
          <w:trHeight w:val="202"/>
        </w:trPr>
        <w:tc>
          <w:tcPr>
            <w:tcW w:w="8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right="520"/>
              <w:spacing w:after="0" w:line="201" w:lineRule="exact"/>
              <w:rPr>
                <w:sz w:val="20"/>
                <w:szCs w:val="20"/>
                <w:color w:val="auto"/>
              </w:rPr>
            </w:pPr>
            <w:r>
              <w:rPr>
                <w:rFonts w:ascii="Arial" w:cs="Arial" w:eastAsia="Arial" w:hAnsi="Arial"/>
                <w:sz w:val="18"/>
                <w:szCs w:val="18"/>
                <w:color w:val="auto"/>
                <w:w w:val="99"/>
              </w:rPr>
              <w:t>3(j)</w:t>
            </w:r>
          </w:p>
        </w:tc>
        <w:tc>
          <w:tcPr>
            <w:tcW w:w="94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3"/>
              </w:rPr>
              <w:t>Certificate of Elimination of Designation of Preferred Stock of the Registrant (incorporated by reference to Exhibit 3(j) to the</w:t>
            </w:r>
          </w:p>
        </w:tc>
      </w:tr>
      <w:tr>
        <w:trPr>
          <w:trHeight w:val="230"/>
        </w:trPr>
        <w:tc>
          <w:tcPr>
            <w:tcW w:w="8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Registrant’s Annual Report on Form 10-K for the year 1998).</w:t>
            </w:r>
          </w:p>
        </w:tc>
      </w:tr>
      <w:tr>
        <w:trPr>
          <w:trHeight w:val="216"/>
        </w:trPr>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40" w:type="dxa"/>
            <w:vAlign w:val="bottom"/>
          </w:tcPr>
          <w:p>
            <w:pPr>
              <w:spacing w:after="0"/>
              <w:rPr>
                <w:sz w:val="18"/>
                <w:szCs w:val="18"/>
                <w:color w:val="auto"/>
              </w:rPr>
            </w:pPr>
          </w:p>
        </w:tc>
      </w:tr>
      <w:tr>
        <w:trPr>
          <w:trHeight w:val="202"/>
        </w:trPr>
        <w:tc>
          <w:tcPr>
            <w:tcW w:w="8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right="520"/>
              <w:spacing w:after="0" w:line="201" w:lineRule="exact"/>
              <w:rPr>
                <w:sz w:val="20"/>
                <w:szCs w:val="20"/>
                <w:color w:val="auto"/>
              </w:rPr>
            </w:pPr>
            <w:r>
              <w:rPr>
                <w:rFonts w:ascii="Arial" w:cs="Arial" w:eastAsia="Arial" w:hAnsi="Arial"/>
                <w:sz w:val="18"/>
                <w:szCs w:val="18"/>
                <w:color w:val="auto"/>
                <w:w w:val="96"/>
              </w:rPr>
              <w:t>3(k)</w:t>
            </w:r>
          </w:p>
        </w:tc>
        <w:tc>
          <w:tcPr>
            <w:tcW w:w="94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6"/>
              </w:rPr>
              <w:t>Certificate of Ownership and Merger merging Intersect Technologies, Inc. with and into the Registrant (incorporated by</w:t>
            </w:r>
          </w:p>
        </w:tc>
      </w:tr>
      <w:tr>
        <w:trPr>
          <w:trHeight w:val="230"/>
        </w:trPr>
        <w:tc>
          <w:tcPr>
            <w:tcW w:w="8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reference to Exhibit 3(k) to the Registrant’s Annual Report on Form 10-K for the year 1999).</w:t>
            </w:r>
          </w:p>
        </w:tc>
      </w:tr>
      <w:tr>
        <w:trPr>
          <w:trHeight w:val="216"/>
        </w:trPr>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40" w:type="dxa"/>
            <w:vAlign w:val="bottom"/>
          </w:tcPr>
          <w:p>
            <w:pPr>
              <w:spacing w:after="0"/>
              <w:rPr>
                <w:sz w:val="18"/>
                <w:szCs w:val="18"/>
                <w:color w:val="auto"/>
              </w:rPr>
            </w:pPr>
          </w:p>
        </w:tc>
      </w:tr>
      <w:tr>
        <w:trPr>
          <w:trHeight w:val="202"/>
        </w:trPr>
        <w:tc>
          <w:tcPr>
            <w:tcW w:w="8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right="520"/>
              <w:spacing w:after="0" w:line="201" w:lineRule="exact"/>
              <w:rPr>
                <w:sz w:val="20"/>
                <w:szCs w:val="20"/>
                <w:color w:val="auto"/>
              </w:rPr>
            </w:pPr>
            <w:r>
              <w:rPr>
                <w:rFonts w:ascii="Arial" w:cs="Arial" w:eastAsia="Arial" w:hAnsi="Arial"/>
                <w:sz w:val="18"/>
                <w:szCs w:val="18"/>
                <w:color w:val="auto"/>
                <w:w w:val="99"/>
              </w:rPr>
              <w:t>3(l)</w:t>
            </w:r>
          </w:p>
        </w:tc>
        <w:tc>
          <w:tcPr>
            <w:tcW w:w="94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1"/>
              </w:rPr>
              <w:t>Certificate of Ownership and Merger merging Soft Warehouse, Inc. with and into the Registrant (incorporated by reference to</w:t>
            </w:r>
          </w:p>
        </w:tc>
      </w:tr>
      <w:tr>
        <w:trPr>
          <w:trHeight w:val="230"/>
        </w:trPr>
        <w:tc>
          <w:tcPr>
            <w:tcW w:w="8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Exhibit 3(l) to the Registrant’s Annual Report on Form 10-K for the year 1999).</w:t>
            </w:r>
          </w:p>
        </w:tc>
      </w:tr>
      <w:tr>
        <w:trPr>
          <w:trHeight w:val="216"/>
        </w:trPr>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40" w:type="dxa"/>
            <w:vAlign w:val="bottom"/>
          </w:tcPr>
          <w:p>
            <w:pPr>
              <w:spacing w:after="0"/>
              <w:rPr>
                <w:sz w:val="18"/>
                <w:szCs w:val="18"/>
                <w:color w:val="auto"/>
              </w:rPr>
            </w:pPr>
          </w:p>
        </w:tc>
      </w:tr>
      <w:tr>
        <w:trPr>
          <w:trHeight w:val="202"/>
        </w:trPr>
        <w:tc>
          <w:tcPr>
            <w:tcW w:w="8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right="520"/>
              <w:spacing w:after="0" w:line="201" w:lineRule="exact"/>
              <w:rPr>
                <w:sz w:val="20"/>
                <w:szCs w:val="20"/>
                <w:color w:val="auto"/>
              </w:rPr>
            </w:pPr>
            <w:r>
              <w:rPr>
                <w:rFonts w:ascii="Arial" w:cs="Arial" w:eastAsia="Arial" w:hAnsi="Arial"/>
                <w:sz w:val="18"/>
                <w:szCs w:val="18"/>
                <w:color w:val="auto"/>
                <w:w w:val="91"/>
              </w:rPr>
              <w:t>3(m)</w:t>
            </w:r>
          </w:p>
        </w:tc>
        <w:tc>
          <w:tcPr>
            <w:tcW w:w="94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1"/>
              </w:rPr>
              <w:t>Certificate of Ownership and Merger merging Silicon Systems, Inc. with and into the Registrant (incorporated by reference to</w:t>
            </w:r>
          </w:p>
        </w:tc>
      </w:tr>
      <w:tr>
        <w:trPr>
          <w:trHeight w:val="230"/>
        </w:trPr>
        <w:tc>
          <w:tcPr>
            <w:tcW w:w="8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Exhibit 3(m) to the Registrant’s Annual Report on Form 10-K for the year 1999).</w:t>
            </w:r>
          </w:p>
        </w:tc>
      </w:tr>
      <w:tr>
        <w:trPr>
          <w:trHeight w:val="216"/>
        </w:trPr>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40" w:type="dxa"/>
            <w:vAlign w:val="bottom"/>
          </w:tcPr>
          <w:p>
            <w:pPr>
              <w:spacing w:after="0"/>
              <w:rPr>
                <w:sz w:val="18"/>
                <w:szCs w:val="18"/>
                <w:color w:val="auto"/>
              </w:rPr>
            </w:pPr>
          </w:p>
        </w:tc>
      </w:tr>
      <w:tr>
        <w:trPr>
          <w:trHeight w:val="202"/>
        </w:trPr>
        <w:tc>
          <w:tcPr>
            <w:tcW w:w="8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right="520"/>
              <w:spacing w:after="0" w:line="201" w:lineRule="exact"/>
              <w:rPr>
                <w:sz w:val="20"/>
                <w:szCs w:val="20"/>
                <w:color w:val="auto"/>
              </w:rPr>
            </w:pPr>
            <w:r>
              <w:rPr>
                <w:rFonts w:ascii="Arial" w:cs="Arial" w:eastAsia="Arial" w:hAnsi="Arial"/>
                <w:sz w:val="18"/>
                <w:szCs w:val="18"/>
                <w:color w:val="auto"/>
                <w:w w:val="93"/>
              </w:rPr>
              <w:t>3(n)</w:t>
            </w:r>
          </w:p>
        </w:tc>
        <w:tc>
          <w:tcPr>
            <w:tcW w:w="94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Certificate of Amendment to Restated Certificate of Incorporation (incorporated by reference to Exhibit 3(n) to the</w:t>
            </w:r>
          </w:p>
        </w:tc>
      </w:tr>
      <w:tr>
        <w:trPr>
          <w:trHeight w:val="230"/>
        </w:trPr>
        <w:tc>
          <w:tcPr>
            <w:tcW w:w="8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Registrant’s Registration Statement on Form S-4 No. 333-41030 filed on July 7, 2000).</w:t>
            </w:r>
          </w:p>
        </w:tc>
      </w:tr>
      <w:tr>
        <w:trPr>
          <w:trHeight w:val="216"/>
        </w:trPr>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40" w:type="dxa"/>
            <w:vAlign w:val="bottom"/>
          </w:tcPr>
          <w:p>
            <w:pPr>
              <w:spacing w:after="0"/>
              <w:rPr>
                <w:sz w:val="18"/>
                <w:szCs w:val="18"/>
                <w:color w:val="auto"/>
              </w:rPr>
            </w:pPr>
          </w:p>
        </w:tc>
      </w:tr>
      <w:tr>
        <w:trPr>
          <w:trHeight w:val="202"/>
        </w:trPr>
        <w:tc>
          <w:tcPr>
            <w:tcW w:w="8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right="520"/>
              <w:spacing w:after="0" w:line="201" w:lineRule="exact"/>
              <w:rPr>
                <w:sz w:val="20"/>
                <w:szCs w:val="20"/>
                <w:color w:val="auto"/>
              </w:rPr>
            </w:pPr>
            <w:r>
              <w:rPr>
                <w:rFonts w:ascii="Arial" w:cs="Arial" w:eastAsia="Arial" w:hAnsi="Arial"/>
                <w:sz w:val="18"/>
                <w:szCs w:val="18"/>
                <w:color w:val="auto"/>
                <w:w w:val="93"/>
              </w:rPr>
              <w:t>3(o)</w:t>
            </w:r>
          </w:p>
        </w:tc>
        <w:tc>
          <w:tcPr>
            <w:tcW w:w="94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3"/>
              </w:rPr>
              <w:t>Certificate of Ownership and Merger merging Power Trends, Inc. with and into the Registrant (incorporated by reference to</w:t>
            </w:r>
          </w:p>
        </w:tc>
      </w:tr>
      <w:tr>
        <w:trPr>
          <w:trHeight w:val="230"/>
        </w:trPr>
        <w:tc>
          <w:tcPr>
            <w:tcW w:w="8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Exhibit 3(o) to the Registrant’s Annual Report on Form 10-K for the year 2001).</w:t>
            </w:r>
          </w:p>
        </w:tc>
      </w:tr>
      <w:tr>
        <w:trPr>
          <w:trHeight w:val="216"/>
        </w:trPr>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40" w:type="dxa"/>
            <w:vAlign w:val="bottom"/>
          </w:tcPr>
          <w:p>
            <w:pPr>
              <w:spacing w:after="0"/>
              <w:rPr>
                <w:sz w:val="18"/>
                <w:szCs w:val="18"/>
                <w:color w:val="auto"/>
              </w:rPr>
            </w:pPr>
          </w:p>
        </w:tc>
      </w:tr>
      <w:tr>
        <w:trPr>
          <w:trHeight w:val="202"/>
        </w:trPr>
        <w:tc>
          <w:tcPr>
            <w:tcW w:w="8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right="520"/>
              <w:spacing w:after="0" w:line="201" w:lineRule="exact"/>
              <w:rPr>
                <w:sz w:val="20"/>
                <w:szCs w:val="20"/>
                <w:color w:val="auto"/>
              </w:rPr>
            </w:pPr>
            <w:r>
              <w:rPr>
                <w:rFonts w:ascii="Arial" w:cs="Arial" w:eastAsia="Arial" w:hAnsi="Arial"/>
                <w:sz w:val="18"/>
                <w:szCs w:val="18"/>
                <w:color w:val="auto"/>
                <w:w w:val="93"/>
              </w:rPr>
              <w:t>3(p)</w:t>
            </w:r>
          </w:p>
        </w:tc>
        <w:tc>
          <w:tcPr>
            <w:tcW w:w="94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2"/>
              </w:rPr>
              <w:t>Certificate of Ownership and Merger merging Amati Communications Corporation with and into the Registrant (incorporated</w:t>
            </w:r>
          </w:p>
        </w:tc>
      </w:tr>
      <w:tr>
        <w:trPr>
          <w:trHeight w:val="230"/>
        </w:trPr>
        <w:tc>
          <w:tcPr>
            <w:tcW w:w="8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by reference to Exhibit 3(p) to the Registrant’s Annual Report on Form 10-K for the year 2001).</w:t>
            </w:r>
          </w:p>
        </w:tc>
      </w:tr>
      <w:tr>
        <w:trPr>
          <w:trHeight w:val="216"/>
        </w:trPr>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40" w:type="dxa"/>
            <w:vAlign w:val="bottom"/>
          </w:tcPr>
          <w:p>
            <w:pPr>
              <w:spacing w:after="0"/>
              <w:rPr>
                <w:sz w:val="18"/>
                <w:szCs w:val="18"/>
                <w:color w:val="auto"/>
              </w:rPr>
            </w:pPr>
          </w:p>
        </w:tc>
      </w:tr>
      <w:tr>
        <w:trPr>
          <w:trHeight w:val="202"/>
        </w:trPr>
        <w:tc>
          <w:tcPr>
            <w:tcW w:w="8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right="520"/>
              <w:spacing w:after="0" w:line="201" w:lineRule="exact"/>
              <w:rPr>
                <w:sz w:val="20"/>
                <w:szCs w:val="20"/>
                <w:color w:val="auto"/>
              </w:rPr>
            </w:pPr>
            <w:r>
              <w:rPr>
                <w:rFonts w:ascii="Arial" w:cs="Arial" w:eastAsia="Arial" w:hAnsi="Arial"/>
                <w:sz w:val="18"/>
                <w:szCs w:val="18"/>
                <w:color w:val="auto"/>
                <w:w w:val="93"/>
              </w:rPr>
              <w:t>3(q)</w:t>
            </w:r>
          </w:p>
        </w:tc>
        <w:tc>
          <w:tcPr>
            <w:tcW w:w="94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7"/>
              </w:rPr>
              <w:t>Certificate of Ownership and Merger merging Texas Instruments San Diego Incorporated with and into the Registrant</w:t>
            </w:r>
          </w:p>
        </w:tc>
      </w:tr>
      <w:tr>
        <w:trPr>
          <w:trHeight w:val="230"/>
        </w:trPr>
        <w:tc>
          <w:tcPr>
            <w:tcW w:w="8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(incorporated by reference to Exhibit 3(q) to the Registrant’s Annual Report on Form 10-K for the year 2002).</w:t>
            </w:r>
          </w:p>
        </w:tc>
      </w:tr>
      <w:tr>
        <w:trPr>
          <w:trHeight w:val="216"/>
        </w:trPr>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40" w:type="dxa"/>
            <w:vAlign w:val="bottom"/>
          </w:tcPr>
          <w:p>
            <w:pPr>
              <w:spacing w:after="0"/>
              <w:rPr>
                <w:sz w:val="18"/>
                <w:szCs w:val="18"/>
                <w:color w:val="auto"/>
              </w:rPr>
            </w:pPr>
          </w:p>
        </w:tc>
      </w:tr>
      <w:tr>
        <w:trPr>
          <w:trHeight w:val="202"/>
        </w:trPr>
        <w:tc>
          <w:tcPr>
            <w:tcW w:w="8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right="520"/>
              <w:spacing w:after="0" w:line="201" w:lineRule="exact"/>
              <w:rPr>
                <w:sz w:val="20"/>
                <w:szCs w:val="20"/>
                <w:color w:val="auto"/>
              </w:rPr>
            </w:pPr>
            <w:r>
              <w:rPr>
                <w:rFonts w:ascii="Arial" w:cs="Arial" w:eastAsia="Arial" w:hAnsi="Arial"/>
                <w:sz w:val="18"/>
                <w:szCs w:val="18"/>
                <w:color w:val="auto"/>
                <w:w w:val="92"/>
              </w:rPr>
              <w:t>3(r)</w:t>
            </w:r>
          </w:p>
        </w:tc>
        <w:tc>
          <w:tcPr>
            <w:tcW w:w="94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8"/>
              </w:rPr>
              <w:t>Certificate of Ownership and Merger merging Texas Instruments Burlington Incorporated with and into the Registrant</w:t>
            </w:r>
          </w:p>
        </w:tc>
      </w:tr>
      <w:tr>
        <w:trPr>
          <w:trHeight w:val="230"/>
        </w:trPr>
        <w:tc>
          <w:tcPr>
            <w:tcW w:w="8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(incorporated by reference to Exhibit 3(r) to the Registrant’s Annual Report on Form 10-K for the year 2003).</w:t>
            </w:r>
          </w:p>
        </w:tc>
      </w:tr>
      <w:tr>
        <w:trPr>
          <w:trHeight w:val="216"/>
        </w:trPr>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40" w:type="dxa"/>
            <w:vAlign w:val="bottom"/>
          </w:tcPr>
          <w:p>
            <w:pPr>
              <w:spacing w:after="0"/>
              <w:rPr>
                <w:sz w:val="18"/>
                <w:szCs w:val="18"/>
                <w:color w:val="auto"/>
              </w:rPr>
            </w:pPr>
          </w:p>
        </w:tc>
      </w:tr>
      <w:tr>
        <w:trPr>
          <w:trHeight w:val="202"/>
        </w:trPr>
        <w:tc>
          <w:tcPr>
            <w:tcW w:w="8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right="540"/>
              <w:spacing w:after="0" w:line="201" w:lineRule="exact"/>
              <w:rPr>
                <w:sz w:val="20"/>
                <w:szCs w:val="20"/>
                <w:color w:val="auto"/>
              </w:rPr>
            </w:pPr>
            <w:r>
              <w:rPr>
                <w:rFonts w:ascii="Arial" w:cs="Arial" w:eastAsia="Arial" w:hAnsi="Arial"/>
                <w:sz w:val="18"/>
                <w:szCs w:val="18"/>
                <w:color w:val="auto"/>
                <w:w w:val="90"/>
              </w:rPr>
              <w:t>3(s)</w:t>
            </w:r>
          </w:p>
        </w:tc>
        <w:tc>
          <w:tcPr>
            <w:tcW w:w="94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0"/>
              </w:rPr>
              <w:t>Certificate of Ownership and Merger merging Texas Instruments Automotive Sensors and Controls San Jose Inc. with and into</w:t>
            </w:r>
          </w:p>
        </w:tc>
      </w:tr>
      <w:tr>
        <w:trPr>
          <w:trHeight w:val="216"/>
        </w:trPr>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4"/>
              </w:rPr>
              <w:t>the Registrant (incorporated by reference to Exhibit 3(i) to the Registrant’s Current Report on Form 8-K dated October 31,</w:t>
            </w:r>
          </w:p>
        </w:tc>
      </w:tr>
      <w:tr>
        <w:trPr>
          <w:trHeight w:val="230"/>
        </w:trPr>
        <w:tc>
          <w:tcPr>
            <w:tcW w:w="8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2004).</w:t>
            </w:r>
          </w:p>
        </w:tc>
      </w:tr>
      <w:tr>
        <w:trPr>
          <w:trHeight w:val="216"/>
        </w:trPr>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40" w:type="dxa"/>
            <w:vAlign w:val="bottom"/>
          </w:tcPr>
          <w:p>
            <w:pPr>
              <w:spacing w:after="0"/>
              <w:rPr>
                <w:sz w:val="18"/>
                <w:szCs w:val="18"/>
                <w:color w:val="auto"/>
              </w:rPr>
            </w:pPr>
          </w:p>
        </w:tc>
      </w:tr>
      <w:tr>
        <w:trPr>
          <w:trHeight w:val="202"/>
        </w:trPr>
        <w:tc>
          <w:tcPr>
            <w:tcW w:w="8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right="520"/>
              <w:spacing w:after="0" w:line="201" w:lineRule="exact"/>
              <w:rPr>
                <w:sz w:val="20"/>
                <w:szCs w:val="20"/>
                <w:color w:val="auto"/>
              </w:rPr>
            </w:pPr>
            <w:r>
              <w:rPr>
                <w:rFonts w:ascii="Arial" w:cs="Arial" w:eastAsia="Arial" w:hAnsi="Arial"/>
                <w:sz w:val="18"/>
                <w:szCs w:val="18"/>
                <w:color w:val="auto"/>
                <w:w w:val="96"/>
              </w:rPr>
              <w:t>3(t)</w:t>
            </w:r>
          </w:p>
        </w:tc>
        <w:tc>
          <w:tcPr>
            <w:tcW w:w="94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3"/>
              </w:rPr>
              <w:t>Certificate of Elimination of Series B Participating Cumulative Preferred Stock (incorporated by reference to Exhibit 3 to the</w:t>
            </w:r>
          </w:p>
        </w:tc>
      </w:tr>
      <w:tr>
        <w:trPr>
          <w:trHeight w:val="230"/>
        </w:trPr>
        <w:tc>
          <w:tcPr>
            <w:tcW w:w="8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Registrant’s Current Report on Form 8-K dated June 23, 2008).</w:t>
            </w:r>
          </w:p>
        </w:tc>
      </w:tr>
      <w:tr>
        <w:trPr>
          <w:trHeight w:val="216"/>
        </w:trPr>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40" w:type="dxa"/>
            <w:vAlign w:val="bottom"/>
          </w:tcPr>
          <w:p>
            <w:pPr>
              <w:spacing w:after="0"/>
              <w:rPr>
                <w:sz w:val="18"/>
                <w:szCs w:val="18"/>
                <w:color w:val="auto"/>
              </w:rPr>
            </w:pPr>
          </w:p>
        </w:tc>
      </w:tr>
      <w:tr>
        <w:trPr>
          <w:trHeight w:val="202"/>
        </w:trPr>
        <w:tc>
          <w:tcPr>
            <w:tcW w:w="8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right="520"/>
              <w:spacing w:after="0" w:line="201" w:lineRule="exact"/>
              <w:rPr>
                <w:sz w:val="20"/>
                <w:szCs w:val="20"/>
                <w:color w:val="auto"/>
              </w:rPr>
            </w:pPr>
            <w:r>
              <w:rPr>
                <w:rFonts w:ascii="Arial" w:cs="Arial" w:eastAsia="Arial" w:hAnsi="Arial"/>
                <w:sz w:val="18"/>
                <w:szCs w:val="18"/>
                <w:color w:val="auto"/>
                <w:w w:val="93"/>
              </w:rPr>
              <w:t>3(u)</w:t>
            </w:r>
          </w:p>
        </w:tc>
        <w:tc>
          <w:tcPr>
            <w:tcW w:w="94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2"/>
              </w:rPr>
              <w:t>By-Laws of the Registrant (incorporated by reference to Exhibit 3 to the Registrant’s Current Report on Form 8-K dated July</w:t>
            </w:r>
          </w:p>
        </w:tc>
      </w:tr>
      <w:tr>
        <w:trPr>
          <w:trHeight w:val="230"/>
        </w:trPr>
        <w:tc>
          <w:tcPr>
            <w:tcW w:w="8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18, 2008).</w:t>
            </w:r>
          </w:p>
        </w:tc>
      </w:tr>
      <w:tr>
        <w:trPr>
          <w:trHeight w:val="216"/>
        </w:trPr>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40" w:type="dxa"/>
            <w:vAlign w:val="bottom"/>
          </w:tcPr>
          <w:p>
            <w:pPr>
              <w:spacing w:after="0"/>
              <w:rPr>
                <w:sz w:val="18"/>
                <w:szCs w:val="18"/>
                <w:color w:val="auto"/>
              </w:rPr>
            </w:pPr>
          </w:p>
        </w:tc>
      </w:tr>
      <w:tr>
        <w:trPr>
          <w:trHeight w:val="202"/>
        </w:trPr>
        <w:tc>
          <w:tcPr>
            <w:tcW w:w="8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right="520"/>
              <w:spacing w:after="0" w:line="201" w:lineRule="exact"/>
              <w:rPr>
                <w:sz w:val="20"/>
                <w:szCs w:val="20"/>
                <w:color w:val="auto"/>
              </w:rPr>
            </w:pPr>
            <w:r>
              <w:rPr>
                <w:rFonts w:ascii="Arial" w:cs="Arial" w:eastAsia="Arial" w:hAnsi="Arial"/>
                <w:sz w:val="18"/>
                <w:szCs w:val="18"/>
                <w:color w:val="auto"/>
                <w:w w:val="93"/>
              </w:rPr>
              <w:t>10(a)(i)</w:t>
            </w:r>
          </w:p>
        </w:tc>
        <w:tc>
          <w:tcPr>
            <w:tcW w:w="94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3"/>
              </w:rPr>
              <w:t>TI Deferred Compensation Plan (incorporated by reference to Exhibit 10(a) to the Registrant’s Current Report on Form 8-K</w:t>
            </w:r>
          </w:p>
        </w:tc>
      </w:tr>
      <w:tr>
        <w:trPr>
          <w:trHeight w:val="230"/>
        </w:trPr>
        <w:tc>
          <w:tcPr>
            <w:tcW w:w="8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dated January 1, 2009).*</w:t>
            </w:r>
          </w:p>
        </w:tc>
      </w:tr>
      <w:tr>
        <w:trPr>
          <w:trHeight w:val="216"/>
        </w:trPr>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40" w:type="dxa"/>
            <w:vAlign w:val="bottom"/>
          </w:tcPr>
          <w:p>
            <w:pPr>
              <w:spacing w:after="0"/>
              <w:rPr>
                <w:sz w:val="18"/>
                <w:szCs w:val="18"/>
                <w:color w:val="auto"/>
              </w:rPr>
            </w:pPr>
          </w:p>
        </w:tc>
      </w:tr>
      <w:tr>
        <w:trPr>
          <w:trHeight w:val="196"/>
        </w:trPr>
        <w:tc>
          <w:tcPr>
            <w:tcW w:w="8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right="540"/>
              <w:spacing w:after="0" w:line="176" w:lineRule="exact"/>
              <w:rPr>
                <w:sz w:val="20"/>
                <w:szCs w:val="20"/>
                <w:color w:val="auto"/>
              </w:rPr>
            </w:pPr>
            <w:r>
              <w:rPr>
                <w:rFonts w:ascii="Arial" w:cs="Arial" w:eastAsia="Arial" w:hAnsi="Arial"/>
                <w:sz w:val="18"/>
                <w:szCs w:val="18"/>
                <w:color w:val="0000EE"/>
                <w:w w:val="96"/>
              </w:rPr>
              <w:t>10(a)(ii)</w:t>
            </w:r>
          </w:p>
        </w:tc>
        <w:tc>
          <w:tcPr>
            <w:tcW w:w="944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Amendment No. 1 to the TI Deferred Compensation Plan.*</w:t>
            </w:r>
          </w:p>
        </w:tc>
      </w:tr>
      <w:tr>
        <w:trPr>
          <w:trHeight w:val="555"/>
        </w:trPr>
        <w:tc>
          <w:tcPr>
            <w:tcW w:w="840" w:type="dxa"/>
            <w:vAlign w:val="bottom"/>
            <w:tcBorders>
              <w:top w:val="single" w:sz="8" w:color="CCEEFF"/>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9440" w:type="dxa"/>
            <w:vAlign w:val="bottom"/>
            <w:tcBorders>
              <w:top w:val="single" w:sz="8" w:color="CCEEFF"/>
            </w:tcBorders>
          </w:tcPr>
          <w:p>
            <w:pPr>
              <w:ind w:left="3660"/>
              <w:spacing w:after="0"/>
              <w:rPr>
                <w:sz w:val="20"/>
                <w:szCs w:val="20"/>
                <w:color w:val="auto"/>
              </w:rPr>
            </w:pPr>
            <w:r>
              <w:rPr>
                <w:rFonts w:ascii="Arial" w:cs="Arial" w:eastAsia="Arial" w:hAnsi="Arial"/>
                <w:sz w:val="14"/>
                <w:szCs w:val="14"/>
                <w:color w:val="auto"/>
              </w:rPr>
              <w:t>18</w:t>
            </w:r>
          </w:p>
        </w:tc>
      </w:tr>
      <w:tr>
        <w:trPr>
          <w:trHeight w:val="103"/>
        </w:trPr>
        <w:tc>
          <w:tcPr>
            <w:tcW w:w="8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94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6"/>
        </w:trPr>
        <w:tc>
          <w:tcPr>
            <w:tcW w:w="1980" w:type="dxa"/>
            <w:vAlign w:val="bottom"/>
          </w:tcPr>
          <w:p>
            <w:pPr>
              <w:jc w:val="center"/>
              <w:ind w:left="230"/>
              <w:spacing w:after="0"/>
              <w:rPr>
                <w:sz w:val="20"/>
                <w:szCs w:val="20"/>
                <w:color w:val="auto"/>
              </w:rPr>
            </w:pPr>
            <w:r>
              <w:rPr>
                <w:rFonts w:ascii="Arial" w:cs="Arial" w:eastAsia="Arial" w:hAnsi="Arial"/>
                <w:sz w:val="18"/>
                <w:szCs w:val="18"/>
                <w:color w:val="auto"/>
                <w:w w:val="92"/>
              </w:rPr>
              <w:t>Designation of</w:t>
            </w:r>
          </w:p>
        </w:tc>
        <w:tc>
          <w:tcPr>
            <w:tcW w:w="9440" w:type="dxa"/>
            <w:vAlign w:val="bottom"/>
          </w:tcPr>
          <w:p>
            <w:pPr>
              <w:spacing w:after="0"/>
              <w:rPr>
                <w:sz w:val="18"/>
                <w:szCs w:val="18"/>
                <w:color w:val="auto"/>
              </w:rPr>
            </w:pPr>
          </w:p>
        </w:tc>
      </w:tr>
      <w:tr>
        <w:trPr>
          <w:trHeight w:val="216"/>
        </w:trPr>
        <w:tc>
          <w:tcPr>
            <w:tcW w:w="1980" w:type="dxa"/>
            <w:vAlign w:val="bottom"/>
          </w:tcPr>
          <w:p>
            <w:pPr>
              <w:jc w:val="center"/>
              <w:ind w:left="230"/>
              <w:spacing w:after="0"/>
              <w:rPr>
                <w:sz w:val="20"/>
                <w:szCs w:val="20"/>
                <w:color w:val="auto"/>
              </w:rPr>
            </w:pPr>
            <w:r>
              <w:rPr>
                <w:rFonts w:ascii="Arial" w:cs="Arial" w:eastAsia="Arial" w:hAnsi="Arial"/>
                <w:sz w:val="18"/>
                <w:szCs w:val="18"/>
                <w:color w:val="auto"/>
                <w:w w:val="95"/>
              </w:rPr>
              <w:t>Exhibit in</w:t>
            </w:r>
          </w:p>
        </w:tc>
        <w:tc>
          <w:tcPr>
            <w:tcW w:w="9440" w:type="dxa"/>
            <w:vAlign w:val="bottom"/>
          </w:tcPr>
          <w:p>
            <w:pPr>
              <w:spacing w:after="0"/>
              <w:rPr>
                <w:sz w:val="18"/>
                <w:szCs w:val="18"/>
                <w:color w:val="auto"/>
              </w:rPr>
            </w:pPr>
          </w:p>
        </w:tc>
      </w:tr>
      <w:tr>
        <w:trPr>
          <w:trHeight w:val="237"/>
        </w:trPr>
        <w:tc>
          <w:tcPr>
            <w:tcW w:w="198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color w:val="auto"/>
                <w:w w:val="89"/>
              </w:rPr>
              <w:t>this Report</w:t>
            </w:r>
          </w:p>
        </w:tc>
        <w:tc>
          <w:tcPr>
            <w:tcW w:w="9440" w:type="dxa"/>
            <w:vAlign w:val="bottom"/>
            <w:tcBorders>
              <w:bottom w:val="single" w:sz="8" w:color="auto"/>
            </w:tcBorders>
          </w:tcPr>
          <w:p>
            <w:pPr>
              <w:ind w:left="4080"/>
              <w:spacing w:after="0"/>
              <w:rPr>
                <w:sz w:val="20"/>
                <w:szCs w:val="20"/>
                <w:color w:val="auto"/>
              </w:rPr>
            </w:pPr>
            <w:r>
              <w:rPr>
                <w:rFonts w:ascii="Arial" w:cs="Arial" w:eastAsia="Arial" w:hAnsi="Arial"/>
                <w:sz w:val="18"/>
                <w:szCs w:val="18"/>
                <w:color w:val="auto"/>
              </w:rPr>
              <w:t>Description of Exhibit</w:t>
            </w:r>
          </w:p>
        </w:tc>
      </w:tr>
      <w:tr>
        <w:trPr>
          <w:trHeight w:val="216"/>
        </w:trPr>
        <w:tc>
          <w:tcPr>
            <w:tcW w:w="1980" w:type="dxa"/>
            <w:vAlign w:val="bottom"/>
          </w:tcPr>
          <w:p>
            <w:pPr>
              <w:spacing w:after="0"/>
              <w:rPr>
                <w:sz w:val="18"/>
                <w:szCs w:val="18"/>
                <w:color w:val="auto"/>
              </w:rPr>
            </w:pPr>
          </w:p>
        </w:tc>
        <w:tc>
          <w:tcPr>
            <w:tcW w:w="9440" w:type="dxa"/>
            <w:vAlign w:val="bottom"/>
          </w:tcPr>
          <w:p>
            <w:pPr>
              <w:spacing w:after="0"/>
              <w:rPr>
                <w:sz w:val="18"/>
                <w:szCs w:val="18"/>
                <w:color w:val="auto"/>
              </w:rPr>
            </w:pPr>
          </w:p>
        </w:tc>
      </w:tr>
      <w:tr>
        <w:trPr>
          <w:trHeight w:val="202"/>
        </w:trPr>
        <w:tc>
          <w:tcPr>
            <w:tcW w:w="1980" w:type="dxa"/>
            <w:vAlign w:val="bottom"/>
            <w:shd w:val="clear" w:color="auto" w:fill="CCEEFF"/>
          </w:tcPr>
          <w:p>
            <w:pPr>
              <w:jc w:val="center"/>
              <w:ind w:left="210"/>
              <w:spacing w:after="0" w:line="201" w:lineRule="exact"/>
              <w:rPr>
                <w:sz w:val="20"/>
                <w:szCs w:val="20"/>
                <w:color w:val="auto"/>
              </w:rPr>
            </w:pPr>
            <w:r>
              <w:rPr>
                <w:rFonts w:ascii="Arial" w:cs="Arial" w:eastAsia="Arial" w:hAnsi="Arial"/>
                <w:sz w:val="18"/>
                <w:szCs w:val="18"/>
                <w:color w:val="auto"/>
                <w:w w:val="96"/>
              </w:rPr>
              <w:t>10(b)(i)</w:t>
            </w:r>
          </w:p>
        </w:tc>
        <w:tc>
          <w:tcPr>
            <w:tcW w:w="94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2"/>
              </w:rPr>
              <w:t>TI Employees Non-Qualified Pension Plan (formerly named the TI Employees Supplemental Pension Plan) (incorporated by</w:t>
            </w:r>
          </w:p>
        </w:tc>
      </w:tr>
      <w:tr>
        <w:trPr>
          <w:trHeight w:val="230"/>
        </w:trPr>
        <w:tc>
          <w:tcPr>
            <w:tcW w:w="1980" w:type="dxa"/>
            <w:vAlign w:val="bottom"/>
            <w:shd w:val="clear" w:color="auto" w:fill="CCEEFF"/>
          </w:tcPr>
          <w:p>
            <w:pPr>
              <w:spacing w:after="0"/>
              <w:rPr>
                <w:sz w:val="20"/>
                <w:szCs w:val="20"/>
                <w:color w:val="auto"/>
              </w:rPr>
            </w:pPr>
          </w:p>
        </w:tc>
        <w:tc>
          <w:tcPr>
            <w:tcW w:w="9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reference to Exhibit 10(b)(i) to the Registrant’s Annual Report on Form 10-K for the year 1999).*</w:t>
            </w:r>
          </w:p>
        </w:tc>
      </w:tr>
      <w:tr>
        <w:trPr>
          <w:trHeight w:val="216"/>
        </w:trPr>
        <w:tc>
          <w:tcPr>
            <w:tcW w:w="1980" w:type="dxa"/>
            <w:vAlign w:val="bottom"/>
          </w:tcPr>
          <w:p>
            <w:pPr>
              <w:spacing w:after="0"/>
              <w:rPr>
                <w:sz w:val="18"/>
                <w:szCs w:val="18"/>
                <w:color w:val="auto"/>
              </w:rPr>
            </w:pPr>
          </w:p>
        </w:tc>
        <w:tc>
          <w:tcPr>
            <w:tcW w:w="9440" w:type="dxa"/>
            <w:vAlign w:val="bottom"/>
          </w:tcPr>
          <w:p>
            <w:pPr>
              <w:spacing w:after="0"/>
              <w:rPr>
                <w:sz w:val="18"/>
                <w:szCs w:val="18"/>
                <w:color w:val="auto"/>
              </w:rPr>
            </w:pPr>
          </w:p>
        </w:tc>
      </w:tr>
      <w:tr>
        <w:trPr>
          <w:trHeight w:val="202"/>
        </w:trPr>
        <w:tc>
          <w:tcPr>
            <w:tcW w:w="1980" w:type="dxa"/>
            <w:vAlign w:val="bottom"/>
            <w:shd w:val="clear" w:color="auto" w:fill="CCEEFF"/>
          </w:tcPr>
          <w:p>
            <w:pPr>
              <w:jc w:val="center"/>
              <w:ind w:left="230"/>
              <w:spacing w:after="0" w:line="201" w:lineRule="exact"/>
              <w:rPr>
                <w:sz w:val="20"/>
                <w:szCs w:val="20"/>
                <w:color w:val="auto"/>
              </w:rPr>
            </w:pPr>
            <w:r>
              <w:rPr>
                <w:rFonts w:ascii="Arial" w:cs="Arial" w:eastAsia="Arial" w:hAnsi="Arial"/>
                <w:sz w:val="18"/>
                <w:szCs w:val="18"/>
                <w:color w:val="auto"/>
                <w:w w:val="99"/>
              </w:rPr>
              <w:t>10(b)(ii)</w:t>
            </w:r>
          </w:p>
        </w:tc>
        <w:tc>
          <w:tcPr>
            <w:tcW w:w="94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9"/>
              </w:rPr>
              <w:t>First Amendment to TI Employees Non-Qualified Pension Plan (formerly named the TI Supplemental Pension Plan)</w:t>
            </w:r>
          </w:p>
        </w:tc>
      </w:tr>
      <w:tr>
        <w:trPr>
          <w:trHeight w:val="230"/>
        </w:trPr>
        <w:tc>
          <w:tcPr>
            <w:tcW w:w="1980" w:type="dxa"/>
            <w:vAlign w:val="bottom"/>
            <w:shd w:val="clear" w:color="auto" w:fill="CCEEFF"/>
          </w:tcPr>
          <w:p>
            <w:pPr>
              <w:spacing w:after="0"/>
              <w:rPr>
                <w:sz w:val="20"/>
                <w:szCs w:val="20"/>
                <w:color w:val="auto"/>
              </w:rPr>
            </w:pPr>
          </w:p>
        </w:tc>
        <w:tc>
          <w:tcPr>
            <w:tcW w:w="9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(incorporated by reference to Exhibit 10(b)(ii) to the Registrant’s Annual Report on Form 10-K for the year 1999).*</w:t>
            </w:r>
          </w:p>
        </w:tc>
      </w:tr>
      <w:tr>
        <w:trPr>
          <w:trHeight w:val="216"/>
        </w:trPr>
        <w:tc>
          <w:tcPr>
            <w:tcW w:w="1980" w:type="dxa"/>
            <w:vAlign w:val="bottom"/>
          </w:tcPr>
          <w:p>
            <w:pPr>
              <w:spacing w:after="0"/>
              <w:rPr>
                <w:sz w:val="18"/>
                <w:szCs w:val="18"/>
                <w:color w:val="auto"/>
              </w:rPr>
            </w:pPr>
          </w:p>
        </w:tc>
        <w:tc>
          <w:tcPr>
            <w:tcW w:w="9440" w:type="dxa"/>
            <w:vAlign w:val="bottom"/>
          </w:tcPr>
          <w:p>
            <w:pPr>
              <w:spacing w:after="0"/>
              <w:rPr>
                <w:sz w:val="18"/>
                <w:szCs w:val="18"/>
                <w:color w:val="auto"/>
              </w:rPr>
            </w:pPr>
          </w:p>
        </w:tc>
      </w:tr>
      <w:tr>
        <w:trPr>
          <w:trHeight w:val="202"/>
        </w:trPr>
        <w:tc>
          <w:tcPr>
            <w:tcW w:w="1980" w:type="dxa"/>
            <w:vAlign w:val="bottom"/>
            <w:shd w:val="clear" w:color="auto" w:fill="CCEEFF"/>
          </w:tcPr>
          <w:p>
            <w:pPr>
              <w:jc w:val="center"/>
              <w:ind w:left="230"/>
              <w:spacing w:after="0" w:line="201" w:lineRule="exact"/>
              <w:rPr>
                <w:sz w:val="20"/>
                <w:szCs w:val="20"/>
                <w:color w:val="auto"/>
              </w:rPr>
            </w:pPr>
            <w:r>
              <w:rPr>
                <w:rFonts w:ascii="Arial" w:cs="Arial" w:eastAsia="Arial" w:hAnsi="Arial"/>
                <w:sz w:val="18"/>
                <w:szCs w:val="18"/>
                <w:color w:val="auto"/>
                <w:w w:val="99"/>
              </w:rPr>
              <w:t>10(b)(iii)</w:t>
            </w:r>
          </w:p>
        </w:tc>
        <w:tc>
          <w:tcPr>
            <w:tcW w:w="94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6"/>
              </w:rPr>
              <w:t>Second Amendment to TI Employees Non-Qualified Pension Plan (formerly named the TI Supplemental Pension Plan)</w:t>
            </w:r>
          </w:p>
        </w:tc>
      </w:tr>
      <w:tr>
        <w:trPr>
          <w:trHeight w:val="230"/>
        </w:trPr>
        <w:tc>
          <w:tcPr>
            <w:tcW w:w="1980" w:type="dxa"/>
            <w:vAlign w:val="bottom"/>
            <w:shd w:val="clear" w:color="auto" w:fill="CCEEFF"/>
          </w:tcPr>
          <w:p>
            <w:pPr>
              <w:spacing w:after="0"/>
              <w:rPr>
                <w:sz w:val="20"/>
                <w:szCs w:val="20"/>
                <w:color w:val="auto"/>
              </w:rPr>
            </w:pPr>
          </w:p>
        </w:tc>
        <w:tc>
          <w:tcPr>
            <w:tcW w:w="9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(incorporated by reference to Exhibit 10(b)(iii) to the Registrant’s Annual Report on Form 10-K for the year 2002).*</w:t>
            </w:r>
          </w:p>
        </w:tc>
      </w:tr>
      <w:tr>
        <w:trPr>
          <w:trHeight w:val="216"/>
        </w:trPr>
        <w:tc>
          <w:tcPr>
            <w:tcW w:w="1980" w:type="dxa"/>
            <w:vAlign w:val="bottom"/>
          </w:tcPr>
          <w:p>
            <w:pPr>
              <w:spacing w:after="0"/>
              <w:rPr>
                <w:sz w:val="18"/>
                <w:szCs w:val="18"/>
                <w:color w:val="auto"/>
              </w:rPr>
            </w:pPr>
          </w:p>
        </w:tc>
        <w:tc>
          <w:tcPr>
            <w:tcW w:w="9440" w:type="dxa"/>
            <w:vAlign w:val="bottom"/>
          </w:tcPr>
          <w:p>
            <w:pPr>
              <w:spacing w:after="0"/>
              <w:rPr>
                <w:sz w:val="18"/>
                <w:szCs w:val="18"/>
                <w:color w:val="auto"/>
              </w:rPr>
            </w:pPr>
          </w:p>
        </w:tc>
      </w:tr>
      <w:tr>
        <w:trPr>
          <w:trHeight w:val="202"/>
        </w:trPr>
        <w:tc>
          <w:tcPr>
            <w:tcW w:w="1980" w:type="dxa"/>
            <w:vAlign w:val="bottom"/>
            <w:shd w:val="clear" w:color="auto" w:fill="CCEEFF"/>
          </w:tcPr>
          <w:p>
            <w:pPr>
              <w:jc w:val="center"/>
              <w:ind w:left="230"/>
              <w:spacing w:after="0" w:line="201" w:lineRule="exact"/>
              <w:rPr>
                <w:sz w:val="20"/>
                <w:szCs w:val="20"/>
                <w:color w:val="auto"/>
              </w:rPr>
            </w:pPr>
            <w:r>
              <w:rPr>
                <w:rFonts w:ascii="Arial" w:cs="Arial" w:eastAsia="Arial" w:hAnsi="Arial"/>
                <w:sz w:val="18"/>
                <w:szCs w:val="18"/>
                <w:color w:val="auto"/>
                <w:w w:val="98"/>
              </w:rPr>
              <w:t>10(b)(iv)</w:t>
            </w:r>
          </w:p>
        </w:tc>
        <w:tc>
          <w:tcPr>
            <w:tcW w:w="94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8"/>
              </w:rPr>
              <w:t>Third Amendment to TI Employees Non-Qualified Pension Plan (formerly named the TI Supplemental Pension Plan)</w:t>
            </w:r>
          </w:p>
        </w:tc>
      </w:tr>
      <w:tr>
        <w:trPr>
          <w:trHeight w:val="230"/>
        </w:trPr>
        <w:tc>
          <w:tcPr>
            <w:tcW w:w="1980" w:type="dxa"/>
            <w:vAlign w:val="bottom"/>
            <w:shd w:val="clear" w:color="auto" w:fill="CCEEFF"/>
          </w:tcPr>
          <w:p>
            <w:pPr>
              <w:spacing w:after="0"/>
              <w:rPr>
                <w:sz w:val="20"/>
                <w:szCs w:val="20"/>
                <w:color w:val="auto"/>
              </w:rPr>
            </w:pPr>
          </w:p>
        </w:tc>
        <w:tc>
          <w:tcPr>
            <w:tcW w:w="9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(incorporated by reference to Exhibit 10(b)(iv) to the Registrant’s Annual Report on Form 10-K for the year 2002).*</w:t>
            </w:r>
          </w:p>
        </w:tc>
      </w:tr>
      <w:tr>
        <w:trPr>
          <w:trHeight w:val="216"/>
        </w:trPr>
        <w:tc>
          <w:tcPr>
            <w:tcW w:w="1980" w:type="dxa"/>
            <w:vAlign w:val="bottom"/>
          </w:tcPr>
          <w:p>
            <w:pPr>
              <w:spacing w:after="0"/>
              <w:rPr>
                <w:sz w:val="18"/>
                <w:szCs w:val="18"/>
                <w:color w:val="auto"/>
              </w:rPr>
            </w:pPr>
          </w:p>
        </w:tc>
        <w:tc>
          <w:tcPr>
            <w:tcW w:w="9440" w:type="dxa"/>
            <w:vAlign w:val="bottom"/>
          </w:tcPr>
          <w:p>
            <w:pPr>
              <w:spacing w:after="0"/>
              <w:rPr>
                <w:sz w:val="18"/>
                <w:szCs w:val="18"/>
                <w:color w:val="auto"/>
              </w:rPr>
            </w:pPr>
          </w:p>
        </w:tc>
      </w:tr>
      <w:tr>
        <w:trPr>
          <w:trHeight w:val="202"/>
        </w:trPr>
        <w:tc>
          <w:tcPr>
            <w:tcW w:w="1980" w:type="dxa"/>
            <w:vAlign w:val="bottom"/>
            <w:shd w:val="clear" w:color="auto" w:fill="CCEEFF"/>
          </w:tcPr>
          <w:p>
            <w:pPr>
              <w:jc w:val="center"/>
              <w:ind w:left="210"/>
              <w:spacing w:after="0" w:line="201" w:lineRule="exact"/>
              <w:rPr>
                <w:sz w:val="20"/>
                <w:szCs w:val="20"/>
                <w:color w:val="auto"/>
              </w:rPr>
            </w:pPr>
            <w:r>
              <w:rPr>
                <w:rFonts w:ascii="Arial" w:cs="Arial" w:eastAsia="Arial" w:hAnsi="Arial"/>
                <w:sz w:val="18"/>
                <w:szCs w:val="18"/>
                <w:color w:val="auto"/>
                <w:w w:val="95"/>
              </w:rPr>
              <w:t>10(b)(v)</w:t>
            </w:r>
          </w:p>
        </w:tc>
        <w:tc>
          <w:tcPr>
            <w:tcW w:w="94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7"/>
              </w:rPr>
              <w:t>Fourth Amendment to TI Employees Non-Qualified Pension Plan (formerly named the TI Supplemental Pension Plan)</w:t>
            </w:r>
          </w:p>
        </w:tc>
      </w:tr>
      <w:tr>
        <w:trPr>
          <w:trHeight w:val="230"/>
        </w:trPr>
        <w:tc>
          <w:tcPr>
            <w:tcW w:w="1980" w:type="dxa"/>
            <w:vAlign w:val="bottom"/>
            <w:shd w:val="clear" w:color="auto" w:fill="CCEEFF"/>
          </w:tcPr>
          <w:p>
            <w:pPr>
              <w:spacing w:after="0"/>
              <w:rPr>
                <w:sz w:val="20"/>
                <w:szCs w:val="20"/>
                <w:color w:val="auto"/>
              </w:rPr>
            </w:pPr>
          </w:p>
        </w:tc>
        <w:tc>
          <w:tcPr>
            <w:tcW w:w="9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(incorporated by reference to Exhibit 10(b)(v) to the Registrant’s Annual Report on Form 10-K for the year 2003).*</w:t>
            </w:r>
          </w:p>
        </w:tc>
      </w:tr>
      <w:tr>
        <w:trPr>
          <w:trHeight w:val="216"/>
        </w:trPr>
        <w:tc>
          <w:tcPr>
            <w:tcW w:w="1980" w:type="dxa"/>
            <w:vAlign w:val="bottom"/>
          </w:tcPr>
          <w:p>
            <w:pPr>
              <w:spacing w:after="0"/>
              <w:rPr>
                <w:sz w:val="18"/>
                <w:szCs w:val="18"/>
                <w:color w:val="auto"/>
              </w:rPr>
            </w:pPr>
          </w:p>
        </w:tc>
        <w:tc>
          <w:tcPr>
            <w:tcW w:w="9440" w:type="dxa"/>
            <w:vAlign w:val="bottom"/>
          </w:tcPr>
          <w:p>
            <w:pPr>
              <w:spacing w:after="0"/>
              <w:rPr>
                <w:sz w:val="18"/>
                <w:szCs w:val="18"/>
                <w:color w:val="auto"/>
              </w:rPr>
            </w:pPr>
          </w:p>
        </w:tc>
      </w:tr>
      <w:tr>
        <w:trPr>
          <w:trHeight w:val="202"/>
        </w:trPr>
        <w:tc>
          <w:tcPr>
            <w:tcW w:w="1980" w:type="dxa"/>
            <w:vAlign w:val="bottom"/>
            <w:shd w:val="clear" w:color="auto" w:fill="CCEEFF"/>
          </w:tcPr>
          <w:p>
            <w:pPr>
              <w:jc w:val="center"/>
              <w:ind w:left="230"/>
              <w:spacing w:after="0" w:line="201" w:lineRule="exact"/>
              <w:rPr>
                <w:sz w:val="20"/>
                <w:szCs w:val="20"/>
                <w:color w:val="auto"/>
              </w:rPr>
            </w:pPr>
            <w:r>
              <w:rPr>
                <w:rFonts w:ascii="Arial" w:cs="Arial" w:eastAsia="Arial" w:hAnsi="Arial"/>
                <w:sz w:val="18"/>
                <w:szCs w:val="18"/>
                <w:color w:val="auto"/>
                <w:w w:val="98"/>
              </w:rPr>
              <w:t>10(b)(vi)</w:t>
            </w:r>
          </w:p>
        </w:tc>
        <w:tc>
          <w:tcPr>
            <w:tcW w:w="94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1"/>
              </w:rPr>
              <w:t>TI Employees Non-Qualified Pension Plan II (incorporated by reference to Exhibit 10(b) to the Registrant’s Current Report on</w:t>
            </w:r>
          </w:p>
        </w:tc>
      </w:tr>
      <w:tr>
        <w:trPr>
          <w:trHeight w:val="230"/>
        </w:trPr>
        <w:tc>
          <w:tcPr>
            <w:tcW w:w="1980" w:type="dxa"/>
            <w:vAlign w:val="bottom"/>
            <w:shd w:val="clear" w:color="auto" w:fill="CCEEFF"/>
          </w:tcPr>
          <w:p>
            <w:pPr>
              <w:spacing w:after="0"/>
              <w:rPr>
                <w:sz w:val="20"/>
                <w:szCs w:val="20"/>
                <w:color w:val="auto"/>
              </w:rPr>
            </w:pPr>
          </w:p>
        </w:tc>
        <w:tc>
          <w:tcPr>
            <w:tcW w:w="9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Form 8-K dated January 1, 2009).*</w:t>
            </w:r>
          </w:p>
        </w:tc>
      </w:tr>
      <w:tr>
        <w:trPr>
          <w:trHeight w:val="216"/>
        </w:trPr>
        <w:tc>
          <w:tcPr>
            <w:tcW w:w="1980" w:type="dxa"/>
            <w:vAlign w:val="bottom"/>
          </w:tcPr>
          <w:p>
            <w:pPr>
              <w:spacing w:after="0"/>
              <w:rPr>
                <w:sz w:val="18"/>
                <w:szCs w:val="18"/>
                <w:color w:val="auto"/>
              </w:rPr>
            </w:pPr>
          </w:p>
        </w:tc>
        <w:tc>
          <w:tcPr>
            <w:tcW w:w="9440" w:type="dxa"/>
            <w:vAlign w:val="bottom"/>
          </w:tcPr>
          <w:p>
            <w:pPr>
              <w:spacing w:after="0"/>
              <w:rPr>
                <w:sz w:val="18"/>
                <w:szCs w:val="18"/>
                <w:color w:val="auto"/>
              </w:rPr>
            </w:pPr>
          </w:p>
        </w:tc>
      </w:tr>
      <w:tr>
        <w:trPr>
          <w:trHeight w:val="202"/>
        </w:trPr>
        <w:tc>
          <w:tcPr>
            <w:tcW w:w="1980" w:type="dxa"/>
            <w:vAlign w:val="bottom"/>
            <w:shd w:val="clear" w:color="auto" w:fill="CCEEFF"/>
          </w:tcPr>
          <w:p>
            <w:pPr>
              <w:jc w:val="center"/>
              <w:ind w:left="230"/>
              <w:spacing w:after="0" w:line="201" w:lineRule="exact"/>
              <w:rPr>
                <w:sz w:val="20"/>
                <w:szCs w:val="20"/>
                <w:color w:val="auto"/>
              </w:rPr>
            </w:pPr>
            <w:r>
              <w:rPr>
                <w:rFonts w:ascii="Arial" w:cs="Arial" w:eastAsia="Arial" w:hAnsi="Arial"/>
                <w:sz w:val="18"/>
                <w:szCs w:val="18"/>
                <w:color w:val="auto"/>
                <w:w w:val="92"/>
              </w:rPr>
              <w:t>10(c)</w:t>
            </w:r>
          </w:p>
        </w:tc>
        <w:tc>
          <w:tcPr>
            <w:tcW w:w="94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1"/>
              </w:rPr>
              <w:t>Texas Instruments Long-Term Incentive Plan (incorporated by reference to Exhibit 10(a)(ii) to the Registrant’s Annual Report</w:t>
            </w:r>
          </w:p>
        </w:tc>
      </w:tr>
      <w:tr>
        <w:trPr>
          <w:trHeight w:val="230"/>
        </w:trPr>
        <w:tc>
          <w:tcPr>
            <w:tcW w:w="1980" w:type="dxa"/>
            <w:vAlign w:val="bottom"/>
            <w:shd w:val="clear" w:color="auto" w:fill="CCEEFF"/>
          </w:tcPr>
          <w:p>
            <w:pPr>
              <w:spacing w:after="0"/>
              <w:rPr>
                <w:sz w:val="20"/>
                <w:szCs w:val="20"/>
                <w:color w:val="auto"/>
              </w:rPr>
            </w:pPr>
          </w:p>
        </w:tc>
        <w:tc>
          <w:tcPr>
            <w:tcW w:w="9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on Form 10-K for the year 1993).*</w:t>
            </w:r>
          </w:p>
        </w:tc>
      </w:tr>
      <w:tr>
        <w:trPr>
          <w:trHeight w:val="216"/>
        </w:trPr>
        <w:tc>
          <w:tcPr>
            <w:tcW w:w="1980" w:type="dxa"/>
            <w:vAlign w:val="bottom"/>
          </w:tcPr>
          <w:p>
            <w:pPr>
              <w:spacing w:after="0"/>
              <w:rPr>
                <w:sz w:val="18"/>
                <w:szCs w:val="18"/>
                <w:color w:val="auto"/>
              </w:rPr>
            </w:pPr>
          </w:p>
        </w:tc>
        <w:tc>
          <w:tcPr>
            <w:tcW w:w="9440" w:type="dxa"/>
            <w:vAlign w:val="bottom"/>
          </w:tcPr>
          <w:p>
            <w:pPr>
              <w:spacing w:after="0"/>
              <w:rPr>
                <w:sz w:val="18"/>
                <w:szCs w:val="18"/>
                <w:color w:val="auto"/>
              </w:rPr>
            </w:pPr>
          </w:p>
        </w:tc>
      </w:tr>
      <w:tr>
        <w:trPr>
          <w:trHeight w:val="202"/>
        </w:trPr>
        <w:tc>
          <w:tcPr>
            <w:tcW w:w="1980" w:type="dxa"/>
            <w:vAlign w:val="bottom"/>
            <w:shd w:val="clear" w:color="auto" w:fill="CCEEFF"/>
          </w:tcPr>
          <w:p>
            <w:pPr>
              <w:jc w:val="center"/>
              <w:ind w:left="230"/>
              <w:spacing w:after="0" w:line="201" w:lineRule="exact"/>
              <w:rPr>
                <w:sz w:val="20"/>
                <w:szCs w:val="20"/>
                <w:color w:val="auto"/>
              </w:rPr>
            </w:pPr>
            <w:r>
              <w:rPr>
                <w:rFonts w:ascii="Arial" w:cs="Arial" w:eastAsia="Arial" w:hAnsi="Arial"/>
                <w:sz w:val="18"/>
                <w:szCs w:val="18"/>
                <w:color w:val="auto"/>
                <w:w w:val="90"/>
              </w:rPr>
              <w:t>10(d)</w:t>
            </w:r>
          </w:p>
        </w:tc>
        <w:tc>
          <w:tcPr>
            <w:tcW w:w="94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5"/>
              </w:rPr>
              <w:t>Texas Instruments 1996 Long-Term Incentive Plan (incorporated by reference to Exhibit 10 to the Registrant’s Quarterly</w:t>
            </w:r>
          </w:p>
        </w:tc>
      </w:tr>
      <w:tr>
        <w:trPr>
          <w:trHeight w:val="230"/>
        </w:trPr>
        <w:tc>
          <w:tcPr>
            <w:tcW w:w="1980" w:type="dxa"/>
            <w:vAlign w:val="bottom"/>
            <w:shd w:val="clear" w:color="auto" w:fill="CCEEFF"/>
          </w:tcPr>
          <w:p>
            <w:pPr>
              <w:spacing w:after="0"/>
              <w:rPr>
                <w:sz w:val="20"/>
                <w:szCs w:val="20"/>
                <w:color w:val="auto"/>
              </w:rPr>
            </w:pPr>
          </w:p>
        </w:tc>
        <w:tc>
          <w:tcPr>
            <w:tcW w:w="9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Report on Form 10-Q for the quarter ended June 30, 1996).*</w:t>
            </w:r>
          </w:p>
        </w:tc>
      </w:tr>
      <w:tr>
        <w:trPr>
          <w:trHeight w:val="216"/>
        </w:trPr>
        <w:tc>
          <w:tcPr>
            <w:tcW w:w="1980" w:type="dxa"/>
            <w:vAlign w:val="bottom"/>
          </w:tcPr>
          <w:p>
            <w:pPr>
              <w:spacing w:after="0"/>
              <w:rPr>
                <w:sz w:val="18"/>
                <w:szCs w:val="18"/>
                <w:color w:val="auto"/>
              </w:rPr>
            </w:pPr>
          </w:p>
        </w:tc>
        <w:tc>
          <w:tcPr>
            <w:tcW w:w="9440" w:type="dxa"/>
            <w:vAlign w:val="bottom"/>
          </w:tcPr>
          <w:p>
            <w:pPr>
              <w:spacing w:after="0"/>
              <w:rPr>
                <w:sz w:val="18"/>
                <w:szCs w:val="18"/>
                <w:color w:val="auto"/>
              </w:rPr>
            </w:pPr>
          </w:p>
        </w:tc>
      </w:tr>
      <w:tr>
        <w:trPr>
          <w:trHeight w:val="202"/>
        </w:trPr>
        <w:tc>
          <w:tcPr>
            <w:tcW w:w="1980" w:type="dxa"/>
            <w:vAlign w:val="bottom"/>
            <w:shd w:val="clear" w:color="auto" w:fill="CCEEFF"/>
          </w:tcPr>
          <w:p>
            <w:pPr>
              <w:jc w:val="center"/>
              <w:ind w:left="230"/>
              <w:spacing w:after="0" w:line="201" w:lineRule="exact"/>
              <w:rPr>
                <w:sz w:val="20"/>
                <w:szCs w:val="20"/>
                <w:color w:val="auto"/>
              </w:rPr>
            </w:pPr>
            <w:r>
              <w:rPr>
                <w:rFonts w:ascii="Arial" w:cs="Arial" w:eastAsia="Arial" w:hAnsi="Arial"/>
                <w:sz w:val="18"/>
                <w:szCs w:val="18"/>
                <w:color w:val="auto"/>
                <w:w w:val="90"/>
              </w:rPr>
              <w:t>10(e)</w:t>
            </w:r>
          </w:p>
        </w:tc>
        <w:tc>
          <w:tcPr>
            <w:tcW w:w="94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1"/>
              </w:rPr>
              <w:t>Texas Instruments 2000 Long-Term Incentive Plan as amended October 16, 2008 (incorporated by reference to Exhibit 10(e)</w:t>
            </w:r>
          </w:p>
        </w:tc>
      </w:tr>
      <w:tr>
        <w:trPr>
          <w:trHeight w:val="230"/>
        </w:trPr>
        <w:tc>
          <w:tcPr>
            <w:tcW w:w="1980" w:type="dxa"/>
            <w:vAlign w:val="bottom"/>
            <w:shd w:val="clear" w:color="auto" w:fill="CCEEFF"/>
          </w:tcPr>
          <w:p>
            <w:pPr>
              <w:spacing w:after="0"/>
              <w:rPr>
                <w:sz w:val="20"/>
                <w:szCs w:val="20"/>
                <w:color w:val="auto"/>
              </w:rPr>
            </w:pPr>
          </w:p>
        </w:tc>
        <w:tc>
          <w:tcPr>
            <w:tcW w:w="9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 the Registrant’s Annual Report on Form 10-K for the year ended December 31, 2009).*</w:t>
            </w:r>
          </w:p>
        </w:tc>
      </w:tr>
      <w:tr>
        <w:trPr>
          <w:trHeight w:val="216"/>
        </w:trPr>
        <w:tc>
          <w:tcPr>
            <w:tcW w:w="1980" w:type="dxa"/>
            <w:vAlign w:val="bottom"/>
          </w:tcPr>
          <w:p>
            <w:pPr>
              <w:spacing w:after="0"/>
              <w:rPr>
                <w:sz w:val="18"/>
                <w:szCs w:val="18"/>
                <w:color w:val="auto"/>
              </w:rPr>
            </w:pPr>
          </w:p>
        </w:tc>
        <w:tc>
          <w:tcPr>
            <w:tcW w:w="9440" w:type="dxa"/>
            <w:vAlign w:val="bottom"/>
          </w:tcPr>
          <w:p>
            <w:pPr>
              <w:spacing w:after="0"/>
              <w:rPr>
                <w:sz w:val="18"/>
                <w:szCs w:val="18"/>
                <w:color w:val="auto"/>
              </w:rPr>
            </w:pPr>
          </w:p>
        </w:tc>
      </w:tr>
      <w:tr>
        <w:trPr>
          <w:trHeight w:val="202"/>
        </w:trPr>
        <w:tc>
          <w:tcPr>
            <w:tcW w:w="1980" w:type="dxa"/>
            <w:vAlign w:val="bottom"/>
            <w:shd w:val="clear" w:color="auto" w:fill="CCEEFF"/>
          </w:tcPr>
          <w:p>
            <w:pPr>
              <w:jc w:val="center"/>
              <w:ind w:left="210"/>
              <w:spacing w:after="0" w:line="201" w:lineRule="exact"/>
              <w:rPr>
                <w:sz w:val="20"/>
                <w:szCs w:val="20"/>
                <w:color w:val="auto"/>
              </w:rPr>
            </w:pPr>
            <w:r>
              <w:rPr>
                <w:rFonts w:ascii="Arial" w:cs="Arial" w:eastAsia="Arial" w:hAnsi="Arial"/>
                <w:sz w:val="18"/>
                <w:szCs w:val="18"/>
                <w:color w:val="auto"/>
                <w:w w:val="97"/>
              </w:rPr>
              <w:t>10(f)</w:t>
            </w:r>
          </w:p>
        </w:tc>
        <w:tc>
          <w:tcPr>
            <w:tcW w:w="94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1"/>
              </w:rPr>
              <w:t>Texas Instruments 2003 Long-Term Incentive Plan as amended October 16, 2008 (incorporated by reference to Exhibit 10(f)</w:t>
            </w:r>
          </w:p>
        </w:tc>
      </w:tr>
      <w:tr>
        <w:trPr>
          <w:trHeight w:val="230"/>
        </w:trPr>
        <w:tc>
          <w:tcPr>
            <w:tcW w:w="1980" w:type="dxa"/>
            <w:vAlign w:val="bottom"/>
            <w:shd w:val="clear" w:color="auto" w:fill="CCEEFF"/>
          </w:tcPr>
          <w:p>
            <w:pPr>
              <w:spacing w:after="0"/>
              <w:rPr>
                <w:sz w:val="20"/>
                <w:szCs w:val="20"/>
                <w:color w:val="auto"/>
              </w:rPr>
            </w:pPr>
          </w:p>
        </w:tc>
        <w:tc>
          <w:tcPr>
            <w:tcW w:w="9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 the Registrant’s Annual Report on Form 10-K for the year ended December 31, 2009).</w:t>
            </w:r>
          </w:p>
        </w:tc>
      </w:tr>
      <w:tr>
        <w:trPr>
          <w:trHeight w:val="216"/>
        </w:trPr>
        <w:tc>
          <w:tcPr>
            <w:tcW w:w="1980" w:type="dxa"/>
            <w:vAlign w:val="bottom"/>
          </w:tcPr>
          <w:p>
            <w:pPr>
              <w:spacing w:after="0"/>
              <w:rPr>
                <w:sz w:val="18"/>
                <w:szCs w:val="18"/>
                <w:color w:val="auto"/>
              </w:rPr>
            </w:pPr>
          </w:p>
        </w:tc>
        <w:tc>
          <w:tcPr>
            <w:tcW w:w="9440" w:type="dxa"/>
            <w:vAlign w:val="bottom"/>
          </w:tcPr>
          <w:p>
            <w:pPr>
              <w:spacing w:after="0"/>
              <w:rPr>
                <w:sz w:val="18"/>
                <w:szCs w:val="18"/>
                <w:color w:val="auto"/>
              </w:rPr>
            </w:pPr>
          </w:p>
        </w:tc>
      </w:tr>
      <w:tr>
        <w:trPr>
          <w:trHeight w:val="202"/>
        </w:trPr>
        <w:tc>
          <w:tcPr>
            <w:tcW w:w="1980" w:type="dxa"/>
            <w:vAlign w:val="bottom"/>
            <w:shd w:val="clear" w:color="auto" w:fill="CCEEFF"/>
          </w:tcPr>
          <w:p>
            <w:pPr>
              <w:jc w:val="center"/>
              <w:ind w:left="230"/>
              <w:spacing w:after="0" w:line="201" w:lineRule="exact"/>
              <w:rPr>
                <w:sz w:val="20"/>
                <w:szCs w:val="20"/>
                <w:color w:val="auto"/>
              </w:rPr>
            </w:pPr>
            <w:r>
              <w:rPr>
                <w:rFonts w:ascii="Arial" w:cs="Arial" w:eastAsia="Arial" w:hAnsi="Arial"/>
                <w:sz w:val="18"/>
                <w:szCs w:val="18"/>
                <w:color w:val="auto"/>
                <w:w w:val="90"/>
              </w:rPr>
              <w:t>10(g)</w:t>
            </w:r>
          </w:p>
        </w:tc>
        <w:tc>
          <w:tcPr>
            <w:tcW w:w="94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0"/>
              </w:rPr>
              <w:t>Texas Instruments Executive Officer Performance Plan as amended September 17, 2009 (incorporated by reference to Exhibit</w:t>
            </w:r>
          </w:p>
        </w:tc>
      </w:tr>
      <w:tr>
        <w:trPr>
          <w:trHeight w:val="230"/>
        </w:trPr>
        <w:tc>
          <w:tcPr>
            <w:tcW w:w="1980" w:type="dxa"/>
            <w:vAlign w:val="bottom"/>
            <w:shd w:val="clear" w:color="auto" w:fill="CCEEFF"/>
          </w:tcPr>
          <w:p>
            <w:pPr>
              <w:spacing w:after="0"/>
              <w:rPr>
                <w:sz w:val="20"/>
                <w:szCs w:val="20"/>
                <w:color w:val="auto"/>
              </w:rPr>
            </w:pPr>
          </w:p>
        </w:tc>
        <w:tc>
          <w:tcPr>
            <w:tcW w:w="9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10.2 to the Registrant’s Quarterly Report on Form 10-Q for the quarter ended September 30, 2009).*</w:t>
            </w:r>
          </w:p>
        </w:tc>
      </w:tr>
      <w:tr>
        <w:trPr>
          <w:trHeight w:val="216"/>
        </w:trPr>
        <w:tc>
          <w:tcPr>
            <w:tcW w:w="1980" w:type="dxa"/>
            <w:vAlign w:val="bottom"/>
          </w:tcPr>
          <w:p>
            <w:pPr>
              <w:spacing w:after="0"/>
              <w:rPr>
                <w:sz w:val="18"/>
                <w:szCs w:val="18"/>
                <w:color w:val="auto"/>
              </w:rPr>
            </w:pPr>
          </w:p>
        </w:tc>
        <w:tc>
          <w:tcPr>
            <w:tcW w:w="9440" w:type="dxa"/>
            <w:vAlign w:val="bottom"/>
          </w:tcPr>
          <w:p>
            <w:pPr>
              <w:spacing w:after="0"/>
              <w:rPr>
                <w:sz w:val="18"/>
                <w:szCs w:val="18"/>
                <w:color w:val="auto"/>
              </w:rPr>
            </w:pPr>
          </w:p>
        </w:tc>
      </w:tr>
      <w:tr>
        <w:trPr>
          <w:trHeight w:val="202"/>
        </w:trPr>
        <w:tc>
          <w:tcPr>
            <w:tcW w:w="1980" w:type="dxa"/>
            <w:vAlign w:val="bottom"/>
            <w:shd w:val="clear" w:color="auto" w:fill="CCEEFF"/>
          </w:tcPr>
          <w:p>
            <w:pPr>
              <w:jc w:val="center"/>
              <w:ind w:left="230"/>
              <w:spacing w:after="0" w:line="201" w:lineRule="exact"/>
              <w:rPr>
                <w:sz w:val="20"/>
                <w:szCs w:val="20"/>
                <w:color w:val="auto"/>
              </w:rPr>
            </w:pPr>
            <w:r>
              <w:rPr>
                <w:rFonts w:ascii="Arial" w:cs="Arial" w:eastAsia="Arial" w:hAnsi="Arial"/>
                <w:sz w:val="18"/>
                <w:szCs w:val="18"/>
                <w:color w:val="auto"/>
                <w:w w:val="90"/>
              </w:rPr>
              <w:t>10(h)</w:t>
            </w:r>
          </w:p>
        </w:tc>
        <w:tc>
          <w:tcPr>
            <w:tcW w:w="94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5"/>
              </w:rPr>
              <w:t>Texas Instruments Restricted Stock Unit Plan for Directors (incorporated by reference to Exhibit 10(e) to the Registrant’s</w:t>
            </w:r>
          </w:p>
        </w:tc>
      </w:tr>
      <w:tr>
        <w:trPr>
          <w:trHeight w:val="230"/>
        </w:trPr>
        <w:tc>
          <w:tcPr>
            <w:tcW w:w="1980" w:type="dxa"/>
            <w:vAlign w:val="bottom"/>
            <w:shd w:val="clear" w:color="auto" w:fill="CCEEFF"/>
          </w:tcPr>
          <w:p>
            <w:pPr>
              <w:spacing w:after="0"/>
              <w:rPr>
                <w:sz w:val="20"/>
                <w:szCs w:val="20"/>
                <w:color w:val="auto"/>
              </w:rPr>
            </w:pPr>
          </w:p>
        </w:tc>
        <w:tc>
          <w:tcPr>
            <w:tcW w:w="9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Quarterly Report on Form 10-Q for the quarter ended March 31, 1998).</w:t>
            </w:r>
          </w:p>
        </w:tc>
      </w:tr>
      <w:tr>
        <w:trPr>
          <w:trHeight w:val="216"/>
        </w:trPr>
        <w:tc>
          <w:tcPr>
            <w:tcW w:w="1980" w:type="dxa"/>
            <w:vAlign w:val="bottom"/>
          </w:tcPr>
          <w:p>
            <w:pPr>
              <w:spacing w:after="0"/>
              <w:rPr>
                <w:sz w:val="18"/>
                <w:szCs w:val="18"/>
                <w:color w:val="auto"/>
              </w:rPr>
            </w:pPr>
          </w:p>
        </w:tc>
        <w:tc>
          <w:tcPr>
            <w:tcW w:w="9440" w:type="dxa"/>
            <w:vAlign w:val="bottom"/>
          </w:tcPr>
          <w:p>
            <w:pPr>
              <w:spacing w:after="0"/>
              <w:rPr>
                <w:sz w:val="18"/>
                <w:szCs w:val="18"/>
                <w:color w:val="auto"/>
              </w:rPr>
            </w:pPr>
          </w:p>
        </w:tc>
      </w:tr>
      <w:tr>
        <w:trPr>
          <w:trHeight w:val="202"/>
        </w:trPr>
        <w:tc>
          <w:tcPr>
            <w:tcW w:w="1980" w:type="dxa"/>
            <w:vAlign w:val="bottom"/>
            <w:shd w:val="clear" w:color="auto" w:fill="CCEEFF"/>
          </w:tcPr>
          <w:p>
            <w:pPr>
              <w:jc w:val="center"/>
              <w:ind w:left="230"/>
              <w:spacing w:after="0" w:line="201" w:lineRule="exact"/>
              <w:rPr>
                <w:sz w:val="20"/>
                <w:szCs w:val="20"/>
                <w:color w:val="auto"/>
              </w:rPr>
            </w:pPr>
            <w:r>
              <w:rPr>
                <w:rFonts w:ascii="Arial" w:cs="Arial" w:eastAsia="Arial" w:hAnsi="Arial"/>
                <w:sz w:val="18"/>
                <w:szCs w:val="18"/>
                <w:color w:val="auto"/>
                <w:w w:val="94"/>
              </w:rPr>
              <w:t>10(i)</w:t>
            </w:r>
          </w:p>
        </w:tc>
        <w:tc>
          <w:tcPr>
            <w:tcW w:w="94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5"/>
              </w:rPr>
              <w:t>Texas Instruments Directors Deferred Compensation Plan (incorporated by reference to Exhibit 10(f) to the Registrant’s</w:t>
            </w:r>
          </w:p>
        </w:tc>
      </w:tr>
      <w:tr>
        <w:trPr>
          <w:trHeight w:val="230"/>
        </w:trPr>
        <w:tc>
          <w:tcPr>
            <w:tcW w:w="1980" w:type="dxa"/>
            <w:vAlign w:val="bottom"/>
            <w:shd w:val="clear" w:color="auto" w:fill="CCEEFF"/>
          </w:tcPr>
          <w:p>
            <w:pPr>
              <w:spacing w:after="0"/>
              <w:rPr>
                <w:sz w:val="20"/>
                <w:szCs w:val="20"/>
                <w:color w:val="auto"/>
              </w:rPr>
            </w:pPr>
          </w:p>
        </w:tc>
        <w:tc>
          <w:tcPr>
            <w:tcW w:w="9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Quarterly Report on Form 10-Q for the quarter ended March 31, 1998).</w:t>
            </w:r>
          </w:p>
        </w:tc>
      </w:tr>
      <w:tr>
        <w:trPr>
          <w:trHeight w:val="216"/>
        </w:trPr>
        <w:tc>
          <w:tcPr>
            <w:tcW w:w="1980" w:type="dxa"/>
            <w:vAlign w:val="bottom"/>
          </w:tcPr>
          <w:p>
            <w:pPr>
              <w:spacing w:after="0"/>
              <w:rPr>
                <w:sz w:val="18"/>
                <w:szCs w:val="18"/>
                <w:color w:val="auto"/>
              </w:rPr>
            </w:pPr>
          </w:p>
        </w:tc>
        <w:tc>
          <w:tcPr>
            <w:tcW w:w="9440" w:type="dxa"/>
            <w:vAlign w:val="bottom"/>
          </w:tcPr>
          <w:p>
            <w:pPr>
              <w:spacing w:after="0"/>
              <w:rPr>
                <w:sz w:val="18"/>
                <w:szCs w:val="18"/>
                <w:color w:val="auto"/>
              </w:rPr>
            </w:pPr>
          </w:p>
        </w:tc>
      </w:tr>
      <w:tr>
        <w:trPr>
          <w:trHeight w:val="202"/>
        </w:trPr>
        <w:tc>
          <w:tcPr>
            <w:tcW w:w="1980" w:type="dxa"/>
            <w:vAlign w:val="bottom"/>
            <w:shd w:val="clear" w:color="auto" w:fill="CCEEFF"/>
          </w:tcPr>
          <w:p>
            <w:pPr>
              <w:jc w:val="center"/>
              <w:ind w:left="230"/>
              <w:spacing w:after="0" w:line="201" w:lineRule="exact"/>
              <w:rPr>
                <w:sz w:val="20"/>
                <w:szCs w:val="20"/>
                <w:color w:val="auto"/>
              </w:rPr>
            </w:pPr>
            <w:r>
              <w:rPr>
                <w:rFonts w:ascii="Arial" w:cs="Arial" w:eastAsia="Arial" w:hAnsi="Arial"/>
                <w:sz w:val="18"/>
                <w:szCs w:val="18"/>
                <w:color w:val="auto"/>
                <w:w w:val="94"/>
              </w:rPr>
              <w:t>10(j)</w:t>
            </w:r>
          </w:p>
        </w:tc>
        <w:tc>
          <w:tcPr>
            <w:tcW w:w="94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9"/>
              </w:rPr>
              <w:t>Texas Instruments Stock Option Plan for Non-Employee Directors (incorporated by reference to Exhibit 10(i) to the</w:t>
            </w:r>
          </w:p>
        </w:tc>
      </w:tr>
      <w:tr>
        <w:trPr>
          <w:trHeight w:val="230"/>
        </w:trPr>
        <w:tc>
          <w:tcPr>
            <w:tcW w:w="1980" w:type="dxa"/>
            <w:vAlign w:val="bottom"/>
            <w:shd w:val="clear" w:color="auto" w:fill="CCEEFF"/>
          </w:tcPr>
          <w:p>
            <w:pPr>
              <w:spacing w:after="0"/>
              <w:rPr>
                <w:sz w:val="20"/>
                <w:szCs w:val="20"/>
                <w:color w:val="auto"/>
              </w:rPr>
            </w:pPr>
          </w:p>
        </w:tc>
        <w:tc>
          <w:tcPr>
            <w:tcW w:w="9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Registrant’s Annual Report on Form 10-K for the year 2000).</w:t>
            </w:r>
          </w:p>
        </w:tc>
      </w:tr>
      <w:tr>
        <w:trPr>
          <w:trHeight w:val="216"/>
        </w:trPr>
        <w:tc>
          <w:tcPr>
            <w:tcW w:w="1980" w:type="dxa"/>
            <w:vAlign w:val="bottom"/>
          </w:tcPr>
          <w:p>
            <w:pPr>
              <w:spacing w:after="0"/>
              <w:rPr>
                <w:sz w:val="18"/>
                <w:szCs w:val="18"/>
                <w:color w:val="auto"/>
              </w:rPr>
            </w:pPr>
          </w:p>
        </w:tc>
        <w:tc>
          <w:tcPr>
            <w:tcW w:w="9440" w:type="dxa"/>
            <w:vAlign w:val="bottom"/>
          </w:tcPr>
          <w:p>
            <w:pPr>
              <w:spacing w:after="0"/>
              <w:rPr>
                <w:sz w:val="18"/>
                <w:szCs w:val="18"/>
                <w:color w:val="auto"/>
              </w:rPr>
            </w:pPr>
          </w:p>
        </w:tc>
      </w:tr>
      <w:tr>
        <w:trPr>
          <w:trHeight w:val="202"/>
        </w:trPr>
        <w:tc>
          <w:tcPr>
            <w:tcW w:w="1980" w:type="dxa"/>
            <w:vAlign w:val="bottom"/>
            <w:shd w:val="clear" w:color="auto" w:fill="CCEEFF"/>
          </w:tcPr>
          <w:p>
            <w:pPr>
              <w:jc w:val="center"/>
              <w:ind w:left="230"/>
              <w:spacing w:after="0" w:line="201" w:lineRule="exact"/>
              <w:rPr>
                <w:sz w:val="20"/>
                <w:szCs w:val="20"/>
                <w:color w:val="auto"/>
              </w:rPr>
            </w:pPr>
            <w:r>
              <w:rPr>
                <w:rFonts w:ascii="Arial" w:cs="Arial" w:eastAsia="Arial" w:hAnsi="Arial"/>
                <w:sz w:val="18"/>
                <w:szCs w:val="18"/>
                <w:color w:val="auto"/>
                <w:w w:val="92"/>
              </w:rPr>
              <w:t>10(k)</w:t>
            </w:r>
          </w:p>
        </w:tc>
        <w:tc>
          <w:tcPr>
            <w:tcW w:w="94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4"/>
              </w:rPr>
              <w:t>Texas Instruments 2003 Director Compensation Plan as amended October 16, 2008 (incorporated by reference to Exhibit</w:t>
            </w:r>
          </w:p>
        </w:tc>
      </w:tr>
      <w:tr>
        <w:trPr>
          <w:trHeight w:val="230"/>
        </w:trPr>
        <w:tc>
          <w:tcPr>
            <w:tcW w:w="1980" w:type="dxa"/>
            <w:vAlign w:val="bottom"/>
            <w:shd w:val="clear" w:color="auto" w:fill="CCEEFF"/>
          </w:tcPr>
          <w:p>
            <w:pPr>
              <w:spacing w:after="0"/>
              <w:rPr>
                <w:sz w:val="20"/>
                <w:szCs w:val="20"/>
                <w:color w:val="auto"/>
              </w:rPr>
            </w:pPr>
          </w:p>
        </w:tc>
        <w:tc>
          <w:tcPr>
            <w:tcW w:w="9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10(k) to the Registrant’s Annual Report on Form 10-K for the year ended December 31, 2009).</w:t>
            </w:r>
          </w:p>
        </w:tc>
      </w:tr>
      <w:tr>
        <w:trPr>
          <w:trHeight w:val="555"/>
        </w:trPr>
        <w:tc>
          <w:tcPr>
            <w:tcW w:w="1980" w:type="dxa"/>
            <w:vAlign w:val="bottom"/>
          </w:tcPr>
          <w:p>
            <w:pPr>
              <w:spacing w:after="0"/>
              <w:rPr>
                <w:sz w:val="24"/>
                <w:szCs w:val="24"/>
                <w:color w:val="auto"/>
              </w:rPr>
            </w:pPr>
          </w:p>
        </w:tc>
        <w:tc>
          <w:tcPr>
            <w:tcW w:w="9440" w:type="dxa"/>
            <w:vAlign w:val="bottom"/>
          </w:tcPr>
          <w:p>
            <w:pPr>
              <w:ind w:left="3660"/>
              <w:spacing w:after="0"/>
              <w:rPr>
                <w:sz w:val="20"/>
                <w:szCs w:val="20"/>
                <w:color w:val="auto"/>
              </w:rPr>
            </w:pPr>
            <w:r>
              <w:rPr>
                <w:rFonts w:ascii="Arial" w:cs="Arial" w:eastAsia="Arial" w:hAnsi="Arial"/>
                <w:sz w:val="14"/>
                <w:szCs w:val="14"/>
                <w:color w:val="auto"/>
              </w:rPr>
              <w:t>19</w:t>
            </w:r>
          </w:p>
        </w:tc>
      </w:tr>
      <w:tr>
        <w:trPr>
          <w:trHeight w:val="103"/>
        </w:trPr>
        <w:tc>
          <w:tcPr>
            <w:tcW w:w="1980" w:type="dxa"/>
            <w:vAlign w:val="bottom"/>
            <w:tcBorders>
              <w:bottom w:val="single" w:sz="8" w:color="808080"/>
            </w:tcBorders>
          </w:tcPr>
          <w:p>
            <w:pPr>
              <w:spacing w:after="0"/>
              <w:rPr>
                <w:sz w:val="8"/>
                <w:szCs w:val="8"/>
                <w:color w:val="auto"/>
              </w:rPr>
            </w:pPr>
          </w:p>
        </w:tc>
        <w:tc>
          <w:tcPr>
            <w:tcW w:w="94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1980" w:type="dxa"/>
            <w:vAlign w:val="bottom"/>
            <w:gridSpan w:val="7"/>
          </w:tcPr>
          <w:p>
            <w:pPr>
              <w:jc w:val="center"/>
              <w:ind w:left="230"/>
              <w:spacing w:after="0"/>
              <w:rPr>
                <w:sz w:val="20"/>
                <w:szCs w:val="20"/>
                <w:color w:val="auto"/>
              </w:rPr>
            </w:pPr>
            <w:r>
              <w:rPr>
                <w:rFonts w:ascii="Arial" w:cs="Arial" w:eastAsia="Arial" w:hAnsi="Arial"/>
                <w:sz w:val="18"/>
                <w:szCs w:val="18"/>
                <w:color w:val="auto"/>
                <w:w w:val="92"/>
              </w:rPr>
              <w:t>Designation of</w:t>
            </w:r>
          </w:p>
        </w:tc>
        <w:tc>
          <w:tcPr>
            <w:tcW w:w="9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gridSpan w:val="7"/>
          </w:tcPr>
          <w:p>
            <w:pPr>
              <w:jc w:val="center"/>
              <w:ind w:left="230"/>
              <w:spacing w:after="0"/>
              <w:rPr>
                <w:sz w:val="20"/>
                <w:szCs w:val="20"/>
                <w:color w:val="auto"/>
              </w:rPr>
            </w:pPr>
            <w:r>
              <w:rPr>
                <w:rFonts w:ascii="Arial" w:cs="Arial" w:eastAsia="Arial" w:hAnsi="Arial"/>
                <w:sz w:val="18"/>
                <w:szCs w:val="18"/>
                <w:color w:val="auto"/>
                <w:w w:val="95"/>
              </w:rPr>
              <w:t>Exhibit in</w:t>
            </w:r>
          </w:p>
        </w:tc>
        <w:tc>
          <w:tcPr>
            <w:tcW w:w="9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80" w:type="dxa"/>
            <w:vAlign w:val="bottom"/>
            <w:gridSpan w:val="7"/>
          </w:tcPr>
          <w:p>
            <w:pPr>
              <w:jc w:val="center"/>
              <w:ind w:left="230"/>
              <w:spacing w:after="0"/>
              <w:rPr>
                <w:sz w:val="20"/>
                <w:szCs w:val="20"/>
                <w:color w:val="auto"/>
              </w:rPr>
            </w:pPr>
            <w:r>
              <w:rPr>
                <w:rFonts w:ascii="Arial" w:cs="Arial" w:eastAsia="Arial" w:hAnsi="Arial"/>
                <w:sz w:val="18"/>
                <w:szCs w:val="18"/>
                <w:color w:val="auto"/>
                <w:w w:val="89"/>
              </w:rPr>
              <w:t>this Report</w:t>
            </w:r>
          </w:p>
        </w:tc>
        <w:tc>
          <w:tcPr>
            <w:tcW w:w="9460" w:type="dxa"/>
            <w:vAlign w:val="bottom"/>
            <w:gridSpan w:val="2"/>
          </w:tcPr>
          <w:p>
            <w:pPr>
              <w:ind w:left="320"/>
              <w:spacing w:after="0"/>
              <w:rPr>
                <w:sz w:val="20"/>
                <w:szCs w:val="20"/>
                <w:color w:val="auto"/>
              </w:rPr>
            </w:pPr>
            <w:r>
              <w:rPr>
                <w:rFonts w:ascii="Arial" w:cs="Arial" w:eastAsia="Arial" w:hAnsi="Arial"/>
                <w:sz w:val="18"/>
                <w:szCs w:val="18"/>
                <w:color w:val="auto"/>
              </w:rPr>
              <w:t>Description of Exhibit</w:t>
            </w:r>
          </w:p>
        </w:tc>
        <w:tc>
          <w:tcPr>
            <w:tcW w:w="0" w:type="dxa"/>
            <w:vAlign w:val="bottom"/>
          </w:tcPr>
          <w:p>
            <w:pPr>
              <w:spacing w:after="0"/>
              <w:rPr>
                <w:sz w:val="1"/>
                <w:szCs w:val="1"/>
                <w:color w:val="auto"/>
              </w:rPr>
            </w:pPr>
          </w:p>
        </w:tc>
      </w:tr>
      <w:tr>
        <w:trPr>
          <w:trHeight w:val="216"/>
        </w:trPr>
        <w:tc>
          <w:tcPr>
            <w:tcW w:w="9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4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gridSpan w:val="5"/>
            <w:shd w:val="clear" w:color="auto" w:fill="CCEEFF"/>
          </w:tcPr>
          <w:p>
            <w:pPr>
              <w:jc w:val="center"/>
              <w:ind w:right="640"/>
              <w:spacing w:after="0" w:line="176" w:lineRule="exact"/>
              <w:rPr>
                <w:sz w:val="20"/>
                <w:szCs w:val="20"/>
                <w:color w:val="auto"/>
              </w:rPr>
            </w:pPr>
            <w:r>
              <w:rPr>
                <w:rFonts w:ascii="Arial" w:cs="Arial" w:eastAsia="Arial" w:hAnsi="Arial"/>
                <w:sz w:val="18"/>
                <w:szCs w:val="18"/>
                <w:color w:val="0000EE"/>
                <w:w w:val="94"/>
              </w:rPr>
              <w:t>10(l)</w:t>
            </w:r>
          </w:p>
        </w:tc>
        <w:tc>
          <w:tcPr>
            <w:tcW w:w="944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w w:val="96"/>
              </w:rPr>
              <w:t>Form of Stock Option Agreement for Executive Officers under the Texas Instruments 2009 Long-Term Incentive Plan.*</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94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CCEEFF"/>
          </w:tcPr>
          <w:p>
            <w:pPr>
              <w:spacing w:after="0"/>
              <w:rPr>
                <w:sz w:val="17"/>
                <w:szCs w:val="17"/>
                <w:color w:val="auto"/>
              </w:rPr>
            </w:pPr>
          </w:p>
        </w:tc>
        <w:tc>
          <w:tcPr>
            <w:tcW w:w="1060" w:type="dxa"/>
            <w:vAlign w:val="bottom"/>
            <w:gridSpan w:val="6"/>
            <w:shd w:val="clear" w:color="auto" w:fill="CCEEFF"/>
          </w:tcPr>
          <w:p>
            <w:pPr>
              <w:jc w:val="center"/>
              <w:ind w:right="620"/>
              <w:spacing w:after="0" w:line="176" w:lineRule="exact"/>
              <w:rPr>
                <w:sz w:val="20"/>
                <w:szCs w:val="20"/>
                <w:color w:val="auto"/>
              </w:rPr>
            </w:pPr>
            <w:r>
              <w:rPr>
                <w:rFonts w:ascii="Arial" w:cs="Arial" w:eastAsia="Arial" w:hAnsi="Arial"/>
                <w:sz w:val="18"/>
                <w:szCs w:val="18"/>
                <w:color w:val="0000EE"/>
                <w:w w:val="93"/>
              </w:rPr>
              <w:t>10(m)</w:t>
            </w:r>
          </w:p>
        </w:tc>
        <w:tc>
          <w:tcPr>
            <w:tcW w:w="944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Form of Restricted Stock Unit Agreement under the Texas Instruments 2009 Long-Term Incentive Plan.*</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94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20" w:type="dxa"/>
            <w:vAlign w:val="bottom"/>
            <w:shd w:val="clear" w:color="auto" w:fill="CCEEFF"/>
          </w:tcPr>
          <w:p>
            <w:pPr>
              <w:spacing w:after="0"/>
              <w:rPr>
                <w:sz w:val="17"/>
                <w:szCs w:val="17"/>
                <w:color w:val="auto"/>
              </w:rPr>
            </w:pPr>
          </w:p>
        </w:tc>
        <w:tc>
          <w:tcPr>
            <w:tcW w:w="1060" w:type="dxa"/>
            <w:vAlign w:val="bottom"/>
            <w:gridSpan w:val="6"/>
            <w:shd w:val="clear" w:color="auto" w:fill="CCEEFF"/>
          </w:tcPr>
          <w:p>
            <w:pPr>
              <w:jc w:val="center"/>
              <w:ind w:right="600"/>
              <w:spacing w:after="0" w:line="201" w:lineRule="exact"/>
              <w:rPr>
                <w:sz w:val="20"/>
                <w:szCs w:val="20"/>
                <w:color w:val="auto"/>
              </w:rPr>
            </w:pPr>
            <w:r>
              <w:rPr>
                <w:rFonts w:ascii="Arial" w:cs="Arial" w:eastAsia="Arial" w:hAnsi="Arial"/>
                <w:sz w:val="18"/>
                <w:szCs w:val="18"/>
                <w:color w:val="auto"/>
                <w:w w:val="90"/>
              </w:rPr>
              <w:t>10(n)</w:t>
            </w:r>
          </w:p>
        </w:tc>
        <w:tc>
          <w:tcPr>
            <w:tcW w:w="94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88"/>
              </w:rPr>
              <w:t>Asset and Stock Purchase Agreement dated as of January 8, 2006, between Texas Instruments Incorporated and S&amp;C Purchase</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4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6"/>
              </w:rPr>
              <w:t>Corp. (incorporated by reference to Exhibit 2.1 to the Registrant's Current Report on Form 8-K dated January 8, 2006).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20" w:type="dxa"/>
            <w:vAlign w:val="bottom"/>
            <w:shd w:val="clear" w:color="auto" w:fill="CCEEFF"/>
          </w:tcPr>
          <w:p>
            <w:pPr>
              <w:spacing w:after="0"/>
              <w:rPr>
                <w:sz w:val="17"/>
                <w:szCs w:val="17"/>
                <w:color w:val="auto"/>
              </w:rPr>
            </w:pPr>
          </w:p>
        </w:tc>
        <w:tc>
          <w:tcPr>
            <w:tcW w:w="1060" w:type="dxa"/>
            <w:vAlign w:val="bottom"/>
            <w:gridSpan w:val="6"/>
            <w:shd w:val="clear" w:color="auto" w:fill="CCEEFF"/>
          </w:tcPr>
          <w:p>
            <w:pPr>
              <w:jc w:val="center"/>
              <w:ind w:right="600"/>
              <w:spacing w:after="0" w:line="201" w:lineRule="exact"/>
              <w:rPr>
                <w:sz w:val="20"/>
                <w:szCs w:val="20"/>
                <w:color w:val="auto"/>
              </w:rPr>
            </w:pPr>
            <w:r>
              <w:rPr>
                <w:rFonts w:ascii="Arial" w:cs="Arial" w:eastAsia="Arial" w:hAnsi="Arial"/>
                <w:sz w:val="18"/>
                <w:szCs w:val="18"/>
                <w:color w:val="auto"/>
                <w:w w:val="90"/>
              </w:rPr>
              <w:t>10(o)</w:t>
            </w:r>
          </w:p>
        </w:tc>
        <w:tc>
          <w:tcPr>
            <w:tcW w:w="94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89"/>
              </w:rPr>
              <w:t>Texas Instruments 2009 Long-Term Incentive Plan as amended September 17, 2009 (incorporated by reference to Exhibit 10.1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 the Registrant’s Quarterly Report on Form 10-Q for the quarter ended September 30, 2009).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20" w:type="dxa"/>
            <w:vAlign w:val="bottom"/>
            <w:shd w:val="clear" w:color="auto" w:fill="CCEEFF"/>
          </w:tcPr>
          <w:p>
            <w:pPr>
              <w:spacing w:after="0"/>
              <w:rPr>
                <w:sz w:val="15"/>
                <w:szCs w:val="15"/>
                <w:color w:val="auto"/>
              </w:rPr>
            </w:pPr>
          </w:p>
        </w:tc>
        <w:tc>
          <w:tcPr>
            <w:tcW w:w="1060" w:type="dxa"/>
            <w:vAlign w:val="bottom"/>
            <w:gridSpan w:val="6"/>
            <w:shd w:val="clear" w:color="auto" w:fill="CCEEFF"/>
          </w:tcPr>
          <w:p>
            <w:pPr>
              <w:jc w:val="center"/>
              <w:ind w:right="600"/>
              <w:spacing w:after="0" w:line="176" w:lineRule="exact"/>
              <w:rPr>
                <w:sz w:val="20"/>
                <w:szCs w:val="20"/>
                <w:color w:val="auto"/>
              </w:rPr>
            </w:pPr>
            <w:r>
              <w:rPr>
                <w:rFonts w:ascii="Arial" w:cs="Arial" w:eastAsia="Arial" w:hAnsi="Arial"/>
                <w:sz w:val="18"/>
                <w:szCs w:val="18"/>
                <w:color w:val="0000EE"/>
                <w:w w:val="90"/>
              </w:rPr>
              <w:t>10(p)</w:t>
            </w:r>
          </w:p>
        </w:tc>
        <w:tc>
          <w:tcPr>
            <w:tcW w:w="944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Texas Instruments 2009 Director Compensation Plan as amended December 3, 2009.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9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300" w:hanging="1241"/>
        <w:spacing w:after="0"/>
        <w:tabs>
          <w:tab w:leader="none" w:pos="2300" w:val="left"/>
        </w:tabs>
        <w:numPr>
          <w:ilvl w:val="0"/>
          <w:numId w:val="7"/>
        </w:numPr>
        <w:rPr>
          <w:rFonts w:ascii="Arial" w:cs="Arial" w:eastAsia="Arial" w:hAnsi="Arial"/>
          <w:sz w:val="18"/>
          <w:szCs w:val="18"/>
          <w:u w:val="single" w:color="auto"/>
          <w:color w:val="0000EE"/>
        </w:rPr>
      </w:pPr>
      <w:r>
        <w:rPr>
          <w:rFonts w:ascii="Arial" w:cs="Arial" w:eastAsia="Arial" w:hAnsi="Arial"/>
          <w:sz w:val="18"/>
          <w:szCs w:val="18"/>
          <w:color w:val="auto"/>
        </w:rPr>
        <w:t>Portions of Registrant’s 2009 Annual Report to Stockholders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2300" w:hanging="1241"/>
        <w:spacing w:after="0"/>
        <w:tabs>
          <w:tab w:leader="none" w:pos="2300" w:val="left"/>
        </w:tabs>
        <w:numPr>
          <w:ilvl w:val="0"/>
          <w:numId w:val="8"/>
        </w:numPr>
        <w:rPr>
          <w:rFonts w:ascii="Arial" w:cs="Arial" w:eastAsia="Arial" w:hAnsi="Arial"/>
          <w:sz w:val="18"/>
          <w:szCs w:val="18"/>
          <w:u w:val="single" w:color="auto"/>
          <w:color w:val="0000EE"/>
        </w:rPr>
      </w:pPr>
      <w:r>
        <w:rPr>
          <w:rFonts w:ascii="Arial" w:cs="Arial" w:eastAsia="Arial" w:hAnsi="Arial"/>
          <w:sz w:val="18"/>
          <w:szCs w:val="18"/>
          <w:color w:val="auto"/>
        </w:rPr>
        <w:t>List of Subsidiaries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2300" w:hanging="1241"/>
        <w:spacing w:after="0"/>
        <w:tabs>
          <w:tab w:leader="none" w:pos="2300" w:val="left"/>
        </w:tabs>
        <w:numPr>
          <w:ilvl w:val="0"/>
          <w:numId w:val="9"/>
        </w:numPr>
        <w:rPr>
          <w:rFonts w:ascii="Arial" w:cs="Arial" w:eastAsia="Arial" w:hAnsi="Arial"/>
          <w:sz w:val="18"/>
          <w:szCs w:val="18"/>
          <w:u w:val="single" w:color="auto"/>
          <w:color w:val="0000EE"/>
        </w:rPr>
      </w:pPr>
      <w:r>
        <w:rPr>
          <w:rFonts w:ascii="Arial" w:cs="Arial" w:eastAsia="Arial" w:hAnsi="Arial"/>
          <w:sz w:val="18"/>
          <w:szCs w:val="18"/>
          <w:color w:val="auto"/>
        </w:rPr>
        <w:t>Consent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0000EE"/>
                <w:w w:val="90"/>
              </w:rPr>
              <w:t>31(a)</w:t>
            </w:r>
          </w:p>
        </w:tc>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Rule 13a-14(a)/15(d)-14(a) Certification of Chief Executive Officer.</w:t>
            </w:r>
          </w:p>
        </w:tc>
      </w:tr>
      <w:tr>
        <w:trPr>
          <w:trHeight w:val="216"/>
        </w:trPr>
        <w:tc>
          <w:tcPr>
            <w:tcW w:w="96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560" w:type="dxa"/>
            <w:vAlign w:val="bottom"/>
            <w:tcBorders>
              <w:top w:val="single" w:sz="8" w:color="CCEEFF"/>
            </w:tcBorders>
          </w:tcPr>
          <w:p>
            <w:pPr>
              <w:spacing w:after="0"/>
              <w:rPr>
                <w:sz w:val="18"/>
                <w:szCs w:val="18"/>
                <w:color w:val="auto"/>
              </w:rPr>
            </w:pPr>
          </w:p>
        </w:tc>
      </w:tr>
      <w:tr>
        <w:trPr>
          <w:trHeight w:val="196"/>
        </w:trPr>
        <w:tc>
          <w:tcPr>
            <w:tcW w:w="1860" w:type="dxa"/>
            <w:vAlign w:val="bottom"/>
            <w:gridSpan w:val="3"/>
            <w:shd w:val="clear" w:color="auto" w:fill="CCEEFF"/>
          </w:tcPr>
          <w:p>
            <w:pPr>
              <w:jc w:val="center"/>
              <w:ind w:left="350"/>
              <w:spacing w:after="0" w:line="176" w:lineRule="exact"/>
              <w:rPr>
                <w:sz w:val="20"/>
                <w:szCs w:val="20"/>
                <w:color w:val="auto"/>
              </w:rPr>
            </w:pPr>
            <w:r>
              <w:rPr>
                <w:rFonts w:ascii="Arial" w:cs="Arial" w:eastAsia="Arial" w:hAnsi="Arial"/>
                <w:sz w:val="18"/>
                <w:szCs w:val="18"/>
                <w:color w:val="0000EE"/>
                <w:w w:val="90"/>
              </w:rPr>
              <w:t>31(b)</w:t>
            </w:r>
          </w:p>
        </w:tc>
        <w:tc>
          <w:tcPr>
            <w:tcW w:w="956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rPr>
              <w:t>Rule 13a-14(a)/15(d)-14(a) Certification of Chief Financial Officer.</w:t>
            </w:r>
          </w:p>
        </w:tc>
      </w:tr>
      <w:tr>
        <w:trPr>
          <w:trHeight w:val="216"/>
        </w:trPr>
        <w:tc>
          <w:tcPr>
            <w:tcW w:w="96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56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520"/>
              <w:spacing w:after="0" w:line="176" w:lineRule="exact"/>
              <w:rPr>
                <w:sz w:val="20"/>
                <w:szCs w:val="20"/>
                <w:color w:val="auto"/>
              </w:rPr>
            </w:pPr>
            <w:r>
              <w:rPr>
                <w:rFonts w:ascii="Arial" w:cs="Arial" w:eastAsia="Arial" w:hAnsi="Arial"/>
                <w:sz w:val="18"/>
                <w:szCs w:val="18"/>
                <w:color w:val="0000EE"/>
                <w:w w:val="90"/>
              </w:rPr>
              <w:t>32(a)</w:t>
            </w:r>
          </w:p>
        </w:tc>
        <w:tc>
          <w:tcPr>
            <w:tcW w:w="956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rPr>
              <w:t>Section 1350 Certification of Chief Executive Officer.</w:t>
            </w:r>
          </w:p>
        </w:tc>
      </w:tr>
      <w:tr>
        <w:trPr>
          <w:trHeight w:val="216"/>
        </w:trPr>
        <w:tc>
          <w:tcPr>
            <w:tcW w:w="96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560" w:type="dxa"/>
            <w:vAlign w:val="bottom"/>
            <w:tcBorders>
              <w:top w:val="single" w:sz="8" w:color="CCEEFF"/>
            </w:tcBorders>
          </w:tcPr>
          <w:p>
            <w:pPr>
              <w:spacing w:after="0"/>
              <w:rPr>
                <w:sz w:val="18"/>
                <w:szCs w:val="18"/>
                <w:color w:val="auto"/>
              </w:rPr>
            </w:pPr>
          </w:p>
        </w:tc>
      </w:tr>
      <w:tr>
        <w:trPr>
          <w:trHeight w:val="196"/>
        </w:trPr>
        <w:tc>
          <w:tcPr>
            <w:tcW w:w="1860" w:type="dxa"/>
            <w:vAlign w:val="bottom"/>
            <w:gridSpan w:val="3"/>
            <w:shd w:val="clear" w:color="auto" w:fill="CCEEFF"/>
          </w:tcPr>
          <w:p>
            <w:pPr>
              <w:jc w:val="center"/>
              <w:ind w:left="350"/>
              <w:spacing w:after="0" w:line="176" w:lineRule="exact"/>
              <w:rPr>
                <w:sz w:val="20"/>
                <w:szCs w:val="20"/>
                <w:color w:val="auto"/>
              </w:rPr>
            </w:pPr>
            <w:r>
              <w:rPr>
                <w:rFonts w:ascii="Arial" w:cs="Arial" w:eastAsia="Arial" w:hAnsi="Arial"/>
                <w:sz w:val="18"/>
                <w:szCs w:val="18"/>
                <w:color w:val="0000EE"/>
                <w:w w:val="90"/>
              </w:rPr>
              <w:t>32(b)</w:t>
            </w:r>
          </w:p>
        </w:tc>
        <w:tc>
          <w:tcPr>
            <w:tcW w:w="956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rPr>
              <w:t>Section 1350 Certification of Chief Financial Officer.</w:t>
            </w:r>
          </w:p>
        </w:tc>
      </w:tr>
      <w:tr>
        <w:trPr>
          <w:trHeight w:val="216"/>
        </w:trPr>
        <w:tc>
          <w:tcPr>
            <w:tcW w:w="96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560" w:type="dxa"/>
            <w:vAlign w:val="bottom"/>
            <w:tcBorders>
              <w:top w:val="single" w:sz="8" w:color="CCEEFF"/>
            </w:tcBorders>
          </w:tcPr>
          <w:p>
            <w:pPr>
              <w:spacing w:after="0"/>
              <w:rPr>
                <w:sz w:val="18"/>
                <w:szCs w:val="18"/>
                <w:color w:val="auto"/>
              </w:rPr>
            </w:pPr>
          </w:p>
        </w:tc>
      </w:tr>
      <w:tr>
        <w:trPr>
          <w:trHeight w:val="216"/>
        </w:trPr>
        <w:tc>
          <w:tcPr>
            <w:tcW w:w="1860" w:type="dxa"/>
            <w:vAlign w:val="bottom"/>
            <w:gridSpan w:val="3"/>
            <w:shd w:val="clear" w:color="auto" w:fill="CCEEFF"/>
          </w:tcPr>
          <w:p>
            <w:pPr>
              <w:jc w:val="center"/>
              <w:ind w:left="350"/>
              <w:spacing w:after="0"/>
              <w:rPr>
                <w:sz w:val="20"/>
                <w:szCs w:val="20"/>
                <w:color w:val="auto"/>
              </w:rPr>
            </w:pPr>
            <w:r>
              <w:rPr>
                <w:rFonts w:ascii="Arial" w:cs="Arial" w:eastAsia="Arial" w:hAnsi="Arial"/>
                <w:sz w:val="18"/>
                <w:szCs w:val="18"/>
                <w:color w:val="auto"/>
                <w:w w:val="92"/>
              </w:rPr>
              <w:t>101.ins</w:t>
            </w:r>
          </w:p>
        </w:tc>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Instance Document**</w:t>
            </w:r>
          </w:p>
        </w:tc>
      </w:tr>
      <w:tr>
        <w:trPr>
          <w:trHeight w:val="216"/>
        </w:trPr>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560" w:type="dxa"/>
            <w:vAlign w:val="bottom"/>
          </w:tcPr>
          <w:p>
            <w:pPr>
              <w:spacing w:after="0"/>
              <w:rPr>
                <w:sz w:val="18"/>
                <w:szCs w:val="18"/>
                <w:color w:val="auto"/>
              </w:rPr>
            </w:pPr>
          </w:p>
        </w:tc>
      </w:tr>
      <w:tr>
        <w:trPr>
          <w:trHeight w:val="216"/>
        </w:trPr>
        <w:tc>
          <w:tcPr>
            <w:tcW w:w="1860" w:type="dxa"/>
            <w:vAlign w:val="bottom"/>
            <w:gridSpan w:val="3"/>
            <w:shd w:val="clear" w:color="auto" w:fill="CCEEFF"/>
          </w:tcPr>
          <w:p>
            <w:pPr>
              <w:jc w:val="center"/>
              <w:ind w:left="350"/>
              <w:spacing w:after="0"/>
              <w:rPr>
                <w:sz w:val="20"/>
                <w:szCs w:val="20"/>
                <w:color w:val="auto"/>
              </w:rPr>
            </w:pPr>
            <w:r>
              <w:rPr>
                <w:rFonts w:ascii="Arial" w:cs="Arial" w:eastAsia="Arial" w:hAnsi="Arial"/>
                <w:sz w:val="18"/>
                <w:szCs w:val="18"/>
                <w:color w:val="auto"/>
                <w:w w:val="85"/>
              </w:rPr>
              <w:t>101.sch</w:t>
            </w:r>
          </w:p>
        </w:tc>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XBRL Taxonomy Schema**</w:t>
            </w:r>
          </w:p>
        </w:tc>
      </w:tr>
      <w:tr>
        <w:trPr>
          <w:trHeight w:val="216"/>
        </w:trPr>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560" w:type="dxa"/>
            <w:vAlign w:val="bottom"/>
          </w:tcPr>
          <w:p>
            <w:pPr>
              <w:spacing w:after="0"/>
              <w:rPr>
                <w:sz w:val="18"/>
                <w:szCs w:val="18"/>
                <w:color w:val="auto"/>
              </w:rPr>
            </w:pPr>
          </w:p>
        </w:tc>
      </w:tr>
      <w:tr>
        <w:trPr>
          <w:trHeight w:val="216"/>
        </w:trPr>
        <w:tc>
          <w:tcPr>
            <w:tcW w:w="1860" w:type="dxa"/>
            <w:vAlign w:val="bottom"/>
            <w:gridSpan w:val="3"/>
            <w:shd w:val="clear" w:color="auto" w:fill="CCEEFF"/>
          </w:tcPr>
          <w:p>
            <w:pPr>
              <w:jc w:val="center"/>
              <w:ind w:left="350"/>
              <w:spacing w:after="0"/>
              <w:rPr>
                <w:sz w:val="20"/>
                <w:szCs w:val="20"/>
                <w:color w:val="auto"/>
              </w:rPr>
            </w:pPr>
            <w:r>
              <w:rPr>
                <w:rFonts w:ascii="Arial" w:cs="Arial" w:eastAsia="Arial" w:hAnsi="Arial"/>
                <w:sz w:val="18"/>
                <w:szCs w:val="18"/>
                <w:color w:val="auto"/>
                <w:w w:val="92"/>
              </w:rPr>
              <w:t>101.cal</w:t>
            </w:r>
          </w:p>
        </w:tc>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XBRL Taxonomy Calculation Linkbase**</w:t>
            </w:r>
          </w:p>
        </w:tc>
      </w:tr>
      <w:tr>
        <w:trPr>
          <w:trHeight w:val="216"/>
        </w:trPr>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560" w:type="dxa"/>
            <w:vAlign w:val="bottom"/>
          </w:tcPr>
          <w:p>
            <w:pPr>
              <w:spacing w:after="0"/>
              <w:rPr>
                <w:sz w:val="18"/>
                <w:szCs w:val="18"/>
                <w:color w:val="auto"/>
              </w:rPr>
            </w:pPr>
          </w:p>
        </w:tc>
      </w:tr>
      <w:tr>
        <w:trPr>
          <w:trHeight w:val="216"/>
        </w:trPr>
        <w:tc>
          <w:tcPr>
            <w:tcW w:w="1860" w:type="dxa"/>
            <w:vAlign w:val="bottom"/>
            <w:gridSpan w:val="3"/>
            <w:shd w:val="clear" w:color="auto" w:fill="CCEEFF"/>
          </w:tcPr>
          <w:p>
            <w:pPr>
              <w:jc w:val="center"/>
              <w:ind w:left="350"/>
              <w:spacing w:after="0"/>
              <w:rPr>
                <w:sz w:val="20"/>
                <w:szCs w:val="20"/>
                <w:color w:val="auto"/>
              </w:rPr>
            </w:pPr>
            <w:r>
              <w:rPr>
                <w:rFonts w:ascii="Arial" w:cs="Arial" w:eastAsia="Arial" w:hAnsi="Arial"/>
                <w:sz w:val="18"/>
                <w:szCs w:val="18"/>
                <w:color w:val="auto"/>
                <w:w w:val="91"/>
              </w:rPr>
              <w:t>101.lab</w:t>
            </w:r>
          </w:p>
        </w:tc>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XBRL Taxonomy Labels Linkbase**</w:t>
            </w:r>
          </w:p>
        </w:tc>
      </w:tr>
      <w:tr>
        <w:trPr>
          <w:trHeight w:val="216"/>
        </w:trPr>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560" w:type="dxa"/>
            <w:vAlign w:val="bottom"/>
          </w:tcPr>
          <w:p>
            <w:pPr>
              <w:spacing w:after="0"/>
              <w:rPr>
                <w:sz w:val="18"/>
                <w:szCs w:val="18"/>
                <w:color w:val="auto"/>
              </w:rPr>
            </w:pPr>
          </w:p>
        </w:tc>
      </w:tr>
      <w:tr>
        <w:trPr>
          <w:trHeight w:val="216"/>
        </w:trPr>
        <w:tc>
          <w:tcPr>
            <w:tcW w:w="1860" w:type="dxa"/>
            <w:vAlign w:val="bottom"/>
            <w:gridSpan w:val="3"/>
            <w:shd w:val="clear" w:color="auto" w:fill="CCEEFF"/>
          </w:tcPr>
          <w:p>
            <w:pPr>
              <w:jc w:val="center"/>
              <w:ind w:left="350"/>
              <w:spacing w:after="0"/>
              <w:rPr>
                <w:sz w:val="20"/>
                <w:szCs w:val="20"/>
                <w:color w:val="auto"/>
              </w:rPr>
            </w:pPr>
            <w:r>
              <w:rPr>
                <w:rFonts w:ascii="Arial" w:cs="Arial" w:eastAsia="Arial" w:hAnsi="Arial"/>
                <w:sz w:val="18"/>
                <w:szCs w:val="18"/>
                <w:color w:val="auto"/>
                <w:w w:val="88"/>
              </w:rPr>
              <w:t>101.pre</w:t>
            </w:r>
          </w:p>
        </w:tc>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XBRL Taxonomy Presentation Linkbase**</w:t>
            </w:r>
          </w:p>
        </w:tc>
      </w:tr>
      <w:tr>
        <w:trPr>
          <w:trHeight w:val="216"/>
        </w:trPr>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560" w:type="dxa"/>
            <w:vAlign w:val="bottom"/>
          </w:tcPr>
          <w:p>
            <w:pPr>
              <w:spacing w:after="0"/>
              <w:rPr>
                <w:sz w:val="18"/>
                <w:szCs w:val="18"/>
                <w:color w:val="auto"/>
              </w:rPr>
            </w:pPr>
          </w:p>
        </w:tc>
      </w:tr>
      <w:tr>
        <w:trPr>
          <w:trHeight w:val="216"/>
        </w:trPr>
        <w:tc>
          <w:tcPr>
            <w:tcW w:w="1860" w:type="dxa"/>
            <w:vAlign w:val="bottom"/>
            <w:gridSpan w:val="3"/>
            <w:shd w:val="clear" w:color="auto" w:fill="CCEEFF"/>
          </w:tcPr>
          <w:p>
            <w:pPr>
              <w:jc w:val="center"/>
              <w:ind w:left="350"/>
              <w:spacing w:after="0"/>
              <w:rPr>
                <w:sz w:val="20"/>
                <w:szCs w:val="20"/>
                <w:color w:val="auto"/>
              </w:rPr>
            </w:pPr>
            <w:r>
              <w:rPr>
                <w:rFonts w:ascii="Arial" w:cs="Arial" w:eastAsia="Arial" w:hAnsi="Arial"/>
                <w:sz w:val="18"/>
                <w:szCs w:val="18"/>
                <w:color w:val="auto"/>
                <w:w w:val="89"/>
              </w:rPr>
              <w:t>101.def</w:t>
            </w:r>
          </w:p>
        </w:tc>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XBRL Taxonomy Definitions Document**</w:t>
            </w:r>
          </w:p>
        </w:tc>
      </w:tr>
    </w:tbl>
    <w:p>
      <w:pPr>
        <w:spacing w:after="0" w:line="200" w:lineRule="exact"/>
        <w:rPr>
          <w:sz w:val="20"/>
          <w:szCs w:val="20"/>
          <w:color w:val="auto"/>
        </w:rPr>
      </w:pPr>
    </w:p>
    <w:p>
      <w:pPr>
        <w:spacing w:after="0" w:line="245"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Management compensation plans and arrangements.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  Furnished, not filed.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52"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0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 w:name="page22"/>
    <w:bookmarkEnd w:id="21"/>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252"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252"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63"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97" w:lineRule="exact"/>
        <w:rPr>
          <w:rFonts w:ascii="Arial" w:cs="Arial" w:eastAsia="Arial" w:hAnsi="Arial"/>
          <w:sz w:val="18"/>
          <w:szCs w:val="18"/>
          <w:color w:val="auto"/>
        </w:rPr>
      </w:pPr>
    </w:p>
    <w:p>
      <w:pPr>
        <w:ind w:left="660" w:right="200" w:hanging="328"/>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ability of TI and its customers and suppliers to access their bank accounts and lines of credit or otherwise access the capital markets;</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252"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9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this report. The forward-looking statements included in this report are made only as of the date of this report and TI undertakes no obligation to update the forward-looking statements to reflect subsequent events or circumstances.</w:t>
      </w: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517" w:right="4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6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TEXAS INSTRUMENTS INCORPORATED</w:t>
      </w:r>
    </w:p>
    <w:p>
      <w:pPr>
        <w:spacing w:after="0" w:line="221" w:lineRule="exact"/>
        <w:rPr>
          <w:sz w:val="20"/>
          <w:szCs w:val="20"/>
          <w:color w:val="auto"/>
        </w:rPr>
      </w:pPr>
    </w:p>
    <w:p>
      <w:pPr>
        <w:ind w:left="6860"/>
        <w:spacing w:after="0"/>
        <w:tabs>
          <w:tab w:leader="none" w:pos="8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 xml:space="preserve">/s/ </w:t>
      </w:r>
      <w:r>
        <w:rPr>
          <w:rFonts w:ascii="Arial" w:cs="Arial" w:eastAsia="Arial" w:hAnsi="Arial"/>
          <w:sz w:val="18"/>
          <w:szCs w:val="18"/>
          <w:b w:val="1"/>
          <w:bCs w:val="1"/>
          <w:color w:val="auto"/>
        </w:rPr>
        <w:t>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17145</wp:posOffset>
            </wp:positionV>
            <wp:extent cx="260731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jc w:val="center"/>
        <w:ind w:left="7320"/>
        <w:spacing w:after="0"/>
        <w:rPr>
          <w:sz w:val="20"/>
          <w:szCs w:val="20"/>
          <w:color w:val="auto"/>
        </w:rPr>
      </w:pPr>
      <w:r>
        <w:rPr>
          <w:rFonts w:ascii="Arial" w:cs="Arial" w:eastAsia="Arial" w:hAnsi="Arial"/>
          <w:sz w:val="18"/>
          <w:szCs w:val="18"/>
          <w:b w:val="1"/>
          <w:bCs w:val="1"/>
          <w:color w:val="auto"/>
        </w:rPr>
        <w:t>Kevin P. March</w:t>
      </w:r>
    </w:p>
    <w:p>
      <w:pPr>
        <w:spacing w:after="0" w:line="27" w:lineRule="exact"/>
        <w:rPr>
          <w:sz w:val="20"/>
          <w:szCs w:val="20"/>
          <w:color w:val="auto"/>
        </w:rPr>
      </w:pPr>
    </w:p>
    <w:p>
      <w:pPr>
        <w:jc w:val="center"/>
        <w:ind w:left="7320"/>
        <w:spacing w:after="0"/>
        <w:rPr>
          <w:sz w:val="20"/>
          <w:szCs w:val="20"/>
          <w:color w:val="auto"/>
        </w:rPr>
      </w:pPr>
      <w:r>
        <w:rPr>
          <w:rFonts w:ascii="Arial" w:cs="Arial" w:eastAsia="Arial" w:hAnsi="Arial"/>
          <w:sz w:val="18"/>
          <w:szCs w:val="18"/>
          <w:b w:val="1"/>
          <w:bCs w:val="1"/>
          <w:color w:val="auto"/>
        </w:rPr>
        <w:t>Senior Vice President,</w:t>
      </w:r>
    </w:p>
    <w:p>
      <w:pPr>
        <w:spacing w:after="0" w:line="9" w:lineRule="exact"/>
        <w:rPr>
          <w:sz w:val="20"/>
          <w:szCs w:val="20"/>
          <w:color w:val="auto"/>
        </w:rPr>
      </w:pPr>
    </w:p>
    <w:p>
      <w:pPr>
        <w:jc w:val="center"/>
        <w:ind w:left="732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7320"/>
        <w:spacing w:after="0"/>
        <w:rPr>
          <w:sz w:val="20"/>
          <w:szCs w:val="20"/>
          <w:color w:val="auto"/>
        </w:rPr>
      </w:pPr>
      <w:r>
        <w:rPr>
          <w:rFonts w:ascii="Arial" w:cs="Arial" w:eastAsia="Arial" w:hAnsi="Arial"/>
          <w:sz w:val="18"/>
          <w:szCs w:val="18"/>
          <w:b w:val="1"/>
          <w:bCs w:val="1"/>
          <w:color w:val="auto"/>
        </w:rPr>
        <w:t>and Chief Accounting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2010</w:t>
      </w:r>
    </w:p>
    <w:p>
      <w:pPr>
        <w:spacing w:after="0" w:line="200" w:lineRule="exact"/>
        <w:rPr>
          <w:sz w:val="20"/>
          <w:szCs w:val="20"/>
          <w:color w:val="auto"/>
        </w:rPr>
      </w:pPr>
    </w:p>
    <w:p>
      <w:pPr>
        <w:spacing w:after="0" w:line="268"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Each person whose signature appears below constitutes and appoints each of Richard K. Templeton, Kevin P. March and Joseph F. Hubach, or any of them, each acting alone, his or her true and lawful attorneys-in-fact and agents, with full power of substitution and resubstitution, for such person and in his or her name, place and stead, in any and all capacities in connection with the annual report on Form 10-K of Texas Instruments Incorporated for the year ended December 31, 2009, to sign any and all amendments to the Form 10-K,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substitutes or substitute, may lawfully do or cause to be done by virtue hereof.</w:t>
      </w:r>
    </w:p>
    <w:p>
      <w:pPr>
        <w:spacing w:after="0" w:line="200" w:lineRule="exact"/>
        <w:rPr>
          <w:sz w:val="20"/>
          <w:szCs w:val="20"/>
          <w:color w:val="auto"/>
        </w:rPr>
      </w:pPr>
    </w:p>
    <w:p>
      <w:pPr>
        <w:spacing w:after="0" w:line="22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the 23rd day of February 2010.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Pr>
          <w:p>
            <w:pPr>
              <w:spacing w:after="0"/>
              <w:rPr>
                <w:sz w:val="20"/>
                <w:szCs w:val="20"/>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1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0" w:type="dxa"/>
            <w:vAlign w:val="bottom"/>
          </w:tcPr>
          <w:p>
            <w:pPr>
              <w:spacing w:after="0"/>
              <w:rPr>
                <w:sz w:val="1"/>
                <w:szCs w:val="1"/>
                <w:color w:val="auto"/>
              </w:rPr>
            </w:pPr>
          </w:p>
        </w:tc>
      </w:tr>
      <w:tr>
        <w:trPr>
          <w:trHeight w:val="466"/>
        </w:trPr>
        <w:tc>
          <w:tcPr>
            <w:tcW w:w="11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 James R. Adams</w:t>
            </w:r>
          </w:p>
        </w:tc>
        <w:tc>
          <w:tcPr>
            <w:tcW w:w="114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8"/>
              </w:rPr>
              <w:t>James R. Adams</w:t>
            </w:r>
          </w:p>
        </w:tc>
        <w:tc>
          <w:tcPr>
            <w:tcW w:w="11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11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 David L. Boren</w:t>
            </w:r>
          </w:p>
        </w:tc>
        <w:tc>
          <w:tcPr>
            <w:tcW w:w="114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2"/>
              </w:rPr>
              <w:t>David L. Boren</w:t>
            </w:r>
          </w:p>
        </w:tc>
        <w:tc>
          <w:tcPr>
            <w:tcW w:w="11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11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/s/ Daniel A. Carp</w:t>
            </w:r>
          </w:p>
        </w:tc>
        <w:tc>
          <w:tcPr>
            <w:tcW w:w="114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4"/>
              </w:rPr>
              <w:t>Daniel A. Carp</w:t>
            </w:r>
          </w:p>
        </w:tc>
        <w:tc>
          <w:tcPr>
            <w:tcW w:w="11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11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 Carrie S. Cox</w:t>
            </w:r>
          </w:p>
        </w:tc>
        <w:tc>
          <w:tcPr>
            <w:tcW w:w="114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3"/>
              </w:rPr>
              <w:t>Carrie S. Cox</w:t>
            </w:r>
          </w:p>
        </w:tc>
        <w:tc>
          <w:tcPr>
            <w:tcW w:w="11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11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 David R. Goode</w:t>
            </w:r>
          </w:p>
        </w:tc>
        <w:tc>
          <w:tcPr>
            <w:tcW w:w="114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0"/>
              </w:rPr>
              <w:t>David R. Goode</w:t>
            </w:r>
          </w:p>
        </w:tc>
        <w:tc>
          <w:tcPr>
            <w:tcW w:w="11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11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 Stephen P. MacMillan</w:t>
            </w:r>
          </w:p>
        </w:tc>
        <w:tc>
          <w:tcPr>
            <w:tcW w:w="114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2"/>
              </w:rPr>
              <w:t>Stephen P. MacMillan</w:t>
            </w:r>
          </w:p>
        </w:tc>
        <w:tc>
          <w:tcPr>
            <w:tcW w:w="11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11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 Pamela H. Patsley</w:t>
            </w:r>
          </w:p>
        </w:tc>
        <w:tc>
          <w:tcPr>
            <w:tcW w:w="114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0"/>
              </w:rPr>
              <w:t>Pamela H. Patsley</w:t>
            </w:r>
          </w:p>
        </w:tc>
        <w:tc>
          <w:tcPr>
            <w:tcW w:w="11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11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 Wayne R. Sanders</w:t>
            </w:r>
          </w:p>
        </w:tc>
        <w:tc>
          <w:tcPr>
            <w:tcW w:w="114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0"/>
              </w:rPr>
              <w:t>Wayne R. Sanders</w:t>
            </w:r>
          </w:p>
        </w:tc>
        <w:tc>
          <w:tcPr>
            <w:tcW w:w="11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11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 Ruth J. Simmons</w:t>
            </w:r>
          </w:p>
        </w:tc>
        <w:tc>
          <w:tcPr>
            <w:tcW w:w="114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9"/>
              </w:rPr>
              <w:t>Ruth J. Simmons</w:t>
            </w:r>
          </w:p>
        </w:tc>
        <w:tc>
          <w:tcPr>
            <w:tcW w:w="11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1160" w:type="dxa"/>
            <w:vAlign w:val="bottom"/>
          </w:tcPr>
          <w:p>
            <w:pPr>
              <w:spacing w:after="0"/>
              <w:rPr>
                <w:sz w:val="24"/>
                <w:szCs w:val="24"/>
                <w:color w:val="auto"/>
              </w:rPr>
            </w:pPr>
          </w:p>
        </w:tc>
        <w:tc>
          <w:tcPr>
            <w:tcW w:w="3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/s/ Richard K.Templeton</w:t>
            </w:r>
          </w:p>
        </w:tc>
        <w:tc>
          <w:tcPr>
            <w:tcW w:w="11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Chairman of the Board; Director; President</w:t>
            </w: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342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420" w:type="dxa"/>
            <w:vAlign w:val="bottom"/>
            <w:vMerge w:val="restart"/>
          </w:tcPr>
          <w:p>
            <w:pPr>
              <w:jc w:val="center"/>
              <w:spacing w:after="0"/>
              <w:rPr>
                <w:sz w:val="20"/>
                <w:szCs w:val="20"/>
                <w:color w:val="auto"/>
              </w:rPr>
            </w:pPr>
            <w:r>
              <w:rPr>
                <w:rFonts w:ascii="Arial" w:cs="Arial" w:eastAsia="Arial" w:hAnsi="Arial"/>
                <w:sz w:val="18"/>
                <w:szCs w:val="18"/>
                <w:color w:val="auto"/>
                <w:w w:val="86"/>
              </w:rPr>
              <w:t>and</w:t>
            </w:r>
          </w:p>
        </w:tc>
        <w:tc>
          <w:tcPr>
            <w:tcW w:w="0" w:type="dxa"/>
            <w:vAlign w:val="bottom"/>
          </w:tcPr>
          <w:p>
            <w:pPr>
              <w:spacing w:after="0"/>
              <w:rPr>
                <w:sz w:val="1"/>
                <w:szCs w:val="1"/>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34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280" w:type="dxa"/>
            <w:vAlign w:val="bottom"/>
          </w:tcPr>
          <w:p>
            <w:pPr>
              <w:spacing w:after="0"/>
              <w:rPr>
                <w:sz w:val="10"/>
                <w:szCs w:val="10"/>
                <w:color w:val="auto"/>
              </w:rPr>
            </w:pPr>
          </w:p>
        </w:tc>
        <w:tc>
          <w:tcPr>
            <w:tcW w:w="3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2"/>
              </w:rPr>
              <w:t>Richard K. Templeton</w:t>
            </w:r>
          </w:p>
        </w:tc>
        <w:tc>
          <w:tcPr>
            <w:tcW w:w="11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Chief Executive Officer</w:t>
            </w:r>
          </w:p>
        </w:tc>
        <w:tc>
          <w:tcPr>
            <w:tcW w:w="0" w:type="dxa"/>
            <w:vAlign w:val="bottom"/>
          </w:tcPr>
          <w:p>
            <w:pPr>
              <w:spacing w:after="0"/>
              <w:rPr>
                <w:sz w:val="1"/>
                <w:szCs w:val="1"/>
                <w:color w:val="auto"/>
              </w:rPr>
            </w:pPr>
          </w:p>
        </w:tc>
      </w:tr>
      <w:tr>
        <w:trPr>
          <w:trHeight w:val="421"/>
        </w:trPr>
        <w:tc>
          <w:tcPr>
            <w:tcW w:w="11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 Christine Todd Whitman</w:t>
            </w:r>
          </w:p>
        </w:tc>
        <w:tc>
          <w:tcPr>
            <w:tcW w:w="114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3"/>
              </w:rPr>
              <w:t>Christine Todd Whitman</w:t>
            </w:r>
          </w:p>
        </w:tc>
        <w:tc>
          <w:tcPr>
            <w:tcW w:w="11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11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 Kevin P. March</w:t>
            </w:r>
          </w:p>
        </w:tc>
        <w:tc>
          <w:tcPr>
            <w:tcW w:w="114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2"/>
              </w:rPr>
              <w:t>Senior Vice President; Chief Financial Officer;</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2"/>
              </w:rPr>
              <w:t>Kevin P. March</w:t>
            </w:r>
          </w:p>
        </w:tc>
        <w:tc>
          <w:tcPr>
            <w:tcW w:w="11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Chief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517" w:right="239" w:bottom="4" w:gutter="0" w:footer="0" w:header="0"/>
        </w:sectPr>
      </w:pPr>
    </w:p>
    <w:bookmarkStart w:id="23" w:name="page24"/>
    <w:bookmarkEnd w:id="23"/>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84455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260" w:type="dxa"/>
            <w:vAlign w:val="bottom"/>
          </w:tcPr>
          <w:p>
            <w:pPr>
              <w:jc w:val="center"/>
              <w:ind w:left="1050"/>
              <w:spacing w:after="0"/>
              <w:rPr>
                <w:sz w:val="20"/>
                <w:szCs w:val="20"/>
                <w:color w:val="auto"/>
              </w:rPr>
            </w:pPr>
            <w:r>
              <w:rPr>
                <w:rFonts w:ascii="Arial" w:cs="Arial" w:eastAsia="Arial" w:hAnsi="Arial"/>
                <w:sz w:val="18"/>
                <w:szCs w:val="18"/>
                <w:color w:val="auto"/>
                <w:w w:val="96"/>
              </w:rPr>
              <w:t>TEXAS INSTRUMENTS INCORPORATED AND SUBSIDIARIES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10260" w:type="dxa"/>
            <w:vAlign w:val="bottom"/>
          </w:tcPr>
          <w:p>
            <w:pPr>
              <w:jc w:val="center"/>
              <w:ind w:left="1050"/>
              <w:spacing w:after="0"/>
              <w:rPr>
                <w:sz w:val="20"/>
                <w:szCs w:val="20"/>
                <w:color w:val="auto"/>
              </w:rPr>
            </w:pPr>
            <w:r>
              <w:rPr>
                <w:rFonts w:ascii="Arial" w:cs="Arial" w:eastAsia="Arial" w:hAnsi="Arial"/>
                <w:sz w:val="18"/>
                <w:szCs w:val="18"/>
                <w:color w:val="auto"/>
                <w:w w:val="98"/>
              </w:rPr>
              <w:t>INDEX TO FINANCIAL STATEMENTS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60" w:type="dxa"/>
            <w:vAlign w:val="bottom"/>
          </w:tcPr>
          <w:p>
            <w:pPr>
              <w:jc w:val="center"/>
              <w:ind w:left="1050"/>
              <w:spacing w:after="0"/>
              <w:rPr>
                <w:sz w:val="20"/>
                <w:szCs w:val="20"/>
                <w:color w:val="auto"/>
              </w:rPr>
            </w:pPr>
            <w:r>
              <w:rPr>
                <w:rFonts w:ascii="Arial" w:cs="Arial" w:eastAsia="Arial" w:hAnsi="Arial"/>
                <w:sz w:val="18"/>
                <w:szCs w:val="18"/>
                <w:color w:val="auto"/>
                <w:w w:val="93"/>
              </w:rPr>
              <w:t>(Item 15(a))</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102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6"/>
              </w:rPr>
              <w:t>Page Reference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in 2009 Annual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Report to</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2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Stockholders</w:t>
            </w:r>
          </w:p>
        </w:tc>
        <w:tc>
          <w:tcPr>
            <w:tcW w:w="0" w:type="dxa"/>
            <w:vAlign w:val="bottom"/>
          </w:tcPr>
          <w:p>
            <w:pPr>
              <w:spacing w:after="0"/>
              <w:rPr>
                <w:sz w:val="1"/>
                <w:szCs w:val="1"/>
                <w:color w:val="auto"/>
              </w:rPr>
            </w:pPr>
          </w:p>
        </w:tc>
      </w:tr>
      <w:tr>
        <w:trPr>
          <w:trHeight w:val="216"/>
        </w:trPr>
        <w:tc>
          <w:tcPr>
            <w:tcW w:w="10280" w:type="dxa"/>
            <w:vAlign w:val="bottom"/>
            <w:gridSpan w:val="2"/>
          </w:tcPr>
          <w:p>
            <w:pPr>
              <w:spacing w:after="0"/>
              <w:rPr>
                <w:sz w:val="20"/>
                <w:szCs w:val="20"/>
                <w:color w:val="auto"/>
              </w:rPr>
            </w:pPr>
            <w:r>
              <w:rPr>
                <w:rFonts w:ascii="Arial" w:cs="Arial" w:eastAsia="Arial" w:hAnsi="Arial"/>
                <w:sz w:val="18"/>
                <w:szCs w:val="18"/>
                <w:color w:val="auto"/>
              </w:rPr>
              <w:t>Information incorporated by reference to the Registrant’s 2009 annual report to stockholders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color w:val="auto"/>
              </w:rPr>
              <w:t>Consolidated financial statements: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Income for each of the three years in the period ended December 31, 2009</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Comprehensive income for each of the three years in the period ended December 31, 2009</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Balance sheets at December 31, 2009 and 2008</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Cash flows for each of the three years in the period ended December 31, 2009</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Stockholders’ equity for each of the three years in the period ended December 31, 2009</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Notes to financial statements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Report by management on internal control over financial reporting</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 on internal control over financial reporting</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Schedules have been omitted because the required information is not present or not present in amounts sufficient to require submission of the schedule, or because the information required is included in the consolidated financial statements or the notes thereto.</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10(a)(ii)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DEFERRED COMPENSATION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JANUARY 1, 2009)</w:t>
      </w:r>
    </w:p>
    <w:p>
      <w:pPr>
        <w:spacing w:after="0" w:line="200" w:lineRule="exact"/>
        <w:rPr>
          <w:sz w:val="20"/>
          <w:szCs w:val="20"/>
          <w:color w:val="auto"/>
        </w:rPr>
      </w:pPr>
    </w:p>
    <w:p>
      <w:pPr>
        <w:spacing w:after="0" w:line="2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TEXAS INSTRUMENTS INCORPORATED, a Delaware corporation, pursuant to the authority granted in Section 6-1 of the TI Deferred Compensation Plan (Effective January 1, 2009) (the “Plan”), does hereby amend the Plan effective as of January 1, 2010, except as otherwise provided herein, as follows:</w:t>
      </w:r>
    </w:p>
    <w:p>
      <w:pPr>
        <w:spacing w:after="0" w:line="208" w:lineRule="exact"/>
        <w:rPr>
          <w:sz w:val="20"/>
          <w:szCs w:val="20"/>
          <w:color w:val="auto"/>
        </w:rPr>
      </w:pPr>
    </w:p>
    <w:p>
      <w:pPr>
        <w:ind w:left="1060" w:hanging="40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Article I of the Plan is amended by adding the following new Section 1-6A:</w:t>
      </w:r>
    </w:p>
    <w:p>
      <w:pPr>
        <w:spacing w:after="0" w:line="25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 1-6A.  </w:t>
      </w:r>
      <w:r>
        <w:rPr>
          <w:rFonts w:ascii="Arial" w:cs="Arial" w:eastAsia="Arial" w:hAnsi="Arial"/>
          <w:sz w:val="18"/>
          <w:szCs w:val="18"/>
          <w:i w:val="1"/>
          <w:iCs w:val="1"/>
          <w:u w:val="single" w:color="auto"/>
          <w:color w:val="auto"/>
        </w:rPr>
        <w:t>Change in Control</w:t>
      </w:r>
      <w:r>
        <w:rPr>
          <w:rFonts w:ascii="Arial" w:cs="Arial" w:eastAsia="Arial" w:hAnsi="Arial"/>
          <w:sz w:val="18"/>
          <w:szCs w:val="18"/>
          <w:i w:val="1"/>
          <w:iCs w:val="1"/>
          <w:color w:val="auto"/>
        </w:rPr>
        <w:t>.</w:t>
      </w:r>
      <w:r>
        <w:rPr>
          <w:rFonts w:ascii="Arial" w:cs="Arial" w:eastAsia="Arial" w:hAnsi="Arial"/>
          <w:sz w:val="18"/>
          <w:szCs w:val="18"/>
          <w:color w:val="auto"/>
        </w:rPr>
        <w:t xml:space="preserve"> “Change in Control” means an event that will be deemed to have occurred:</w:t>
      </w:r>
    </w:p>
    <w:p>
      <w:pPr>
        <w:spacing w:after="0" w:line="252" w:lineRule="exact"/>
        <w:rPr>
          <w:sz w:val="20"/>
          <w:szCs w:val="20"/>
          <w:color w:val="auto"/>
        </w:rPr>
      </w:pPr>
    </w:p>
    <w:p>
      <w:pPr>
        <w:jc w:val="both"/>
        <w:ind w:left="1460" w:hanging="480"/>
        <w:spacing w:after="0" w:line="291" w:lineRule="auto"/>
        <w:tabs>
          <w:tab w:leader="none" w:pos="1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the date any Person, other than (1) the Company or any of its Subsidiaries, (2) a trustee or other fiduciary holding stock under an employee benefit plan of the Company or any of its Affiliates, (3) an underwriter temporarily holding stock pursuant to an offering of such stock, or (4) a corporation owned, directly or indirectly, by the stockholders of the Company in substantially the same proportions as their ownership of stock of the Company, acquires ownership of stock of the Company that, together with stock held by such Person, constitutes more than fifty percent (50%) of the total fair market value or total voting power of the stock of the Company. However, if any Person is considered to own more than fifty percent (50%) of the total fair market value or total voting power of the stock of the Company, the acquisition of additional stock by the same Person is not considered to be a Change in Control;</w:t>
      </w:r>
    </w:p>
    <w:p>
      <w:pPr>
        <w:spacing w:after="0" w:line="194" w:lineRule="exact"/>
        <w:rPr>
          <w:rFonts w:ascii="Arial" w:cs="Arial" w:eastAsia="Arial" w:hAnsi="Arial"/>
          <w:sz w:val="16"/>
          <w:szCs w:val="16"/>
          <w:color w:val="auto"/>
        </w:rPr>
      </w:pPr>
    </w:p>
    <w:p>
      <w:pPr>
        <w:ind w:left="1460" w:right="20" w:hanging="480"/>
        <w:spacing w:after="0" w:line="277" w:lineRule="auto"/>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the date a majority of members of the Board is replaced during any 12-month period by directors whose appointment or election is not endorsed by a majority of the Board before the date of the appointment or election; or</w:t>
      </w:r>
    </w:p>
    <w:p>
      <w:pPr>
        <w:spacing w:after="0" w:line="197" w:lineRule="exact"/>
        <w:rPr>
          <w:rFonts w:ascii="Arial" w:cs="Arial" w:eastAsia="Arial" w:hAnsi="Arial"/>
          <w:sz w:val="18"/>
          <w:szCs w:val="18"/>
          <w:color w:val="auto"/>
        </w:rPr>
      </w:pPr>
    </w:p>
    <w:p>
      <w:pPr>
        <w:jc w:val="both"/>
        <w:ind w:left="1460" w:hanging="480"/>
        <w:spacing w:after="0" w:line="269" w:lineRule="auto"/>
        <w:tabs>
          <w:tab w:leader="none" w:pos="1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On the date any Person acquires (or has acquired during the 12-month period ending on the date of the most recent acquisition by such Person or group) assets from the Company that have a total gross fair market value equal to or more than eighty percent (80%) of the total gross fair market value of all of the assets of the Company immediately before such acquisition or acquisitions. For this purpose, gross fair market value means the value of the assets of the Company or the value of the assets being disposed of, determined without regard to any liabilities associated with such assets. However, there is no Change in Control when there is such a sale or transfer to (i) a stockholder of the Company (immediately before the asset transfer) in exchange for or with respect to the Company’s then outstanding stock; (ii) an entity, at least fifty percent (50%) of the total value or voting power of the stock of which is owned, directly or indirectly, by the Company; (iii) a Person that owns, directly or indirectly, at least fifty percent (50%) of the total value or voting power of the outstanding stock of the Company; or (iv) an entity, at least fifty percent (50%) of the total value or voting power of the stock of which is owned, directly or indirectly, by a Person that owns, directly or indirectly, at least fifty percent (50%) of the total value or voting power of the outstanding stock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26" w:name="page27"/>
    <w:bookmarkEnd w:id="26"/>
    <w:p>
      <w:pPr>
        <w:ind w:left="804" w:hanging="480"/>
        <w:spacing w:after="0"/>
        <w:tabs>
          <w:tab w:leader="none" w:pos="8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purposes of (i), (ii) and (iii) above,</w:t>
      </w:r>
    </w:p>
    <w:p>
      <w:pPr>
        <w:spacing w:after="0" w:line="252" w:lineRule="exact"/>
        <w:rPr>
          <w:rFonts w:ascii="Arial" w:cs="Arial" w:eastAsia="Arial" w:hAnsi="Arial"/>
          <w:sz w:val="18"/>
          <w:szCs w:val="18"/>
          <w:color w:val="auto"/>
        </w:rPr>
      </w:pPr>
    </w:p>
    <w:p>
      <w:pPr>
        <w:ind w:left="1344" w:right="20" w:hanging="479"/>
        <w:spacing w:after="0" w:line="277" w:lineRule="auto"/>
        <w:tabs>
          <w:tab w:leader="none" w:pos="1344" w:val="left"/>
        </w:tabs>
        <w:numPr>
          <w:ilvl w:val="1"/>
          <w:numId w:val="14"/>
        </w:numPr>
        <w:rPr>
          <w:rFonts w:ascii="Arial" w:cs="Arial" w:eastAsia="Arial" w:hAnsi="Arial"/>
          <w:sz w:val="18"/>
          <w:szCs w:val="18"/>
          <w:color w:val="auto"/>
        </w:rPr>
      </w:pPr>
      <w:r>
        <w:rPr>
          <w:rFonts w:ascii="Arial" w:cs="Arial" w:eastAsia="Arial" w:hAnsi="Arial"/>
          <w:sz w:val="18"/>
          <w:szCs w:val="18"/>
          <w:color w:val="auto"/>
        </w:rPr>
        <w:t>“Affiliate” shall have the meaning set forth in Rule 12b-2 promulgated under Section 12 of the Securities Exchange Act of 1934, as amended;</w:t>
      </w:r>
    </w:p>
    <w:p>
      <w:pPr>
        <w:spacing w:after="0" w:line="197" w:lineRule="exact"/>
        <w:rPr>
          <w:rFonts w:ascii="Arial" w:cs="Arial" w:eastAsia="Arial" w:hAnsi="Arial"/>
          <w:sz w:val="18"/>
          <w:szCs w:val="18"/>
          <w:color w:val="auto"/>
        </w:rPr>
      </w:pPr>
    </w:p>
    <w:p>
      <w:pPr>
        <w:ind w:left="1344" w:hanging="479"/>
        <w:spacing w:after="0"/>
        <w:tabs>
          <w:tab w:leader="none" w:pos="1344" w:val="left"/>
        </w:tabs>
        <w:numPr>
          <w:ilvl w:val="1"/>
          <w:numId w:val="14"/>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252" w:lineRule="exact"/>
        <w:rPr>
          <w:rFonts w:ascii="Arial" w:cs="Arial" w:eastAsia="Arial" w:hAnsi="Arial"/>
          <w:sz w:val="18"/>
          <w:szCs w:val="18"/>
          <w:color w:val="auto"/>
        </w:rPr>
      </w:pPr>
    </w:p>
    <w:p>
      <w:pPr>
        <w:ind w:left="1344" w:hanging="479"/>
        <w:spacing w:after="0" w:line="277" w:lineRule="auto"/>
        <w:tabs>
          <w:tab w:leader="none" w:pos="1344" w:val="left"/>
        </w:tabs>
        <w:numPr>
          <w:ilvl w:val="1"/>
          <w:numId w:val="14"/>
        </w:numPr>
        <w:rPr>
          <w:rFonts w:ascii="Arial" w:cs="Arial" w:eastAsia="Arial" w:hAnsi="Arial"/>
          <w:sz w:val="18"/>
          <w:szCs w:val="18"/>
          <w:color w:val="auto"/>
        </w:rPr>
      </w:pPr>
      <w:r>
        <w:rPr>
          <w:rFonts w:ascii="Arial" w:cs="Arial" w:eastAsia="Arial" w:hAnsi="Arial"/>
          <w:sz w:val="18"/>
          <w:szCs w:val="18"/>
          <w:color w:val="auto"/>
        </w:rPr>
        <w:t>“Person” shall have the meaning given in Section 7701(a)(1) of the Code. Person shall include more than one Person acting as a group as defined by the Final Treasury Regulations issued under Section 409A of the Code; and</w:t>
      </w:r>
    </w:p>
    <w:p>
      <w:pPr>
        <w:spacing w:after="0" w:line="197" w:lineRule="exact"/>
        <w:rPr>
          <w:rFonts w:ascii="Arial" w:cs="Arial" w:eastAsia="Arial" w:hAnsi="Arial"/>
          <w:sz w:val="18"/>
          <w:szCs w:val="18"/>
          <w:color w:val="auto"/>
        </w:rPr>
      </w:pPr>
    </w:p>
    <w:p>
      <w:pPr>
        <w:ind w:left="1344" w:hanging="479"/>
        <w:spacing w:after="0" w:line="308" w:lineRule="auto"/>
        <w:tabs>
          <w:tab w:leader="none" w:pos="1344" w:val="left"/>
        </w:tabs>
        <w:numPr>
          <w:ilvl w:val="1"/>
          <w:numId w:val="14"/>
        </w:numPr>
        <w:rPr>
          <w:rFonts w:ascii="Arial" w:cs="Arial" w:eastAsia="Arial" w:hAnsi="Arial"/>
          <w:sz w:val="17"/>
          <w:szCs w:val="17"/>
          <w:color w:val="auto"/>
        </w:rPr>
      </w:pPr>
      <w:r>
        <w:rPr>
          <w:rFonts w:ascii="Arial" w:cs="Arial" w:eastAsia="Arial" w:hAnsi="Arial"/>
          <w:sz w:val="17"/>
          <w:szCs w:val="17"/>
          <w:color w:val="auto"/>
        </w:rPr>
        <w:t>“Subsidiary” means any entity whose assets and net income are included in the consolidated financial statements of the Company audited by the Company’s independent auditors and reported to stockholders in the annual report to stockholders.</w:t>
      </w:r>
    </w:p>
    <w:p>
      <w:pPr>
        <w:spacing w:after="0" w:line="173" w:lineRule="exact"/>
        <w:rPr>
          <w:rFonts w:ascii="Arial" w:cs="Arial" w:eastAsia="Arial" w:hAnsi="Arial"/>
          <w:sz w:val="17"/>
          <w:szCs w:val="17"/>
          <w:color w:val="auto"/>
        </w:rPr>
      </w:pPr>
    </w:p>
    <w:p>
      <w:pPr>
        <w:jc w:val="both"/>
        <w:ind w:left="804" w:hanging="480"/>
        <w:spacing w:after="0" w:line="264" w:lineRule="auto"/>
        <w:tabs>
          <w:tab w:leader="none" w:pos="8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Notwithstanding the foregoing, in no case will an event in (i), (ii) or (iii) be treated as a Change in Control unless such event also constitutes a “change in control event” with respect to the Company within the meaning of Treas. Reg. § 1.409A-3(i)(5) or any successor provision.</w:t>
      </w:r>
    </w:p>
    <w:p>
      <w:pPr>
        <w:spacing w:after="0" w:line="208" w:lineRule="exact"/>
        <w:rPr>
          <w:sz w:val="20"/>
          <w:szCs w:val="20"/>
          <w:color w:val="auto"/>
        </w:rPr>
      </w:pPr>
    </w:p>
    <w:p>
      <w:pPr>
        <w:ind w:left="404" w:hanging="404"/>
        <w:spacing w:after="0"/>
        <w:tabs>
          <w:tab w:leader="none" w:pos="4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Article I of the Plan is amended further by adding the following new Section 1-18A:</w:t>
      </w:r>
    </w:p>
    <w:p>
      <w:pPr>
        <w:spacing w:after="0" w:line="252" w:lineRule="exact"/>
        <w:rPr>
          <w:sz w:val="20"/>
          <w:szCs w:val="20"/>
          <w:color w:val="auto"/>
        </w:rPr>
      </w:pPr>
    </w:p>
    <w:p>
      <w:pPr>
        <w:jc w:val="both"/>
        <w:ind w:left="324" w:firstLine="270"/>
        <w:spacing w:after="0" w:line="259" w:lineRule="auto"/>
        <w:rPr>
          <w:sz w:val="20"/>
          <w:szCs w:val="20"/>
          <w:color w:val="auto"/>
        </w:rPr>
      </w:pPr>
      <w:r>
        <w:rPr>
          <w:rFonts w:ascii="Arial" w:cs="Arial" w:eastAsia="Arial" w:hAnsi="Arial"/>
          <w:sz w:val="18"/>
          <w:szCs w:val="18"/>
          <w:color w:val="auto"/>
        </w:rPr>
        <w:t xml:space="preserve">Sec. 1-18A. </w:t>
      </w:r>
      <w:r>
        <w:rPr>
          <w:rFonts w:ascii="Arial" w:cs="Arial" w:eastAsia="Arial" w:hAnsi="Arial"/>
          <w:sz w:val="18"/>
          <w:szCs w:val="18"/>
          <w:i w:val="1"/>
          <w:iCs w:val="1"/>
          <w:u w:val="single" w:color="auto"/>
          <w:color w:val="auto"/>
        </w:rPr>
        <w:t>Involuntary Termination</w:t>
      </w:r>
      <w:r>
        <w:rPr>
          <w:rFonts w:ascii="Arial" w:cs="Arial" w:eastAsia="Arial" w:hAnsi="Arial"/>
          <w:sz w:val="18"/>
          <w:szCs w:val="18"/>
          <w:i w:val="1"/>
          <w:iCs w:val="1"/>
          <w:color w:val="auto"/>
        </w:rPr>
        <w:t>.</w:t>
      </w:r>
      <w:r>
        <w:rPr>
          <w:rFonts w:ascii="Arial" w:cs="Arial" w:eastAsia="Arial" w:hAnsi="Arial"/>
          <w:sz w:val="18"/>
          <w:szCs w:val="18"/>
          <w:color w:val="auto"/>
        </w:rPr>
        <w:t xml:space="preserve"> “Involuntary Termination” shall mean a Termination of Employment, other than for cause due to the independent exercise of unilateral authority of TI to terminate the Participant’s services, other than due to the Participant’s implicit or explicit request, where the Participant was willing and able to continue to perform services, in accordance with Treas. Reg. § 1.409A-1(n)(1) or any successor provision.</w:t>
      </w:r>
    </w:p>
    <w:p>
      <w:pPr>
        <w:spacing w:after="0" w:line="214" w:lineRule="exact"/>
        <w:rPr>
          <w:sz w:val="20"/>
          <w:szCs w:val="20"/>
          <w:color w:val="auto"/>
        </w:rPr>
      </w:pPr>
    </w:p>
    <w:p>
      <w:pPr>
        <w:ind w:left="404" w:hanging="404"/>
        <w:spacing w:after="0"/>
        <w:tabs>
          <w:tab w:leader="none" w:pos="4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Article I of the Plan is amended further by adding the following new Section 1-22A:</w:t>
      </w:r>
    </w:p>
    <w:p>
      <w:pPr>
        <w:spacing w:after="0" w:line="252" w:lineRule="exact"/>
        <w:rPr>
          <w:sz w:val="20"/>
          <w:szCs w:val="20"/>
          <w:color w:val="auto"/>
        </w:rPr>
      </w:pPr>
    </w:p>
    <w:p>
      <w:pPr>
        <w:jc w:val="both"/>
        <w:ind w:left="324" w:firstLine="336"/>
        <w:spacing w:after="0" w:line="264" w:lineRule="auto"/>
        <w:rPr>
          <w:sz w:val="20"/>
          <w:szCs w:val="20"/>
          <w:color w:val="auto"/>
        </w:rPr>
      </w:pPr>
      <w:r>
        <w:rPr>
          <w:rFonts w:ascii="Arial" w:cs="Arial" w:eastAsia="Arial" w:hAnsi="Arial"/>
          <w:sz w:val="18"/>
          <w:szCs w:val="18"/>
          <w:color w:val="auto"/>
        </w:rPr>
        <w:t xml:space="preserve">Sec. 1-22A. </w:t>
      </w:r>
      <w:r>
        <w:rPr>
          <w:rFonts w:ascii="Arial" w:cs="Arial" w:eastAsia="Arial" w:hAnsi="Arial"/>
          <w:sz w:val="18"/>
          <w:szCs w:val="18"/>
          <w:i w:val="1"/>
          <w:iCs w:val="1"/>
          <w:u w:val="single" w:color="auto"/>
          <w:color w:val="auto"/>
        </w:rPr>
        <w:t>Specified Employee</w:t>
      </w:r>
      <w:r>
        <w:rPr>
          <w:rFonts w:ascii="Arial" w:cs="Arial" w:eastAsia="Arial" w:hAnsi="Arial"/>
          <w:sz w:val="18"/>
          <w:szCs w:val="18"/>
          <w:i w:val="1"/>
          <w:iCs w:val="1"/>
          <w:color w:val="auto"/>
        </w:rPr>
        <w:t>.</w:t>
      </w:r>
      <w:r>
        <w:rPr>
          <w:rFonts w:ascii="Arial" w:cs="Arial" w:eastAsia="Arial" w:hAnsi="Arial"/>
          <w:sz w:val="18"/>
          <w:szCs w:val="18"/>
          <w:color w:val="auto"/>
        </w:rPr>
        <w:t xml:space="preserve"> “Specified Employee” shall mean an employee who is a “specified employee” (as defined in Section 409A(2)(B)(i) of the Code) for the applicable period, as determined by the Committee in accordance with Treas. Reg. § 1.409A-1(i), or any successor provision.</w:t>
      </w:r>
    </w:p>
    <w:p>
      <w:pPr>
        <w:spacing w:after="0" w:line="200" w:lineRule="exact"/>
        <w:rPr>
          <w:sz w:val="20"/>
          <w:szCs w:val="20"/>
          <w:color w:val="auto"/>
        </w:rPr>
      </w:pPr>
    </w:p>
    <w:p>
      <w:pPr>
        <w:spacing w:after="0" w:line="396" w:lineRule="exact"/>
        <w:rPr>
          <w:sz w:val="20"/>
          <w:szCs w:val="20"/>
          <w:color w:val="auto"/>
        </w:rPr>
      </w:pPr>
    </w:p>
    <w:p>
      <w:pPr>
        <w:ind w:left="4904"/>
        <w:spacing w:after="0"/>
        <w:rPr>
          <w:sz w:val="20"/>
          <w:szCs w:val="20"/>
          <w:color w:val="auto"/>
        </w:rPr>
      </w:pPr>
      <w:r>
        <w:rPr>
          <w:rFonts w:ascii="Arial" w:cs="Arial" w:eastAsia="Arial" w:hAnsi="Arial"/>
          <w:sz w:val="14"/>
          <w:szCs w:val="14"/>
          <w:color w:val="auto"/>
        </w:rPr>
        <w:t>- 2 -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70485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517" w:right="239" w:bottom="1440" w:gutter="0" w:footer="0" w:header="0"/>
        </w:sectPr>
      </w:pPr>
    </w:p>
    <w:bookmarkStart w:id="27" w:name="page28"/>
    <w:bookmarkEnd w:id="27"/>
    <w:p>
      <w:pPr>
        <w:ind w:left="1060" w:hanging="40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Article I of the Plan is amended further by adding the following new Section 1-23A:</w:t>
      </w:r>
    </w:p>
    <w:p>
      <w:pPr>
        <w:spacing w:after="0" w:line="252" w:lineRule="exact"/>
        <w:rPr>
          <w:sz w:val="20"/>
          <w:szCs w:val="20"/>
          <w:color w:val="auto"/>
        </w:rPr>
      </w:pPr>
    </w:p>
    <w:p>
      <w:pPr>
        <w:ind w:left="980" w:firstLine="378"/>
        <w:spacing w:after="0" w:line="277" w:lineRule="auto"/>
        <w:rPr>
          <w:sz w:val="20"/>
          <w:szCs w:val="20"/>
          <w:color w:val="auto"/>
        </w:rPr>
      </w:pPr>
      <w:r>
        <w:rPr>
          <w:rFonts w:ascii="Arial" w:cs="Arial" w:eastAsia="Arial" w:hAnsi="Arial"/>
          <w:sz w:val="18"/>
          <w:szCs w:val="18"/>
          <w:color w:val="auto"/>
        </w:rPr>
        <w:t xml:space="preserve">Sec. 1-23A. </w:t>
      </w:r>
      <w:r>
        <w:rPr>
          <w:rFonts w:ascii="Arial" w:cs="Arial" w:eastAsia="Arial" w:hAnsi="Arial"/>
          <w:sz w:val="18"/>
          <w:szCs w:val="18"/>
          <w:i w:val="1"/>
          <w:iCs w:val="1"/>
          <w:u w:val="single" w:color="auto"/>
          <w:color w:val="auto"/>
        </w:rPr>
        <w:t>Termination of Employment</w:t>
      </w:r>
      <w:r>
        <w:rPr>
          <w:rFonts w:ascii="Arial" w:cs="Arial" w:eastAsia="Arial" w:hAnsi="Arial"/>
          <w:sz w:val="18"/>
          <w:szCs w:val="18"/>
          <w:i w:val="1"/>
          <w:iCs w:val="1"/>
          <w:color w:val="auto"/>
        </w:rPr>
        <w:t>.</w:t>
      </w:r>
      <w:r>
        <w:rPr>
          <w:rFonts w:ascii="Arial" w:cs="Arial" w:eastAsia="Arial" w:hAnsi="Arial"/>
          <w:sz w:val="18"/>
          <w:szCs w:val="18"/>
          <w:color w:val="auto"/>
        </w:rPr>
        <w:t xml:space="preserve"> “Termination of Employment” shall mean the date on which the Participant has incurred a “separation from service” within the meaning of Treasury Regulation section 1.409A-1(h) or any successor provision.</w:t>
      </w:r>
    </w:p>
    <w:p>
      <w:pPr>
        <w:spacing w:after="0" w:line="197" w:lineRule="exact"/>
        <w:rPr>
          <w:sz w:val="20"/>
          <w:szCs w:val="20"/>
          <w:color w:val="auto"/>
        </w:rPr>
      </w:pPr>
    </w:p>
    <w:p>
      <w:pPr>
        <w:ind w:left="1100" w:hanging="444"/>
        <w:spacing w:after="0"/>
        <w:tabs>
          <w:tab w:leader="none" w:pos="11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Section 2-3 of the Plan is amended, effective as of January 1, 2009, by striking said Section and substituting in lieu thereof the following new</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2-3:</w:t>
      </w:r>
    </w:p>
    <w:p>
      <w:pPr>
        <w:spacing w:after="0" w:line="238" w:lineRule="exact"/>
        <w:rPr>
          <w:sz w:val="20"/>
          <w:szCs w:val="20"/>
          <w:color w:val="auto"/>
        </w:rPr>
      </w:pPr>
    </w:p>
    <w:p>
      <w:pPr>
        <w:ind w:left="900"/>
        <w:spacing w:after="0"/>
        <w:tabs>
          <w:tab w:leader="none" w:pos="1840" w:val="left"/>
        </w:tabs>
        <w:rPr>
          <w:sz w:val="20"/>
          <w:szCs w:val="20"/>
          <w:color w:val="auto"/>
        </w:rPr>
      </w:pPr>
      <w:r>
        <w:rPr>
          <w:rFonts w:ascii="Arial" w:cs="Arial" w:eastAsia="Arial" w:hAnsi="Arial"/>
          <w:sz w:val="18"/>
          <w:szCs w:val="18"/>
          <w:color w:val="auto"/>
        </w:rPr>
        <w:t>Sec. 2-3.</w:t>
      </w:r>
      <w:r>
        <w:rPr>
          <w:sz w:val="20"/>
          <w:szCs w:val="20"/>
          <w:color w:val="auto"/>
        </w:rPr>
        <w:tab/>
      </w:r>
      <w:r>
        <w:rPr>
          <w:rFonts w:ascii="Arial" w:cs="Arial" w:eastAsia="Arial" w:hAnsi="Arial"/>
          <w:sz w:val="16"/>
          <w:szCs w:val="16"/>
          <w:i w:val="1"/>
          <w:iCs w:val="1"/>
          <w:u w:val="single" w:color="auto"/>
          <w:color w:val="auto"/>
        </w:rPr>
        <w:t>Participation in a Benefit Restoration Account for Participants in the TI Contribution and 401(k) Savings Plan</w:t>
      </w:r>
      <w:r>
        <w:rPr>
          <w:rFonts w:ascii="Arial" w:cs="Arial" w:eastAsia="Arial" w:hAnsi="Arial"/>
          <w:sz w:val="16"/>
          <w:szCs w:val="16"/>
          <w:color w:val="auto"/>
        </w:rPr>
        <w:t>.</w:t>
      </w:r>
    </w:p>
    <w:p>
      <w:pPr>
        <w:spacing w:after="0" w:line="252" w:lineRule="exact"/>
        <w:rPr>
          <w:sz w:val="20"/>
          <w:szCs w:val="20"/>
          <w:color w:val="auto"/>
        </w:rPr>
      </w:pPr>
    </w:p>
    <w:p>
      <w:pPr>
        <w:ind w:left="1460" w:right="20" w:hanging="480"/>
        <w:spacing w:after="0" w:line="277" w:lineRule="auto"/>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Eligible Employee will become a Participant in this Plan, and a Benefit Restoration Account in the name of the Participant will be credited with the excess of:</w:t>
      </w:r>
    </w:p>
    <w:p>
      <w:pPr>
        <w:spacing w:after="0" w:line="197" w:lineRule="exact"/>
        <w:rPr>
          <w:rFonts w:ascii="Arial" w:cs="Arial" w:eastAsia="Arial" w:hAnsi="Arial"/>
          <w:sz w:val="18"/>
          <w:szCs w:val="18"/>
          <w:color w:val="auto"/>
        </w:rPr>
      </w:pPr>
    </w:p>
    <w:p>
      <w:pPr>
        <w:jc w:val="both"/>
        <w:ind w:left="2040" w:hanging="492"/>
        <w:spacing w:after="0" w:line="254" w:lineRule="auto"/>
        <w:tabs>
          <w:tab w:leader="none" w:pos="20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sum, if any, of (1) the contributions which would have been credited to such Participant’s “Contribution Account” under the TI Contribution and 401(k) Savings Plan for that Plan Year if the Employee’s “Compensation,” as defined in the TI Contribution and 401(k) Savings Plan, was not subject to the limitations under Section 401(a)(17) of the Code and/or Section 415 of the Code for such Plan Year, and (2) if the Eligible Employee is a Designated Employee, the contributions which would have been credited to such Participant’s “Contribution Account” under the TI Contribution and 401(k) Savings Plan for that Plan Year, if the Employee’s “Compensation,” as defined in the TI Contribution and 401(k) Savings Plan, had not been reduced during that Plan Year because the Participant deferred Regular Compensation or deferred a Year-End Performance Bonus under this Plan which was paid in that Plan Year; over</w:t>
      </w:r>
    </w:p>
    <w:p>
      <w:pPr>
        <w:spacing w:after="0" w:line="219" w:lineRule="exact"/>
        <w:rPr>
          <w:rFonts w:ascii="Arial" w:cs="Arial" w:eastAsia="Arial" w:hAnsi="Arial"/>
          <w:sz w:val="18"/>
          <w:szCs w:val="18"/>
          <w:color w:val="auto"/>
        </w:rPr>
      </w:pPr>
    </w:p>
    <w:p>
      <w:pPr>
        <w:ind w:left="2040" w:hanging="492"/>
        <w:spacing w:after="0"/>
        <w:tabs>
          <w:tab w:leader="none" w:pos="20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contributions actually credited to such Participant’s “Contribution Account” for such Plan Year.</w:t>
      </w:r>
    </w:p>
    <w:p>
      <w:pPr>
        <w:spacing w:after="0" w:line="252" w:lineRule="exact"/>
        <w:rPr>
          <w:sz w:val="20"/>
          <w:szCs w:val="20"/>
          <w:color w:val="auto"/>
        </w:rPr>
      </w:pPr>
    </w:p>
    <w:p>
      <w:pPr>
        <w:ind w:left="1460" w:hanging="480"/>
        <w:spacing w:after="0" w:line="277" w:lineRule="auto"/>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Eligible Employee will become a Participant in this Plan, and a Benefit Restoration Account in the name of such Participant will be credited with an amount equal to the excess of:</w:t>
      </w:r>
    </w:p>
    <w:p>
      <w:pPr>
        <w:spacing w:after="0" w:line="197" w:lineRule="exact"/>
        <w:rPr>
          <w:rFonts w:ascii="Arial" w:cs="Arial" w:eastAsia="Arial" w:hAnsi="Arial"/>
          <w:sz w:val="18"/>
          <w:szCs w:val="18"/>
          <w:color w:val="auto"/>
        </w:rPr>
      </w:pPr>
    </w:p>
    <w:p>
      <w:pPr>
        <w:jc w:val="both"/>
        <w:ind w:left="2040" w:hanging="492"/>
        <w:spacing w:after="0" w:line="290" w:lineRule="auto"/>
        <w:tabs>
          <w:tab w:leader="none" w:pos="2040"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lesser of (1) four percent (4%) of the Eligible Employee’s “Compensation,” as defined in the TI Contribution and 401(k) Savings Plan for that Plan Year if the Eligible Employee’s “Compensation” (A) was not subject to the limitations under Section 401(a)(17) and/or Section 415 of the Code for such Plan Year and, (B) in the case of an Eligible Employee who is a Designated Employee, had not been reduced during that Plan Year because the Eligible Employee deferred Regular Compensation or deferred a Year-End Performance Bonus under this Plan which was paid in that Plan Year, or (2) the sum of (A) the “Employer 401(k) Contributions actually credited to such Eligible Employee’s “401(k) Account” pursuant to Section 4-1(a) of the TI Contribution and 401(k) Savings Plan, plus (B) the amount of the Regular Compensation and/or a Year-End Performance Bonus which was paid in such Plan Year deferred by the Eligible Employee under this Plan for such Plan Year; over</w:t>
      </w:r>
    </w:p>
    <w:p>
      <w:pPr>
        <w:spacing w:after="0" w:line="337" w:lineRule="exact"/>
        <w:rPr>
          <w:rFonts w:ascii="Arial" w:cs="Arial" w:eastAsia="Arial" w:hAnsi="Arial"/>
          <w:sz w:val="16"/>
          <w:szCs w:val="16"/>
          <w:color w:val="auto"/>
        </w:rPr>
      </w:pPr>
    </w:p>
    <w:p>
      <w:pPr>
        <w:ind w:left="5640" w:hanging="88"/>
        <w:spacing w:after="0"/>
        <w:tabs>
          <w:tab w:leader="none" w:pos="5640" w:val="left"/>
        </w:tabs>
        <w:numPr>
          <w:ilvl w:val="2"/>
          <w:numId w:val="20"/>
        </w:numPr>
        <w:rPr>
          <w:rFonts w:ascii="Arial" w:cs="Arial" w:eastAsia="Arial" w:hAnsi="Arial"/>
          <w:sz w:val="14"/>
          <w:szCs w:val="14"/>
          <w:color w:val="auto"/>
        </w:rPr>
      </w:pPr>
      <w:r>
        <w:rPr>
          <w:rFonts w:ascii="Arial" w:cs="Arial" w:eastAsia="Arial" w:hAnsi="Arial"/>
          <w:sz w:val="14"/>
          <w:szCs w:val="14"/>
          <w:color w:val="auto"/>
        </w:rPr>
        <w:t>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8" w:name="page29"/>
    <w:bookmarkEnd w:id="28"/>
    <w:p>
      <w:pPr>
        <w:ind w:left="2040" w:hanging="492"/>
        <w:spacing w:after="0" w:line="277" w:lineRule="auto"/>
        <w:tabs>
          <w:tab w:leader="none" w:pos="2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“Employer 401(m) Contributions” actually credited to such Participant’s “401(k) Account” under the TI Contribution and 401(k) Savings Plan for that Plan Year;</w:t>
      </w:r>
    </w:p>
    <w:p>
      <w:pPr>
        <w:spacing w:after="0" w:line="197"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provided that no benefit restoration shall be made pursuant to this Section 2-3(ii) unless the Eligible Employee has made an election under the TI Contribution and 401(k) Savings Plan to defer the maximum amount of compensation permitted under Section 402(g) of the Code, including, in the case of any Participant eligible to make catch-up contributions, the maximum amount of catch-up contributions permitted under Section 414(v) of the Code.</w:t>
      </w:r>
    </w:p>
    <w:p>
      <w:pPr>
        <w:spacing w:after="0" w:line="214" w:lineRule="exact"/>
        <w:rPr>
          <w:sz w:val="20"/>
          <w:szCs w:val="20"/>
          <w:color w:val="auto"/>
        </w:rPr>
      </w:pPr>
    </w:p>
    <w:p>
      <w:pPr>
        <w:ind w:left="1100" w:hanging="444"/>
        <w:spacing w:after="0"/>
        <w:tabs>
          <w:tab w:leader="none" w:pos="11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Section 2-4 of the Plan is amended, effective as of January 1, 2009, by striking said Section and substituting in lieu thereof the following new</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2-4:</w:t>
      </w:r>
    </w:p>
    <w:p>
      <w:pPr>
        <w:spacing w:after="0" w:line="238" w:lineRule="exact"/>
        <w:rPr>
          <w:sz w:val="20"/>
          <w:szCs w:val="20"/>
          <w:color w:val="auto"/>
        </w:rPr>
      </w:pPr>
    </w:p>
    <w:p>
      <w:pPr>
        <w:jc w:val="both"/>
        <w:ind w:left="980"/>
        <w:spacing w:after="0" w:line="289" w:lineRule="auto"/>
        <w:rPr>
          <w:sz w:val="20"/>
          <w:szCs w:val="20"/>
          <w:color w:val="auto"/>
        </w:rPr>
      </w:pPr>
      <w:r>
        <w:rPr>
          <w:rFonts w:ascii="Arial" w:cs="Arial" w:eastAsia="Arial" w:hAnsi="Arial"/>
          <w:sz w:val="16"/>
          <w:szCs w:val="16"/>
          <w:color w:val="auto"/>
        </w:rPr>
        <w:t xml:space="preserve">Sec. 2-4. </w:t>
      </w:r>
      <w:r>
        <w:rPr>
          <w:rFonts w:ascii="Arial" w:cs="Arial" w:eastAsia="Arial" w:hAnsi="Arial"/>
          <w:sz w:val="16"/>
          <w:szCs w:val="16"/>
          <w:i w:val="1"/>
          <w:iCs w:val="1"/>
          <w:u w:val="single" w:color="auto"/>
          <w:color w:val="auto"/>
        </w:rPr>
        <w:t>Participation in a Benefit Restoration Account for Participants in the TI 401(k) Savings Plan</w:t>
      </w:r>
      <w:r>
        <w:rPr>
          <w:rFonts w:ascii="Arial" w:cs="Arial" w:eastAsia="Arial" w:hAnsi="Arial"/>
          <w:sz w:val="16"/>
          <w:szCs w:val="16"/>
          <w:color w:val="auto"/>
        </w:rPr>
        <w:t>. A Designated Employee who otherwise is an Eligible Employee will become a Participant in this Plan, and a Benefit Restoration Account in the name of such Participant will be credited with “Employer Matched Savings Contributions” not credited to the Participant’s “401(k) Account” under the TI 401(k) Savings Plan for that Plan Year solely because the Participant deferred Regular Compensation or deferred a Year-End Performance Bonus under this Plan which was paid in that Plan Year, as of the earliest date the Regular Compensation or Year-End Performance Bonus is credited to the Participant’s Deferred Compensation Account pursuant to Section 3-2 below; provided that the Participant has made an election under the TI 401(k) Savings Plan to defer the maximum amount of compensation permitted under Section 402(g) of the Code, and provided further that such contribution, when added to any “Matched Savings Contribution” actually made pursuant to the TI 401(k) Savings Plan, does not exceed 2% of such Participant’s Compensation during the Plan Year as limited by Section 401(a)(17) of the Code.</w:t>
      </w:r>
    </w:p>
    <w:p>
      <w:pPr>
        <w:spacing w:after="0" w:line="194"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Section 3-7 of the Plan is amended by adding the following new Section 3-7(iii) and renumbering current Sections 3-7(iii) and (iv) as Sections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3-7(iv) and (v):</w:t>
      </w:r>
    </w:p>
    <w:p>
      <w:pPr>
        <w:spacing w:after="0" w:line="237" w:lineRule="exact"/>
        <w:rPr>
          <w:rFonts w:ascii="Arial" w:cs="Arial" w:eastAsia="Arial" w:hAnsi="Arial"/>
          <w:sz w:val="16"/>
          <w:szCs w:val="16"/>
          <w:color w:val="auto"/>
        </w:rPr>
      </w:pPr>
    </w:p>
    <w:p>
      <w:pPr>
        <w:ind w:left="2280" w:hanging="1300"/>
        <w:spacing w:after="0" w:line="273" w:lineRule="auto"/>
        <w:tabs>
          <w:tab w:leader="none" w:pos="1632" w:val="left"/>
        </w:tabs>
        <w:numPr>
          <w:ilvl w:val="1"/>
          <w:numId w:val="23"/>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7"/>
          <w:szCs w:val="17"/>
          <w:color w:val="auto"/>
        </w:rPr>
        <w:t>Notwithstanding the foregoing, in the event a Participant experiences an Involuntary Termination within 24 months after a Change in Control, such Participant shall receive a distribution of the balances credited to the Participant’s Accounts which are attributable to amounts credited to those Accounts in Plan Years beginning on and after January 1, 2010, except that with respect to amounts credited to a Participant’s Account attributable to deferred Year-End Performance Bonuses and deferred Cash Profit Sharing Compensation, the provisions of this Section 3-7(iii)(a) shall only apply to such amounts credited to the Participant’s Accounts beginning on and after January 1, 2011.</w:t>
      </w:r>
    </w:p>
    <w:p>
      <w:pPr>
        <w:spacing w:after="0" w:line="349" w:lineRule="exact"/>
        <w:rPr>
          <w:rFonts w:ascii="Arial" w:cs="Arial" w:eastAsia="Arial" w:hAnsi="Arial"/>
          <w:sz w:val="18"/>
          <w:szCs w:val="18"/>
          <w:color w:val="auto"/>
        </w:rPr>
      </w:pPr>
    </w:p>
    <w:p>
      <w:pPr>
        <w:ind w:left="5640" w:hanging="88"/>
        <w:spacing w:after="0"/>
        <w:tabs>
          <w:tab w:leader="none" w:pos="5640" w:val="left"/>
        </w:tabs>
        <w:numPr>
          <w:ilvl w:val="2"/>
          <w:numId w:val="23"/>
        </w:numPr>
        <w:rPr>
          <w:rFonts w:ascii="Arial" w:cs="Arial" w:eastAsia="Arial" w:hAnsi="Arial"/>
          <w:sz w:val="14"/>
          <w:szCs w:val="14"/>
          <w:color w:val="auto"/>
        </w:rPr>
      </w:pPr>
      <w:r>
        <w:rPr>
          <w:rFonts w:ascii="Arial" w:cs="Arial" w:eastAsia="Arial" w:hAnsi="Arial"/>
          <w:sz w:val="14"/>
          <w:szCs w:val="14"/>
          <w:color w:val="auto"/>
        </w:rPr>
        <w:t>4 -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9" w:name="page30"/>
    <w:bookmarkEnd w:id="29"/>
    <w:p>
      <w:pPr>
        <w:jc w:val="both"/>
        <w:ind w:left="2120" w:hanging="491"/>
        <w:spacing w:after="0" w:line="255" w:lineRule="auto"/>
        <w:tabs>
          <w:tab w:leader="none" w:pos="2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the extent permitted without additional tax or penalty by Section 409A of the Code, the amounts to be distributed pursuant to this Section 3-7(iii) shall be paid in a lump sum on, or as soon as practicable (but no later than ninety (90) days) after, the Participant’s Involuntary Termination, provided, however, that if the Participant is a Specified Employee upon such Involuntary Termination, and the limitations set forth in Section 409A(a)(2)(B)(i) of the Code are applicable to such Participant, said amounts shall be distributed in a lump sum as soon as practicable (but no more than ten (10) days) after, the earlier of (1) the first day of the seventh month following such Participant’s Involuntary Termination, or, (2) the date of death of such Participant; and</w:t>
      </w:r>
    </w:p>
    <w:p>
      <w:pPr>
        <w:spacing w:after="0" w:line="216" w:lineRule="exact"/>
        <w:rPr>
          <w:rFonts w:ascii="Arial" w:cs="Arial" w:eastAsia="Arial" w:hAnsi="Arial"/>
          <w:sz w:val="18"/>
          <w:szCs w:val="18"/>
          <w:color w:val="auto"/>
        </w:rPr>
      </w:pPr>
    </w:p>
    <w:p>
      <w:pPr>
        <w:jc w:val="both"/>
        <w:ind w:left="2120" w:hanging="491"/>
        <w:spacing w:after="0" w:line="312" w:lineRule="auto"/>
        <w:tabs>
          <w:tab w:leader="none" w:pos="21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 the extent that distributions of amounts pursuant to this Section 3-7(iii) are not permitted without additional tax or penalty by Section 409A of the Code, the affected Participants shall receive distribution of the amounts referred to in this Section 3-7(iii) at the appropriate Scheduled Distribution Dates and in the appropriate forms of payment otherwise elected by such Participants.</w:t>
      </w:r>
    </w:p>
    <w:p>
      <w:pPr>
        <w:spacing w:after="0" w:line="17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undersigned hereby adopts this AMENDMENT NO. 1 TO THE TI DEFERRED COMPENSATION PLAN on this 22 day of December, 2009, effective as of the dates set forth above, reflecting amendments approved by the Compensation Committee of the Board of Directors of Texas Instruments Incorporated on September 17, 2009 and amendments adopted pursuant to authority delegated by the Board of Directors of Texas Instruments Incorporated.</w:t>
      </w:r>
    </w:p>
    <w:p>
      <w:pPr>
        <w:spacing w:after="0" w:line="200" w:lineRule="exact"/>
        <w:rPr>
          <w:sz w:val="20"/>
          <w:szCs w:val="20"/>
          <w:color w:val="auto"/>
        </w:rPr>
      </w:pPr>
    </w:p>
    <w:p>
      <w:pPr>
        <w:spacing w:after="0" w:line="217" w:lineRule="exact"/>
        <w:rPr>
          <w:sz w:val="20"/>
          <w:szCs w:val="20"/>
          <w:color w:val="auto"/>
        </w:rPr>
      </w:pPr>
    </w:p>
    <w:p>
      <w:pPr>
        <w:ind w:left="5280"/>
        <w:spacing w:after="0"/>
        <w:tabs>
          <w:tab w:leader="none" w:pos="6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Darla Whitaker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14605</wp:posOffset>
            </wp:positionV>
            <wp:extent cx="32588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Darla Whitaker</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Senior Vice President – Human Resources</w:t>
      </w:r>
    </w:p>
    <w:p>
      <w:pPr>
        <w:spacing w:after="0" w:line="200" w:lineRule="exact"/>
        <w:rPr>
          <w:sz w:val="20"/>
          <w:szCs w:val="20"/>
          <w:color w:val="auto"/>
        </w:rPr>
      </w:pPr>
    </w:p>
    <w:p>
      <w:pPr>
        <w:spacing w:after="0" w:line="344"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10(l)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Stock Option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34"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Form No. 2</w:t>
      </w:r>
    </w:p>
    <w:p>
      <w:pPr>
        <w:spacing w:after="0" w:line="27"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2009 LTIP</w:t>
      </w:r>
    </w:p>
    <w:p>
      <w:pPr>
        <w:spacing w:after="0" w:line="200" w:lineRule="exact"/>
        <w:rPr>
          <w:sz w:val="20"/>
          <w:szCs w:val="20"/>
          <w:color w:val="auto"/>
        </w:rPr>
      </w:pP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Your option is subject to the following terms and conditions, your acceptance of which is required before you can exercise the option. As used below, “TI,” “the Company” and “the Option Date” have the meanings specified in Section 9.</w:t>
      </w:r>
    </w:p>
    <w:p>
      <w:pPr>
        <w:spacing w:after="0" w:line="197" w:lineRule="exact"/>
        <w:rPr>
          <w:sz w:val="20"/>
          <w:szCs w:val="20"/>
          <w:color w:val="auto"/>
        </w:rPr>
      </w:pPr>
    </w:p>
    <w:p>
      <w:pPr>
        <w:ind w:left="500" w:right="20" w:hanging="492"/>
        <w:spacing w:after="0" w:line="277"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 On or after the first anniversary of the Option Date, during the balance of the option term, your option may be exercised and shares purchased at any time or times under the following conditions:</w:t>
      </w:r>
    </w:p>
    <w:p>
      <w:pPr>
        <w:spacing w:after="0" w:line="197" w:lineRule="exact"/>
        <w:rPr>
          <w:sz w:val="20"/>
          <w:szCs w:val="20"/>
          <w:color w:val="auto"/>
        </w:rPr>
      </w:pPr>
    </w:p>
    <w:p>
      <w:pPr>
        <w:ind w:left="980" w:hanging="486"/>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Installment Table</w:t>
      </w:r>
      <w:r>
        <w:rPr>
          <w:rFonts w:ascii="Arial" w:cs="Arial" w:eastAsia="Arial" w:hAnsi="Arial"/>
          <w:sz w:val="18"/>
          <w:szCs w:val="18"/>
          <w:color w:val="auto"/>
        </w:rPr>
        <w:t>. Except as provided in Sections 1(b) and 1(c), the option will be exercisable through the tenth anniversary of the Option Date based on the following table.</w:t>
      </w:r>
    </w:p>
    <w:p>
      <w:pPr>
        <w:spacing w:after="0" w:line="197" w:lineRule="exact"/>
        <w:rPr>
          <w:sz w:val="20"/>
          <w:szCs w:val="20"/>
          <w:color w:val="auto"/>
        </w:rPr>
      </w:pPr>
    </w:p>
    <w:tbl>
      <w:tblPr>
        <w:tblLayout w:type="fixed"/>
        <w:tblInd w:w="98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46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rPr>
              <w:t>On or After</w:t>
            </w:r>
          </w:p>
        </w:tc>
        <w:tc>
          <w:tcPr>
            <w:tcW w:w="200" w:type="dxa"/>
            <w:vAlign w:val="bottom"/>
          </w:tcPr>
          <w:p>
            <w:pPr>
              <w:spacing w:after="0"/>
              <w:rPr>
                <w:sz w:val="20"/>
                <w:szCs w:val="20"/>
                <w:color w:val="auto"/>
              </w:rPr>
            </w:pPr>
          </w:p>
        </w:tc>
        <w:tc>
          <w:tcPr>
            <w:tcW w:w="25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Percent Exercisable</w:t>
            </w: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anniversary of the Option Date</w:t>
            </w:r>
          </w:p>
        </w:tc>
        <w:tc>
          <w:tcPr>
            <w:tcW w:w="27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4"/>
              </w:rPr>
              <w:t>25%</w:t>
            </w:r>
          </w:p>
        </w:tc>
      </w:tr>
      <w:tr>
        <w:trPr>
          <w:trHeight w:val="216"/>
        </w:trPr>
        <w:tc>
          <w:tcPr>
            <w:tcW w:w="20" w:type="dxa"/>
            <w:vAlign w:val="bottom"/>
          </w:tcPr>
          <w:p>
            <w:pPr>
              <w:spacing w:after="0"/>
              <w:rPr>
                <w:sz w:val="18"/>
                <w:szCs w:val="18"/>
                <w:color w:val="auto"/>
              </w:rPr>
            </w:pPr>
          </w:p>
        </w:tc>
        <w:tc>
          <w:tcPr>
            <w:tcW w:w="3460" w:type="dxa"/>
            <w:vAlign w:val="bottom"/>
          </w:tcPr>
          <w:p>
            <w:pPr>
              <w:spacing w:after="0" w:line="216" w:lineRule="exact"/>
              <w:rPr>
                <w:sz w:val="20"/>
                <w:szCs w:val="20"/>
                <w:color w:val="auto"/>
              </w:rPr>
            </w:pPr>
            <w:r>
              <w:rPr>
                <w:rFonts w:ascii="Arial" w:cs="Arial" w:eastAsia="Arial" w:hAnsi="Arial"/>
                <w:sz w:val="18"/>
                <w:szCs w:val="18"/>
                <w:color w:val="auto"/>
              </w:rPr>
              <w:t>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anniversary of the Option Date</w:t>
            </w:r>
          </w:p>
        </w:tc>
        <w:tc>
          <w:tcPr>
            <w:tcW w:w="2780" w:type="dxa"/>
            <w:vAlign w:val="bottom"/>
            <w:gridSpan w:val="2"/>
          </w:tcPr>
          <w:p>
            <w:pPr>
              <w:jc w:val="center"/>
              <w:ind w:left="110"/>
              <w:spacing w:after="0"/>
              <w:rPr>
                <w:sz w:val="20"/>
                <w:szCs w:val="20"/>
                <w:color w:val="auto"/>
              </w:rPr>
            </w:pPr>
            <w:r>
              <w:rPr>
                <w:rFonts w:ascii="Arial" w:cs="Arial" w:eastAsia="Arial" w:hAnsi="Arial"/>
                <w:sz w:val="18"/>
                <w:szCs w:val="18"/>
                <w:color w:val="auto"/>
                <w:w w:val="94"/>
              </w:rPr>
              <w:t>50%</w:t>
            </w: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anniversary of the Option Date</w:t>
            </w:r>
          </w:p>
        </w:tc>
        <w:tc>
          <w:tcPr>
            <w:tcW w:w="27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4"/>
              </w:rPr>
              <w:t>75%</w:t>
            </w:r>
          </w:p>
        </w:tc>
      </w:tr>
      <w:tr>
        <w:trPr>
          <w:trHeight w:val="329"/>
        </w:trPr>
        <w:tc>
          <w:tcPr>
            <w:tcW w:w="20" w:type="dxa"/>
            <w:vAlign w:val="bottom"/>
          </w:tcPr>
          <w:p>
            <w:pPr>
              <w:spacing w:after="0"/>
              <w:rPr>
                <w:sz w:val="24"/>
                <w:szCs w:val="24"/>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anniversary of the Option Date</w:t>
            </w:r>
          </w:p>
        </w:tc>
        <w:tc>
          <w:tcPr>
            <w:tcW w:w="2780" w:type="dxa"/>
            <w:vAlign w:val="bottom"/>
            <w:gridSpan w:val="2"/>
          </w:tcPr>
          <w:p>
            <w:pPr>
              <w:jc w:val="center"/>
              <w:ind w:left="110"/>
              <w:spacing w:after="0"/>
              <w:rPr>
                <w:sz w:val="20"/>
                <w:szCs w:val="20"/>
                <w:color w:val="auto"/>
              </w:rPr>
            </w:pPr>
            <w:r>
              <w:rPr>
                <w:rFonts w:ascii="Arial" w:cs="Arial" w:eastAsia="Arial" w:hAnsi="Arial"/>
                <w:sz w:val="18"/>
                <w:szCs w:val="18"/>
                <w:color w:val="auto"/>
                <w:w w:val="91"/>
              </w:rPr>
              <w:t>100%</w:t>
            </w:r>
          </w:p>
        </w:tc>
      </w:tr>
    </w:tbl>
    <w:p>
      <w:pPr>
        <w:spacing w:after="0" w:line="332" w:lineRule="exact"/>
        <w:rPr>
          <w:sz w:val="20"/>
          <w:szCs w:val="20"/>
          <w:color w:val="auto"/>
        </w:rPr>
      </w:pPr>
    </w:p>
    <w:p>
      <w:pPr>
        <w:ind w:left="980" w:hanging="486"/>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The effect of termination of employment from TI is as follows:</w:t>
      </w:r>
    </w:p>
    <w:p>
      <w:pPr>
        <w:spacing w:after="0" w:line="252" w:lineRule="exact"/>
        <w:rPr>
          <w:rFonts w:ascii="Arial" w:cs="Arial" w:eastAsia="Arial" w:hAnsi="Arial"/>
          <w:sz w:val="18"/>
          <w:szCs w:val="18"/>
          <w:color w:val="auto"/>
        </w:rPr>
      </w:pPr>
    </w:p>
    <w:p>
      <w:pPr>
        <w:ind w:left="1460" w:hanging="480"/>
        <w:spacing w:after="0"/>
        <w:tabs>
          <w:tab w:leader="none" w:pos="1460"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 The option will be canceled immediately upon termination.</w:t>
      </w:r>
    </w:p>
    <w:p>
      <w:pPr>
        <w:spacing w:after="0" w:line="252" w:lineRule="exact"/>
        <w:rPr>
          <w:rFonts w:ascii="Arial" w:cs="Arial" w:eastAsia="Arial" w:hAnsi="Arial"/>
          <w:sz w:val="18"/>
          <w:szCs w:val="18"/>
          <w:color w:val="auto"/>
        </w:rPr>
      </w:pPr>
    </w:p>
    <w:p>
      <w:pPr>
        <w:ind w:left="1460" w:hanging="480"/>
        <w:spacing w:after="0"/>
        <w:tabs>
          <w:tab w:leader="none" w:pos="1460" w:val="left"/>
        </w:tabs>
        <w:numPr>
          <w:ilvl w:val="1"/>
          <w:numId w:val="27"/>
        </w:numPr>
        <w:rPr>
          <w:rFonts w:ascii="Arial" w:cs="Arial" w:eastAsia="Arial" w:hAnsi="Arial"/>
          <w:sz w:val="17"/>
          <w:szCs w:val="17"/>
          <w:color w:val="auto"/>
        </w:rPr>
      </w:pPr>
      <w:r>
        <w:rPr>
          <w:rFonts w:ascii="Arial" w:cs="Arial" w:eastAsia="Arial" w:hAnsi="Arial"/>
          <w:sz w:val="17"/>
          <w:szCs w:val="17"/>
          <w:u w:val="single" w:color="auto"/>
          <w:color w:val="auto"/>
        </w:rPr>
        <w:t>Death</w:t>
      </w:r>
      <w:r>
        <w:rPr>
          <w:rFonts w:ascii="Arial" w:cs="Arial" w:eastAsia="Arial" w:hAnsi="Arial"/>
          <w:sz w:val="17"/>
          <w:szCs w:val="17"/>
          <w:color w:val="auto"/>
        </w:rPr>
        <w:t>: The option will continue to full term, becoming exercisable per the table in Section 1(a), and will be exercisable by your heirs.</w:t>
      </w:r>
    </w:p>
    <w:p>
      <w:pPr>
        <w:spacing w:after="0" w:line="263" w:lineRule="exact"/>
        <w:rPr>
          <w:rFonts w:ascii="Arial" w:cs="Arial" w:eastAsia="Arial" w:hAnsi="Arial"/>
          <w:sz w:val="17"/>
          <w:szCs w:val="17"/>
          <w:color w:val="auto"/>
        </w:rPr>
      </w:pPr>
    </w:p>
    <w:p>
      <w:pPr>
        <w:ind w:left="1460" w:hanging="480"/>
        <w:spacing w:after="0"/>
        <w:tabs>
          <w:tab w:leader="none" w:pos="1460"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Permanent disability</w:t>
      </w:r>
      <w:r>
        <w:rPr>
          <w:rFonts w:ascii="Arial" w:cs="Arial" w:eastAsia="Arial" w:hAnsi="Arial"/>
          <w:sz w:val="18"/>
          <w:szCs w:val="18"/>
          <w:color w:val="auto"/>
        </w:rPr>
        <w:t>: The option will continue to full term, becoming exercisable per the table in Section 1(a).</w:t>
      </w:r>
    </w:p>
    <w:p>
      <w:pPr>
        <w:spacing w:after="0" w:line="252" w:lineRule="exact"/>
        <w:rPr>
          <w:rFonts w:ascii="Arial" w:cs="Arial" w:eastAsia="Arial" w:hAnsi="Arial"/>
          <w:sz w:val="18"/>
          <w:szCs w:val="18"/>
          <w:color w:val="auto"/>
        </w:rPr>
      </w:pPr>
    </w:p>
    <w:p>
      <w:pPr>
        <w:jc w:val="both"/>
        <w:ind w:left="1460" w:hanging="480"/>
        <w:spacing w:after="0" w:line="302" w:lineRule="auto"/>
        <w:tabs>
          <w:tab w:leader="none" w:pos="1460"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Termination (except for cause), at least six months after the Option Date and when you are retirement eligible (normal or early) either under the terms of the TI retirement or pension plan in your home country or the country in which you work, as applicable (regardless of whether you are a participant in such plan), or if there is no such plan, as may be set forth in the laws or regulations in your home country or the country in which you work, as applicable</w:t>
      </w:r>
      <w:r>
        <w:rPr>
          <w:rFonts w:ascii="Arial" w:cs="Arial" w:eastAsia="Arial" w:hAnsi="Arial"/>
          <w:sz w:val="16"/>
          <w:szCs w:val="16"/>
          <w:color w:val="auto"/>
        </w:rPr>
        <w:t>: The option will continue to full term, becoming exercisable per the table in Section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285115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31" w:name="page32"/>
    <w:bookmarkEnd w:id="31"/>
    <w:p>
      <w:pPr>
        <w:jc w:val="both"/>
        <w:ind w:left="1460" w:hanging="480"/>
        <w:spacing w:after="0" w:line="264" w:lineRule="auto"/>
        <w:tabs>
          <w:tab w:leader="none" w:pos="1460" w:val="left"/>
        </w:tabs>
        <w:numPr>
          <w:ilvl w:val="2"/>
          <w:numId w:val="28"/>
        </w:numPr>
        <w:rPr>
          <w:rFonts w:ascii="Arial" w:cs="Arial" w:eastAsia="Arial" w:hAnsi="Arial"/>
          <w:sz w:val="18"/>
          <w:szCs w:val="18"/>
          <w:color w:val="auto"/>
        </w:rPr>
      </w:pPr>
      <w:r>
        <w:rPr>
          <w:rFonts w:ascii="Arial" w:cs="Arial" w:eastAsia="Arial" w:hAnsi="Arial"/>
          <w:sz w:val="18"/>
          <w:szCs w:val="18"/>
          <w:u w:val="single" w:color="auto"/>
          <w:color w:val="auto"/>
        </w:rPr>
        <w:t>Termination (except for cause) at least six months after the Option Date and after 20 years of service (credited or otherwise) as a TI employee, but you are not retirement eligible as described in Section 1(b)(iv)</w:t>
      </w:r>
      <w:r>
        <w:rPr>
          <w:rFonts w:ascii="Arial" w:cs="Arial" w:eastAsia="Arial" w:hAnsi="Arial"/>
          <w:sz w:val="18"/>
          <w:szCs w:val="18"/>
          <w:color w:val="auto"/>
        </w:rPr>
        <w:t>: The option will continue to full term, but will be exercisable only to the extent it was exercisable on the date of termination.</w:t>
      </w:r>
    </w:p>
    <w:p>
      <w:pPr>
        <w:spacing w:after="0" w:line="208" w:lineRule="exact"/>
        <w:rPr>
          <w:rFonts w:ascii="Arial" w:cs="Arial" w:eastAsia="Arial" w:hAnsi="Arial"/>
          <w:sz w:val="18"/>
          <w:szCs w:val="18"/>
          <w:color w:val="auto"/>
        </w:rPr>
      </w:pPr>
    </w:p>
    <w:p>
      <w:pPr>
        <w:jc w:val="both"/>
        <w:ind w:left="1460" w:hanging="480"/>
        <w:spacing w:after="0" w:line="264" w:lineRule="auto"/>
        <w:tabs>
          <w:tab w:leader="none" w:pos="1460" w:val="left"/>
        </w:tabs>
        <w:numPr>
          <w:ilvl w:val="2"/>
          <w:numId w:val="28"/>
        </w:numPr>
        <w:rPr>
          <w:rFonts w:ascii="Arial" w:cs="Arial" w:eastAsia="Arial" w:hAnsi="Arial"/>
          <w:sz w:val="18"/>
          <w:szCs w:val="18"/>
          <w:color w:val="auto"/>
        </w:rPr>
      </w:pPr>
      <w:r>
        <w:rPr>
          <w:rFonts w:ascii="Arial" w:cs="Arial" w:eastAsia="Arial" w:hAnsi="Arial"/>
          <w:sz w:val="18"/>
          <w:szCs w:val="18"/>
          <w:u w:val="single" w:color="auto"/>
          <w:color w:val="auto"/>
        </w:rPr>
        <w:t>Involuntary Termination (as defined in Section 9) within 24 months after a Change in Control (as defined in Section 9)</w:t>
      </w:r>
      <w:r>
        <w:rPr>
          <w:rFonts w:ascii="Arial" w:cs="Arial" w:eastAsia="Arial" w:hAnsi="Arial"/>
          <w:sz w:val="18"/>
          <w:szCs w:val="18"/>
          <w:color w:val="auto"/>
        </w:rPr>
        <w:t>: The table in Section 1(a) and the other provisions of this Section 1(b) will not apply, and the option will become fully exercisable as of the date of your termination and continue to full term.</w:t>
      </w:r>
    </w:p>
    <w:p>
      <w:pPr>
        <w:spacing w:after="0" w:line="208" w:lineRule="exact"/>
        <w:rPr>
          <w:rFonts w:ascii="Arial" w:cs="Arial" w:eastAsia="Arial" w:hAnsi="Arial"/>
          <w:sz w:val="18"/>
          <w:szCs w:val="18"/>
          <w:color w:val="auto"/>
        </w:rPr>
      </w:pPr>
    </w:p>
    <w:p>
      <w:pPr>
        <w:ind w:left="1460" w:hanging="480"/>
        <w:spacing w:after="0"/>
        <w:tabs>
          <w:tab w:leader="none" w:pos="1460" w:val="left"/>
        </w:tabs>
        <w:numPr>
          <w:ilvl w:val="2"/>
          <w:numId w:val="28"/>
        </w:numPr>
        <w:rPr>
          <w:rFonts w:ascii="Arial" w:cs="Arial" w:eastAsia="Arial" w:hAnsi="Arial"/>
          <w:sz w:val="16"/>
          <w:szCs w:val="16"/>
          <w:color w:val="auto"/>
        </w:rPr>
      </w:pPr>
      <w:r>
        <w:rPr>
          <w:rFonts w:ascii="Arial" w:cs="Arial" w:eastAsia="Arial" w:hAnsi="Arial"/>
          <w:sz w:val="16"/>
          <w:szCs w:val="16"/>
          <w:u w:val="single" w:color="auto"/>
          <w:color w:val="auto"/>
        </w:rPr>
        <w:t>Other</w:t>
      </w:r>
      <w:r>
        <w:rPr>
          <w:rFonts w:ascii="Arial" w:cs="Arial" w:eastAsia="Arial" w:hAnsi="Arial"/>
          <w:sz w:val="16"/>
          <w:szCs w:val="16"/>
          <w:color w:val="auto"/>
        </w:rPr>
        <w:t>: For any termination other than those specified above, the option will be exercisable for 30 days after the date of termination, only</w:t>
      </w:r>
    </w:p>
    <w:p>
      <w:pPr>
        <w:spacing w:after="0" w:line="46" w:lineRule="exact"/>
        <w:rPr>
          <w:rFonts w:ascii="Arial" w:cs="Arial" w:eastAsia="Arial" w:hAnsi="Arial"/>
          <w:sz w:val="16"/>
          <w:szCs w:val="16"/>
          <w:color w:val="auto"/>
        </w:rPr>
      </w:pPr>
    </w:p>
    <w:p>
      <w:pPr>
        <w:jc w:val="both"/>
        <w:ind w:left="1460"/>
        <w:spacing w:after="0" w:line="255" w:lineRule="auto"/>
        <w:rPr>
          <w:rFonts w:ascii="Arial" w:cs="Arial" w:eastAsia="Arial" w:hAnsi="Arial"/>
          <w:sz w:val="16"/>
          <w:szCs w:val="16"/>
          <w:color w:val="auto"/>
        </w:rPr>
      </w:pPr>
      <w:r>
        <w:rPr>
          <w:rFonts w:ascii="Arial" w:cs="Arial" w:eastAsia="Arial" w:hAnsi="Arial"/>
          <w:sz w:val="18"/>
          <w:szCs w:val="18"/>
          <w:color w:val="auto"/>
        </w:rPr>
        <w:t>to the extent that it was exercisable on the date of termination per the table in Section 1(a), except as follows: If you die within 30 days after your termination, then your heirs may exercise the option for a period of up to one year after your death, but only to the extent any unexercised portion was exercisable on the date of termination.</w:t>
      </w:r>
    </w:p>
    <w:p>
      <w:pPr>
        <w:spacing w:after="0" w:line="213" w:lineRule="exact"/>
        <w:rPr>
          <w:rFonts w:ascii="Arial" w:cs="Arial" w:eastAsia="Arial" w:hAnsi="Arial"/>
          <w:sz w:val="16"/>
          <w:szCs w:val="16"/>
          <w:color w:val="auto"/>
        </w:rPr>
      </w:pPr>
    </w:p>
    <w:p>
      <w:pPr>
        <w:ind w:left="980" w:hanging="486"/>
        <w:spacing w:after="0" w:line="282" w:lineRule="auto"/>
        <w:tabs>
          <w:tab w:leader="none" w:pos="980" w:val="left"/>
        </w:tabs>
        <w:numPr>
          <w:ilvl w:val="1"/>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 Information and Competition</w:t>
      </w:r>
      <w:r>
        <w:rPr>
          <w:rFonts w:ascii="Arial" w:cs="Arial" w:eastAsia="Arial" w:hAnsi="Arial"/>
          <w:sz w:val="18"/>
          <w:szCs w:val="18"/>
          <w:b w:val="1"/>
          <w:bCs w:val="1"/>
          <w:color w:val="auto"/>
        </w:rPr>
        <w:t>. See Section 6, particularly Section 6(c), for the effect of disclosure of confidential information or of competition with TI.</w:t>
      </w:r>
    </w:p>
    <w:p>
      <w:pPr>
        <w:spacing w:after="0" w:line="192" w:lineRule="exact"/>
        <w:rPr>
          <w:rFonts w:ascii="Arial" w:cs="Arial" w:eastAsia="Arial" w:hAnsi="Arial"/>
          <w:sz w:val="18"/>
          <w:szCs w:val="18"/>
          <w:b w:val="1"/>
          <w:bCs w:val="1"/>
          <w:color w:val="auto"/>
        </w:rPr>
      </w:pPr>
    </w:p>
    <w:p>
      <w:pPr>
        <w:ind w:left="500" w:hanging="492"/>
        <w:spacing w:after="0" w:line="342" w:lineRule="auto"/>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Continuing Employment</w:t>
      </w:r>
      <w:r>
        <w:rPr>
          <w:rFonts w:ascii="Arial" w:cs="Arial" w:eastAsia="Arial" w:hAnsi="Arial"/>
          <w:sz w:val="16"/>
          <w:szCs w:val="16"/>
          <w:color w:val="auto"/>
        </w:rPr>
        <w:t>. Your option will not be affected by any change of employment so long as you continue to be employed by TI. The option will not constitute or be evidence of any agreement or understanding, expressed or implied, on the part of TI to employ you for any specific period.</w:t>
      </w:r>
    </w:p>
    <w:p>
      <w:pPr>
        <w:spacing w:after="0" w:line="150" w:lineRule="exact"/>
        <w:rPr>
          <w:rFonts w:ascii="Arial" w:cs="Arial" w:eastAsia="Arial" w:hAnsi="Arial"/>
          <w:sz w:val="16"/>
          <w:szCs w:val="16"/>
          <w:color w:val="auto"/>
        </w:rPr>
      </w:pPr>
    </w:p>
    <w:p>
      <w:pPr>
        <w:ind w:left="500" w:hanging="492"/>
        <w:spacing w:after="0" w:line="277"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Your option is not transferable except by will or by the laws of descent and distribution, and during your lifetime may be exercised only by you.</w:t>
      </w:r>
    </w:p>
    <w:p>
      <w:pPr>
        <w:spacing w:after="0" w:line="197"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Manner of Exercise</w:t>
      </w:r>
      <w:r>
        <w:rPr>
          <w:rFonts w:ascii="Arial" w:cs="Arial" w:eastAsia="Arial" w:hAnsi="Arial"/>
          <w:sz w:val="18"/>
          <w:szCs w:val="18"/>
          <w:color w:val="auto"/>
        </w:rPr>
        <w:t>. Your option may be exercised by delivery of a written notice of exercise to the Secretary of the Company or the Secretary’s designee, specifying the number of shares for which you wish to exercise the option, and delivery of the full purchase price thereof, in a form approved by the Compensation Committee of the Board of Directors of the Company, to the Secretary or the Secretary’s designee, or in such other manner as the Committee may otherwise from time to time permit.</w:t>
      </w:r>
    </w:p>
    <w:p>
      <w:pPr>
        <w:spacing w:after="0" w:line="213"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Long-Term Incentive Plan</w:t>
      </w:r>
      <w:r>
        <w:rPr>
          <w:rFonts w:ascii="Arial" w:cs="Arial" w:eastAsia="Arial" w:hAnsi="Arial"/>
          <w:sz w:val="18"/>
          <w:szCs w:val="18"/>
          <w:color w:val="auto"/>
        </w:rPr>
        <w:t>. Your option is subject to all of the terms and conditions of the Texas Instruments 2009 Long-Term Incentive Plan (hereinafter “the Plan”). In the event of any conflict between such terms and conditions and those set forth herein, the terms of the Plan shall govern and be determinative.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2" w:name="page33"/>
    <w:bookmarkEnd w:id="32"/>
    <w:p>
      <w:pPr>
        <w:ind w:left="500" w:hanging="492"/>
        <w:spacing w:after="0" w:line="282"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 Information, Competition and Recoupment Policy</w:t>
      </w:r>
      <w:r>
        <w:rPr>
          <w:rFonts w:ascii="Arial" w:cs="Arial" w:eastAsia="Arial" w:hAnsi="Arial"/>
          <w:sz w:val="18"/>
          <w:szCs w:val="18"/>
          <w:color w:val="auto"/>
        </w:rPr>
        <w:t>. By accepting your option, and in consideration for the option and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obligations set forth herein, you agree with the Company as follows:</w:t>
      </w:r>
    </w:p>
    <w:p>
      <w:pPr>
        <w:spacing w:after="0" w:line="192" w:lineRule="exact"/>
        <w:rPr>
          <w:rFonts w:ascii="Arial" w:cs="Arial" w:eastAsia="Arial" w:hAnsi="Arial"/>
          <w:sz w:val="18"/>
          <w:szCs w:val="18"/>
          <w:color w:val="auto"/>
        </w:rPr>
      </w:pPr>
    </w:p>
    <w:p>
      <w:pPr>
        <w:jc w:val="both"/>
        <w:ind w:left="980" w:hanging="486"/>
        <w:spacing w:after="0" w:line="259"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You recognize and acknowledge that in the course of your employment with TI, you have obtained private or confidential information and proprietary data relating to TI, including but not limited to TI’s trade secrets (hereinafter "Confidential Information"). TI agrees that it will continue to provide you with access to its Confidential Information to the extent necessary for you to carry out the duties of your employment with TI.</w:t>
      </w:r>
    </w:p>
    <w:p>
      <w:pPr>
        <w:spacing w:after="0" w:line="213" w:lineRule="exact"/>
        <w:rPr>
          <w:rFonts w:ascii="Arial" w:cs="Arial" w:eastAsia="Arial" w:hAnsi="Arial"/>
          <w:sz w:val="18"/>
          <w:szCs w:val="18"/>
          <w:color w:val="auto"/>
        </w:rPr>
      </w:pPr>
    </w:p>
    <w:p>
      <w:pPr>
        <w:jc w:val="both"/>
        <w:ind w:left="980" w:hanging="486"/>
        <w:spacing w:after="0" w:line="257"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You agree not to use or disclose to third parties, either directly or indirectly, Confidential Information at any time, except with the prior written consent of TI. Without intending to limit the remedies available to TI, you acknowledge that damages at law will be an insufficient remedy to TI if you violate the terms of this Section 6(b) and agree that TI may apply for and have injunctive relief in any court of competent jurisdiction specifically to enforce the terms of this paragraph upon the breach or threatened breach of any such terms or otherwise specifically to enforce such terms.</w:t>
      </w:r>
    </w:p>
    <w:p>
      <w:pPr>
        <w:spacing w:after="0" w:line="215" w:lineRule="exact"/>
        <w:rPr>
          <w:rFonts w:ascii="Arial" w:cs="Arial" w:eastAsia="Arial" w:hAnsi="Arial"/>
          <w:sz w:val="18"/>
          <w:szCs w:val="18"/>
          <w:color w:val="auto"/>
        </w:rPr>
      </w:pPr>
    </w:p>
    <w:p>
      <w:pPr>
        <w:jc w:val="both"/>
        <w:ind w:left="980" w:hanging="486"/>
        <w:spacing w:after="0" w:line="255"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You agree that, if, during your employment and for a period of two years thereafter you engage in Competition (as defined in Section 9), either directly or indirectly, for your own benefit or on behalf of any other person or entity, or if, at any time, you use or disclose to third parties any Confidential Information without the written consent of the Company, then (i) the option will not be thereafter exercisable at any time, and (ii) you shall repay immediately to the Company any profit (spread between Option Price and market price of the Company’s common stock on the date of exercise) made on the option within three years prior to termination of your employment or any time after termination of your employment. Any amount payable to the Company pursuant to this provision may be reduced or waived as the Company, in its sole judgment, deems warranted by the circumstances.</w:t>
      </w:r>
    </w:p>
    <w:p>
      <w:pPr>
        <w:spacing w:after="0" w:line="189" w:lineRule="exact"/>
        <w:rPr>
          <w:rFonts w:ascii="Arial" w:cs="Arial" w:eastAsia="Arial" w:hAnsi="Arial"/>
          <w:sz w:val="18"/>
          <w:szCs w:val="18"/>
          <w:color w:val="auto"/>
        </w:rPr>
      </w:pPr>
    </w:p>
    <w:p>
      <w:pPr>
        <w:ind w:left="980" w:hanging="486"/>
        <w:spacing w:after="0"/>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You agree that this option is subject to the recoupment policy adopted by the Committee and in effect on the Option Date.</w:t>
      </w:r>
    </w:p>
    <w:p>
      <w:pPr>
        <w:spacing w:after="0" w:line="252" w:lineRule="exact"/>
        <w:rPr>
          <w:rFonts w:ascii="Arial" w:cs="Arial" w:eastAsia="Arial" w:hAnsi="Arial"/>
          <w:sz w:val="18"/>
          <w:szCs w:val="18"/>
          <w:color w:val="auto"/>
        </w:rPr>
      </w:pPr>
    </w:p>
    <w:p>
      <w:pPr>
        <w:jc w:val="both"/>
        <w:ind w:left="980" w:hanging="486"/>
        <w:spacing w:after="0" w:line="259"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You recognize and acknowledge that the provisions of this Section 6 relating to nondisclosure and noncompetition during and after employment and to the Committee’s recoupment policy are entered into by you in consideration of, and as a material inducement to, the agreements by the Company herein as well as an inducement for the Company to enter into this Agreement, and that, but for your agreement to the provisions of this Section 6, the Company would not have entered into this Agreement.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3" w:name="page34"/>
    <w:bookmarkEnd w:id="33"/>
    <w:p>
      <w:pPr>
        <w:jc w:val="both"/>
        <w:ind w:left="500" w:hanging="492"/>
        <w:spacing w:after="0" w:line="291" w:lineRule="auto"/>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Responsibility for Taxes</w:t>
      </w:r>
      <w:r>
        <w:rPr>
          <w:rFonts w:ascii="Arial" w:cs="Arial" w:eastAsia="Arial" w:hAnsi="Arial"/>
          <w:sz w:val="16"/>
          <w:szCs w:val="16"/>
          <w:color w:val="auto"/>
        </w:rPr>
        <w:t>. You acknowledge that the ultimate liability for income tax, social insurance or other tax-related withholding (hereinafter “Tax-Related Items”) in connection with this grant, its exercise or the subsequent sale of shares received thereunder is your responsibility, and that TI</w:t>
      </w:r>
    </w:p>
    <w:p>
      <w:pPr>
        <w:jc w:val="both"/>
        <w:ind w:left="500" w:hanging="6"/>
        <w:spacing w:after="0" w:line="252" w:lineRule="auto"/>
        <w:tabs>
          <w:tab w:leader="none" w:pos="764" w:val="left"/>
        </w:tabs>
        <w:numPr>
          <w:ilvl w:val="1"/>
          <w:numId w:val="32"/>
        </w:numPr>
        <w:rPr>
          <w:rFonts w:ascii="Arial" w:cs="Arial" w:eastAsia="Arial" w:hAnsi="Arial"/>
          <w:sz w:val="18"/>
          <w:szCs w:val="18"/>
          <w:color w:val="auto"/>
        </w:rPr>
      </w:pPr>
      <w:r>
        <w:rPr>
          <w:rFonts w:ascii="Arial" w:cs="Arial" w:eastAsia="Arial" w:hAnsi="Arial"/>
          <w:sz w:val="18"/>
          <w:szCs w:val="18"/>
          <w:color w:val="auto"/>
        </w:rPr>
        <w:t>makes no representations or undertakings with respect to the treatment for tax purposes of the grant or exercise of this option or sale of shares received thereunder, or any dividends on issued shares, and (b) does not commit to structure the grant to reduce your liability for Tax-Related Items. You authorize TI to withhold all applicable Tax-Related Items legally payable by you from your wages or other cash compensation paid to you by TI or from proceeds of the sale of the shares. If permissible under local law, TI may (a) sell or arrange for the sale of shares that you acquire to meet the withholding obligation for Tax-Related Items, and/or (b) withhold shares, provided that TI only withholds the number of shares necessary to satisfy the minimum withholding amount. Finally, you shall pay to TI any amount of Tax-Related Items that TI may be required to withhold that cannot be satisfied by the means described above.</w:t>
      </w:r>
    </w:p>
    <w:p>
      <w:pPr>
        <w:spacing w:after="0" w:line="220" w:lineRule="exact"/>
        <w:rPr>
          <w:rFonts w:ascii="Arial" w:cs="Arial" w:eastAsia="Arial" w:hAnsi="Arial"/>
          <w:sz w:val="18"/>
          <w:szCs w:val="18"/>
          <w:color w:val="auto"/>
        </w:rPr>
      </w:pPr>
    </w:p>
    <w:p>
      <w:pPr>
        <w:jc w:val="both"/>
        <w:ind w:left="500" w:hanging="492"/>
        <w:spacing w:after="0" w:line="290" w:lineRule="auto"/>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Nature of Grant</w:t>
      </w:r>
      <w:r>
        <w:rPr>
          <w:rFonts w:ascii="Arial" w:cs="Arial" w:eastAsia="Arial" w:hAnsi="Arial"/>
          <w:sz w:val="16"/>
          <w:szCs w:val="16"/>
          <w:color w:val="auto"/>
        </w:rPr>
        <w:t>. In accepting this grant, you acknowledge that: (a) the Plan is established voluntarily by the Company, it is discretionary in nature and it may be modified, amended, suspended or terminated by the Company at any time, as provided in the Plan; (b) all decisions with respect to future grants, if any, will be at the sole discretion of the Company; (c) the grant of your option is voluntary and occasional and does not create any contractual or other right to receive future grants of options, or benefits in lieu of options; (d) you are voluntarily participating in the Plan; (e) your option is an extraordinary item that does not constitute compensation for services rendered to TI; (f) your option is not part of normal or expected compensation or salary for any purposes, including, but not limited to, calculating any severance, termination, pension or retirement benefits or similar payments; (g) the option grant will not be interpreted to form an employment contract or relationship with TI; (h) the future value of the underlying shares is unknown and cannot be predicted with certainty; and (i) the value of any shares acquired upon exercise may increase or decrease in value.</w:t>
      </w:r>
    </w:p>
    <w:p>
      <w:pPr>
        <w:spacing w:after="0" w:line="193" w:lineRule="exact"/>
        <w:rPr>
          <w:rFonts w:ascii="Arial" w:cs="Arial" w:eastAsia="Arial" w:hAnsi="Arial"/>
          <w:sz w:val="16"/>
          <w:szCs w:val="16"/>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Change in Control</w:t>
      </w:r>
      <w:r>
        <w:rPr>
          <w:rFonts w:ascii="Arial" w:cs="Arial" w:eastAsia="Arial" w:hAnsi="Arial"/>
          <w:sz w:val="18"/>
          <w:szCs w:val="18"/>
          <w:color w:val="auto"/>
        </w:rPr>
        <w:t>” has the meaning specified in the Plan.</w:t>
      </w:r>
    </w:p>
    <w:p>
      <w:pPr>
        <w:spacing w:after="0" w:line="252" w:lineRule="exact"/>
        <w:rPr>
          <w:rFonts w:ascii="Arial" w:cs="Arial" w:eastAsia="Arial" w:hAnsi="Arial"/>
          <w:sz w:val="18"/>
          <w:szCs w:val="18"/>
          <w:color w:val="auto"/>
        </w:rPr>
      </w:pPr>
    </w:p>
    <w:p>
      <w:pPr>
        <w:ind w:left="980" w:hanging="486"/>
        <w:spacing w:after="0" w:line="277" w:lineRule="auto"/>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Company</w:t>
      </w:r>
      <w:r>
        <w:rPr>
          <w:rFonts w:ascii="Arial" w:cs="Arial" w:eastAsia="Arial" w:hAnsi="Arial"/>
          <w:sz w:val="18"/>
          <w:szCs w:val="18"/>
          <w:color w:val="auto"/>
        </w:rPr>
        <w:t>” means Texas Instruments Incorporated and the term “</w:t>
      </w:r>
      <w:r>
        <w:rPr>
          <w:rFonts w:ascii="Arial" w:cs="Arial" w:eastAsia="Arial" w:hAnsi="Arial"/>
          <w:sz w:val="18"/>
          <w:szCs w:val="18"/>
          <w:i w:val="1"/>
          <w:iCs w:val="1"/>
          <w:color w:val="auto"/>
        </w:rPr>
        <w:t>TI</w:t>
      </w:r>
      <w:r>
        <w:rPr>
          <w:rFonts w:ascii="Arial" w:cs="Arial" w:eastAsia="Arial" w:hAnsi="Arial"/>
          <w:sz w:val="18"/>
          <w:szCs w:val="18"/>
          <w:color w:val="auto"/>
        </w:rPr>
        <w:t>” means and includes Texas Instruments Incorporated (together with any successor) and its subsidiaries.</w:t>
      </w:r>
    </w:p>
    <w:p>
      <w:pPr>
        <w:spacing w:after="0" w:line="193" w:lineRule="exact"/>
        <w:rPr>
          <w:rFonts w:ascii="Arial" w:cs="Arial" w:eastAsia="Arial" w:hAnsi="Arial"/>
          <w:sz w:val="18"/>
          <w:szCs w:val="18"/>
          <w:color w:val="auto"/>
        </w:rPr>
      </w:pPr>
    </w:p>
    <w:p>
      <w:pPr>
        <w:ind w:left="980" w:hanging="486"/>
        <w:spacing w:after="0"/>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b w:val="1"/>
          <w:bCs w:val="1"/>
          <w:color w:val="auto"/>
        </w:rPr>
        <w:t>The term “</w:t>
      </w:r>
      <w:r>
        <w:rPr>
          <w:rFonts w:ascii="Arial" w:cs="Arial" w:eastAsia="Arial" w:hAnsi="Arial"/>
          <w:sz w:val="18"/>
          <w:szCs w:val="18"/>
          <w:b w:val="1"/>
          <w:bCs w:val="1"/>
          <w:i w:val="1"/>
          <w:iCs w:val="1"/>
          <w:color w:val="auto"/>
        </w:rPr>
        <w:t>Competition</w:t>
      </w:r>
      <w:r>
        <w:rPr>
          <w:rFonts w:ascii="Arial" w:cs="Arial" w:eastAsia="Arial" w:hAnsi="Arial"/>
          <w:sz w:val="18"/>
          <w:szCs w:val="18"/>
          <w:b w:val="1"/>
          <w:bCs w:val="1"/>
          <w:color w:val="auto"/>
        </w:rPr>
        <w:t>” means:</w:t>
      </w:r>
    </w:p>
    <w:p>
      <w:pPr>
        <w:spacing w:after="0" w:line="256" w:lineRule="exact"/>
        <w:rPr>
          <w:rFonts w:ascii="Arial" w:cs="Arial" w:eastAsia="Arial" w:hAnsi="Arial"/>
          <w:sz w:val="18"/>
          <w:szCs w:val="18"/>
          <w:color w:val="auto"/>
        </w:rPr>
      </w:pPr>
    </w:p>
    <w:p>
      <w:pPr>
        <w:jc w:val="both"/>
        <w:ind w:left="1460" w:hanging="480"/>
        <w:spacing w:after="0" w:line="264" w:lineRule="auto"/>
        <w:tabs>
          <w:tab w:leader="none" w:pos="1460" w:val="left"/>
        </w:tabs>
        <w:numPr>
          <w:ilvl w:val="2"/>
          <w:numId w:val="32"/>
        </w:numPr>
        <w:rPr>
          <w:rFonts w:ascii="Arial" w:cs="Arial" w:eastAsia="Arial" w:hAnsi="Arial"/>
          <w:sz w:val="18"/>
          <w:szCs w:val="18"/>
          <w:color w:val="auto"/>
        </w:rPr>
      </w:pPr>
      <w:r>
        <w:rPr>
          <w:rFonts w:ascii="Arial" w:cs="Arial" w:eastAsia="Arial" w:hAnsi="Arial"/>
          <w:sz w:val="18"/>
          <w:szCs w:val="18"/>
          <w:color w:val="auto"/>
        </w:rPr>
        <w:t>engaging in any business activity similar to that in which you engaged during your last three years of employment with TI for any person or entity selling, marketing, designing or manufacturing products the same as, similar to, or that compete with products that TI sells or markets in any area that TI sells or markets such products;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4" w:name="page35"/>
    <w:bookmarkEnd w:id="34"/>
    <w:p>
      <w:pPr>
        <w:jc w:val="both"/>
        <w:ind w:left="1460" w:hanging="480"/>
        <w:spacing w:after="0" w:line="264" w:lineRule="auto"/>
        <w:tabs>
          <w:tab w:leader="none" w:pos="1460" w:val="left"/>
        </w:tabs>
        <w:numPr>
          <w:ilvl w:val="2"/>
          <w:numId w:val="33"/>
        </w:numPr>
        <w:rPr>
          <w:rFonts w:ascii="Arial" w:cs="Arial" w:eastAsia="Arial" w:hAnsi="Arial"/>
          <w:sz w:val="18"/>
          <w:szCs w:val="18"/>
          <w:color w:val="auto"/>
        </w:rPr>
      </w:pPr>
      <w:r>
        <w:rPr>
          <w:rFonts w:ascii="Arial" w:cs="Arial" w:eastAsia="Arial" w:hAnsi="Arial"/>
          <w:sz w:val="18"/>
          <w:szCs w:val="18"/>
          <w:color w:val="auto"/>
        </w:rPr>
        <w:t>engaging in the selling or marketing of any products that are the same as, similar to, or that compete with any products that you sold or marketed, or attempted to sell or market, during the last three years of your employment with TI in any area in which you sold or marketed, or attempted to sell or market, such products;</w:t>
      </w:r>
    </w:p>
    <w:p>
      <w:pPr>
        <w:spacing w:after="0" w:line="208" w:lineRule="exact"/>
        <w:rPr>
          <w:rFonts w:ascii="Arial" w:cs="Arial" w:eastAsia="Arial" w:hAnsi="Arial"/>
          <w:sz w:val="18"/>
          <w:szCs w:val="18"/>
          <w:color w:val="auto"/>
        </w:rPr>
      </w:pPr>
    </w:p>
    <w:p>
      <w:pPr>
        <w:jc w:val="both"/>
        <w:ind w:left="1460" w:hanging="480"/>
        <w:spacing w:after="0" w:line="264" w:lineRule="auto"/>
        <w:tabs>
          <w:tab w:leader="none" w:pos="1460" w:val="left"/>
        </w:tabs>
        <w:numPr>
          <w:ilvl w:val="2"/>
          <w:numId w:val="33"/>
        </w:numPr>
        <w:rPr>
          <w:rFonts w:ascii="Arial" w:cs="Arial" w:eastAsia="Arial" w:hAnsi="Arial"/>
          <w:sz w:val="18"/>
          <w:szCs w:val="18"/>
          <w:color w:val="auto"/>
        </w:rPr>
      </w:pPr>
      <w:r>
        <w:rPr>
          <w:rFonts w:ascii="Arial" w:cs="Arial" w:eastAsia="Arial" w:hAnsi="Arial"/>
          <w:sz w:val="18"/>
          <w:szCs w:val="18"/>
          <w:color w:val="auto"/>
        </w:rPr>
        <w:t>engaging in the manufacture or design of any products that are the same as, similar to or that compete with any products that you sold or marketed, or attempted to sell or market, or participated in the design or manufacture of, during the last three years of your employment with TI; or</w:t>
      </w:r>
    </w:p>
    <w:p>
      <w:pPr>
        <w:spacing w:after="0" w:line="208" w:lineRule="exact"/>
        <w:rPr>
          <w:rFonts w:ascii="Arial" w:cs="Arial" w:eastAsia="Arial" w:hAnsi="Arial"/>
          <w:sz w:val="18"/>
          <w:szCs w:val="18"/>
          <w:color w:val="auto"/>
        </w:rPr>
      </w:pPr>
    </w:p>
    <w:p>
      <w:pPr>
        <w:jc w:val="both"/>
        <w:ind w:left="1460" w:hanging="480"/>
        <w:spacing w:after="0" w:line="264" w:lineRule="auto"/>
        <w:tabs>
          <w:tab w:leader="none" w:pos="1460" w:val="left"/>
        </w:tabs>
        <w:numPr>
          <w:ilvl w:val="2"/>
          <w:numId w:val="33"/>
        </w:numPr>
        <w:rPr>
          <w:rFonts w:ascii="Arial" w:cs="Arial" w:eastAsia="Arial" w:hAnsi="Arial"/>
          <w:sz w:val="18"/>
          <w:szCs w:val="18"/>
          <w:color w:val="auto"/>
        </w:rPr>
      </w:pPr>
      <w:r>
        <w:rPr>
          <w:rFonts w:ascii="Arial" w:cs="Arial" w:eastAsia="Arial" w:hAnsi="Arial"/>
          <w:sz w:val="18"/>
          <w:szCs w:val="18"/>
          <w:color w:val="auto"/>
        </w:rPr>
        <w:t>engaging in the selling or marketing of any products that are the same as, similar to, or that compete with any products that you participated in the design or manufacture of during the last three years of your employment with TI in any area in which TI has sold or marketed, or attempted to sell or market, such products.</w:t>
      </w:r>
    </w:p>
    <w:p>
      <w:pPr>
        <w:spacing w:after="0" w:line="208" w:lineRule="exact"/>
        <w:rPr>
          <w:rFonts w:ascii="Arial" w:cs="Arial" w:eastAsia="Arial" w:hAnsi="Arial"/>
          <w:sz w:val="18"/>
          <w:szCs w:val="18"/>
          <w:color w:val="auto"/>
        </w:rPr>
      </w:pPr>
    </w:p>
    <w:p>
      <w:pPr>
        <w:ind w:left="980" w:hanging="486"/>
        <w:spacing w:after="0"/>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Involuntary Termination</w:t>
      </w:r>
      <w:r>
        <w:rPr>
          <w:rFonts w:ascii="Arial" w:cs="Arial" w:eastAsia="Arial" w:hAnsi="Arial"/>
          <w:sz w:val="18"/>
          <w:szCs w:val="18"/>
          <w:color w:val="auto"/>
        </w:rPr>
        <w:t>” has the meaning specified in the Plan.</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Option Date</w:t>
      </w:r>
      <w:r>
        <w:rPr>
          <w:rFonts w:ascii="Arial" w:cs="Arial" w:eastAsia="Arial" w:hAnsi="Arial"/>
          <w:sz w:val="18"/>
          <w:szCs w:val="18"/>
          <w:color w:val="auto"/>
        </w:rPr>
        <w:t>” means the effective date of grant of this option.</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Agreement</w:t>
      </w:r>
      <w:r>
        <w:rPr>
          <w:rFonts w:ascii="Arial" w:cs="Arial" w:eastAsia="Arial" w:hAnsi="Arial"/>
          <w:sz w:val="18"/>
          <w:szCs w:val="18"/>
          <w:color w:val="auto"/>
        </w:rPr>
        <w:t>” means this option agreement.</w:t>
      </w:r>
    </w:p>
    <w:p>
      <w:pPr>
        <w:spacing w:after="0" w:line="252"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Texas Law</w:t>
      </w:r>
      <w:r>
        <w:rPr>
          <w:rFonts w:ascii="Arial" w:cs="Arial" w:eastAsia="Arial" w:hAnsi="Arial"/>
          <w:sz w:val="18"/>
          <w:szCs w:val="18"/>
          <w:color w:val="auto"/>
        </w:rPr>
        <w:t>. This Agreement and specifically the provisions of Section 6 hereof shall be construed both as to validity and performance and enforced in accordance with the laws of the State of Texas without giving effect to the principles of conflict of laws thereof.</w:t>
      </w:r>
    </w:p>
    <w:p>
      <w:pPr>
        <w:spacing w:after="0" w:line="197"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END</w:t>
      </w:r>
    </w:p>
    <w:p>
      <w:pPr>
        <w:spacing w:after="0" w:line="25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By accepting this Agreement, I acknowledge I have read and I agree to be bound by all of the terms and conditions set forth above, including Section 6 relating to Confidential Information and Competition.</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10(m)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RSU Form No.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LTIP</w:t>
      </w:r>
    </w:p>
    <w:p>
      <w:pPr>
        <w:spacing w:after="0" w:line="200" w:lineRule="exact"/>
        <w:rPr>
          <w:sz w:val="20"/>
          <w:szCs w:val="20"/>
          <w:color w:val="auto"/>
        </w:rPr>
      </w:pPr>
    </w:p>
    <w:p>
      <w:pPr>
        <w:spacing w:after="0" w:line="2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Your award of restricted stock units (the “Award”) is subject to the following terms and conditions, your acceptance of which is required within 120 days of the Grant Date (as defined in Section 12 below). </w:t>
      </w:r>
      <w:r>
        <w:rPr>
          <w:rFonts w:ascii="Arial" w:cs="Arial" w:eastAsia="Arial" w:hAnsi="Arial"/>
          <w:sz w:val="18"/>
          <w:szCs w:val="18"/>
          <w:b w:val="1"/>
          <w:bCs w:val="1"/>
          <w:color w:val="auto"/>
        </w:rPr>
        <w:t>Failure to accept this Agreement by such date will result in termination of the Award without any</w:t>
      </w:r>
      <w:r>
        <w:rPr>
          <w:rFonts w:ascii="Arial" w:cs="Arial" w:eastAsia="Arial" w:hAnsi="Arial"/>
          <w:sz w:val="18"/>
          <w:szCs w:val="18"/>
          <w:color w:val="auto"/>
        </w:rPr>
        <w:t xml:space="preserve"> </w:t>
      </w:r>
      <w:r>
        <w:rPr>
          <w:rFonts w:ascii="Arial" w:cs="Arial" w:eastAsia="Arial" w:hAnsi="Arial"/>
          <w:sz w:val="18"/>
          <w:szCs w:val="18"/>
          <w:b w:val="1"/>
          <w:bCs w:val="1"/>
          <w:color w:val="auto"/>
        </w:rPr>
        <w:t>shares being issued.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capitalized terms in this Agreement have the meaning stated in Section 12 except as otherwise specified.</w:t>
      </w:r>
    </w:p>
    <w:p>
      <w:pPr>
        <w:spacing w:after="0" w:line="252" w:lineRule="exact"/>
        <w:rPr>
          <w:sz w:val="20"/>
          <w:szCs w:val="20"/>
          <w:color w:val="auto"/>
        </w:rPr>
      </w:pPr>
    </w:p>
    <w:p>
      <w:pPr>
        <w:jc w:val="both"/>
        <w:ind w:left="340" w:hanging="332"/>
        <w:spacing w:after="0" w:line="264"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Share Issuance</w:t>
      </w:r>
      <w:r>
        <w:rPr>
          <w:rFonts w:ascii="Arial" w:cs="Arial" w:eastAsia="Arial" w:hAnsi="Arial"/>
          <w:sz w:val="18"/>
          <w:szCs w:val="18"/>
          <w:color w:val="auto"/>
        </w:rPr>
        <w:t>. Each restricted stock unit represents the right to receive one share of common stock of the Company. The shares covered by this Award will be issued in your name on, or as soon as practicable (but no later than 60 days) after, the date of vesting stated on your Employee Stock Grant Communication (“Vesting Date”), except as provided below.</w:t>
      </w:r>
    </w:p>
    <w:p>
      <w:pPr>
        <w:spacing w:after="0" w:line="208"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Change in Employment Status</w:t>
      </w:r>
      <w:r>
        <w:rPr>
          <w:rFonts w:ascii="Arial" w:cs="Arial" w:eastAsia="Arial" w:hAnsi="Arial"/>
          <w:sz w:val="18"/>
          <w:szCs w:val="18"/>
          <w:color w:val="auto"/>
        </w:rPr>
        <w:t>. The effect of changes in your employment status with TI before the Vesting Date will be as follows:</w:t>
      </w:r>
    </w:p>
    <w:p>
      <w:pPr>
        <w:spacing w:after="0" w:line="252" w:lineRule="exact"/>
        <w:rPr>
          <w:rFonts w:ascii="Arial" w:cs="Arial" w:eastAsia="Arial" w:hAnsi="Arial"/>
          <w:sz w:val="18"/>
          <w:szCs w:val="18"/>
          <w:color w:val="auto"/>
        </w:rPr>
      </w:pPr>
    </w:p>
    <w:p>
      <w:pPr>
        <w:jc w:val="both"/>
        <w:ind w:left="980" w:hanging="648"/>
        <w:spacing w:after="0" w:line="264"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Termination due to death or permanent disability</w:t>
      </w:r>
      <w:r>
        <w:rPr>
          <w:rFonts w:ascii="Arial" w:cs="Arial" w:eastAsia="Arial" w:hAnsi="Arial"/>
          <w:sz w:val="18"/>
          <w:szCs w:val="18"/>
          <w:color w:val="auto"/>
        </w:rPr>
        <w:t>: The Award will continue to full term subject to the other terms and conditions of this Agreement, and shares will be issued to you or to your personal representatives, heirs, legatees or distributees, as applicable, at such times and in such number and manner as if you were still an employee of TI on the Vesting Date.</w:t>
      </w:r>
    </w:p>
    <w:p>
      <w:pPr>
        <w:spacing w:after="0" w:line="208" w:lineRule="exact"/>
        <w:rPr>
          <w:rFonts w:ascii="Arial" w:cs="Arial" w:eastAsia="Arial" w:hAnsi="Arial"/>
          <w:sz w:val="18"/>
          <w:szCs w:val="18"/>
          <w:color w:val="auto"/>
        </w:rPr>
      </w:pPr>
    </w:p>
    <w:p>
      <w:pPr>
        <w:jc w:val="both"/>
        <w:ind w:left="980" w:hanging="648"/>
        <w:spacing w:after="0" w:line="257"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Termination (except for cause) when you are retirement eligible (normal or early) either under the terms of the TI retirement or pension plan in your home country or the country in which you work, as applicable (regardless of whether you are a participant in such plan), or if there is no such plan, as may be set forth in the laws or regulations in your home country or the country in which you work, as applicable</w:t>
      </w:r>
      <w:r>
        <w:rPr>
          <w:rFonts w:ascii="Arial" w:cs="Arial" w:eastAsia="Arial" w:hAnsi="Arial"/>
          <w:sz w:val="18"/>
          <w:szCs w:val="18"/>
          <w:color w:val="auto"/>
        </w:rPr>
        <w:t>: The Award will continue to full term subject to the other terms and conditions of this Agreement, except that (subject to Section 2(c) and 2(e)) the number of shares issuable to you on the Vesting Date will be reduced pro rata as follows:</w:t>
      </w:r>
    </w:p>
    <w:p>
      <w:pPr>
        <w:spacing w:after="0" w:line="215" w:lineRule="exact"/>
        <w:rPr>
          <w:rFonts w:ascii="Arial" w:cs="Arial" w:eastAsia="Arial" w:hAnsi="Arial"/>
          <w:sz w:val="18"/>
          <w:szCs w:val="18"/>
          <w:color w:val="auto"/>
        </w:rPr>
      </w:pPr>
    </w:p>
    <w:p>
      <w:pPr>
        <w:jc w:val="both"/>
        <w:ind w:left="980"/>
        <w:spacing w:after="0" w:line="279" w:lineRule="auto"/>
        <w:rPr>
          <w:rFonts w:ascii="Arial" w:cs="Arial" w:eastAsia="Arial" w:hAnsi="Arial"/>
          <w:sz w:val="18"/>
          <w:szCs w:val="18"/>
          <w:color w:val="auto"/>
        </w:rPr>
      </w:pPr>
      <w:r>
        <w:rPr>
          <w:rFonts w:ascii="Arial" w:cs="Arial" w:eastAsia="Arial" w:hAnsi="Arial"/>
          <w:sz w:val="17"/>
          <w:szCs w:val="17"/>
          <w:color w:val="auto"/>
        </w:rPr>
        <w:t>The number of shares to be issued will be the number specified for the Vesting Date on the Employee Stock Grant Communication, times a fraction equal to your Pre-Retirement Period divided by the Vesting Period. If the number of shares calculated pursuant to the previous sentence includes a fraction of a share, the number will be rounded up to the next whole share. If your Award provides for more than one Vesting Date, this calculation will be done to determine the number of shares issuable on each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295910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36" w:name="page37"/>
    <w:bookmarkEnd w:id="36"/>
    <w:p>
      <w:pPr>
        <w:jc w:val="both"/>
        <w:ind w:left="980" w:hanging="648"/>
        <w:spacing w:after="0" w:line="264"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Involuntary Termination after a Change in Control</w:t>
      </w:r>
      <w:r>
        <w:rPr>
          <w:rFonts w:ascii="Arial" w:cs="Arial" w:eastAsia="Arial" w:hAnsi="Arial"/>
          <w:sz w:val="18"/>
          <w:szCs w:val="18"/>
          <w:color w:val="auto"/>
        </w:rPr>
        <w:t>: If you experience an Involuntary Termination within 24 months after a Change in Control, then shares will be issued to you as described in Section 11(i) of the Plan, and the number of shares will not be reduced by Section 2(b) or 2(e) of this Agreement.</w:t>
      </w:r>
    </w:p>
    <w:p>
      <w:pPr>
        <w:spacing w:after="0" w:line="208" w:lineRule="exact"/>
        <w:rPr>
          <w:rFonts w:ascii="Arial" w:cs="Arial" w:eastAsia="Arial" w:hAnsi="Arial"/>
          <w:sz w:val="18"/>
          <w:szCs w:val="18"/>
          <w:color w:val="auto"/>
        </w:rPr>
      </w:pPr>
    </w:p>
    <w:p>
      <w:pPr>
        <w:ind w:left="980" w:hanging="648"/>
        <w:spacing w:after="0" w:line="277"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Termination under other circumstances</w:t>
      </w:r>
      <w:r>
        <w:rPr>
          <w:rFonts w:ascii="Arial" w:cs="Arial" w:eastAsia="Arial" w:hAnsi="Arial"/>
          <w:sz w:val="18"/>
          <w:szCs w:val="18"/>
          <w:color w:val="auto"/>
        </w:rPr>
        <w:t>: For any termination other than those described above in this Section 2, the Award will terminate and become void without any shares being issued.</w:t>
      </w:r>
    </w:p>
    <w:p>
      <w:pPr>
        <w:spacing w:after="0" w:line="197" w:lineRule="exact"/>
        <w:rPr>
          <w:rFonts w:ascii="Arial" w:cs="Arial" w:eastAsia="Arial" w:hAnsi="Arial"/>
          <w:sz w:val="18"/>
          <w:szCs w:val="18"/>
          <w:color w:val="auto"/>
        </w:rPr>
      </w:pPr>
    </w:p>
    <w:p>
      <w:pPr>
        <w:jc w:val="both"/>
        <w:ind w:left="980" w:right="20" w:hanging="648"/>
        <w:spacing w:after="0" w:line="264"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Commencement of a Bridge to Retirement even if you subsequently return to full- or part-time employment with TI</w:t>
      </w:r>
      <w:r>
        <w:rPr>
          <w:rFonts w:ascii="Arial" w:cs="Arial" w:eastAsia="Arial" w:hAnsi="Arial"/>
          <w:sz w:val="18"/>
          <w:szCs w:val="18"/>
          <w:color w:val="auto"/>
        </w:rPr>
        <w:t>: The Award will continue to full term subject to the other terms and conditions of this Agreement, except that (subject to Section 2(c)) the number of shares issuable to you on the Vesting Date will be reduced pro rata as follows:</w:t>
      </w:r>
    </w:p>
    <w:p>
      <w:pPr>
        <w:spacing w:after="0" w:line="208" w:lineRule="exact"/>
        <w:rPr>
          <w:rFonts w:ascii="Arial" w:cs="Arial" w:eastAsia="Arial" w:hAnsi="Arial"/>
          <w:sz w:val="18"/>
          <w:szCs w:val="18"/>
          <w:color w:val="auto"/>
        </w:rPr>
      </w:pPr>
    </w:p>
    <w:p>
      <w:pPr>
        <w:jc w:val="both"/>
        <w:ind w:left="980"/>
        <w:spacing w:after="0" w:line="279" w:lineRule="auto"/>
        <w:rPr>
          <w:rFonts w:ascii="Arial" w:cs="Arial" w:eastAsia="Arial" w:hAnsi="Arial"/>
          <w:sz w:val="18"/>
          <w:szCs w:val="18"/>
          <w:color w:val="auto"/>
        </w:rPr>
      </w:pPr>
      <w:r>
        <w:rPr>
          <w:rFonts w:ascii="Arial" w:cs="Arial" w:eastAsia="Arial" w:hAnsi="Arial"/>
          <w:sz w:val="17"/>
          <w:szCs w:val="17"/>
          <w:color w:val="auto"/>
        </w:rPr>
        <w:t>The number of shares to be issued will be the number specified for the Vesting Date on the Employee Stock Grant Communication, times a fraction equal to your Pre-Bridge Period divided by the Vesting Period. If the number of shares calculated pursuant to the previous sentence includes a fraction of a share, the number will be rounded up to the next whole share. If your Award provides for more than one Vesting Date, this calculation will be done to determine the number of shares to be issuable on each Vesting Date.</w:t>
      </w:r>
    </w:p>
    <w:p>
      <w:pPr>
        <w:spacing w:after="0" w:line="198" w:lineRule="exact"/>
        <w:rPr>
          <w:rFonts w:ascii="Arial" w:cs="Arial" w:eastAsia="Arial" w:hAnsi="Arial"/>
          <w:sz w:val="18"/>
          <w:szCs w:val="18"/>
          <w:color w:val="auto"/>
        </w:rPr>
      </w:pPr>
    </w:p>
    <w:p>
      <w:pPr>
        <w:ind w:left="980" w:hanging="648"/>
        <w:spacing w:after="0"/>
        <w:tabs>
          <w:tab w:leader="none" w:pos="980" w:val="left"/>
        </w:tabs>
        <w:numPr>
          <w:ilvl w:val="1"/>
          <w:numId w:val="37"/>
        </w:numPr>
        <w:rPr>
          <w:rFonts w:ascii="Arial" w:cs="Arial" w:eastAsia="Arial" w:hAnsi="Arial"/>
          <w:sz w:val="17"/>
          <w:szCs w:val="17"/>
          <w:color w:val="auto"/>
        </w:rPr>
      </w:pPr>
      <w:r>
        <w:rPr>
          <w:rFonts w:ascii="Arial" w:cs="Arial" w:eastAsia="Arial" w:hAnsi="Arial"/>
          <w:sz w:val="17"/>
          <w:szCs w:val="17"/>
          <w:u w:val="single" w:color="auto"/>
          <w:color w:val="auto"/>
        </w:rPr>
        <w:t>Other changes in employment status</w:t>
      </w:r>
      <w:r>
        <w:rPr>
          <w:rFonts w:ascii="Arial" w:cs="Arial" w:eastAsia="Arial" w:hAnsi="Arial"/>
          <w:sz w:val="17"/>
          <w:szCs w:val="17"/>
          <w:color w:val="auto"/>
        </w:rPr>
        <w:t>: No changes in your employment status at TI other than those described above will affect the Award.</w:t>
      </w:r>
    </w:p>
    <w:p>
      <w:pPr>
        <w:spacing w:after="0" w:line="259" w:lineRule="exact"/>
        <w:rPr>
          <w:rFonts w:ascii="Arial" w:cs="Arial" w:eastAsia="Arial" w:hAnsi="Arial"/>
          <w:sz w:val="17"/>
          <w:szCs w:val="17"/>
          <w:color w:val="auto"/>
        </w:rPr>
      </w:pPr>
    </w:p>
    <w:p>
      <w:pPr>
        <w:ind w:left="340" w:hanging="332"/>
        <w:spacing w:after="0" w:line="282" w:lineRule="auto"/>
        <w:tabs>
          <w:tab w:leader="none" w:pos="3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 Information and Competition</w:t>
      </w:r>
      <w:r>
        <w:rPr>
          <w:rFonts w:ascii="Arial" w:cs="Arial" w:eastAsia="Arial" w:hAnsi="Arial"/>
          <w:sz w:val="18"/>
          <w:szCs w:val="18"/>
          <w:b w:val="1"/>
          <w:bCs w:val="1"/>
          <w:color w:val="auto"/>
        </w:rPr>
        <w:t>. See Section 9, particularly Section 9(c), for the effect of disclosure of confidential information or of competition with TI.</w:t>
      </w:r>
    </w:p>
    <w:p>
      <w:pPr>
        <w:spacing w:after="0" w:line="192" w:lineRule="exact"/>
        <w:rPr>
          <w:rFonts w:ascii="Arial" w:cs="Arial" w:eastAsia="Arial" w:hAnsi="Arial"/>
          <w:sz w:val="18"/>
          <w:szCs w:val="18"/>
          <w:b w:val="1"/>
          <w:bCs w:val="1"/>
          <w:color w:val="auto"/>
        </w:rPr>
      </w:pPr>
    </w:p>
    <w:p>
      <w:pPr>
        <w:jc w:val="both"/>
        <w:ind w:left="340" w:hanging="332"/>
        <w:spacing w:after="0" w:line="264"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Employee Stock Grant Communication</w:t>
      </w:r>
      <w:r>
        <w:rPr>
          <w:rFonts w:ascii="Arial" w:cs="Arial" w:eastAsia="Arial" w:hAnsi="Arial"/>
          <w:sz w:val="18"/>
          <w:szCs w:val="18"/>
          <w:color w:val="auto"/>
        </w:rPr>
        <w:t>. This Award was granted by the Compensation Committee of the Company’s Board of Directors (the “Committee”). In the event of a conflict between the Employee Stock Grant Communication and the records of the Committee, the latter shall govern and be determinative.</w:t>
      </w:r>
    </w:p>
    <w:p>
      <w:pPr>
        <w:spacing w:after="0" w:line="208" w:lineRule="exact"/>
        <w:rPr>
          <w:rFonts w:ascii="Arial" w:cs="Arial" w:eastAsia="Arial" w:hAnsi="Arial"/>
          <w:sz w:val="18"/>
          <w:szCs w:val="18"/>
          <w:color w:val="auto"/>
        </w:rPr>
      </w:pPr>
    </w:p>
    <w:p>
      <w:pPr>
        <w:jc w:val="both"/>
        <w:ind w:left="340" w:hanging="332"/>
        <w:spacing w:after="0" w:line="254"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Each year in which this Award is in effect, you will receive a payment equivalent to the cash dividends you would have received if the shares to which you are entitled under this Award, but not yet issued in your name, had already been issued to you (“Dividend Equivalents”); provided, however, that no payment will be made if your Award has terminated before the last dividend record date of the year for any reason other than vesting. The payment to which you are entitled under this paragraph will be made once each year on or as soon as practicable after the date of the last cash dividend payment in the year (but in any event before year-end). The Dividend Equivalents will be calculated for the record dates on which this Award was in effect during the year. If the number of shares to which you are entitled under this Award is reduced pursuant to Section 2(b) or 2(e), then your right to dividend equivalents will be correspondingly reduced with effect from the date of your retirement or commencement of a Bridge to Retirement, as applicable.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7" w:name="page38"/>
    <w:bookmarkEnd w:id="37"/>
    <w:p>
      <w:pPr>
        <w:ind w:left="340" w:right="20" w:hanging="332"/>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Continuing Employment</w:t>
      </w:r>
      <w:r>
        <w:rPr>
          <w:rFonts w:ascii="Arial" w:cs="Arial" w:eastAsia="Arial" w:hAnsi="Arial"/>
          <w:sz w:val="18"/>
          <w:szCs w:val="18"/>
          <w:color w:val="auto"/>
        </w:rPr>
        <w:t>. This Award will not constitute or be evidence of any agreement or understanding, expressed or implied, on the part of TI to employ you for any specific period.</w:t>
      </w:r>
    </w:p>
    <w:p>
      <w:pPr>
        <w:spacing w:after="0" w:line="197"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Your Award is not transferable except by will or by the laws of descent and distribution. During your lifetime, the shares issuable hereunder may be issued only to you.</w:t>
      </w:r>
    </w:p>
    <w:p>
      <w:pPr>
        <w:spacing w:after="0" w:line="19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Long-Term Incentive Plan</w:t>
      </w:r>
      <w:r>
        <w:rPr>
          <w:rFonts w:ascii="Arial" w:cs="Arial" w:eastAsia="Arial" w:hAnsi="Arial"/>
          <w:sz w:val="18"/>
          <w:szCs w:val="18"/>
          <w:color w:val="auto"/>
        </w:rPr>
        <w:t>. Your Award is subject to all of the terms and conditions of the Plan. In the event of any conflict between such terms and conditions and those set forth herein, the terms of the Plan shall govern and be determinative.</w:t>
      </w:r>
    </w:p>
    <w:p>
      <w:pPr>
        <w:spacing w:after="0" w:line="193" w:lineRule="exact"/>
        <w:rPr>
          <w:rFonts w:ascii="Arial" w:cs="Arial" w:eastAsia="Arial" w:hAnsi="Arial"/>
          <w:sz w:val="18"/>
          <w:szCs w:val="18"/>
          <w:color w:val="auto"/>
        </w:rPr>
      </w:pPr>
    </w:p>
    <w:p>
      <w:pPr>
        <w:ind w:left="340" w:hanging="332"/>
        <w:spacing w:after="0" w:line="282"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 Information, Competition and Recoupment Policy</w:t>
      </w:r>
      <w:r>
        <w:rPr>
          <w:rFonts w:ascii="Arial" w:cs="Arial" w:eastAsia="Arial" w:hAnsi="Arial"/>
          <w:sz w:val="18"/>
          <w:szCs w:val="18"/>
          <w:color w:val="auto"/>
        </w:rPr>
        <w:t>. By accepting your Award, and in consideration for the Award and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obligations set forth in this Agreement, you agree with the Company as follows:</w:t>
      </w:r>
    </w:p>
    <w:p>
      <w:pPr>
        <w:spacing w:after="0" w:line="192" w:lineRule="exact"/>
        <w:rPr>
          <w:rFonts w:ascii="Arial" w:cs="Arial" w:eastAsia="Arial" w:hAnsi="Arial"/>
          <w:sz w:val="18"/>
          <w:szCs w:val="18"/>
          <w:color w:val="auto"/>
        </w:rPr>
      </w:pPr>
    </w:p>
    <w:p>
      <w:pPr>
        <w:jc w:val="both"/>
        <w:ind w:left="820" w:hanging="488"/>
        <w:spacing w:after="0" w:line="286" w:lineRule="auto"/>
        <w:tabs>
          <w:tab w:leader="none" w:pos="820" w:val="left"/>
        </w:tabs>
        <w:numPr>
          <w:ilvl w:val="1"/>
          <w:numId w:val="39"/>
        </w:numPr>
        <w:rPr>
          <w:rFonts w:ascii="Arial" w:cs="Arial" w:eastAsia="Arial" w:hAnsi="Arial"/>
          <w:sz w:val="17"/>
          <w:szCs w:val="17"/>
          <w:color w:val="auto"/>
        </w:rPr>
      </w:pPr>
      <w:r>
        <w:rPr>
          <w:rFonts w:ascii="Arial" w:cs="Arial" w:eastAsia="Arial" w:hAnsi="Arial"/>
          <w:sz w:val="17"/>
          <w:szCs w:val="17"/>
          <w:color w:val="auto"/>
        </w:rPr>
        <w:t>You recognize and acknowledge that in the course of your employment with TI, you have obtained private or confidential information and proprietary data relating to TI, including but not limited to TI’s trade secrets (“Confidential Information”). TI agrees that it will continue to provide you with access to its Confidential Information to the extent necessary for you to carry out the duties of your employment with TI.</w:t>
      </w:r>
    </w:p>
    <w:p>
      <w:pPr>
        <w:spacing w:after="0" w:line="192" w:lineRule="exact"/>
        <w:rPr>
          <w:rFonts w:ascii="Arial" w:cs="Arial" w:eastAsia="Arial" w:hAnsi="Arial"/>
          <w:sz w:val="17"/>
          <w:szCs w:val="17"/>
          <w:color w:val="auto"/>
        </w:rPr>
      </w:pPr>
    </w:p>
    <w:p>
      <w:pPr>
        <w:jc w:val="both"/>
        <w:ind w:left="820" w:hanging="488"/>
        <w:spacing w:after="0" w:line="257" w:lineRule="auto"/>
        <w:tabs>
          <w:tab w:leader="none" w:pos="8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You agree not to use or disclose to third parties, either directly or indirectly, Confidential Information at any time, except with the prior written consent of TI. Without intending to limit the remedies available to TI, you acknowledge that damages at law will be an insufficient remedy to TI if you violate the terms of this Section 9(b) and agree that TI may apply for and have injunctive relief in any court of competent jurisdiction specifically to enforce the terms of this paragraph upon the breach or threatened breach of any such terms or otherwise specifically to enforce such terms.</w:t>
      </w:r>
    </w:p>
    <w:p>
      <w:pPr>
        <w:spacing w:after="0" w:line="215" w:lineRule="exact"/>
        <w:rPr>
          <w:rFonts w:ascii="Arial" w:cs="Arial" w:eastAsia="Arial" w:hAnsi="Arial"/>
          <w:sz w:val="18"/>
          <w:szCs w:val="18"/>
          <w:color w:val="auto"/>
        </w:rPr>
      </w:pPr>
    </w:p>
    <w:p>
      <w:pPr>
        <w:jc w:val="both"/>
        <w:ind w:left="820" w:hanging="488"/>
        <w:spacing w:after="0" w:line="270" w:lineRule="auto"/>
        <w:tabs>
          <w:tab w:leader="none" w:pos="820" w:val="left"/>
        </w:tabs>
        <w:numPr>
          <w:ilvl w:val="1"/>
          <w:numId w:val="39"/>
        </w:numPr>
        <w:rPr>
          <w:rFonts w:ascii="Arial" w:cs="Arial" w:eastAsia="Arial" w:hAnsi="Arial"/>
          <w:sz w:val="17"/>
          <w:szCs w:val="17"/>
          <w:color w:val="auto"/>
        </w:rPr>
      </w:pPr>
      <w:r>
        <w:rPr>
          <w:rFonts w:ascii="Arial" w:cs="Arial" w:eastAsia="Arial" w:hAnsi="Arial"/>
          <w:sz w:val="17"/>
          <w:szCs w:val="17"/>
          <w:color w:val="auto"/>
        </w:rPr>
        <w:t>You agree that, if, during your employment and for a period of two years thereafter you engage in Competition (as defined in Section 12(d)), either directly or indirectly, for your own benefit or on behalf of any other person or entity, or, if at any time, you use or disclose to third parties any Confidential Information without the written consent of TI, then (i) the Company’s obligation to issue shares under this Award will terminate and become void, and (ii) you shall repay immediately to TI the Fair Market Value (as defined in Section 12(m) below) of any shares of stock issued to you (or immediately surrender to the Company the same number of shares of stock as were issued to you) under this Award within three years prior to termination of your employment or any time after termination of your employment. If your Award provides for more than one Vesting Date, then payment shall be made, or shares surrendered, with respect to each such Vesting Date. Any amount payable (or number of shares subject to surrender) to the Company pursuant to this provision may be reduced or waived as the Company, in its sole judgment, deems warranted by the circumstances.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8" w:name="page39"/>
    <w:bookmarkEnd w:id="38"/>
    <w:p>
      <w:pPr>
        <w:ind w:left="820" w:hanging="488"/>
        <w:spacing w:after="0" w:line="277" w:lineRule="auto"/>
        <w:tabs>
          <w:tab w:leader="none" w:pos="8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In addition, you agree that this Award is subject to the recoupment policy adopted by the Committee and in effect on the effective date of this Award.</w:t>
      </w:r>
    </w:p>
    <w:p>
      <w:pPr>
        <w:spacing w:after="0" w:line="197" w:lineRule="exact"/>
        <w:rPr>
          <w:rFonts w:ascii="Arial" w:cs="Arial" w:eastAsia="Arial" w:hAnsi="Arial"/>
          <w:sz w:val="18"/>
          <w:szCs w:val="18"/>
          <w:color w:val="auto"/>
        </w:rPr>
      </w:pPr>
    </w:p>
    <w:p>
      <w:pPr>
        <w:jc w:val="both"/>
        <w:ind w:left="820" w:hanging="488"/>
        <w:spacing w:after="0" w:line="264" w:lineRule="auto"/>
        <w:tabs>
          <w:tab w:leader="none" w:pos="8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You recognize and acknowledge that the provisions of this Section 9 are entered into by you in consideration of, and as a material inducement to, the agreements by the Company herein as well as an inducement for the Company to enter into this Agreement, and that, but for your agreement to the provisions of this Section 9, the Company would not have entered into this Agreement.</w:t>
      </w:r>
    </w:p>
    <w:p>
      <w:pPr>
        <w:spacing w:after="0" w:line="208" w:lineRule="exact"/>
        <w:rPr>
          <w:rFonts w:ascii="Arial" w:cs="Arial" w:eastAsia="Arial" w:hAnsi="Arial"/>
          <w:sz w:val="18"/>
          <w:szCs w:val="18"/>
          <w:color w:val="auto"/>
        </w:rPr>
      </w:pPr>
    </w:p>
    <w:p>
      <w:pPr>
        <w:jc w:val="both"/>
        <w:ind w:left="340" w:hanging="332"/>
        <w:spacing w:after="0" w:line="270" w:lineRule="auto"/>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Responsibility for Taxes</w:t>
      </w:r>
      <w:r>
        <w:rPr>
          <w:rFonts w:ascii="Arial" w:cs="Arial" w:eastAsia="Arial" w:hAnsi="Arial"/>
          <w:sz w:val="17"/>
          <w:szCs w:val="17"/>
          <w:color w:val="auto"/>
        </w:rPr>
        <w:t>. You acknowledge that the ultimate liability for income tax, social insurance or other tax-related withholding (“Tax-Related Items”), including any taxes under Section 409A of the U.S. Internal Revenue Code, in connection with this Award, the payment of Dividend Equivalents or the issuance of shares hereunder, or the subsequent sale of such shares is your responsibility, and that TI makes (a) no representations or undertakings with respect to the treatment for tax purposes of this Award, any shares or Dividend Equivalents received hereunder, the sale of such shares or any dividends paid on issued shares and (b) does not commit to structure the grant to reduce your liability for Tax-Related Items. You authorize TI to withhold all applicable Tax-Related Items legally payable by you from your wages or other cash compensation paid to you by TI, from Dividend Equivalents or from proceeds of the sale of the shares. If permissible under local law, TI may (a) sell or arrange for the sale of shares that you acquire to meet the withholding obligation for Tax-Related Items, and/or (b) withhold shares, provided that TI only withholds the number of shares necessary to satisfy the minimum withholding amount. Finally, you shall pay to TI any amount of Tax-Related Items that TI may be required to withhold that cannot be satisfied by the means described above.</w:t>
      </w:r>
    </w:p>
    <w:p>
      <w:pPr>
        <w:spacing w:after="0" w:line="204" w:lineRule="exact"/>
        <w:rPr>
          <w:rFonts w:ascii="Arial" w:cs="Arial" w:eastAsia="Arial" w:hAnsi="Arial"/>
          <w:sz w:val="17"/>
          <w:szCs w:val="17"/>
          <w:color w:val="auto"/>
        </w:rPr>
      </w:pPr>
    </w:p>
    <w:p>
      <w:pPr>
        <w:jc w:val="both"/>
        <w:ind w:left="340" w:hanging="332"/>
        <w:spacing w:after="0" w:line="271" w:lineRule="auto"/>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Nature of Grant</w:t>
      </w:r>
      <w:r>
        <w:rPr>
          <w:rFonts w:ascii="Arial" w:cs="Arial" w:eastAsia="Arial" w:hAnsi="Arial"/>
          <w:sz w:val="17"/>
          <w:szCs w:val="17"/>
          <w:color w:val="auto"/>
        </w:rPr>
        <w:t>. In accepting this Award, you acknowledge that: (a) the Plan is established voluntarily by the Company, it is discretionary in nature and it may be modified, amended, suspended or terminated by the Company at any time, as provided in the Plan; (b) all decisions with respect to future awards, if any, will be at the sole discretion of the Company; (c) the Award is voluntary and occasional and does not create any contractual or other right to receive future Awards, or benefits in lieu of Awards; (d) you are voluntarily participating in the Plan; (e) your Award is an extraordinary item that does not constitute compensation for services rendered to TI; (f) your Award is not part of normal or expected compensation or salary for any purposes, including, but not limited to, calculating any severance, termination, pension or retirement benefits or similar payments; (g) the Award will not be interpreted to form an employment contract or relationship with TI; (h) the future value of the underlying shares is unknown and cannot be predicted with certainty; and (i) if you receive shares, the value of such shares may increase or decrease in value.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9" w:name="page40"/>
    <w:bookmarkEnd w:id="39"/>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Agreement</w:t>
      </w:r>
      <w:r>
        <w:rPr>
          <w:rFonts w:ascii="Arial" w:cs="Arial" w:eastAsia="Arial" w:hAnsi="Arial"/>
          <w:sz w:val="18"/>
          <w:szCs w:val="18"/>
          <w:color w:val="auto"/>
        </w:rPr>
        <w:t>” means this Restricted Stock Unit Award Agreement.</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Change in Control</w:t>
      </w:r>
      <w:r>
        <w:rPr>
          <w:rFonts w:ascii="Arial" w:cs="Arial" w:eastAsia="Arial" w:hAnsi="Arial"/>
          <w:sz w:val="18"/>
          <w:szCs w:val="18"/>
          <w:color w:val="auto"/>
        </w:rPr>
        <w:t>” has the meaning specified in the Plan.</w:t>
      </w:r>
    </w:p>
    <w:p>
      <w:pPr>
        <w:spacing w:after="0" w:line="252" w:lineRule="exact"/>
        <w:rPr>
          <w:rFonts w:ascii="Arial" w:cs="Arial" w:eastAsia="Arial" w:hAnsi="Arial"/>
          <w:sz w:val="18"/>
          <w:szCs w:val="18"/>
          <w:color w:val="auto"/>
        </w:rPr>
      </w:pPr>
    </w:p>
    <w:p>
      <w:pPr>
        <w:ind w:left="820" w:hanging="488"/>
        <w:spacing w:after="0" w:line="277" w:lineRule="auto"/>
        <w:tabs>
          <w:tab w:leader="none" w:pos="8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Company</w:t>
      </w:r>
      <w:r>
        <w:rPr>
          <w:rFonts w:ascii="Arial" w:cs="Arial" w:eastAsia="Arial" w:hAnsi="Arial"/>
          <w:sz w:val="18"/>
          <w:szCs w:val="18"/>
          <w:color w:val="auto"/>
        </w:rPr>
        <w:t>” means Texas Instruments Incorporated and the term “</w:t>
      </w:r>
      <w:r>
        <w:rPr>
          <w:rFonts w:ascii="Arial" w:cs="Arial" w:eastAsia="Arial" w:hAnsi="Arial"/>
          <w:sz w:val="18"/>
          <w:szCs w:val="18"/>
          <w:i w:val="1"/>
          <w:iCs w:val="1"/>
          <w:color w:val="auto"/>
        </w:rPr>
        <w:t>TI</w:t>
      </w:r>
      <w:r>
        <w:rPr>
          <w:rFonts w:ascii="Arial" w:cs="Arial" w:eastAsia="Arial" w:hAnsi="Arial"/>
          <w:sz w:val="18"/>
          <w:szCs w:val="18"/>
          <w:color w:val="auto"/>
        </w:rPr>
        <w:t>” means and includes Texas Instruments Incorporated (together with any successor) and its subsidiaries.</w:t>
      </w:r>
    </w:p>
    <w:p>
      <w:pPr>
        <w:spacing w:after="0" w:line="193" w:lineRule="exact"/>
        <w:rPr>
          <w:rFonts w:ascii="Arial" w:cs="Arial" w:eastAsia="Arial" w:hAnsi="Arial"/>
          <w:sz w:val="18"/>
          <w:szCs w:val="18"/>
          <w:color w:val="auto"/>
        </w:rPr>
      </w:pPr>
    </w:p>
    <w:p>
      <w:pPr>
        <w:ind w:left="820" w:hanging="488"/>
        <w:spacing w:after="0"/>
        <w:tabs>
          <w:tab w:leader="none" w:pos="820" w:val="left"/>
        </w:tabs>
        <w:numPr>
          <w:ilvl w:val="1"/>
          <w:numId w:val="42"/>
        </w:numPr>
        <w:rPr>
          <w:rFonts w:ascii="Arial" w:cs="Arial" w:eastAsia="Arial" w:hAnsi="Arial"/>
          <w:sz w:val="18"/>
          <w:szCs w:val="18"/>
          <w:color w:val="auto"/>
        </w:rPr>
      </w:pPr>
      <w:r>
        <w:rPr>
          <w:rFonts w:ascii="Arial" w:cs="Arial" w:eastAsia="Arial" w:hAnsi="Arial"/>
          <w:sz w:val="18"/>
          <w:szCs w:val="18"/>
          <w:b w:val="1"/>
          <w:bCs w:val="1"/>
          <w:color w:val="auto"/>
        </w:rPr>
        <w:t>The term “</w:t>
      </w:r>
      <w:r>
        <w:rPr>
          <w:rFonts w:ascii="Arial" w:cs="Arial" w:eastAsia="Arial" w:hAnsi="Arial"/>
          <w:sz w:val="18"/>
          <w:szCs w:val="18"/>
          <w:b w:val="1"/>
          <w:bCs w:val="1"/>
          <w:i w:val="1"/>
          <w:iCs w:val="1"/>
          <w:color w:val="auto"/>
        </w:rPr>
        <w:t>Competition</w:t>
      </w:r>
      <w:r>
        <w:rPr>
          <w:rFonts w:ascii="Arial" w:cs="Arial" w:eastAsia="Arial" w:hAnsi="Arial"/>
          <w:sz w:val="18"/>
          <w:szCs w:val="18"/>
          <w:b w:val="1"/>
          <w:bCs w:val="1"/>
          <w:color w:val="auto"/>
        </w:rPr>
        <w:t>” means:</w:t>
      </w:r>
    </w:p>
    <w:p>
      <w:pPr>
        <w:spacing w:after="0" w:line="256" w:lineRule="exact"/>
        <w:rPr>
          <w:rFonts w:ascii="Arial" w:cs="Arial" w:eastAsia="Arial" w:hAnsi="Arial"/>
          <w:sz w:val="18"/>
          <w:szCs w:val="18"/>
          <w:color w:val="auto"/>
        </w:rPr>
      </w:pPr>
    </w:p>
    <w:p>
      <w:pPr>
        <w:jc w:val="both"/>
        <w:ind w:left="1300" w:hanging="482"/>
        <w:spacing w:after="0" w:line="264" w:lineRule="auto"/>
        <w:tabs>
          <w:tab w:leader="none" w:pos="1300" w:val="left"/>
        </w:tabs>
        <w:numPr>
          <w:ilvl w:val="2"/>
          <w:numId w:val="42"/>
        </w:numPr>
        <w:rPr>
          <w:rFonts w:ascii="Arial" w:cs="Arial" w:eastAsia="Arial" w:hAnsi="Arial"/>
          <w:sz w:val="18"/>
          <w:szCs w:val="18"/>
          <w:color w:val="auto"/>
        </w:rPr>
      </w:pPr>
      <w:r>
        <w:rPr>
          <w:rFonts w:ascii="Arial" w:cs="Arial" w:eastAsia="Arial" w:hAnsi="Arial"/>
          <w:sz w:val="18"/>
          <w:szCs w:val="18"/>
          <w:color w:val="auto"/>
        </w:rPr>
        <w:t>engaging in any business activity similar to that in which you engaged during your last three years of employment with TI for any person or entity selling, marketing, designing or manufacturing products the same as, similar to, or that compete with products that TI sells or markets in any area that TI sells or markets such products;</w:t>
      </w:r>
    </w:p>
    <w:p>
      <w:pPr>
        <w:spacing w:after="0" w:line="208" w:lineRule="exact"/>
        <w:rPr>
          <w:rFonts w:ascii="Arial" w:cs="Arial" w:eastAsia="Arial" w:hAnsi="Arial"/>
          <w:sz w:val="18"/>
          <w:szCs w:val="18"/>
          <w:color w:val="auto"/>
        </w:rPr>
      </w:pPr>
    </w:p>
    <w:p>
      <w:pPr>
        <w:jc w:val="both"/>
        <w:ind w:left="1300" w:hanging="482"/>
        <w:spacing w:after="0" w:line="264" w:lineRule="auto"/>
        <w:tabs>
          <w:tab w:leader="none" w:pos="1300" w:val="left"/>
        </w:tabs>
        <w:numPr>
          <w:ilvl w:val="2"/>
          <w:numId w:val="42"/>
        </w:numPr>
        <w:rPr>
          <w:rFonts w:ascii="Arial" w:cs="Arial" w:eastAsia="Arial" w:hAnsi="Arial"/>
          <w:sz w:val="18"/>
          <w:szCs w:val="18"/>
          <w:color w:val="auto"/>
        </w:rPr>
      </w:pPr>
      <w:r>
        <w:rPr>
          <w:rFonts w:ascii="Arial" w:cs="Arial" w:eastAsia="Arial" w:hAnsi="Arial"/>
          <w:sz w:val="18"/>
          <w:szCs w:val="18"/>
          <w:color w:val="auto"/>
        </w:rPr>
        <w:t>engaging in the selling or marketing of any products that are the same as, similar to, or that compete with any products that you sold or marketed, or attempted to sell or market, during the last three years of your employment with TI in any area in which you sold or marketed, or attempted to sell or market, such products;</w:t>
      </w:r>
    </w:p>
    <w:p>
      <w:pPr>
        <w:spacing w:after="0" w:line="208" w:lineRule="exact"/>
        <w:rPr>
          <w:rFonts w:ascii="Arial" w:cs="Arial" w:eastAsia="Arial" w:hAnsi="Arial"/>
          <w:sz w:val="18"/>
          <w:szCs w:val="18"/>
          <w:color w:val="auto"/>
        </w:rPr>
      </w:pPr>
    </w:p>
    <w:p>
      <w:pPr>
        <w:jc w:val="both"/>
        <w:ind w:left="1300" w:hanging="482"/>
        <w:spacing w:after="0" w:line="264" w:lineRule="auto"/>
        <w:tabs>
          <w:tab w:leader="none" w:pos="1300" w:val="left"/>
        </w:tabs>
        <w:numPr>
          <w:ilvl w:val="2"/>
          <w:numId w:val="42"/>
        </w:numPr>
        <w:rPr>
          <w:rFonts w:ascii="Arial" w:cs="Arial" w:eastAsia="Arial" w:hAnsi="Arial"/>
          <w:sz w:val="18"/>
          <w:szCs w:val="18"/>
          <w:color w:val="auto"/>
        </w:rPr>
      </w:pPr>
      <w:r>
        <w:rPr>
          <w:rFonts w:ascii="Arial" w:cs="Arial" w:eastAsia="Arial" w:hAnsi="Arial"/>
          <w:sz w:val="18"/>
          <w:szCs w:val="18"/>
          <w:color w:val="auto"/>
        </w:rPr>
        <w:t>engaging in the manufacture or design of any products that are the same as, similar to or that compete with any products that you sold or marketed, or attempted to sell or market, or participated in the design or manufacture of, during the last three years of your employment with TI; or</w:t>
      </w:r>
    </w:p>
    <w:p>
      <w:pPr>
        <w:spacing w:after="0" w:line="208" w:lineRule="exact"/>
        <w:rPr>
          <w:rFonts w:ascii="Arial" w:cs="Arial" w:eastAsia="Arial" w:hAnsi="Arial"/>
          <w:sz w:val="18"/>
          <w:szCs w:val="18"/>
          <w:color w:val="auto"/>
        </w:rPr>
      </w:pPr>
    </w:p>
    <w:p>
      <w:pPr>
        <w:jc w:val="both"/>
        <w:ind w:left="1300" w:hanging="482"/>
        <w:spacing w:after="0" w:line="264" w:lineRule="auto"/>
        <w:tabs>
          <w:tab w:leader="none" w:pos="1300" w:val="left"/>
        </w:tabs>
        <w:numPr>
          <w:ilvl w:val="2"/>
          <w:numId w:val="42"/>
        </w:numPr>
        <w:rPr>
          <w:rFonts w:ascii="Arial" w:cs="Arial" w:eastAsia="Arial" w:hAnsi="Arial"/>
          <w:sz w:val="18"/>
          <w:szCs w:val="18"/>
          <w:color w:val="auto"/>
        </w:rPr>
      </w:pPr>
      <w:r>
        <w:rPr>
          <w:rFonts w:ascii="Arial" w:cs="Arial" w:eastAsia="Arial" w:hAnsi="Arial"/>
          <w:sz w:val="18"/>
          <w:szCs w:val="18"/>
          <w:color w:val="auto"/>
        </w:rPr>
        <w:t>engaging in the selling or marketing of any products that are the same as, similar to, or that compete with any products that you participated in the design or manufacture of during the last three years of your employment with TI in any area in which TI has sold or marketed, or attempted to sell or market, such products.</w:t>
      </w:r>
    </w:p>
    <w:p>
      <w:pPr>
        <w:spacing w:after="0" w:line="208" w:lineRule="exact"/>
        <w:rPr>
          <w:rFonts w:ascii="Arial" w:cs="Arial" w:eastAsia="Arial" w:hAnsi="Arial"/>
          <w:sz w:val="18"/>
          <w:szCs w:val="18"/>
          <w:color w:val="auto"/>
        </w:rPr>
      </w:pPr>
    </w:p>
    <w:p>
      <w:pPr>
        <w:ind w:left="820" w:hanging="488"/>
        <w:spacing w:after="0"/>
        <w:tabs>
          <w:tab w:leader="none" w:pos="8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Grant Date</w:t>
      </w:r>
      <w:r>
        <w:rPr>
          <w:rFonts w:ascii="Arial" w:cs="Arial" w:eastAsia="Arial" w:hAnsi="Arial"/>
          <w:sz w:val="18"/>
          <w:szCs w:val="18"/>
          <w:color w:val="auto"/>
        </w:rPr>
        <w:t>” means the effective date of grant of this Award.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0" w:name="page41"/>
    <w:bookmarkEnd w:id="40"/>
    <w:p>
      <w:pPr>
        <w:ind w:left="820" w:hanging="488"/>
        <w:spacing w:after="0"/>
        <w:tabs>
          <w:tab w:leader="none" w:pos="8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Involuntary Termination</w:t>
      </w:r>
      <w:r>
        <w:rPr>
          <w:rFonts w:ascii="Arial" w:cs="Arial" w:eastAsia="Arial" w:hAnsi="Arial"/>
          <w:sz w:val="18"/>
          <w:szCs w:val="18"/>
          <w:color w:val="auto"/>
        </w:rPr>
        <w:t>” has the meaning specified in the Plan.</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the Plan</w:t>
      </w:r>
      <w:r>
        <w:rPr>
          <w:rFonts w:ascii="Arial" w:cs="Arial" w:eastAsia="Arial" w:hAnsi="Arial"/>
          <w:sz w:val="18"/>
          <w:szCs w:val="18"/>
          <w:color w:val="auto"/>
        </w:rPr>
        <w:t>” means the Texas Instruments 2009 Long-Term Incentive Plan.</w:t>
      </w:r>
    </w:p>
    <w:p>
      <w:pPr>
        <w:spacing w:after="0" w:line="252" w:lineRule="exact"/>
        <w:rPr>
          <w:rFonts w:ascii="Arial" w:cs="Arial" w:eastAsia="Arial" w:hAnsi="Arial"/>
          <w:sz w:val="18"/>
          <w:szCs w:val="18"/>
          <w:color w:val="auto"/>
        </w:rPr>
      </w:pPr>
    </w:p>
    <w:p>
      <w:pPr>
        <w:jc w:val="both"/>
        <w:ind w:left="820" w:hanging="488"/>
        <w:spacing w:after="0" w:line="264" w:lineRule="auto"/>
        <w:tabs>
          <w:tab w:leader="none" w:pos="8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Pre-Retirement Period</w:t>
      </w:r>
      <w:r>
        <w:rPr>
          <w:rFonts w:ascii="Arial" w:cs="Arial" w:eastAsia="Arial" w:hAnsi="Arial"/>
          <w:sz w:val="18"/>
          <w:szCs w:val="18"/>
          <w:color w:val="auto"/>
        </w:rPr>
        <w:t>” means the number of whole 365-day periods from (and including) the Grant Date through the earlier of (i) the day before your termination is effective or (ii) the day before the beginning of any Bridge to Retirement you have commenced after the Grant Date.</w:t>
      </w:r>
    </w:p>
    <w:p>
      <w:pPr>
        <w:spacing w:after="0" w:line="208" w:lineRule="exact"/>
        <w:rPr>
          <w:rFonts w:ascii="Arial" w:cs="Arial" w:eastAsia="Arial" w:hAnsi="Arial"/>
          <w:sz w:val="18"/>
          <w:szCs w:val="18"/>
          <w:color w:val="auto"/>
        </w:rPr>
      </w:pPr>
    </w:p>
    <w:p>
      <w:pPr>
        <w:ind w:left="820" w:hanging="488"/>
        <w:spacing w:after="0" w:line="277" w:lineRule="auto"/>
        <w:tabs>
          <w:tab w:leader="none" w:pos="8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Vesting Period</w:t>
      </w:r>
      <w:r>
        <w:rPr>
          <w:rFonts w:ascii="Arial" w:cs="Arial" w:eastAsia="Arial" w:hAnsi="Arial"/>
          <w:sz w:val="18"/>
          <w:szCs w:val="18"/>
          <w:color w:val="auto"/>
        </w:rPr>
        <w:t>” means the number of whole 365-day periods from (and including) the Grant Date of the Award through the Vesting Date.</w:t>
      </w:r>
    </w:p>
    <w:p>
      <w:pPr>
        <w:spacing w:after="0" w:line="197" w:lineRule="exact"/>
        <w:rPr>
          <w:rFonts w:ascii="Arial" w:cs="Arial" w:eastAsia="Arial" w:hAnsi="Arial"/>
          <w:sz w:val="18"/>
          <w:szCs w:val="18"/>
          <w:color w:val="auto"/>
        </w:rPr>
      </w:pPr>
    </w:p>
    <w:p>
      <w:pPr>
        <w:ind w:left="820" w:hanging="488"/>
        <w:spacing w:after="0" w:line="277" w:lineRule="auto"/>
        <w:tabs>
          <w:tab w:leader="none" w:pos="8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The term </w:t>
      </w:r>
      <w:r>
        <w:rPr>
          <w:rFonts w:ascii="Arial" w:cs="Arial" w:eastAsia="Arial" w:hAnsi="Arial"/>
          <w:sz w:val="18"/>
          <w:szCs w:val="18"/>
          <w:i w:val="1"/>
          <w:iCs w:val="1"/>
          <w:color w:val="auto"/>
        </w:rPr>
        <w:t>“Bridge to Retirement”</w:t>
      </w:r>
      <w:r>
        <w:rPr>
          <w:rFonts w:ascii="Arial" w:cs="Arial" w:eastAsia="Arial" w:hAnsi="Arial"/>
          <w:sz w:val="18"/>
          <w:szCs w:val="18"/>
          <w:color w:val="auto"/>
        </w:rPr>
        <w:t xml:space="preserve"> means an unpaid leave of absence that TI has granted you solely to enable you to qualify for retirement as described in Section 2(b).</w:t>
      </w:r>
    </w:p>
    <w:p>
      <w:pPr>
        <w:spacing w:after="0" w:line="170" w:lineRule="exact"/>
        <w:rPr>
          <w:rFonts w:ascii="Arial" w:cs="Arial" w:eastAsia="Arial" w:hAnsi="Arial"/>
          <w:sz w:val="18"/>
          <w:szCs w:val="18"/>
          <w:color w:val="auto"/>
        </w:rPr>
      </w:pPr>
    </w:p>
    <w:p>
      <w:pPr>
        <w:ind w:left="820" w:right="300" w:hanging="488"/>
        <w:spacing w:after="0" w:line="277" w:lineRule="auto"/>
        <w:tabs>
          <w:tab w:leader="none" w:pos="8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Pre-Bridge Period</w:t>
      </w:r>
      <w:r>
        <w:rPr>
          <w:rFonts w:ascii="Arial" w:cs="Arial" w:eastAsia="Arial" w:hAnsi="Arial"/>
          <w:sz w:val="18"/>
          <w:szCs w:val="18"/>
          <w:color w:val="auto"/>
        </w:rPr>
        <w:t>” means the number of whole 365-day periods from (and including) the Grant Date of this Award through the day before you began your Bridge to Retirement.</w:t>
      </w:r>
    </w:p>
    <w:p>
      <w:pPr>
        <w:spacing w:after="0" w:line="197" w:lineRule="exact"/>
        <w:rPr>
          <w:rFonts w:ascii="Arial" w:cs="Arial" w:eastAsia="Arial" w:hAnsi="Arial"/>
          <w:sz w:val="18"/>
          <w:szCs w:val="18"/>
          <w:color w:val="auto"/>
        </w:rPr>
      </w:pPr>
    </w:p>
    <w:p>
      <w:pPr>
        <w:ind w:left="820" w:hanging="488"/>
        <w:spacing w:after="0" w:line="277" w:lineRule="auto"/>
        <w:tabs>
          <w:tab w:leader="none" w:pos="8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Employee Stock Grant Communication</w:t>
      </w:r>
      <w:r>
        <w:rPr>
          <w:rFonts w:ascii="Arial" w:cs="Arial" w:eastAsia="Arial" w:hAnsi="Arial"/>
          <w:sz w:val="18"/>
          <w:szCs w:val="18"/>
          <w:color w:val="auto"/>
        </w:rPr>
        <w:t>” means the written communication from the Company to you stating the date(s) of vesting and number of shares under the Award.</w:t>
      </w:r>
    </w:p>
    <w:p>
      <w:pPr>
        <w:spacing w:after="0" w:line="197" w:lineRule="exact"/>
        <w:rPr>
          <w:rFonts w:ascii="Arial" w:cs="Arial" w:eastAsia="Arial" w:hAnsi="Arial"/>
          <w:sz w:val="18"/>
          <w:szCs w:val="18"/>
          <w:color w:val="auto"/>
        </w:rPr>
      </w:pPr>
    </w:p>
    <w:p>
      <w:pPr>
        <w:ind w:left="820" w:hanging="488"/>
        <w:spacing w:after="0"/>
        <w:tabs>
          <w:tab w:leader="none" w:pos="820"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i w:val="1"/>
          <w:iCs w:val="1"/>
          <w:color w:val="auto"/>
        </w:rPr>
        <w:t>Fair Market Value</w:t>
      </w:r>
      <w:r>
        <w:rPr>
          <w:rFonts w:ascii="Arial" w:cs="Arial" w:eastAsia="Arial" w:hAnsi="Arial"/>
          <w:sz w:val="16"/>
          <w:szCs w:val="16"/>
          <w:color w:val="auto"/>
        </w:rPr>
        <w:t>” means the closing price of TI common stock on the New York Stock Exchange on the day before the Vesting Date.</w:t>
      </w:r>
    </w:p>
    <w:p>
      <w:pPr>
        <w:spacing w:after="0" w:line="275" w:lineRule="exact"/>
        <w:rPr>
          <w:rFonts w:ascii="Arial" w:cs="Arial" w:eastAsia="Arial" w:hAnsi="Arial"/>
          <w:sz w:val="16"/>
          <w:szCs w:val="16"/>
          <w:color w:val="auto"/>
        </w:rPr>
      </w:pPr>
    </w:p>
    <w:p>
      <w:pPr>
        <w:ind w:left="340" w:hanging="332"/>
        <w:spacing w:after="0" w:line="308" w:lineRule="auto"/>
        <w:tabs>
          <w:tab w:leader="none" w:pos="340"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Rights as Stockholder</w:t>
      </w:r>
      <w:r>
        <w:rPr>
          <w:rFonts w:ascii="Arial" w:cs="Arial" w:eastAsia="Arial" w:hAnsi="Arial"/>
          <w:sz w:val="17"/>
          <w:szCs w:val="17"/>
          <w:color w:val="auto"/>
        </w:rPr>
        <w:t>: You will not have any rights as a stockholder of the Company in respect of any shares of common stock of the Company issuable under this Award unless and until such shares are issued in your name and delivered to you in accordance with the provisions hereof.</w:t>
      </w:r>
    </w:p>
    <w:p>
      <w:pPr>
        <w:spacing w:after="0" w:line="173" w:lineRule="exact"/>
        <w:rPr>
          <w:rFonts w:ascii="Arial" w:cs="Arial" w:eastAsia="Arial" w:hAnsi="Arial"/>
          <w:sz w:val="17"/>
          <w:szCs w:val="17"/>
          <w:color w:val="auto"/>
        </w:rPr>
      </w:pPr>
    </w:p>
    <w:p>
      <w:pPr>
        <w:ind w:left="340" w:right="20" w:hanging="332"/>
        <w:spacing w:after="0" w:line="277"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Texas Law</w:t>
      </w:r>
      <w:r>
        <w:rPr>
          <w:rFonts w:ascii="Arial" w:cs="Arial" w:eastAsia="Arial" w:hAnsi="Arial"/>
          <w:sz w:val="18"/>
          <w:szCs w:val="18"/>
          <w:color w:val="auto"/>
        </w:rPr>
        <w:t>. This Agreement and specifically the provisions of Section 9 hereof shall be construed both as to validity and performance and enforced in accordance with the laws of the State of Texas without giving effect to the principles of conflict of laws thereof.</w:t>
      </w:r>
    </w:p>
    <w:p>
      <w:pPr>
        <w:spacing w:after="0" w:line="19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w:t>
      </w:r>
    </w:p>
    <w:p>
      <w:pPr>
        <w:spacing w:after="0" w:line="25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By accepting this Restricted Stock Unit Award Agreement, I acknowledge I have read and I agree to be bound by all of the terms and conditions set forth above, including Section 9 relating to Confidential Information, Competition and Recoupment Policy.</w:t>
      </w: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10(p)</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2009 DIRECTOR COMPENSATION PLAN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December 3,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PURPOSE.</w:t>
      </w:r>
    </w:p>
    <w:p>
      <w:pPr>
        <w:spacing w:after="0" w:line="25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Texas Instruments 2009 Director Compensation Plan (“the Plan”) is intended as a successor plan to the Company’s 2003 Director Compensation Plan (“2003 Plan”). This Plan is designed to attract and retain qualified individuals to serve as directors of the Company and to increase the proprietary and vested interest of such directors in the growth and performance of the Company. This Plan is effective for Awards granted on or after the Effective Date. With respect to Deferred Compensation, as of the Effective Date, the Post-2004 Accounts (as defined in the 2003 Plan) of the participants in the 2003 Plan are hereby merged into the Deferred Compensation accounts under this Plan and the amounts in those Accounts shall be governed thereafter by the terms of this Plan. Any elections made under Section 8 of the 2003 Plan shall remain applicable to and shall govern the Deferred Compensation Accounts of this Plan unless changed by the Participant in accordance with the terms of this Plan.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DEFINITIONS.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used in the Plan, the following terms shall have the meanings set forth below:</w:t>
      </w:r>
    </w:p>
    <w:p>
      <w:pPr>
        <w:spacing w:after="0" w:line="252" w:lineRule="exact"/>
        <w:rPr>
          <w:sz w:val="20"/>
          <w:szCs w:val="20"/>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“Account” </w:t>
      </w:r>
      <w:r>
        <w:rPr>
          <w:rFonts w:ascii="Arial" w:cs="Arial" w:eastAsia="Arial" w:hAnsi="Arial"/>
          <w:sz w:val="18"/>
          <w:szCs w:val="18"/>
          <w:color w:val="auto"/>
        </w:rPr>
        <w:t>means a Cash Account or Stock Unit Account established under Section 9 of the Plan.</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“Administrator” </w:t>
      </w:r>
      <w:r>
        <w:rPr>
          <w:rFonts w:ascii="Arial" w:cs="Arial" w:eastAsia="Arial" w:hAnsi="Arial"/>
          <w:sz w:val="18"/>
          <w:szCs w:val="18"/>
          <w:color w:val="auto"/>
        </w:rPr>
        <w:t>means the Board or a committee of directors designated by the Board to administer the Plan.</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“Award” </w:t>
      </w:r>
      <w:r>
        <w:rPr>
          <w:rFonts w:ascii="Arial" w:cs="Arial" w:eastAsia="Arial" w:hAnsi="Arial"/>
          <w:sz w:val="18"/>
          <w:szCs w:val="18"/>
          <w:color w:val="auto"/>
        </w:rPr>
        <w:t>means any Option, Restricted Stock Unit, Stock Appreciation Right or other stock-based award under the Plan.</w:t>
      </w:r>
    </w:p>
    <w:p>
      <w:pPr>
        <w:spacing w:after="0" w:line="252" w:lineRule="exact"/>
        <w:rPr>
          <w:rFonts w:ascii="Arial" w:cs="Arial" w:eastAsia="Arial" w:hAnsi="Arial"/>
          <w:sz w:val="18"/>
          <w:szCs w:val="18"/>
          <w:color w:val="auto"/>
        </w:rPr>
      </w:pPr>
    </w:p>
    <w:p>
      <w:pPr>
        <w:ind w:left="500" w:right="380" w:hanging="492"/>
        <w:spacing w:after="0" w:line="277"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“Award Agreement” </w:t>
      </w:r>
      <w:r>
        <w:rPr>
          <w:rFonts w:ascii="Arial" w:cs="Arial" w:eastAsia="Arial" w:hAnsi="Arial"/>
          <w:sz w:val="18"/>
          <w:szCs w:val="18"/>
          <w:color w:val="auto"/>
        </w:rPr>
        <w:t>means any written agreement, contract or other instrument or document evidencing any Award granted under the Plan, which</w:t>
      </w:r>
      <w:r>
        <w:rPr>
          <w:rFonts w:ascii="Arial" w:cs="Arial" w:eastAsia="Arial" w:hAnsi="Arial"/>
          <w:sz w:val="18"/>
          <w:szCs w:val="18"/>
          <w:i w:val="1"/>
          <w:iCs w:val="1"/>
          <w:color w:val="auto"/>
        </w:rPr>
        <w:t xml:space="preserve"> </w:t>
      </w:r>
      <w:r>
        <w:rPr>
          <w:rFonts w:ascii="Arial" w:cs="Arial" w:eastAsia="Arial" w:hAnsi="Arial"/>
          <w:sz w:val="18"/>
          <w:szCs w:val="18"/>
          <w:color w:val="auto"/>
        </w:rPr>
        <w:t>may, but need not, be executed or acknowledged by a Director. An Award Agreement may be in electronic form.</w:t>
      </w:r>
    </w:p>
    <w:p>
      <w:pPr>
        <w:spacing w:after="0" w:line="197" w:lineRule="exact"/>
        <w:rPr>
          <w:rFonts w:ascii="Arial" w:cs="Arial" w:eastAsia="Arial" w:hAnsi="Arial"/>
          <w:sz w:val="18"/>
          <w:szCs w:val="18"/>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means the Board of Directors of the Company, as constituted from time to time.</w:t>
      </w:r>
    </w:p>
    <w:p>
      <w:pPr>
        <w:spacing w:after="0" w:line="252" w:lineRule="exact"/>
        <w:rPr>
          <w:rFonts w:ascii="Arial" w:cs="Arial" w:eastAsia="Arial" w:hAnsi="Arial"/>
          <w:sz w:val="18"/>
          <w:szCs w:val="18"/>
          <w:color w:val="auto"/>
        </w:rPr>
      </w:pPr>
    </w:p>
    <w:p>
      <w:pPr>
        <w:ind w:left="500" w:right="60" w:hanging="492"/>
        <w:spacing w:after="0" w:line="277"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“Cash Account” </w:t>
      </w:r>
      <w:r>
        <w:rPr>
          <w:rFonts w:ascii="Arial" w:cs="Arial" w:eastAsia="Arial" w:hAnsi="Arial"/>
          <w:sz w:val="18"/>
          <w:szCs w:val="18"/>
          <w:color w:val="auto"/>
        </w:rPr>
        <w:t>means the bookkeeping accounts established or maintained pursuant to Section 9(b)(i) on behalf of each Director who elects pursuant</w:t>
      </w:r>
      <w:r>
        <w:rPr>
          <w:rFonts w:ascii="Arial" w:cs="Arial" w:eastAsia="Arial" w:hAnsi="Arial"/>
          <w:sz w:val="18"/>
          <w:szCs w:val="18"/>
          <w:i w:val="1"/>
          <w:iCs w:val="1"/>
          <w:color w:val="auto"/>
        </w:rPr>
        <w:t xml:space="preserve"> </w:t>
      </w:r>
      <w:r>
        <w:rPr>
          <w:rFonts w:ascii="Arial" w:cs="Arial" w:eastAsia="Arial" w:hAnsi="Arial"/>
          <w:sz w:val="18"/>
          <w:szCs w:val="18"/>
          <w:color w:val="auto"/>
        </w:rPr>
        <w:t>to Section 9(b) to have any of his or her Deferred Compensation credited to a cash account.</w:t>
      </w:r>
    </w:p>
    <w:p>
      <w:pPr>
        <w:spacing w:after="0" w:line="197" w:lineRule="exact"/>
        <w:rPr>
          <w:rFonts w:ascii="Arial" w:cs="Arial" w:eastAsia="Arial" w:hAnsi="Arial"/>
          <w:sz w:val="18"/>
          <w:szCs w:val="18"/>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 in Control definitions:</w:t>
      </w:r>
    </w:p>
    <w:p>
      <w:pPr>
        <w:spacing w:after="0" w:line="252" w:lineRule="exact"/>
        <w:rPr>
          <w:rFonts w:ascii="Arial" w:cs="Arial" w:eastAsia="Arial" w:hAnsi="Arial"/>
          <w:sz w:val="18"/>
          <w:szCs w:val="18"/>
          <w:color w:val="auto"/>
        </w:rPr>
      </w:pPr>
    </w:p>
    <w:p>
      <w:pPr>
        <w:ind w:left="980" w:right="100" w:hanging="486"/>
        <w:spacing w:after="0" w:line="289" w:lineRule="auto"/>
        <w:tabs>
          <w:tab w:leader="none" w:pos="980" w:val="left"/>
        </w:tabs>
        <w:numPr>
          <w:ilvl w:val="1"/>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“Change in Control (2010 Grant)” </w:t>
      </w:r>
      <w:r>
        <w:rPr>
          <w:rFonts w:ascii="Arial" w:cs="Arial" w:eastAsia="Arial" w:hAnsi="Arial"/>
          <w:sz w:val="16"/>
          <w:szCs w:val="16"/>
          <w:color w:val="auto"/>
        </w:rPr>
        <w:t>means an event when (i) any Person, alone or together with its Affiliates and Associates or otherwise, shall</w:t>
      </w:r>
      <w:r>
        <w:rPr>
          <w:rFonts w:ascii="Arial" w:cs="Arial" w:eastAsia="Arial" w:hAnsi="Arial"/>
          <w:sz w:val="16"/>
          <w:szCs w:val="16"/>
          <w:i w:val="1"/>
          <w:iCs w:val="1"/>
          <w:color w:val="auto"/>
        </w:rPr>
        <w:t xml:space="preserve"> </w:t>
      </w:r>
      <w:r>
        <w:rPr>
          <w:rFonts w:ascii="Arial" w:cs="Arial" w:eastAsia="Arial" w:hAnsi="Arial"/>
          <w:sz w:val="16"/>
          <w:szCs w:val="16"/>
          <w:color w:val="auto"/>
        </w:rPr>
        <w:t>become an Acquiring Person otherwise than pursuant to a transaction or agreement approved by the Board prior to the time the Acquiring Person became such, or (ii) a majority of the Board shall change within any 24-month period unless the election or the nomination for election by the Company’s stockholders of each new director has been approved by a vote of at least a majority of the directors then still in office who were directors at the beginning of the period. For the purposes hereof, the terms Person, Affiliates, Associates and Acquiring Person shall have the meanings given to such terms in the Rights Agreement dated as of June 17, 1998 between the Company and Harris Trust and Savings Bank. Notwithstanding the foregoing, if a Restricted Stock Unit (2010 Grant) granted under this Plan is or becomes subject to Section 409A of the Code, then with respect to such Restricted Stock Unit, “Change in Control (2010 Grant)” means a change in control event as to the Company, as defined in Section 409A of the Code and the regulations thereunder.</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2" w:name="page43"/>
    <w:bookmarkEnd w:id="42"/>
    <w:p>
      <w:pPr>
        <w:ind w:left="486" w:hanging="486"/>
        <w:spacing w:after="0"/>
        <w:tabs>
          <w:tab w:leader="none" w:pos="486"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“Change in Control (Post-2010 Grant)” </w:t>
      </w:r>
      <w:r>
        <w:rPr>
          <w:rFonts w:ascii="Arial" w:cs="Arial" w:eastAsia="Arial" w:hAnsi="Arial"/>
          <w:sz w:val="18"/>
          <w:szCs w:val="18"/>
          <w:color w:val="auto"/>
        </w:rPr>
        <w:t>shall mean an event that will be deemed to have occurred:</w:t>
      </w:r>
    </w:p>
    <w:p>
      <w:pPr>
        <w:spacing w:after="0" w:line="252" w:lineRule="exact"/>
        <w:rPr>
          <w:rFonts w:ascii="Arial" w:cs="Arial" w:eastAsia="Arial" w:hAnsi="Arial"/>
          <w:sz w:val="18"/>
          <w:szCs w:val="18"/>
          <w:color w:val="auto"/>
        </w:rPr>
      </w:pPr>
    </w:p>
    <w:p>
      <w:pPr>
        <w:ind w:left="966" w:hanging="480"/>
        <w:spacing w:after="0" w:line="272" w:lineRule="auto"/>
        <w:tabs>
          <w:tab w:leader="none" w:pos="966" w:val="left"/>
        </w:tabs>
        <w:numPr>
          <w:ilvl w:val="1"/>
          <w:numId w:val="46"/>
        </w:numPr>
        <w:rPr>
          <w:rFonts w:ascii="Arial" w:cs="Arial" w:eastAsia="Arial" w:hAnsi="Arial"/>
          <w:sz w:val="17"/>
          <w:szCs w:val="17"/>
          <w:color w:val="auto"/>
        </w:rPr>
      </w:pPr>
      <w:r>
        <w:rPr>
          <w:rFonts w:ascii="Arial" w:cs="Arial" w:eastAsia="Arial" w:hAnsi="Arial"/>
          <w:sz w:val="17"/>
          <w:szCs w:val="17"/>
          <w:color w:val="auto"/>
        </w:rPr>
        <w:t>On the date any Person, other than (i) the Company or any of its Subsidiaries, (ii) a trustee or other fiduciary holding stock under an employee benefit plan of the Company or any of its Affiliates, (iii) an underwriter temporarily holding stock pursuant to an offering of such stock, or (iv) a corporation owned, directly or indirectly, by the stockholders of the Company in substantially the same proportions as their ownership of stock of the Company, acquires ownership of stock of the Company that, together with stock held by such Person, constitutes more than 50 percent of the total fair market value or total voting power of the stock of the Company. However, if any Person is considered to own more than 50 percent of the total fair market value or total voting power of the stock of the Company, the acquisition of additional stock by the same Person is not considered to be a Change in Control (Post-2010 Grant);</w:t>
      </w:r>
    </w:p>
    <w:p>
      <w:pPr>
        <w:spacing w:after="0" w:line="204" w:lineRule="exact"/>
        <w:rPr>
          <w:rFonts w:ascii="Arial" w:cs="Arial" w:eastAsia="Arial" w:hAnsi="Arial"/>
          <w:sz w:val="17"/>
          <w:szCs w:val="17"/>
          <w:color w:val="auto"/>
        </w:rPr>
      </w:pPr>
    </w:p>
    <w:p>
      <w:pPr>
        <w:ind w:left="966" w:hanging="480"/>
        <w:spacing w:after="0" w:line="277" w:lineRule="auto"/>
        <w:tabs>
          <w:tab w:leader="none" w:pos="966" w:val="left"/>
        </w:tabs>
        <w:numPr>
          <w:ilvl w:val="1"/>
          <w:numId w:val="46"/>
        </w:numPr>
        <w:rPr>
          <w:rFonts w:ascii="Arial" w:cs="Arial" w:eastAsia="Arial" w:hAnsi="Arial"/>
          <w:sz w:val="18"/>
          <w:szCs w:val="18"/>
          <w:color w:val="auto"/>
        </w:rPr>
      </w:pPr>
      <w:r>
        <w:rPr>
          <w:rFonts w:ascii="Arial" w:cs="Arial" w:eastAsia="Arial" w:hAnsi="Arial"/>
          <w:sz w:val="18"/>
          <w:szCs w:val="18"/>
          <w:color w:val="auto"/>
        </w:rPr>
        <w:t>On the date a majority of members of the Board is replaced during any 12-month period by directors whose appointment or election is not endorsed by a majority of the Board before the date of the appointment or election; or</w:t>
      </w:r>
    </w:p>
    <w:p>
      <w:pPr>
        <w:spacing w:after="0" w:line="197" w:lineRule="exact"/>
        <w:rPr>
          <w:rFonts w:ascii="Arial" w:cs="Arial" w:eastAsia="Arial" w:hAnsi="Arial"/>
          <w:sz w:val="18"/>
          <w:szCs w:val="18"/>
          <w:color w:val="auto"/>
        </w:rPr>
      </w:pPr>
    </w:p>
    <w:p>
      <w:pPr>
        <w:ind w:left="966" w:right="60" w:hanging="480"/>
        <w:spacing w:after="0" w:line="269" w:lineRule="auto"/>
        <w:tabs>
          <w:tab w:leader="none" w:pos="966" w:val="left"/>
        </w:tabs>
        <w:numPr>
          <w:ilvl w:val="1"/>
          <w:numId w:val="46"/>
        </w:numPr>
        <w:rPr>
          <w:rFonts w:ascii="Arial" w:cs="Arial" w:eastAsia="Arial" w:hAnsi="Arial"/>
          <w:sz w:val="17"/>
          <w:szCs w:val="17"/>
          <w:color w:val="auto"/>
        </w:rPr>
      </w:pPr>
      <w:r>
        <w:rPr>
          <w:rFonts w:ascii="Arial" w:cs="Arial" w:eastAsia="Arial" w:hAnsi="Arial"/>
          <w:sz w:val="17"/>
          <w:szCs w:val="17"/>
          <w:color w:val="auto"/>
        </w:rPr>
        <w:t>On the date any Person acquires (or has acquired during the 12-month period ending on the date of the most recent acquisition by such Person) assets from the Company that have a total gross fair market value equal to or more than 80 percent of the total gross fair market value of all of the assets of the Company immediately before such acquisition or acquisitions. For this purpose, gross fair market value means the value of the assets of the Company or the value of the assets being disposed of, determined without regard to any liabilities associated with such assets. However, there is no Change in Control (Post-2010 Grant) when there is such a sale or transfer to (i) a stockholder of the Company (immediately before the asset transfer) in exchange for or with respect to the Company’s then outstanding stock; (ii) an entity, at least 50 percent of the total value or voting power of the stock of which is owned, directly or indirectly, by the Company; (iii) a Person that owns, directly or indirectly, at least 50 percent of the total value or voting power of the outstanding stock of the Company; or (iv) an entity, at least 50 percent of the total value or voting power of the stock of which is owned, directly or indirectly, by a Person that owns, directly or indirectly, at least 50 percent of the total value or voting power of the outstanding stock of the Company.</w:t>
      </w:r>
    </w:p>
    <w:p>
      <w:pPr>
        <w:spacing w:after="0" w:line="354" w:lineRule="exact"/>
        <w:rPr>
          <w:sz w:val="20"/>
          <w:szCs w:val="20"/>
          <w:color w:val="auto"/>
        </w:rPr>
      </w:pPr>
    </w:p>
    <w:p>
      <w:pPr>
        <w:jc w:val="center"/>
        <w:ind w:right="454"/>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70485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6"/>
          </w:cols>
          <w:pgMar w:left="734" w:top="517" w:right="259" w:bottom="1440" w:gutter="0" w:footer="0" w:header="0"/>
        </w:sectPr>
      </w:pPr>
    </w:p>
    <w:bookmarkStart w:id="43" w:name="page44"/>
    <w:bookmarkEnd w:id="43"/>
    <w:p>
      <w:pPr>
        <w:ind w:left="1452" w:hanging="480"/>
        <w:spacing w:after="0"/>
        <w:tabs>
          <w:tab w:leader="none" w:pos="1452" w:val="left"/>
        </w:tabs>
        <w:numPr>
          <w:ilvl w:val="1"/>
          <w:numId w:val="47"/>
        </w:numPr>
        <w:rPr>
          <w:rFonts w:ascii="Arial" w:cs="Arial" w:eastAsia="Arial" w:hAnsi="Arial"/>
          <w:sz w:val="18"/>
          <w:szCs w:val="18"/>
          <w:color w:val="auto"/>
        </w:rPr>
      </w:pPr>
      <w:r>
        <w:rPr>
          <w:rFonts w:ascii="Arial" w:cs="Arial" w:eastAsia="Arial" w:hAnsi="Arial"/>
          <w:sz w:val="18"/>
          <w:szCs w:val="18"/>
          <w:color w:val="auto"/>
        </w:rPr>
        <w:t>For purposes of (A), (B) and (C) of this Section 2(g)(ii):</w:t>
      </w:r>
    </w:p>
    <w:p>
      <w:pPr>
        <w:spacing w:after="0" w:line="252" w:lineRule="exact"/>
        <w:rPr>
          <w:rFonts w:ascii="Arial" w:cs="Arial" w:eastAsia="Arial" w:hAnsi="Arial"/>
          <w:sz w:val="18"/>
          <w:szCs w:val="18"/>
          <w:color w:val="auto"/>
        </w:rPr>
      </w:pPr>
    </w:p>
    <w:p>
      <w:pPr>
        <w:ind w:left="1952" w:right="180" w:hanging="493"/>
        <w:spacing w:after="0" w:line="277" w:lineRule="auto"/>
        <w:tabs>
          <w:tab w:leader="none" w:pos="1952" w:val="left"/>
        </w:tabs>
        <w:numPr>
          <w:ilvl w:val="2"/>
          <w:numId w:val="47"/>
        </w:numPr>
        <w:rPr>
          <w:rFonts w:ascii="Arial" w:cs="Arial" w:eastAsia="Arial" w:hAnsi="Arial"/>
          <w:sz w:val="18"/>
          <w:szCs w:val="18"/>
          <w:color w:val="auto"/>
        </w:rPr>
      </w:pPr>
      <w:r>
        <w:rPr>
          <w:rFonts w:ascii="Arial" w:cs="Arial" w:eastAsia="Arial" w:hAnsi="Arial"/>
          <w:sz w:val="18"/>
          <w:szCs w:val="18"/>
          <w:color w:val="auto"/>
        </w:rPr>
        <w:t>“Affiliate” shall have the meaning set forth in Rule 12b-2 promulgated under Section 12 of the Securities Exchange Act of 1934, as amended;</w:t>
      </w:r>
    </w:p>
    <w:p>
      <w:pPr>
        <w:spacing w:after="0" w:line="197" w:lineRule="exact"/>
        <w:rPr>
          <w:rFonts w:ascii="Arial" w:cs="Arial" w:eastAsia="Arial" w:hAnsi="Arial"/>
          <w:sz w:val="18"/>
          <w:szCs w:val="18"/>
          <w:color w:val="auto"/>
        </w:rPr>
      </w:pPr>
    </w:p>
    <w:p>
      <w:pPr>
        <w:ind w:left="1952" w:right="200" w:hanging="493"/>
        <w:spacing w:after="0" w:line="277" w:lineRule="auto"/>
        <w:tabs>
          <w:tab w:leader="none" w:pos="1952" w:val="left"/>
        </w:tabs>
        <w:numPr>
          <w:ilvl w:val="2"/>
          <w:numId w:val="47"/>
        </w:numPr>
        <w:rPr>
          <w:rFonts w:ascii="Arial" w:cs="Arial" w:eastAsia="Arial" w:hAnsi="Arial"/>
          <w:sz w:val="18"/>
          <w:szCs w:val="18"/>
          <w:color w:val="auto"/>
        </w:rPr>
      </w:pPr>
      <w:r>
        <w:rPr>
          <w:rFonts w:ascii="Arial" w:cs="Arial" w:eastAsia="Arial" w:hAnsi="Arial"/>
          <w:sz w:val="18"/>
          <w:szCs w:val="18"/>
          <w:color w:val="auto"/>
        </w:rPr>
        <w:t>“Person” shall have the meaning given in Section 7701(a)(1) of the Code. Person shall include more than one Person acting as a group as defined by the Final Treasury Regulations issued under Section 409A of the Code; and</w:t>
      </w:r>
    </w:p>
    <w:p>
      <w:pPr>
        <w:spacing w:after="0" w:line="197" w:lineRule="exact"/>
        <w:rPr>
          <w:rFonts w:ascii="Arial" w:cs="Arial" w:eastAsia="Arial" w:hAnsi="Arial"/>
          <w:sz w:val="18"/>
          <w:szCs w:val="18"/>
          <w:color w:val="auto"/>
        </w:rPr>
      </w:pPr>
    </w:p>
    <w:p>
      <w:pPr>
        <w:ind w:left="1952" w:right="140" w:hanging="493"/>
        <w:spacing w:after="0" w:line="342" w:lineRule="auto"/>
        <w:tabs>
          <w:tab w:leader="none" w:pos="1952" w:val="left"/>
        </w:tabs>
        <w:numPr>
          <w:ilvl w:val="2"/>
          <w:numId w:val="47"/>
        </w:numPr>
        <w:rPr>
          <w:rFonts w:ascii="Arial" w:cs="Arial" w:eastAsia="Arial" w:hAnsi="Arial"/>
          <w:sz w:val="16"/>
          <w:szCs w:val="16"/>
          <w:color w:val="auto"/>
        </w:rPr>
      </w:pPr>
      <w:r>
        <w:rPr>
          <w:rFonts w:ascii="Arial" w:cs="Arial" w:eastAsia="Arial" w:hAnsi="Arial"/>
          <w:sz w:val="16"/>
          <w:szCs w:val="16"/>
          <w:color w:val="auto"/>
        </w:rPr>
        <w:t>“Subsidiary” means any entity whose assets and net income are included in the consolidated financial statements of the Company audited by the Company’s independent auditors and reported to stockholders in the annual report to stockholders.</w:t>
      </w:r>
    </w:p>
    <w:p>
      <w:pPr>
        <w:spacing w:after="0" w:line="150" w:lineRule="exact"/>
        <w:rPr>
          <w:rFonts w:ascii="Arial" w:cs="Arial" w:eastAsia="Arial" w:hAnsi="Arial"/>
          <w:sz w:val="16"/>
          <w:szCs w:val="16"/>
          <w:color w:val="auto"/>
        </w:rPr>
      </w:pPr>
    </w:p>
    <w:p>
      <w:pPr>
        <w:ind w:left="1452" w:hanging="480"/>
        <w:spacing w:after="0" w:line="264" w:lineRule="auto"/>
        <w:tabs>
          <w:tab w:leader="none" w:pos="1452" w:val="left"/>
        </w:tabs>
        <w:numPr>
          <w:ilvl w:val="1"/>
          <w:numId w:val="47"/>
        </w:numPr>
        <w:rPr>
          <w:rFonts w:ascii="Arial" w:cs="Arial" w:eastAsia="Arial" w:hAnsi="Arial"/>
          <w:sz w:val="18"/>
          <w:szCs w:val="18"/>
          <w:color w:val="auto"/>
        </w:rPr>
      </w:pPr>
      <w:r>
        <w:rPr>
          <w:rFonts w:ascii="Arial" w:cs="Arial" w:eastAsia="Arial" w:hAnsi="Arial"/>
          <w:sz w:val="18"/>
          <w:szCs w:val="18"/>
          <w:color w:val="auto"/>
        </w:rPr>
        <w:t>Notwithstanding the foregoing, in no case will an event in (A), (B) or (C) of this Section 2(g)(ii) be treated as a Change in Control (Post-2010 Grant) unless such event also constitutes a “change in control event” with respect to the Company within the meaning of Treas. Reg. § 1.409A-3(i)(5) or any successor provision.</w:t>
      </w:r>
    </w:p>
    <w:p>
      <w:pPr>
        <w:spacing w:after="0" w:line="208" w:lineRule="exact"/>
        <w:rPr>
          <w:rFonts w:ascii="Arial" w:cs="Arial" w:eastAsia="Arial" w:hAnsi="Arial"/>
          <w:sz w:val="18"/>
          <w:szCs w:val="18"/>
          <w:color w:val="auto"/>
        </w:rPr>
      </w:pPr>
    </w:p>
    <w:p>
      <w:pPr>
        <w:ind w:left="492" w:hanging="492"/>
        <w:spacing w:after="0"/>
        <w:tabs>
          <w:tab w:leader="none" w:pos="492"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Internal Revenue Code of 1986, as amended.</w:t>
      </w:r>
    </w:p>
    <w:p>
      <w:pPr>
        <w:spacing w:after="0" w:line="252" w:lineRule="exact"/>
        <w:rPr>
          <w:rFonts w:ascii="Arial" w:cs="Arial" w:eastAsia="Arial" w:hAnsi="Arial"/>
          <w:sz w:val="18"/>
          <w:szCs w:val="18"/>
          <w:color w:val="auto"/>
        </w:rPr>
      </w:pPr>
    </w:p>
    <w:p>
      <w:pPr>
        <w:ind w:left="492" w:hanging="492"/>
        <w:spacing w:after="0"/>
        <w:tabs>
          <w:tab w:leader="none" w:pos="492"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“Company” </w:t>
      </w:r>
      <w:r>
        <w:rPr>
          <w:rFonts w:ascii="Arial" w:cs="Arial" w:eastAsia="Arial" w:hAnsi="Arial"/>
          <w:sz w:val="18"/>
          <w:szCs w:val="18"/>
          <w:color w:val="auto"/>
        </w:rPr>
        <w:t>means Texas Instruments Incorporated, together with any successor thereto.</w:t>
      </w:r>
    </w:p>
    <w:p>
      <w:pPr>
        <w:spacing w:after="0" w:line="252" w:lineRule="exact"/>
        <w:rPr>
          <w:rFonts w:ascii="Arial" w:cs="Arial" w:eastAsia="Arial" w:hAnsi="Arial"/>
          <w:sz w:val="18"/>
          <w:szCs w:val="18"/>
          <w:color w:val="auto"/>
        </w:rPr>
      </w:pPr>
    </w:p>
    <w:p>
      <w:pPr>
        <w:ind w:left="492" w:right="160" w:hanging="492"/>
        <w:spacing w:after="0" w:line="277" w:lineRule="auto"/>
        <w:tabs>
          <w:tab w:leader="none" w:pos="492"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“Deferred Cash Compensation” </w:t>
      </w:r>
      <w:r>
        <w:rPr>
          <w:rFonts w:ascii="Arial" w:cs="Arial" w:eastAsia="Arial" w:hAnsi="Arial"/>
          <w:sz w:val="18"/>
          <w:szCs w:val="18"/>
          <w:color w:val="auto"/>
        </w:rPr>
        <w:t>means that portion of any Director’s Eligible Compensation that is payable in cash and that he or she elects pursuant</w:t>
      </w:r>
      <w:r>
        <w:rPr>
          <w:rFonts w:ascii="Arial" w:cs="Arial" w:eastAsia="Arial" w:hAnsi="Arial"/>
          <w:sz w:val="18"/>
          <w:szCs w:val="18"/>
          <w:i w:val="1"/>
          <w:iCs w:val="1"/>
          <w:color w:val="auto"/>
        </w:rPr>
        <w:t xml:space="preserve"> </w:t>
      </w:r>
      <w:r>
        <w:rPr>
          <w:rFonts w:ascii="Arial" w:cs="Arial" w:eastAsia="Arial" w:hAnsi="Arial"/>
          <w:sz w:val="18"/>
          <w:szCs w:val="18"/>
          <w:color w:val="auto"/>
        </w:rPr>
        <w:t>to Section 9(a) to be deferred in accordance with this Plan.</w:t>
      </w:r>
    </w:p>
    <w:p>
      <w:pPr>
        <w:spacing w:after="0" w:line="197" w:lineRule="exact"/>
        <w:rPr>
          <w:rFonts w:ascii="Arial" w:cs="Arial" w:eastAsia="Arial" w:hAnsi="Arial"/>
          <w:sz w:val="18"/>
          <w:szCs w:val="18"/>
          <w:color w:val="auto"/>
        </w:rPr>
      </w:pPr>
    </w:p>
    <w:p>
      <w:pPr>
        <w:ind w:left="492" w:right="180" w:hanging="492"/>
        <w:spacing w:after="0" w:line="277" w:lineRule="auto"/>
        <w:tabs>
          <w:tab w:leader="none" w:pos="492"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means that portion of any Director’s Eligible Compensation that he or she elects pursuant to Section 9(a) to be deferred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this Plan.</w:t>
      </w:r>
    </w:p>
    <w:p>
      <w:pPr>
        <w:spacing w:after="0" w:line="197" w:lineRule="exact"/>
        <w:rPr>
          <w:rFonts w:ascii="Arial" w:cs="Arial" w:eastAsia="Arial" w:hAnsi="Arial"/>
          <w:sz w:val="18"/>
          <w:szCs w:val="18"/>
          <w:color w:val="auto"/>
        </w:rPr>
      </w:pPr>
    </w:p>
    <w:p>
      <w:pPr>
        <w:ind w:left="492" w:right="80" w:hanging="492"/>
        <w:spacing w:after="0" w:line="277" w:lineRule="auto"/>
        <w:tabs>
          <w:tab w:leader="none" w:pos="492"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“Deferred Compensation Account” </w:t>
      </w:r>
      <w:r>
        <w:rPr>
          <w:rFonts w:ascii="Arial" w:cs="Arial" w:eastAsia="Arial" w:hAnsi="Arial"/>
          <w:sz w:val="18"/>
          <w:szCs w:val="18"/>
          <w:color w:val="auto"/>
        </w:rPr>
        <w:t>means a Cash Account or Stock Unit Account containing amounts earned and deferred under this Plan or the 2003</w:t>
      </w:r>
      <w:r>
        <w:rPr>
          <w:rFonts w:ascii="Arial" w:cs="Arial" w:eastAsia="Arial" w:hAnsi="Arial"/>
          <w:sz w:val="18"/>
          <w:szCs w:val="18"/>
          <w:i w:val="1"/>
          <w:iCs w:val="1"/>
          <w:color w:val="auto"/>
        </w:rPr>
        <w:t xml:space="preserve"> </w:t>
      </w:r>
      <w:r>
        <w:rPr>
          <w:rFonts w:ascii="Arial" w:cs="Arial" w:eastAsia="Arial" w:hAnsi="Arial"/>
          <w:sz w:val="18"/>
          <w:szCs w:val="18"/>
          <w:color w:val="auto"/>
        </w:rPr>
        <w:t>Plan and Restricted Stock Units, the receipt of which a Director has elected to defer.</w:t>
      </w:r>
    </w:p>
    <w:p>
      <w:pPr>
        <w:spacing w:after="0" w:line="197" w:lineRule="exact"/>
        <w:rPr>
          <w:rFonts w:ascii="Arial" w:cs="Arial" w:eastAsia="Arial" w:hAnsi="Arial"/>
          <w:sz w:val="18"/>
          <w:szCs w:val="18"/>
          <w:color w:val="auto"/>
        </w:rPr>
      </w:pPr>
    </w:p>
    <w:p>
      <w:pPr>
        <w:ind w:left="492" w:hanging="492"/>
        <w:spacing w:after="0"/>
        <w:tabs>
          <w:tab w:leader="none" w:pos="492"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means a member of the Board who is not an employee of the Company or any subsidiary thereof.</w:t>
      </w:r>
    </w:p>
    <w:p>
      <w:pPr>
        <w:spacing w:after="0" w:line="252" w:lineRule="exact"/>
        <w:rPr>
          <w:rFonts w:ascii="Arial" w:cs="Arial" w:eastAsia="Arial" w:hAnsi="Arial"/>
          <w:sz w:val="18"/>
          <w:szCs w:val="18"/>
          <w:color w:val="auto"/>
        </w:rPr>
      </w:pPr>
    </w:p>
    <w:p>
      <w:pPr>
        <w:ind w:left="492" w:hanging="492"/>
        <w:spacing w:after="0"/>
        <w:tabs>
          <w:tab w:leader="none" w:pos="492"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“Effective Date” </w:t>
      </w:r>
      <w:r>
        <w:rPr>
          <w:rFonts w:ascii="Arial" w:cs="Arial" w:eastAsia="Arial" w:hAnsi="Arial"/>
          <w:sz w:val="18"/>
          <w:szCs w:val="18"/>
          <w:color w:val="auto"/>
        </w:rPr>
        <w:t>means the date this Plan is approved by stockholders of the Company.</w:t>
      </w:r>
    </w:p>
    <w:p>
      <w:pPr>
        <w:spacing w:after="0" w:line="252" w:lineRule="exact"/>
        <w:rPr>
          <w:rFonts w:ascii="Arial" w:cs="Arial" w:eastAsia="Arial" w:hAnsi="Arial"/>
          <w:sz w:val="18"/>
          <w:szCs w:val="18"/>
          <w:color w:val="auto"/>
        </w:rPr>
      </w:pPr>
    </w:p>
    <w:p>
      <w:pPr>
        <w:ind w:left="492" w:right="40" w:hanging="492"/>
        <w:spacing w:after="0" w:line="257" w:lineRule="auto"/>
        <w:tabs>
          <w:tab w:leader="none" w:pos="492"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“Eligible Compensation” </w:t>
      </w:r>
      <w:r>
        <w:rPr>
          <w:rFonts w:ascii="Arial" w:cs="Arial" w:eastAsia="Arial" w:hAnsi="Arial"/>
          <w:sz w:val="18"/>
          <w:szCs w:val="18"/>
          <w:color w:val="auto"/>
        </w:rPr>
        <w:t>means (i) the cash portion of any compensation payable by the Company to a Director for his or her services as a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but shall not include any reimbursement by the Company of expenses incurred by a Director incidental to attendance at a meeting of the Company’s stockholders, the Board, or any committee of the Board, or of any other expense incurred on behalf of the Company, (ii) any Restricted Stock Units granted by the Company to a Director for his or her services as a Director, and (iii) any dividend equivalents paid on Restricted Stock Units pursuant to Section 7(e).</w:t>
      </w:r>
    </w:p>
    <w:p>
      <w:pPr>
        <w:spacing w:after="0" w:line="359"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44" w:name="page45"/>
    <w:bookmarkEnd w:id="44"/>
    <w:p>
      <w:pPr>
        <w:ind w:left="492" w:right="40" w:hanging="492"/>
        <w:spacing w:after="0" w:line="259" w:lineRule="auto"/>
        <w:tabs>
          <w:tab w:leader="none" w:pos="492"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means the closing price of the Shares on the date specified (or, if there is no trading on the New York Stock Exchange on such</w:t>
      </w:r>
      <w:r>
        <w:rPr>
          <w:rFonts w:ascii="Arial" w:cs="Arial" w:eastAsia="Arial" w:hAnsi="Arial"/>
          <w:sz w:val="18"/>
          <w:szCs w:val="18"/>
          <w:i w:val="1"/>
          <w:iCs w:val="1"/>
          <w:color w:val="auto"/>
        </w:rPr>
        <w:t xml:space="preserve"> </w:t>
      </w:r>
      <w:r>
        <w:rPr>
          <w:rFonts w:ascii="Arial" w:cs="Arial" w:eastAsia="Arial" w:hAnsi="Arial"/>
          <w:sz w:val="18"/>
          <w:szCs w:val="18"/>
          <w:color w:val="auto"/>
        </w:rPr>
        <w:t>date, then on the first previous date on which there is such trading) as reported in “New York Stock Exchange Composite Transactions” in “The Wall Street Journal” or by WSJ.com or Bloomberg L.P.</w:t>
      </w:r>
      <w:r>
        <w:rPr>
          <w:rFonts w:ascii="Arial" w:cs="Arial" w:eastAsia="Arial" w:hAnsi="Arial"/>
          <w:sz w:val="18"/>
          <w:szCs w:val="18"/>
          <w:i w:val="1"/>
          <w:iCs w:val="1"/>
          <w:color w:val="auto"/>
        </w:rPr>
        <w:t>,</w:t>
      </w:r>
      <w:r>
        <w:rPr>
          <w:rFonts w:ascii="Arial" w:cs="Arial" w:eastAsia="Arial" w:hAnsi="Arial"/>
          <w:sz w:val="18"/>
          <w:szCs w:val="18"/>
          <w:color w:val="auto"/>
        </w:rPr>
        <w:t xml:space="preserve"> or if unavailable, then by reference to any other source as may be deemed appropriate by the G&amp;SR Committee.</w:t>
      </w:r>
    </w:p>
    <w:p>
      <w:pPr>
        <w:spacing w:after="0" w:line="213" w:lineRule="exact"/>
        <w:rPr>
          <w:rFonts w:ascii="Arial" w:cs="Arial" w:eastAsia="Arial" w:hAnsi="Arial"/>
          <w:sz w:val="18"/>
          <w:szCs w:val="18"/>
          <w:color w:val="auto"/>
        </w:rPr>
      </w:pPr>
    </w:p>
    <w:p>
      <w:pPr>
        <w:ind w:left="492" w:hanging="492"/>
        <w:spacing w:after="0"/>
        <w:tabs>
          <w:tab w:leader="none" w:pos="492"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“G&amp;SR Committee” </w:t>
      </w:r>
      <w:r>
        <w:rPr>
          <w:rFonts w:ascii="Arial" w:cs="Arial" w:eastAsia="Arial" w:hAnsi="Arial"/>
          <w:sz w:val="18"/>
          <w:szCs w:val="18"/>
          <w:color w:val="auto"/>
        </w:rPr>
        <w:t>means the Governance and Stockholder Relations Committee of the Board or any successor committee.</w:t>
      </w:r>
    </w:p>
    <w:p>
      <w:pPr>
        <w:spacing w:after="0" w:line="252" w:lineRule="exact"/>
        <w:rPr>
          <w:rFonts w:ascii="Arial" w:cs="Arial" w:eastAsia="Arial" w:hAnsi="Arial"/>
          <w:sz w:val="18"/>
          <w:szCs w:val="18"/>
          <w:color w:val="auto"/>
        </w:rPr>
      </w:pPr>
    </w:p>
    <w:p>
      <w:pPr>
        <w:ind w:left="492" w:hanging="492"/>
        <w:spacing w:after="0"/>
        <w:tabs>
          <w:tab w:leader="none" w:pos="492"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“Option” </w:t>
      </w:r>
      <w:r>
        <w:rPr>
          <w:rFonts w:ascii="Arial" w:cs="Arial" w:eastAsia="Arial" w:hAnsi="Arial"/>
          <w:sz w:val="18"/>
          <w:szCs w:val="18"/>
          <w:color w:val="auto"/>
        </w:rPr>
        <w:t>means an option granted under Section 6.</w:t>
      </w:r>
    </w:p>
    <w:p>
      <w:pPr>
        <w:spacing w:after="0" w:line="252" w:lineRule="exact"/>
        <w:rPr>
          <w:rFonts w:ascii="Arial" w:cs="Arial" w:eastAsia="Arial" w:hAnsi="Arial"/>
          <w:sz w:val="18"/>
          <w:szCs w:val="18"/>
          <w:color w:val="auto"/>
        </w:rPr>
      </w:pPr>
    </w:p>
    <w:p>
      <w:pPr>
        <w:ind w:left="492" w:hanging="492"/>
        <w:spacing w:after="0"/>
        <w:tabs>
          <w:tab w:leader="none" w:pos="492"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“Participant” </w:t>
      </w:r>
      <w:r>
        <w:rPr>
          <w:rFonts w:ascii="Arial" w:cs="Arial" w:eastAsia="Arial" w:hAnsi="Arial"/>
          <w:sz w:val="18"/>
          <w:szCs w:val="18"/>
          <w:color w:val="auto"/>
        </w:rPr>
        <w:t>means an individual who has received an Award or established an Account under the Plan.</w:t>
      </w:r>
    </w:p>
    <w:p>
      <w:pPr>
        <w:spacing w:after="0" w:line="252" w:lineRule="exact"/>
        <w:rPr>
          <w:rFonts w:ascii="Arial" w:cs="Arial" w:eastAsia="Arial" w:hAnsi="Arial"/>
          <w:sz w:val="18"/>
          <w:szCs w:val="18"/>
          <w:color w:val="auto"/>
        </w:rPr>
      </w:pPr>
    </w:p>
    <w:p>
      <w:pPr>
        <w:ind w:left="492" w:hanging="492"/>
        <w:spacing w:after="0"/>
        <w:tabs>
          <w:tab w:leader="none" w:pos="492"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“Plan” </w:t>
      </w:r>
      <w:r>
        <w:rPr>
          <w:rFonts w:ascii="Arial" w:cs="Arial" w:eastAsia="Arial" w:hAnsi="Arial"/>
          <w:sz w:val="18"/>
          <w:szCs w:val="18"/>
          <w:color w:val="auto"/>
        </w:rPr>
        <w:t>means this Texas Instruments 2009 Director Compensation Plan.</w:t>
      </w:r>
    </w:p>
    <w:p>
      <w:pPr>
        <w:spacing w:after="0" w:line="252" w:lineRule="exact"/>
        <w:rPr>
          <w:rFonts w:ascii="Arial" w:cs="Arial" w:eastAsia="Arial" w:hAnsi="Arial"/>
          <w:sz w:val="18"/>
          <w:szCs w:val="18"/>
          <w:color w:val="auto"/>
        </w:rPr>
      </w:pPr>
    </w:p>
    <w:p>
      <w:pPr>
        <w:ind w:left="492" w:right="160" w:hanging="492"/>
        <w:spacing w:after="0" w:line="277" w:lineRule="auto"/>
        <w:tabs>
          <w:tab w:leader="none" w:pos="492"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Unit” </w:t>
      </w:r>
      <w:r>
        <w:rPr>
          <w:rFonts w:ascii="Arial" w:cs="Arial" w:eastAsia="Arial" w:hAnsi="Arial"/>
          <w:sz w:val="18"/>
          <w:szCs w:val="18"/>
          <w:color w:val="auto"/>
        </w:rPr>
        <w:t>means a contractual right granted under Section 7 that is denominated in Shares, each of which represents a right to receive a</w:t>
      </w:r>
      <w:r>
        <w:rPr>
          <w:rFonts w:ascii="Arial" w:cs="Arial" w:eastAsia="Arial" w:hAnsi="Arial"/>
          <w:sz w:val="18"/>
          <w:szCs w:val="18"/>
          <w:i w:val="1"/>
          <w:iCs w:val="1"/>
          <w:color w:val="auto"/>
        </w:rPr>
        <w:t xml:space="preserve"> </w:t>
      </w:r>
      <w:r>
        <w:rPr>
          <w:rFonts w:ascii="Arial" w:cs="Arial" w:eastAsia="Arial" w:hAnsi="Arial"/>
          <w:sz w:val="18"/>
          <w:szCs w:val="18"/>
          <w:color w:val="auto"/>
        </w:rPr>
        <w:t>Share on the terms and conditions set forth in the Plan and the applicable Award Agreement.</w:t>
      </w:r>
    </w:p>
    <w:p>
      <w:pPr>
        <w:spacing w:after="0" w:line="170" w:lineRule="exact"/>
        <w:rPr>
          <w:rFonts w:ascii="Arial" w:cs="Arial" w:eastAsia="Arial" w:hAnsi="Arial"/>
          <w:sz w:val="18"/>
          <w:szCs w:val="18"/>
          <w:color w:val="auto"/>
        </w:rPr>
      </w:pPr>
    </w:p>
    <w:p>
      <w:pPr>
        <w:ind w:left="492" w:right="20" w:hanging="492"/>
        <w:spacing w:after="0" w:line="277" w:lineRule="auto"/>
        <w:tabs>
          <w:tab w:leader="none" w:pos="492"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Unit (2010 Grant)” </w:t>
      </w:r>
      <w:r>
        <w:rPr>
          <w:rFonts w:ascii="Arial" w:cs="Arial" w:eastAsia="Arial" w:hAnsi="Arial"/>
          <w:sz w:val="18"/>
          <w:szCs w:val="18"/>
          <w:color w:val="auto"/>
        </w:rPr>
        <w:t>means a Restricted Stock Unit granted on or before the effective date of the annual grant (as described in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7(a)) in 2010 to a Director of the Company who is a Director on [the effective date of this amendment].</w:t>
      </w:r>
    </w:p>
    <w:p>
      <w:pPr>
        <w:spacing w:after="0" w:line="197" w:lineRule="exact"/>
        <w:rPr>
          <w:rFonts w:ascii="Arial" w:cs="Arial" w:eastAsia="Arial" w:hAnsi="Arial"/>
          <w:sz w:val="18"/>
          <w:szCs w:val="18"/>
          <w:color w:val="auto"/>
        </w:rPr>
      </w:pPr>
    </w:p>
    <w:p>
      <w:pPr>
        <w:ind w:left="492" w:hanging="492"/>
        <w:spacing w:after="0"/>
        <w:tabs>
          <w:tab w:leader="none" w:pos="492"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“Secretary” </w:t>
      </w:r>
      <w:r>
        <w:rPr>
          <w:rFonts w:ascii="Arial" w:cs="Arial" w:eastAsia="Arial" w:hAnsi="Arial"/>
          <w:sz w:val="18"/>
          <w:szCs w:val="18"/>
          <w:color w:val="auto"/>
        </w:rPr>
        <w:t>means the Secretary of the Company.</w:t>
      </w:r>
    </w:p>
    <w:p>
      <w:pPr>
        <w:spacing w:after="0" w:line="252" w:lineRule="exact"/>
        <w:rPr>
          <w:rFonts w:ascii="Arial" w:cs="Arial" w:eastAsia="Arial" w:hAnsi="Arial"/>
          <w:sz w:val="18"/>
          <w:szCs w:val="18"/>
          <w:color w:val="auto"/>
        </w:rPr>
      </w:pPr>
    </w:p>
    <w:p>
      <w:pPr>
        <w:ind w:left="492" w:hanging="492"/>
        <w:spacing w:after="0" w:line="297" w:lineRule="auto"/>
        <w:tabs>
          <w:tab w:leader="none" w:pos="492"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“Separation from Service” </w:t>
      </w:r>
      <w:r>
        <w:rPr>
          <w:rFonts w:ascii="Arial" w:cs="Arial" w:eastAsia="Arial" w:hAnsi="Arial"/>
          <w:sz w:val="16"/>
          <w:szCs w:val="16"/>
          <w:color w:val="auto"/>
        </w:rPr>
        <w:t>means a termination of services provided by a Participant as a member of the Board or of the board of directors of 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member of the controlled group of corporations (as defined in Section 414(b) of the Code) which includes the Company (for purposes of this Section 2(x), the controlled group members other than the Company are referred to collectively as “ERISA Affiliates”), whether such termination is voluntary or involuntary, as determined by the Administrator in accordance with Treas. Reg. §1.409A-1(h). In determining whether a Participant has experienced a Separation from Service as a member of the Board or of a board of directors of an ERISA Affiliate, the following provisions shall apply:</w:t>
      </w:r>
    </w:p>
    <w:p>
      <w:pPr>
        <w:spacing w:after="0" w:line="185" w:lineRule="exact"/>
        <w:rPr>
          <w:rFonts w:ascii="Arial" w:cs="Arial" w:eastAsia="Arial" w:hAnsi="Arial"/>
          <w:sz w:val="16"/>
          <w:szCs w:val="16"/>
          <w:color w:val="auto"/>
        </w:rPr>
      </w:pPr>
    </w:p>
    <w:p>
      <w:pPr>
        <w:ind w:left="972" w:hanging="486"/>
        <w:spacing w:after="0" w:line="279" w:lineRule="auto"/>
        <w:tabs>
          <w:tab w:leader="none" w:pos="972" w:val="left"/>
        </w:tabs>
        <w:numPr>
          <w:ilvl w:val="1"/>
          <w:numId w:val="49"/>
        </w:numPr>
        <w:rPr>
          <w:rFonts w:ascii="Arial" w:cs="Arial" w:eastAsia="Arial" w:hAnsi="Arial"/>
          <w:sz w:val="17"/>
          <w:szCs w:val="17"/>
          <w:color w:val="auto"/>
        </w:rPr>
      </w:pPr>
      <w:r>
        <w:rPr>
          <w:rFonts w:ascii="Arial" w:cs="Arial" w:eastAsia="Arial" w:hAnsi="Arial"/>
          <w:sz w:val="17"/>
          <w:szCs w:val="17"/>
          <w:color w:val="auto"/>
        </w:rPr>
        <w:t>If a Director also provides services to the Company or any ERISA Affiliate as an employee at the time of his Separation from Service as a member of the Board, the services such Participant provides as an employee shall not be taken into account in determining whether the Participant has a Separation from Service as a Director for purposes of this Plan (provided that this Plan is not, at the time of such determination, aggregated under Treas. Reg. §1.409A-1(c)(2)(ii) with any plan in which the Participant participates as an employee).</w:t>
      </w:r>
    </w:p>
    <w:p>
      <w:pPr>
        <w:spacing w:after="0" w:line="343"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45" w:name="page46"/>
    <w:bookmarkEnd w:id="45"/>
    <w:p>
      <w:pPr>
        <w:ind w:left="972" w:right="240" w:hanging="486"/>
        <w:spacing w:after="0" w:line="259" w:lineRule="auto"/>
        <w:tabs>
          <w:tab w:leader="none" w:pos="972" w:val="left"/>
        </w:tabs>
        <w:numPr>
          <w:ilvl w:val="1"/>
          <w:numId w:val="50"/>
        </w:numPr>
        <w:rPr>
          <w:rFonts w:ascii="Arial" w:cs="Arial" w:eastAsia="Arial" w:hAnsi="Arial"/>
          <w:sz w:val="18"/>
          <w:szCs w:val="18"/>
          <w:color w:val="auto"/>
        </w:rPr>
      </w:pPr>
      <w:r>
        <w:rPr>
          <w:rFonts w:ascii="Arial" w:cs="Arial" w:eastAsia="Arial" w:hAnsi="Arial"/>
          <w:sz w:val="18"/>
          <w:szCs w:val="18"/>
          <w:color w:val="auto"/>
        </w:rPr>
        <w:t>A Participant shall be considered to have experienced a termination of services when the facts and circumstances indicate that the Participant, the Company and each ERISA Affiliate reasonably anticipate that the Participant will perform no further services for the Company or any ERISA Affiliate as a member of the Board (or the board of directors of any ERISA Affiliate), and the Participant’s term as a member of the Board has expired.</w:t>
      </w:r>
    </w:p>
    <w:p>
      <w:pPr>
        <w:spacing w:after="0" w:line="213" w:lineRule="exact"/>
        <w:rPr>
          <w:rFonts w:ascii="Arial" w:cs="Arial" w:eastAsia="Arial" w:hAnsi="Arial"/>
          <w:sz w:val="18"/>
          <w:szCs w:val="18"/>
          <w:color w:val="auto"/>
        </w:rPr>
      </w:pPr>
    </w:p>
    <w:p>
      <w:pPr>
        <w:ind w:left="972" w:right="60" w:hanging="486"/>
        <w:spacing w:after="0" w:line="342" w:lineRule="auto"/>
        <w:tabs>
          <w:tab w:leader="none" w:pos="972" w:val="left"/>
        </w:tabs>
        <w:numPr>
          <w:ilvl w:val="1"/>
          <w:numId w:val="50"/>
        </w:numPr>
        <w:rPr>
          <w:rFonts w:ascii="Arial" w:cs="Arial" w:eastAsia="Arial" w:hAnsi="Arial"/>
          <w:sz w:val="16"/>
          <w:szCs w:val="16"/>
          <w:color w:val="auto"/>
        </w:rPr>
      </w:pPr>
      <w:r>
        <w:rPr>
          <w:rFonts w:ascii="Arial" w:cs="Arial" w:eastAsia="Arial" w:hAnsi="Arial"/>
          <w:sz w:val="16"/>
          <w:szCs w:val="16"/>
          <w:color w:val="auto"/>
        </w:rPr>
        <w:t>If a Director is also providing additional services to the Company as an independent contractor, he or she cannot have a Separation from Service for purposes of Section 409A of the Code until he or she has separated from service both as a Director and as an independent contractor.</w:t>
      </w:r>
    </w:p>
    <w:p>
      <w:pPr>
        <w:spacing w:after="0" w:line="150" w:lineRule="exact"/>
        <w:rPr>
          <w:rFonts w:ascii="Arial" w:cs="Arial" w:eastAsia="Arial" w:hAnsi="Arial"/>
          <w:sz w:val="16"/>
          <w:szCs w:val="16"/>
          <w:color w:val="auto"/>
        </w:rPr>
      </w:pPr>
    </w:p>
    <w:p>
      <w:pPr>
        <w:ind w:left="492" w:hanging="492"/>
        <w:spacing w:after="0"/>
        <w:tabs>
          <w:tab w:leader="none" w:pos="492"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“Shares” </w:t>
      </w:r>
      <w:r>
        <w:rPr>
          <w:rFonts w:ascii="Arial" w:cs="Arial" w:eastAsia="Arial" w:hAnsi="Arial"/>
          <w:sz w:val="18"/>
          <w:szCs w:val="18"/>
          <w:color w:val="auto"/>
        </w:rPr>
        <w:t>shall mean shares of the common stock of the Company, $1.00 par value.</w:t>
      </w:r>
    </w:p>
    <w:p>
      <w:pPr>
        <w:spacing w:after="0" w:line="252" w:lineRule="exact"/>
        <w:rPr>
          <w:rFonts w:ascii="Arial" w:cs="Arial" w:eastAsia="Arial" w:hAnsi="Arial"/>
          <w:sz w:val="18"/>
          <w:szCs w:val="18"/>
          <w:color w:val="auto"/>
        </w:rPr>
      </w:pPr>
    </w:p>
    <w:p>
      <w:pPr>
        <w:ind w:left="492" w:right="40" w:hanging="492"/>
        <w:spacing w:after="0" w:line="264" w:lineRule="auto"/>
        <w:tabs>
          <w:tab w:leader="none" w:pos="492"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“Specified Employee” </w:t>
      </w:r>
      <w:r>
        <w:rPr>
          <w:rFonts w:ascii="Arial" w:cs="Arial" w:eastAsia="Arial" w:hAnsi="Arial"/>
          <w:sz w:val="18"/>
          <w:szCs w:val="18"/>
          <w:color w:val="auto"/>
        </w:rPr>
        <w:t>means any Participant who is determined to be a “key employee” (as defined under Section 416(i) of the Code without regard to</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 (5) thereof) for the applicable period, as determined annually by the Administrator in accordance with Treas. Reg. §1.409A-1(i). In determining whether a Participant is a Specified Employee, the following provisions shall apply:</w:t>
      </w:r>
    </w:p>
    <w:p>
      <w:pPr>
        <w:spacing w:after="0" w:line="208" w:lineRule="exact"/>
        <w:rPr>
          <w:rFonts w:ascii="Arial" w:cs="Arial" w:eastAsia="Arial" w:hAnsi="Arial"/>
          <w:sz w:val="18"/>
          <w:szCs w:val="18"/>
          <w:color w:val="auto"/>
        </w:rPr>
      </w:pPr>
    </w:p>
    <w:p>
      <w:pPr>
        <w:ind w:left="972" w:hanging="486"/>
        <w:spacing w:after="0" w:line="257" w:lineRule="auto"/>
        <w:tabs>
          <w:tab w:leader="none" w:pos="972" w:val="left"/>
        </w:tabs>
        <w:numPr>
          <w:ilvl w:val="1"/>
          <w:numId w:val="51"/>
        </w:numPr>
        <w:rPr>
          <w:rFonts w:ascii="Arial" w:cs="Arial" w:eastAsia="Arial" w:hAnsi="Arial"/>
          <w:sz w:val="18"/>
          <w:szCs w:val="18"/>
          <w:color w:val="auto"/>
        </w:rPr>
      </w:pPr>
      <w:r>
        <w:rPr>
          <w:rFonts w:ascii="Arial" w:cs="Arial" w:eastAsia="Arial" w:hAnsi="Arial"/>
          <w:sz w:val="18"/>
          <w:szCs w:val="18"/>
          <w:color w:val="auto"/>
        </w:rPr>
        <w:t>Identification of the individuals who fall within the above-referenced definition of “key employee” shall be based upon the 12-month period ending on each December 31st (referred to below as the “identification date”). In applying the applicable provisions of Code Section 416(i) to identify such individuals, “compensation” shall be determined in accordance with Treas. Reg. §1.415(c)2(a) without regard to (i) any safe harbor provided in Treas. Reg. §1.415(c)-2(d), (ii) any of the special timing rules provided in Treas. Reg. §1.415(c)-2(e), and (iii) any of the special rules provided in Treas. Reg. §1.415(c)-2(g); and</w:t>
      </w:r>
    </w:p>
    <w:p>
      <w:pPr>
        <w:spacing w:after="0" w:line="215" w:lineRule="exact"/>
        <w:rPr>
          <w:rFonts w:ascii="Arial" w:cs="Arial" w:eastAsia="Arial" w:hAnsi="Arial"/>
          <w:sz w:val="18"/>
          <w:szCs w:val="18"/>
          <w:color w:val="auto"/>
        </w:rPr>
      </w:pPr>
    </w:p>
    <w:p>
      <w:pPr>
        <w:ind w:left="972" w:hanging="486"/>
        <w:spacing w:after="0" w:line="264" w:lineRule="auto"/>
        <w:tabs>
          <w:tab w:leader="none" w:pos="972" w:val="left"/>
        </w:tabs>
        <w:numPr>
          <w:ilvl w:val="1"/>
          <w:numId w:val="51"/>
        </w:numPr>
        <w:rPr>
          <w:rFonts w:ascii="Arial" w:cs="Arial" w:eastAsia="Arial" w:hAnsi="Arial"/>
          <w:sz w:val="18"/>
          <w:szCs w:val="18"/>
          <w:color w:val="auto"/>
        </w:rPr>
      </w:pPr>
      <w:r>
        <w:rPr>
          <w:rFonts w:ascii="Arial" w:cs="Arial" w:eastAsia="Arial" w:hAnsi="Arial"/>
          <w:sz w:val="18"/>
          <w:szCs w:val="18"/>
          <w:color w:val="auto"/>
        </w:rPr>
        <w:t>Each Participant who is among the individuals identified as a “key employee” in accordance with part (i) of this Section 2(z) shall be treated as a Specified Employee for purposes of this Plan if such Participant experiences a Separation from Service during the 12-month period that begins on the April 1st following the applicable identification date.</w:t>
      </w:r>
    </w:p>
    <w:p>
      <w:pPr>
        <w:spacing w:after="0" w:line="208" w:lineRule="exact"/>
        <w:rPr>
          <w:sz w:val="20"/>
          <w:szCs w:val="20"/>
          <w:color w:val="auto"/>
        </w:rPr>
      </w:pPr>
    </w:p>
    <w:p>
      <w:pPr>
        <w:ind w:left="492" w:right="20" w:hanging="492"/>
        <w:spacing w:after="0" w:line="286" w:lineRule="auto"/>
        <w:tabs>
          <w:tab w:leader="none" w:pos="492"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“Stock Appreciation Right” </w:t>
      </w:r>
      <w:r>
        <w:rPr>
          <w:rFonts w:ascii="Arial" w:cs="Arial" w:eastAsia="Arial" w:hAnsi="Arial"/>
          <w:sz w:val="17"/>
          <w:szCs w:val="17"/>
          <w:color w:val="auto"/>
        </w:rPr>
        <w:t>or</w:t>
      </w:r>
      <w:r>
        <w:rPr>
          <w:rFonts w:ascii="Arial" w:cs="Arial" w:eastAsia="Arial" w:hAnsi="Arial"/>
          <w:sz w:val="17"/>
          <w:szCs w:val="17"/>
          <w:i w:val="1"/>
          <w:iCs w:val="1"/>
          <w:color w:val="auto"/>
        </w:rPr>
        <w:t xml:space="preserve"> “SAR” </w:t>
      </w:r>
      <w:r>
        <w:rPr>
          <w:rFonts w:ascii="Arial" w:cs="Arial" w:eastAsia="Arial" w:hAnsi="Arial"/>
          <w:sz w:val="17"/>
          <w:szCs w:val="17"/>
          <w:color w:val="auto"/>
        </w:rPr>
        <w:t>means a right granted pursuant to Section 8 to receive, upon exercise by the Participant, the excess of (i) the Fair</w:t>
      </w:r>
      <w:r>
        <w:rPr>
          <w:rFonts w:ascii="Arial" w:cs="Arial" w:eastAsia="Arial" w:hAnsi="Arial"/>
          <w:sz w:val="17"/>
          <w:szCs w:val="17"/>
          <w:i w:val="1"/>
          <w:iCs w:val="1"/>
          <w:color w:val="auto"/>
        </w:rPr>
        <w:t xml:space="preserve"> </w:t>
      </w:r>
      <w:r>
        <w:rPr>
          <w:rFonts w:ascii="Arial" w:cs="Arial" w:eastAsia="Arial" w:hAnsi="Arial"/>
          <w:sz w:val="17"/>
          <w:szCs w:val="17"/>
          <w:color w:val="auto"/>
        </w:rPr>
        <w:t>Market Value of one Share on the date of exercise or any date or dates during a specified period before the date of exercise over (ii) the grant price of the right, which grant price shall not be less than the Fair Market Value of one Share on the date of grant of the right.</w:t>
      </w:r>
    </w:p>
    <w:p>
      <w:pPr>
        <w:spacing w:after="0" w:line="192" w:lineRule="exact"/>
        <w:rPr>
          <w:rFonts w:ascii="Arial" w:cs="Arial" w:eastAsia="Arial" w:hAnsi="Arial"/>
          <w:sz w:val="17"/>
          <w:szCs w:val="17"/>
          <w:color w:val="auto"/>
        </w:rPr>
      </w:pPr>
    </w:p>
    <w:p>
      <w:pPr>
        <w:ind w:left="492" w:right="340" w:hanging="492"/>
        <w:spacing w:after="0" w:line="277" w:lineRule="auto"/>
        <w:tabs>
          <w:tab w:leader="none" w:pos="492"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“Stock Unit Account” </w:t>
      </w:r>
      <w:r>
        <w:rPr>
          <w:rFonts w:ascii="Arial" w:cs="Arial" w:eastAsia="Arial" w:hAnsi="Arial"/>
          <w:sz w:val="18"/>
          <w:szCs w:val="18"/>
          <w:color w:val="auto"/>
        </w:rPr>
        <w:t>means the bookkeeping accounts established, pursuant to Section 9(b)(ii), on behalf of each Director who elects,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9(b), to have any of his or her Deferred Cash Compensation credited to a stock unit account.</w:t>
      </w:r>
    </w:p>
    <w:p>
      <w:pPr>
        <w:spacing w:after="0" w:line="342"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46" w:name="page47"/>
    <w:bookmarkEnd w:id="46"/>
    <w:p>
      <w:pPr>
        <w:ind w:left="500" w:hanging="492"/>
        <w:spacing w:after="0" w:line="257" w:lineRule="auto"/>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“Unforeseeable Emergency” </w:t>
      </w:r>
      <w:r>
        <w:rPr>
          <w:rFonts w:ascii="Arial" w:cs="Arial" w:eastAsia="Arial" w:hAnsi="Arial"/>
          <w:sz w:val="18"/>
          <w:szCs w:val="18"/>
          <w:color w:val="auto"/>
        </w:rPr>
        <w:t>means a severe financial hardship to the Participant resulting from (i) an illness or accident of the Participant or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spouse, beneficiary, or dependent (as defined in Section 152 of the Code, without regard to Sections 152(b)(1), (b)(2), and (d)(1)(B) of the Code), (ii) loss of the Participant’s property due to casualty, or (iii) other similar extraordinary and unforeseeable circumstances arising as a result of events beyond the Participant’s control, all as determined by the Administrator based on the relevant facts and circumstances and as provided for in Treas. Reg. §1.409A-3(i)(3) or any successor provision.</w:t>
      </w:r>
    </w:p>
    <w:p>
      <w:pPr>
        <w:spacing w:after="0" w:line="215" w:lineRule="exact"/>
        <w:rPr>
          <w:rFonts w:ascii="Arial" w:cs="Arial" w:eastAsia="Arial" w:hAnsi="Arial"/>
          <w:sz w:val="18"/>
          <w:szCs w:val="18"/>
          <w:color w:val="auto"/>
        </w:rPr>
      </w:pPr>
    </w:p>
    <w:p>
      <w:pPr>
        <w:ind w:left="500" w:hanging="492"/>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“Year” </w:t>
      </w:r>
      <w:r>
        <w:rPr>
          <w:rFonts w:ascii="Arial" w:cs="Arial" w:eastAsia="Arial" w:hAnsi="Arial"/>
          <w:sz w:val="18"/>
          <w:szCs w:val="18"/>
          <w:color w:val="auto"/>
        </w:rPr>
        <w:t>means a calendar year.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ELIGIBILITY.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Each Director shall be eligible to defer Eligible Compensation and to receive Awards under the Plan.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ADMINISTRATION.</w:t>
      </w:r>
    </w:p>
    <w:p>
      <w:pPr>
        <w:spacing w:after="0" w:line="25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This Plan shall be administered by the Administrator. Subject to the terms of the Plan and applicable law, the Administrator shall have full power and authority to: (i) interpret, construe and administer the Plan and any instrument or agreement relating to, or Award granted or Accounts established under, the Plan; (ii) establish, amend, suspend or waive such rules and regulations and appoint such agents as it deems appropriate for the proper administration of the Plan; and (iii) make any other determination and take any other action that it deems necessary or desirable for the administration of this Plan. All decisions of the Administrator shall be final, conclusive and binding upon all parties, including the Company, the stockholders and the Directors.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SHARES SUBJECT TO THE PLAN.</w:t>
      </w:r>
    </w:p>
    <w:p>
      <w:pPr>
        <w:spacing w:after="0" w:line="256" w:lineRule="exact"/>
        <w:rPr>
          <w:sz w:val="20"/>
          <w:szCs w:val="20"/>
          <w:color w:val="auto"/>
        </w:rPr>
      </w:pPr>
    </w:p>
    <w:p>
      <w:pPr>
        <w:ind w:left="500" w:hanging="492"/>
        <w:spacing w:after="0"/>
        <w:tabs>
          <w:tab w:leader="none" w:pos="5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Subject to adjustment as provided in this Section 5, the number of Shares available for issuance under the Plan shall be 2,000,000 Shares.</w:t>
      </w:r>
    </w:p>
    <w:p>
      <w:pPr>
        <w:spacing w:after="0" w:line="263" w:lineRule="exact"/>
        <w:rPr>
          <w:rFonts w:ascii="Arial" w:cs="Arial" w:eastAsia="Arial" w:hAnsi="Arial"/>
          <w:sz w:val="17"/>
          <w:szCs w:val="17"/>
          <w:color w:val="auto"/>
        </w:rPr>
      </w:pPr>
    </w:p>
    <w:p>
      <w:pPr>
        <w:ind w:left="500" w:hanging="492"/>
        <w:spacing w:after="0"/>
        <w:tabs>
          <w:tab w:leader="none" w:pos="5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If, after the effective date of the Plan, (i) any Shares covered by an Award or Stock Unit Account, or to which such an Award relates, are forfeited, or</w:t>
      </w:r>
    </w:p>
    <w:p>
      <w:pPr>
        <w:spacing w:after="0" w:line="46" w:lineRule="exact"/>
        <w:rPr>
          <w:rFonts w:ascii="Arial" w:cs="Arial" w:eastAsia="Arial" w:hAnsi="Arial"/>
          <w:sz w:val="16"/>
          <w:szCs w:val="16"/>
          <w:color w:val="auto"/>
        </w:rPr>
      </w:pPr>
    </w:p>
    <w:p>
      <w:pPr>
        <w:ind w:left="500" w:right="20" w:hanging="6"/>
        <w:spacing w:after="0" w:line="290" w:lineRule="auto"/>
        <w:tabs>
          <w:tab w:leader="none" w:pos="765" w:val="left"/>
        </w:tabs>
        <w:numPr>
          <w:ilvl w:val="1"/>
          <w:numId w:val="54"/>
        </w:numPr>
        <w:rPr>
          <w:rFonts w:ascii="Arial" w:cs="Arial" w:eastAsia="Arial" w:hAnsi="Arial"/>
          <w:sz w:val="16"/>
          <w:szCs w:val="16"/>
          <w:color w:val="auto"/>
        </w:rPr>
      </w:pPr>
      <w:r>
        <w:rPr>
          <w:rFonts w:ascii="Arial" w:cs="Arial" w:eastAsia="Arial" w:hAnsi="Arial"/>
          <w:sz w:val="16"/>
          <w:szCs w:val="16"/>
          <w:color w:val="auto"/>
        </w:rPr>
        <w:t xml:space="preserve">if an Award or Account expires or is cancelled or is otherwise terminated without the delivery of Shares, then such Shares, to the extent of any such forfeiture, expiration, cancellation, or termination, shall again be, or shall become, available for issuance under the Plan. For purposes of this Section, awards and options granted under any previous director compensation plan of the Company shall be treated as Awards, and accounts established under any such plan shall be treated as Accounts. For the avoidance of doubt, the number of Shares available for issuance under the Plan shall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be increased by: (1) the withholding of Shares as a result of the net settlement of an outstanding Option; (2) the delivery of Shares to pay the exercise price or withholding taxes relating to an Award; or (3) the repurchase of Shares on the open market using the proceeds of an Option’s exercise.</w:t>
      </w:r>
    </w:p>
    <w:p>
      <w:pPr>
        <w:spacing w:after="0" w:line="191" w:lineRule="exact"/>
        <w:rPr>
          <w:rFonts w:ascii="Arial" w:cs="Arial" w:eastAsia="Arial" w:hAnsi="Arial"/>
          <w:sz w:val="16"/>
          <w:szCs w:val="16"/>
          <w:color w:val="auto"/>
        </w:rPr>
      </w:pPr>
    </w:p>
    <w:p>
      <w:pPr>
        <w:ind w:left="500" w:right="360" w:hanging="492"/>
        <w:spacing w:after="0" w:line="277" w:lineRule="auto"/>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Shares delivered pursuant to an Award or Stock Unit Account may consist, in whole or in part, of authorized and unissued Shares, of treasury Shares or of both.</w:t>
      </w: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47" w:name="page48"/>
    <w:bookmarkEnd w:id="47"/>
    <w:p>
      <w:pPr>
        <w:ind w:left="500" w:hanging="492"/>
        <w:spacing w:after="0" w:line="284" w:lineRule="auto"/>
        <w:tabs>
          <w:tab w:leader="none" w:pos="5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Shares such that an adjustment is appropriate in order to prevent dilution or enlargement of the benefits or potential benefits intended to be made available under the Plan, then the Administrator shall equitably adjust any or all of (i) the number of outstanding Restricted Stock Units, (ii) the number and type of Shares credited to Stock Unit Accounts, (iii) the number and type of Shares subject to Options and SARs, (iv) the exercise price with respect to any Option or SAR or, if deemed appropriate, make provision for a cash payment to the holder of an outstanding Option or SAR, and</w:t>
      </w:r>
    </w:p>
    <w:p>
      <w:pPr>
        <w:spacing w:after="0" w:line="2" w:lineRule="exact"/>
        <w:rPr>
          <w:rFonts w:ascii="Arial" w:cs="Arial" w:eastAsia="Arial" w:hAnsi="Arial"/>
          <w:sz w:val="16"/>
          <w:szCs w:val="16"/>
          <w:color w:val="auto"/>
        </w:rPr>
      </w:pPr>
    </w:p>
    <w:p>
      <w:pPr>
        <w:ind w:left="500" w:right="20"/>
        <w:spacing w:after="0" w:line="255" w:lineRule="auto"/>
        <w:rPr>
          <w:rFonts w:ascii="Arial" w:cs="Arial" w:eastAsia="Arial" w:hAnsi="Arial"/>
          <w:sz w:val="16"/>
          <w:szCs w:val="16"/>
          <w:color w:val="auto"/>
        </w:rPr>
      </w:pPr>
      <w:r>
        <w:rPr>
          <w:rFonts w:ascii="Arial" w:cs="Arial" w:eastAsia="Arial" w:hAnsi="Arial"/>
          <w:sz w:val="18"/>
          <w:szCs w:val="18"/>
          <w:color w:val="auto"/>
        </w:rPr>
        <w:t>(v) the aggregate limit specified in Section 5(a); provided, however, that no fractional Restricted Stock Units or Shares shall be issued or outstanding hereunder. Any such adjustment with respect to a “Stock Right” outstanding under the Plan as defined in Section 409A of the Code, shall be made in a manner that is intended to avoid imposition of any additional tax or penalty under Section 409A.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OPTIONS.</w:t>
      </w:r>
    </w:p>
    <w:p>
      <w:pPr>
        <w:spacing w:after="0" w:line="256"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Following the effective date of this Plan, each Director will be granted annually an Option to purchase 7,000 Shares. The Options granted will be nonstatutory stock options not intended to qualify under Section 422 of the Code and shall have the terms and conditions described in this Section 6:</w:t>
      </w:r>
    </w:p>
    <w:p>
      <w:pPr>
        <w:spacing w:after="0" w:line="151" w:lineRule="exact"/>
        <w:rPr>
          <w:sz w:val="20"/>
          <w:szCs w:val="20"/>
          <w:color w:val="auto"/>
        </w:rPr>
      </w:pPr>
    </w:p>
    <w:p>
      <w:pPr>
        <w:ind w:left="500" w:right="200" w:hanging="492"/>
        <w:spacing w:after="0" w:line="273" w:lineRule="auto"/>
        <w:tabs>
          <w:tab w:leader="none" w:pos="50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Price and Term of Options</w:t>
      </w:r>
      <w:r>
        <w:rPr>
          <w:rFonts w:ascii="Arial" w:cs="Arial" w:eastAsia="Arial" w:hAnsi="Arial"/>
          <w:sz w:val="17"/>
          <w:szCs w:val="17"/>
          <w:color w:val="auto"/>
        </w:rPr>
        <w:t>. The purchase price per share of Shares deliverable upon the exercise of each Option shall be 100% of the Fair Market</w:t>
      </w:r>
      <w:r>
        <w:rPr>
          <w:rFonts w:ascii="Arial" w:cs="Arial" w:eastAsia="Arial" w:hAnsi="Arial"/>
          <w:sz w:val="17"/>
          <w:szCs w:val="17"/>
          <w:i w:val="1"/>
          <w:iCs w:val="1"/>
          <w:color w:val="auto"/>
        </w:rPr>
        <w:t xml:space="preserve"> </w:t>
      </w:r>
      <w:r>
        <w:rPr>
          <w:rFonts w:ascii="Arial" w:cs="Arial" w:eastAsia="Arial" w:hAnsi="Arial"/>
          <w:sz w:val="17"/>
          <w:szCs w:val="17"/>
          <w:color w:val="auto"/>
        </w:rPr>
        <w:t>Value per share of the Shares on the date the Option is granted. In each Year, the effective date for the annual grant of options to the Company’s executive officers by the Compensation Committee of the Board (or any successor committee) shall be the date Options are granted; provided that in any Year in which the Compensation Committee does not grant options to any of the Company’s executive officers in connection with the annual compensation review process, then the effective date of the first options granted by the Compensation Committee in such Year shall be the date Options are granted. Each Option shall have a term not to exceed ten years from the date of grant.</w:t>
      </w:r>
    </w:p>
    <w:p>
      <w:pPr>
        <w:spacing w:after="0" w:line="205" w:lineRule="exact"/>
        <w:rPr>
          <w:rFonts w:ascii="Arial" w:cs="Arial" w:eastAsia="Arial" w:hAnsi="Arial"/>
          <w:sz w:val="17"/>
          <w:szCs w:val="17"/>
          <w:color w:val="auto"/>
        </w:rPr>
      </w:pPr>
    </w:p>
    <w:p>
      <w:pPr>
        <w:ind w:left="500" w:right="120" w:hanging="492"/>
        <w:spacing w:after="0" w:line="264"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Payment</w:t>
      </w:r>
      <w:r>
        <w:rPr>
          <w:rFonts w:ascii="Arial" w:cs="Arial" w:eastAsia="Arial" w:hAnsi="Arial"/>
          <w:sz w:val="18"/>
          <w:szCs w:val="18"/>
          <w:color w:val="auto"/>
        </w:rPr>
        <w:t>. The Secretary shall determine the method or methods by which, and the form or forms, including, without limitation, cash, Shares,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or any combination thereof, having a Fair Market Value on the exercise date equal to the relevant exercise price, in which payment of the exercise price with respect to an Option may be made or deemed to have been made.</w:t>
      </w:r>
    </w:p>
    <w:p>
      <w:pPr>
        <w:spacing w:after="0" w:line="208"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Exercisability. </w:t>
      </w:r>
      <w:r>
        <w:rPr>
          <w:rFonts w:ascii="Arial" w:cs="Arial" w:eastAsia="Arial" w:hAnsi="Arial"/>
          <w:sz w:val="18"/>
          <w:szCs w:val="18"/>
          <w:color w:val="auto"/>
        </w:rPr>
        <w:t>Subject to Section 6(d), Options shall become exercisable in four equal annual installments commencing on the first anniversary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grant.</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48" w:name="page49"/>
    <w:bookmarkEnd w:id="48"/>
    <w:p>
      <w:pPr>
        <w:ind w:left="500" w:hanging="492"/>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Service as a Director. </w:t>
      </w:r>
      <w:r>
        <w:rPr>
          <w:rFonts w:ascii="Arial" w:cs="Arial" w:eastAsia="Arial" w:hAnsi="Arial"/>
          <w:sz w:val="18"/>
          <w:szCs w:val="18"/>
          <w:color w:val="auto"/>
        </w:rPr>
        <w:t>The effect of a Participant’s termination of service as a member of the Board shall be as follows:</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Termination for cause: All outstanding Options held by the Participant shall be canceled immediately upon termination.</w:t>
      </w:r>
    </w:p>
    <w:p>
      <w:pPr>
        <w:spacing w:after="0" w:line="252" w:lineRule="exact"/>
        <w:rPr>
          <w:rFonts w:ascii="Arial" w:cs="Arial" w:eastAsia="Arial" w:hAnsi="Arial"/>
          <w:sz w:val="18"/>
          <w:szCs w:val="18"/>
          <w:color w:val="auto"/>
        </w:rPr>
      </w:pPr>
    </w:p>
    <w:p>
      <w:pPr>
        <w:ind w:left="980" w:right="280" w:hanging="486"/>
        <w:spacing w:after="0" w:line="277" w:lineRule="auto"/>
        <w:tabs>
          <w:tab w:leader="none" w:pos="9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Death: All outstanding Options held by the Participant shall continue to full term, becoming exercisable in accordance with Section 6(c), and shall be exercisable by such Participant’s heirs or legal representatives.</w:t>
      </w:r>
    </w:p>
    <w:p>
      <w:pPr>
        <w:spacing w:after="0" w:line="197" w:lineRule="exact"/>
        <w:rPr>
          <w:rFonts w:ascii="Arial" w:cs="Arial" w:eastAsia="Arial" w:hAnsi="Arial"/>
          <w:sz w:val="18"/>
          <w:szCs w:val="18"/>
          <w:color w:val="auto"/>
        </w:rPr>
      </w:pPr>
    </w:p>
    <w:p>
      <w:pPr>
        <w:ind w:left="980" w:right="200" w:hanging="486"/>
        <w:spacing w:after="0" w:line="342" w:lineRule="auto"/>
        <w:tabs>
          <w:tab w:leader="none" w:pos="980" w:val="left"/>
        </w:tabs>
        <w:numPr>
          <w:ilvl w:val="1"/>
          <w:numId w:val="57"/>
        </w:numPr>
        <w:rPr>
          <w:rFonts w:ascii="Arial" w:cs="Arial" w:eastAsia="Arial" w:hAnsi="Arial"/>
          <w:sz w:val="16"/>
          <w:szCs w:val="16"/>
          <w:color w:val="auto"/>
        </w:rPr>
      </w:pPr>
      <w:r>
        <w:rPr>
          <w:rFonts w:ascii="Arial" w:cs="Arial" w:eastAsia="Arial" w:hAnsi="Arial"/>
          <w:sz w:val="16"/>
          <w:szCs w:val="16"/>
          <w:color w:val="auto"/>
        </w:rPr>
        <w:t>Permanent disability, termination after 8 years of service, or termination for reason of ineligibility to stand for reelection under the Company’s By-Laws: All outstanding Options held by the Participant shall continue to full term, becoming exercisable in accordance with Section 6(c).</w:t>
      </w:r>
    </w:p>
    <w:p>
      <w:pPr>
        <w:spacing w:after="0" w:line="150" w:lineRule="exact"/>
        <w:rPr>
          <w:rFonts w:ascii="Arial" w:cs="Arial" w:eastAsia="Arial" w:hAnsi="Arial"/>
          <w:sz w:val="16"/>
          <w:szCs w:val="16"/>
          <w:color w:val="auto"/>
        </w:rPr>
      </w:pPr>
    </w:p>
    <w:p>
      <w:pPr>
        <w:ind w:left="980" w:right="140" w:hanging="486"/>
        <w:spacing w:after="0" w:line="264" w:lineRule="auto"/>
        <w:tabs>
          <w:tab w:leader="none" w:pos="9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Change in Control: If a Participant experiences a Separation From Service (other than for cause) within 24 months after a Change in Control (Post-2010 Grant), the provisions of Section 6(c) shall not apply and Options held by the Participant shall be immediately exercisable and shall continue to full term.</w:t>
      </w:r>
    </w:p>
    <w:p>
      <w:pPr>
        <w:spacing w:after="0" w:line="208" w:lineRule="exact"/>
        <w:rPr>
          <w:rFonts w:ascii="Arial" w:cs="Arial" w:eastAsia="Arial" w:hAnsi="Arial"/>
          <w:sz w:val="18"/>
          <w:szCs w:val="18"/>
          <w:color w:val="auto"/>
        </w:rPr>
      </w:pPr>
    </w:p>
    <w:p>
      <w:pPr>
        <w:ind w:left="980" w:right="20" w:hanging="486"/>
        <w:spacing w:after="0" w:line="279" w:lineRule="auto"/>
        <w:tabs>
          <w:tab w:leader="none" w:pos="980" w:val="left"/>
        </w:tabs>
        <w:numPr>
          <w:ilvl w:val="1"/>
          <w:numId w:val="57"/>
        </w:numPr>
        <w:rPr>
          <w:rFonts w:ascii="Arial" w:cs="Arial" w:eastAsia="Arial" w:hAnsi="Arial"/>
          <w:sz w:val="17"/>
          <w:szCs w:val="17"/>
          <w:color w:val="auto"/>
        </w:rPr>
      </w:pPr>
      <w:r>
        <w:rPr>
          <w:rFonts w:ascii="Arial" w:cs="Arial" w:eastAsia="Arial" w:hAnsi="Arial"/>
          <w:sz w:val="17"/>
          <w:szCs w:val="17"/>
          <w:color w:val="auto"/>
        </w:rPr>
        <w:t>Other: For any termination other than those specified above, all outstanding Options held by the Participant shall be exercisable for 30 days after the date of termination, only to the extent that such Options were exercisable on the date of termination, except that if the Participant dies within 30 days after his or her termination, then such Participant’s heirs may exercise the Options for a period of up to one year after the Participant’s death, but only to the extent any unexercised portion was exercisable on the date of termination.</w:t>
      </w:r>
    </w:p>
    <w:p>
      <w:pPr>
        <w:spacing w:after="0" w:line="198" w:lineRule="exact"/>
        <w:rPr>
          <w:rFonts w:ascii="Arial" w:cs="Arial" w:eastAsia="Arial" w:hAnsi="Arial"/>
          <w:sz w:val="17"/>
          <w:szCs w:val="17"/>
          <w:color w:val="auto"/>
        </w:rPr>
      </w:pPr>
    </w:p>
    <w:p>
      <w:pPr>
        <w:ind w:left="500" w:right="180" w:hanging="492"/>
        <w:spacing w:after="0" w:line="277"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Option Agreement</w:t>
      </w:r>
      <w:r>
        <w:rPr>
          <w:rFonts w:ascii="Arial" w:cs="Arial" w:eastAsia="Arial" w:hAnsi="Arial"/>
          <w:sz w:val="18"/>
          <w:szCs w:val="18"/>
          <w:color w:val="auto"/>
        </w:rPr>
        <w:t>. Each Option granted hereunder shall be evidenced by an Award Agreement with the Company, which shall contain the terms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set forth herein and shall otherwise be consistent with the provisions of the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RESTRICTED STOCK UNITS.</w:t>
      </w:r>
    </w:p>
    <w:p>
      <w:pPr>
        <w:spacing w:after="0" w:line="25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Following the effective date of this Plan, each Director shall, (i) effective as of the date of such individual’s initial election or appointment to the Board, be granted 2,000 Restricted Stock Units; and (ii) shall also be granted annually 2,500 Restricted Stock Units. Each Restricted Stock Unit granted pursuant to this Section 7 shall be paid or settled by the issuance of one Share and shall have the terms and conditions described in this Section 7:</w:t>
      </w:r>
    </w:p>
    <w:p>
      <w:pPr>
        <w:spacing w:after="0" w:line="193" w:lineRule="exact"/>
        <w:rPr>
          <w:sz w:val="20"/>
          <w:szCs w:val="20"/>
          <w:color w:val="auto"/>
        </w:rPr>
      </w:pPr>
    </w:p>
    <w:p>
      <w:pPr>
        <w:ind w:left="500" w:hanging="492"/>
        <w:spacing w:after="0" w:line="276" w:lineRule="auto"/>
        <w:tabs>
          <w:tab w:leader="none" w:pos="500"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Effective Date of Annual Grant</w:t>
      </w:r>
      <w:r>
        <w:rPr>
          <w:rFonts w:ascii="Arial" w:cs="Arial" w:eastAsia="Arial" w:hAnsi="Arial"/>
          <w:sz w:val="17"/>
          <w:szCs w:val="17"/>
          <w:color w:val="auto"/>
        </w:rPr>
        <w:t>. In each Year, the effective date for the annual grant of restricted stock units to the Company’s executive officers by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Committee of the Board (or any successor committee) shall be the date Restricted Stock Units are granted annually under (ii) of the first paragraph of this Section; provided that in any Year in which the Compensation Committee does not grant restricted stock units to any of the Company’s executive officers in connection with the annual compensation review process, then the effective date of the first restricted stock units granted by the Compensation Committee in such Year shall be the date such Restricted Stock Units are granted.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9" w:name="page50"/>
    <w:bookmarkEnd w:id="49"/>
    <w:p>
      <w:pPr>
        <w:ind w:left="492" w:right="40" w:hanging="492"/>
        <w:spacing w:after="0" w:line="264" w:lineRule="auto"/>
        <w:tabs>
          <w:tab w:leader="none" w:pos="492"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Vesting and Settlement</w:t>
      </w:r>
      <w:r>
        <w:rPr>
          <w:rFonts w:ascii="Arial" w:cs="Arial" w:eastAsia="Arial" w:hAnsi="Arial"/>
          <w:sz w:val="18"/>
          <w:szCs w:val="18"/>
          <w:color w:val="auto"/>
        </w:rPr>
        <w:t>. Subject to Sections 7(c) and 7(d)(iii) and subject to a Director’s election to defer the settlement of Restricted Stock Units</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9, the shares covered by the Restricted Stock Units shall be paid or settled as soon as practicable after the fourth anniversary of the date of grant.</w:t>
      </w:r>
    </w:p>
    <w:p>
      <w:pPr>
        <w:spacing w:after="0" w:line="208" w:lineRule="exact"/>
        <w:rPr>
          <w:rFonts w:ascii="Arial" w:cs="Arial" w:eastAsia="Arial" w:hAnsi="Arial"/>
          <w:sz w:val="18"/>
          <w:szCs w:val="18"/>
          <w:color w:val="auto"/>
        </w:rPr>
      </w:pPr>
    </w:p>
    <w:p>
      <w:pPr>
        <w:ind w:left="492" w:right="120" w:hanging="492"/>
        <w:spacing w:after="0" w:line="279" w:lineRule="auto"/>
        <w:tabs>
          <w:tab w:leader="none" w:pos="492" w:val="left"/>
        </w:tabs>
        <w:numPr>
          <w:ilvl w:val="0"/>
          <w:numId w:val="59"/>
        </w:numPr>
        <w:rPr>
          <w:rFonts w:ascii="Arial" w:cs="Arial" w:eastAsia="Arial" w:hAnsi="Arial"/>
          <w:sz w:val="17"/>
          <w:szCs w:val="17"/>
          <w:color w:val="auto"/>
        </w:rPr>
      </w:pPr>
      <w:r>
        <w:rPr>
          <w:rFonts w:ascii="Arial" w:cs="Arial" w:eastAsia="Arial" w:hAnsi="Arial"/>
          <w:sz w:val="17"/>
          <w:szCs w:val="17"/>
          <w:i w:val="1"/>
          <w:iCs w:val="1"/>
          <w:color w:val="auto"/>
        </w:rPr>
        <w:t>Change in Control</w:t>
      </w:r>
      <w:r>
        <w:rPr>
          <w:rFonts w:ascii="Arial" w:cs="Arial" w:eastAsia="Arial" w:hAnsi="Arial"/>
          <w:sz w:val="17"/>
          <w:szCs w:val="17"/>
          <w:color w:val="auto"/>
        </w:rPr>
        <w:t>. With respect to Restricted Stock Units (2010 Grant), in the event of a Change in Control (2010 Grant), the provisions of Sections</w:t>
      </w:r>
      <w:r>
        <w:rPr>
          <w:rFonts w:ascii="Arial" w:cs="Arial" w:eastAsia="Arial" w:hAnsi="Arial"/>
          <w:sz w:val="17"/>
          <w:szCs w:val="17"/>
          <w:i w:val="1"/>
          <w:iCs w:val="1"/>
          <w:color w:val="auto"/>
        </w:rPr>
        <w:t xml:space="preserve"> </w:t>
      </w:r>
      <w:r>
        <w:rPr>
          <w:rFonts w:ascii="Arial" w:cs="Arial" w:eastAsia="Arial" w:hAnsi="Arial"/>
          <w:sz w:val="17"/>
          <w:szCs w:val="17"/>
          <w:color w:val="auto"/>
        </w:rPr>
        <w:t>7(b) and (d) shall not apply (except for Section 7(d)(iv), which shall apply), any election by a Director to defer settlement of Restricted Stock Units (2010 Grant) pursuant to Section 9 shall be cancelled and any such Restricted Stock Units outstanding under this Plan shall vest and be paid immediately. See Section 7(d)(iii) for the effect of a Change in Control on all other Restricted Stock Units.</w:t>
      </w:r>
    </w:p>
    <w:p>
      <w:pPr>
        <w:spacing w:after="0" w:line="198" w:lineRule="exact"/>
        <w:rPr>
          <w:rFonts w:ascii="Arial" w:cs="Arial" w:eastAsia="Arial" w:hAnsi="Arial"/>
          <w:sz w:val="17"/>
          <w:szCs w:val="17"/>
          <w:color w:val="auto"/>
        </w:rPr>
      </w:pPr>
    </w:p>
    <w:p>
      <w:pPr>
        <w:ind w:left="492" w:hanging="492"/>
        <w:spacing w:after="0"/>
        <w:tabs>
          <w:tab w:leader="none" w:pos="492"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Termination of Service as a Director</w:t>
      </w:r>
      <w:r>
        <w:rPr>
          <w:rFonts w:ascii="Arial" w:cs="Arial" w:eastAsia="Arial" w:hAnsi="Arial"/>
          <w:sz w:val="18"/>
          <w:szCs w:val="18"/>
          <w:color w:val="auto"/>
        </w:rPr>
        <w:t>. The effect of a Participant's termination of service as a member of the Board shall be as follows:</w:t>
      </w:r>
    </w:p>
    <w:p>
      <w:pPr>
        <w:spacing w:after="0" w:line="252" w:lineRule="exact"/>
        <w:rPr>
          <w:rFonts w:ascii="Arial" w:cs="Arial" w:eastAsia="Arial" w:hAnsi="Arial"/>
          <w:sz w:val="18"/>
          <w:szCs w:val="18"/>
          <w:color w:val="auto"/>
        </w:rPr>
      </w:pPr>
    </w:p>
    <w:p>
      <w:pPr>
        <w:ind w:left="972" w:right="20" w:hanging="486"/>
        <w:spacing w:after="0" w:line="264" w:lineRule="auto"/>
        <w:tabs>
          <w:tab w:leader="none" w:pos="972"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Death: All outstanding Restricted Stock Units held by the Participant shall continue to full term subject to the other terms and conditions of this Plan, and shares shall be issued to such Participant's heirs at such times and in such manner as if the Participant were still a member of the Board.</w:t>
      </w:r>
    </w:p>
    <w:p>
      <w:pPr>
        <w:spacing w:after="0" w:line="208" w:lineRule="exact"/>
        <w:rPr>
          <w:rFonts w:ascii="Arial" w:cs="Arial" w:eastAsia="Arial" w:hAnsi="Arial"/>
          <w:sz w:val="18"/>
          <w:szCs w:val="18"/>
          <w:color w:val="auto"/>
        </w:rPr>
      </w:pPr>
    </w:p>
    <w:p>
      <w:pPr>
        <w:ind w:left="972" w:right="100" w:hanging="486"/>
        <w:spacing w:after="0" w:line="312" w:lineRule="auto"/>
        <w:tabs>
          <w:tab w:leader="none" w:pos="972" w:val="left"/>
        </w:tabs>
        <w:numPr>
          <w:ilvl w:val="1"/>
          <w:numId w:val="59"/>
        </w:numPr>
        <w:rPr>
          <w:rFonts w:ascii="Arial" w:cs="Arial" w:eastAsia="Arial" w:hAnsi="Arial"/>
          <w:sz w:val="16"/>
          <w:szCs w:val="16"/>
          <w:color w:val="auto"/>
        </w:rPr>
      </w:pPr>
      <w:r>
        <w:rPr>
          <w:rFonts w:ascii="Arial" w:cs="Arial" w:eastAsia="Arial" w:hAnsi="Arial"/>
          <w:sz w:val="16"/>
          <w:szCs w:val="16"/>
          <w:color w:val="auto"/>
        </w:rPr>
        <w:t>Permanent disability, termination after 8 years of service, or termination for reason of ineligibility to stand for reelection under the Company's By-Laws: All outstanding Restricted Stock Units held by the Participant shall continue to full term subject to the other terms and conditions of this Plan, and shares shall be issued to such Participant at such times and in such manner as if the Participant were still a member of the Board.</w:t>
      </w:r>
    </w:p>
    <w:p>
      <w:pPr>
        <w:spacing w:after="0" w:line="173" w:lineRule="exact"/>
        <w:rPr>
          <w:rFonts w:ascii="Arial" w:cs="Arial" w:eastAsia="Arial" w:hAnsi="Arial"/>
          <w:sz w:val="16"/>
          <w:szCs w:val="16"/>
          <w:color w:val="auto"/>
        </w:rPr>
      </w:pPr>
    </w:p>
    <w:p>
      <w:pPr>
        <w:ind w:left="972" w:right="200" w:hanging="486"/>
        <w:spacing w:after="0" w:line="264" w:lineRule="auto"/>
        <w:tabs>
          <w:tab w:leader="none" w:pos="972" w:val="left"/>
        </w:tabs>
        <w:numPr>
          <w:ilvl w:val="1"/>
          <w:numId w:val="59"/>
        </w:numPr>
        <w:rPr>
          <w:rFonts w:ascii="Arial" w:cs="Arial" w:eastAsia="Arial" w:hAnsi="Arial"/>
          <w:sz w:val="18"/>
          <w:szCs w:val="18"/>
          <w:color w:val="auto"/>
        </w:rPr>
      </w:pPr>
      <w:r>
        <w:rPr>
          <w:rFonts w:ascii="Arial" w:cs="Arial" w:eastAsia="Arial" w:hAnsi="Arial"/>
          <w:sz w:val="18"/>
          <w:szCs w:val="18"/>
          <w:color w:val="auto"/>
        </w:rPr>
        <w:t>Separation From Service after a Change in Control: With respect to Restricted Stock Units other than Restricted Stock Units (2010 Grant), in the event a Participant experiences a Separation From Service (other than for cause) within 24 months after a Change in Control (Post-2010 Grant), the provisions of Section 7(b) shall not apply and:</w:t>
      </w:r>
    </w:p>
    <w:p>
      <w:pPr>
        <w:spacing w:after="0" w:line="208" w:lineRule="exact"/>
        <w:rPr>
          <w:rFonts w:ascii="Arial" w:cs="Arial" w:eastAsia="Arial" w:hAnsi="Arial"/>
          <w:sz w:val="18"/>
          <w:szCs w:val="18"/>
          <w:color w:val="auto"/>
        </w:rPr>
      </w:pPr>
    </w:p>
    <w:p>
      <w:pPr>
        <w:ind w:left="1452" w:hanging="480"/>
        <w:spacing w:after="0" w:line="273" w:lineRule="auto"/>
        <w:tabs>
          <w:tab w:leader="none" w:pos="1452" w:val="left"/>
        </w:tabs>
        <w:numPr>
          <w:ilvl w:val="2"/>
          <w:numId w:val="59"/>
        </w:numPr>
        <w:rPr>
          <w:rFonts w:ascii="Arial" w:cs="Arial" w:eastAsia="Arial" w:hAnsi="Arial"/>
          <w:sz w:val="17"/>
          <w:szCs w:val="17"/>
          <w:color w:val="auto"/>
        </w:rPr>
      </w:pPr>
      <w:r>
        <w:rPr>
          <w:rFonts w:ascii="Arial" w:cs="Arial" w:eastAsia="Arial" w:hAnsi="Arial"/>
          <w:sz w:val="17"/>
          <w:szCs w:val="17"/>
          <w:color w:val="auto"/>
        </w:rPr>
        <w:t>To the extent permitted without additional tax or penalty by Section 409A of the Code, all shares underlying such Restricted Stock Units held by the Participant (including any such Restricted Stock Units subject to an election to defer settlement under Section 9) will be issued on, or as soon as practicable (but no later than 60 days) after, the Participant’s Separation From Service; provided, however, that if the participant is a Specified Employee upon such Separation From Service, the shares will be issued on, or as soon as practicable (but no more than 10 days) after, the first day of the seventh month following the Separation From Service and any such Restricted Stock Units outstanding under this Plan shall vest and be paid immediately.</w:t>
      </w:r>
    </w:p>
    <w:p>
      <w:pPr>
        <w:spacing w:after="0" w:line="205" w:lineRule="exact"/>
        <w:rPr>
          <w:rFonts w:ascii="Arial" w:cs="Arial" w:eastAsia="Arial" w:hAnsi="Arial"/>
          <w:sz w:val="17"/>
          <w:szCs w:val="17"/>
          <w:color w:val="auto"/>
        </w:rPr>
      </w:pPr>
    </w:p>
    <w:p>
      <w:pPr>
        <w:ind w:left="1452" w:right="100" w:hanging="480"/>
        <w:spacing w:after="0" w:line="259" w:lineRule="auto"/>
        <w:tabs>
          <w:tab w:leader="none" w:pos="1452" w:val="left"/>
        </w:tabs>
        <w:numPr>
          <w:ilvl w:val="2"/>
          <w:numId w:val="59"/>
        </w:numPr>
        <w:rPr>
          <w:rFonts w:ascii="Arial" w:cs="Arial" w:eastAsia="Arial" w:hAnsi="Arial"/>
          <w:sz w:val="18"/>
          <w:szCs w:val="18"/>
          <w:color w:val="auto"/>
        </w:rPr>
      </w:pPr>
      <w:r>
        <w:rPr>
          <w:rFonts w:ascii="Arial" w:cs="Arial" w:eastAsia="Arial" w:hAnsi="Arial"/>
          <w:sz w:val="18"/>
          <w:szCs w:val="18"/>
          <w:color w:val="auto"/>
        </w:rPr>
        <w:t>To the extent that the issuance of shares is not permitted without additional tax or penalty by Section 409A, the Award will continue to full term and the shares will be issued at the issuance date specified in the Award Agreement as if the Participant were still a Director on such date or (for any such Restricted Stock Units subject to an election to defer settlement pursuant to Section 9) in accordance with Section 9(h)(i).</w:t>
      </w:r>
    </w:p>
    <w:p>
      <w:pPr>
        <w:spacing w:after="0" w:line="358" w:lineRule="exact"/>
        <w:rPr>
          <w:sz w:val="20"/>
          <w:szCs w:val="20"/>
          <w:color w:val="auto"/>
        </w:rPr>
      </w:pPr>
    </w:p>
    <w:p>
      <w:pPr>
        <w:jc w:val="center"/>
        <w:ind w:right="-31"/>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517" w:right="279" w:bottom="1440" w:gutter="0" w:footer="0" w:header="0"/>
        </w:sectPr>
      </w:pPr>
    </w:p>
    <w:bookmarkStart w:id="50" w:name="page51"/>
    <w:bookmarkEnd w:id="50"/>
    <w:p>
      <w:pPr>
        <w:ind w:left="980" w:right="200" w:hanging="486"/>
        <w:spacing w:after="0" w:line="277" w:lineRule="auto"/>
        <w:tabs>
          <w:tab w:leader="none" w:pos="9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Other: For any termination other than those specified above, all outstanding Restricted Stock Units held by the Participant shall terminate and become void without any shares being issued.</w:t>
      </w:r>
    </w:p>
    <w:p>
      <w:pPr>
        <w:spacing w:after="0" w:line="197" w:lineRule="exact"/>
        <w:rPr>
          <w:rFonts w:ascii="Arial" w:cs="Arial" w:eastAsia="Arial" w:hAnsi="Arial"/>
          <w:sz w:val="18"/>
          <w:szCs w:val="18"/>
          <w:color w:val="auto"/>
        </w:rPr>
      </w:pPr>
    </w:p>
    <w:p>
      <w:pPr>
        <w:ind w:left="980" w:right="180" w:hanging="486"/>
        <w:spacing w:after="0" w:line="264" w:lineRule="auto"/>
        <w:tabs>
          <w:tab w:leader="none" w:pos="9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With respect to Restricted Stock Units (2010 Grant), if a Participant's termination of service (other than for cause) occurs within 30 days of a Change in Control (2010 Grant), then the Change in Control (2010 Grant) shall be deemed to have occurred first and the provisions of Section 7(c) shall apply.</w:t>
      </w:r>
    </w:p>
    <w:p>
      <w:pPr>
        <w:spacing w:after="0" w:line="208" w:lineRule="exact"/>
        <w:rPr>
          <w:rFonts w:ascii="Arial" w:cs="Arial" w:eastAsia="Arial" w:hAnsi="Arial"/>
          <w:sz w:val="18"/>
          <w:szCs w:val="18"/>
          <w:color w:val="auto"/>
        </w:rPr>
      </w:pPr>
    </w:p>
    <w:p>
      <w:pPr>
        <w:ind w:left="500" w:right="100" w:hanging="492"/>
        <w:spacing w:after="0" w:line="342" w:lineRule="auto"/>
        <w:tabs>
          <w:tab w:leader="none" w:pos="500"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Restricted Stock Unit Agreement</w:t>
      </w:r>
      <w:r>
        <w:rPr>
          <w:rFonts w:ascii="Arial" w:cs="Arial" w:eastAsia="Arial" w:hAnsi="Arial"/>
          <w:sz w:val="16"/>
          <w:szCs w:val="16"/>
          <w:color w:val="auto"/>
        </w:rPr>
        <w:t>. Each Restricted Stock Unit Award granted under this Section 7 shall be evidenced by an Award Agreement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which shall contain the terms and conditions set forth herein and shall otherwise be consistent with the provisions of this Plan.</w:t>
      </w:r>
    </w:p>
    <w:p>
      <w:pPr>
        <w:spacing w:after="0" w:line="150" w:lineRule="exact"/>
        <w:rPr>
          <w:rFonts w:ascii="Arial" w:cs="Arial" w:eastAsia="Arial" w:hAnsi="Arial"/>
          <w:sz w:val="16"/>
          <w:szCs w:val="16"/>
          <w:color w:val="auto"/>
        </w:rPr>
      </w:pPr>
    </w:p>
    <w:p>
      <w:pPr>
        <w:ind w:left="500" w:hanging="492"/>
        <w:spacing w:after="0" w:line="255" w:lineRule="auto"/>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Right to Dividend Equivalents. </w:t>
      </w:r>
      <w:r>
        <w:rPr>
          <w:rFonts w:ascii="Arial" w:cs="Arial" w:eastAsia="Arial" w:hAnsi="Arial"/>
          <w:sz w:val="18"/>
          <w:szCs w:val="18"/>
          <w:color w:val="auto"/>
        </w:rPr>
        <w:t>Each recipient of Restricted Stock Units under this Plan shall have the right, during the period when such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Units are outstanding and prior to the termination, forfeiture or payment or settlement thereof, to receive dividend equivalents equal to the amount or value of any cash or other distributions or dividends payable on the same number of Shares. The Company shall accumulate dividend equivalents on each dividend payment date and, unless a Director has elected to defer receipt of such dividend equivalents pursuant to Section 9, pay such accumulated amounts without interest in December of each fiscal year, but no later than March 15 of the calendar year following the calendar year in which the related dividend is declared.</w:t>
      </w:r>
    </w:p>
    <w:p>
      <w:pPr>
        <w:spacing w:after="0" w:line="220" w:lineRule="exact"/>
        <w:rPr>
          <w:rFonts w:ascii="Arial" w:cs="Arial" w:eastAsia="Arial" w:hAnsi="Arial"/>
          <w:sz w:val="18"/>
          <w:szCs w:val="18"/>
          <w:color w:val="auto"/>
        </w:rPr>
      </w:pPr>
    </w:p>
    <w:p>
      <w:pPr>
        <w:ind w:left="500" w:right="100" w:hanging="492"/>
        <w:spacing w:after="0" w:line="264" w:lineRule="auto"/>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Issuance of Shares</w:t>
      </w:r>
      <w:r>
        <w:rPr>
          <w:rFonts w:ascii="Arial" w:cs="Arial" w:eastAsia="Arial" w:hAnsi="Arial"/>
          <w:sz w:val="18"/>
          <w:szCs w:val="18"/>
          <w:color w:val="auto"/>
        </w:rPr>
        <w:t>. A stock certificate or certificates shall be registered and issued or other indicia of ownership of shares shall be issued, in the name</w:t>
      </w:r>
      <w:r>
        <w:rPr>
          <w:rFonts w:ascii="Arial" w:cs="Arial" w:eastAsia="Arial" w:hAnsi="Arial"/>
          <w:sz w:val="18"/>
          <w:szCs w:val="18"/>
          <w:i w:val="1"/>
          <w:iCs w:val="1"/>
          <w:color w:val="auto"/>
        </w:rPr>
        <w:t xml:space="preserve"> </w:t>
      </w:r>
      <w:r>
        <w:rPr>
          <w:rFonts w:ascii="Arial" w:cs="Arial" w:eastAsia="Arial" w:hAnsi="Arial"/>
          <w:sz w:val="18"/>
          <w:szCs w:val="18"/>
          <w:color w:val="auto"/>
        </w:rPr>
        <w:t>or for the benefit of the holder of Restricted Stock Units and delivered to such holder as soon as practicable after such Restricted Stock Units have become payable or settleable in accordance with the terms of the Plan.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STOCK APPRECIATION RIGHTS (SARs).</w:t>
      </w:r>
    </w:p>
    <w:p>
      <w:pPr>
        <w:spacing w:after="0" w:line="256" w:lineRule="exact"/>
        <w:rPr>
          <w:sz w:val="20"/>
          <w:szCs w:val="20"/>
          <w:color w:val="auto"/>
        </w:rPr>
      </w:pPr>
    </w:p>
    <w:p>
      <w:pPr>
        <w:ind w:left="500" w:hanging="492"/>
        <w:spacing w:after="0"/>
        <w:tabs>
          <w:tab w:leader="none" w:pos="5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SARs may be granted to Directors with such terms and conditions as the Administrator shall determine not inconsistent with the provisions of the Plan.</w:t>
      </w:r>
    </w:p>
    <w:p>
      <w:pPr>
        <w:spacing w:after="0" w:line="275" w:lineRule="exact"/>
        <w:rPr>
          <w:rFonts w:ascii="Arial" w:cs="Arial" w:eastAsia="Arial" w:hAnsi="Arial"/>
          <w:sz w:val="16"/>
          <w:szCs w:val="16"/>
          <w:color w:val="auto"/>
        </w:rPr>
      </w:pPr>
    </w:p>
    <w:p>
      <w:pPr>
        <w:ind w:left="500" w:hanging="492"/>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term of each SAR shall be fixed by the Administrator but shall not exceed 10 years.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DEFERRED COMPENSATION.</w:t>
      </w:r>
    </w:p>
    <w:p>
      <w:pPr>
        <w:spacing w:after="0" w:line="256" w:lineRule="exact"/>
        <w:rPr>
          <w:sz w:val="20"/>
          <w:szCs w:val="20"/>
          <w:color w:val="auto"/>
        </w:rPr>
      </w:pPr>
    </w:p>
    <w:p>
      <w:pPr>
        <w:ind w:left="500" w:right="380" w:hanging="492"/>
        <w:spacing w:after="0" w:line="277" w:lineRule="auto"/>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Deferral Election</w:t>
      </w:r>
      <w:r>
        <w:rPr>
          <w:rFonts w:ascii="Arial" w:cs="Arial" w:eastAsia="Arial" w:hAnsi="Arial"/>
          <w:sz w:val="18"/>
          <w:szCs w:val="18"/>
          <w:color w:val="auto"/>
        </w:rPr>
        <w:t>. Each Director may elect, with respect to any Year, that all or any percentage of his or her Eligible Compensation be deferred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terms of this Plan.</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1" w:name="page52"/>
    <w:bookmarkEnd w:id="51"/>
    <w:p>
      <w:pPr>
        <w:ind w:left="492" w:right="80" w:hanging="492"/>
        <w:spacing w:after="0" w:line="277" w:lineRule="auto"/>
        <w:tabs>
          <w:tab w:leader="none" w:pos="492"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Cash Compensation Investment Alternatives</w:t>
      </w:r>
      <w:r>
        <w:rPr>
          <w:rFonts w:ascii="Arial" w:cs="Arial" w:eastAsia="Arial" w:hAnsi="Arial"/>
          <w:sz w:val="18"/>
          <w:szCs w:val="18"/>
          <w:color w:val="auto"/>
        </w:rPr>
        <w:t>. Each Director may elect that his or her Deferred Cash Compensation for any Year be credited to a Cash</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or a Stock Unit Account or to any combination thereof.</w:t>
      </w:r>
    </w:p>
    <w:p>
      <w:pPr>
        <w:spacing w:after="0" w:line="197" w:lineRule="exact"/>
        <w:rPr>
          <w:rFonts w:ascii="Arial" w:cs="Arial" w:eastAsia="Arial" w:hAnsi="Arial"/>
          <w:sz w:val="18"/>
          <w:szCs w:val="18"/>
          <w:color w:val="auto"/>
        </w:rPr>
      </w:pPr>
    </w:p>
    <w:p>
      <w:pPr>
        <w:ind w:left="972" w:hanging="486"/>
        <w:spacing w:after="0"/>
        <w:tabs>
          <w:tab w:leader="none" w:pos="972" w:val="left"/>
        </w:tabs>
        <w:numPr>
          <w:ilvl w:val="1"/>
          <w:numId w:val="64"/>
        </w:numPr>
        <w:rPr>
          <w:rFonts w:ascii="Arial" w:cs="Arial" w:eastAsia="Arial" w:hAnsi="Arial"/>
          <w:sz w:val="18"/>
          <w:szCs w:val="18"/>
          <w:color w:val="auto"/>
        </w:rPr>
      </w:pPr>
      <w:r>
        <w:rPr>
          <w:rFonts w:ascii="Arial" w:cs="Arial" w:eastAsia="Arial" w:hAnsi="Arial"/>
          <w:sz w:val="18"/>
          <w:szCs w:val="18"/>
          <w:i w:val="1"/>
          <w:iCs w:val="1"/>
          <w:color w:val="auto"/>
        </w:rPr>
        <w:t>Cash Accounts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452" w:right="100" w:hanging="480"/>
        <w:spacing w:after="0" w:line="277" w:lineRule="auto"/>
        <w:tabs>
          <w:tab w:leader="none" w:pos="1452" w:val="left"/>
        </w:tabs>
        <w:numPr>
          <w:ilvl w:val="2"/>
          <w:numId w:val="64"/>
        </w:numPr>
        <w:rPr>
          <w:rFonts w:ascii="Arial" w:cs="Arial" w:eastAsia="Arial" w:hAnsi="Arial"/>
          <w:sz w:val="18"/>
          <w:szCs w:val="18"/>
          <w:color w:val="auto"/>
        </w:rPr>
      </w:pPr>
      <w:r>
        <w:rPr>
          <w:rFonts w:ascii="Arial" w:cs="Arial" w:eastAsia="Arial" w:hAnsi="Arial"/>
          <w:sz w:val="18"/>
          <w:szCs w:val="18"/>
          <w:color w:val="auto"/>
        </w:rPr>
        <w:t>The Company shall establish and maintain, as appropriate, separate unfunded Cash Accounts for each Director who has elected that any portion of his or her Deferred Cash Compensation be credited to a Cash Account.</w:t>
      </w:r>
    </w:p>
    <w:p>
      <w:pPr>
        <w:spacing w:after="0" w:line="197" w:lineRule="exact"/>
        <w:rPr>
          <w:rFonts w:ascii="Arial" w:cs="Arial" w:eastAsia="Arial" w:hAnsi="Arial"/>
          <w:sz w:val="18"/>
          <w:szCs w:val="18"/>
          <w:color w:val="auto"/>
        </w:rPr>
      </w:pPr>
    </w:p>
    <w:p>
      <w:pPr>
        <w:ind w:left="1452" w:right="100" w:hanging="480"/>
        <w:spacing w:after="0" w:line="264" w:lineRule="auto"/>
        <w:tabs>
          <w:tab w:leader="none" w:pos="1452" w:val="left"/>
        </w:tabs>
        <w:numPr>
          <w:ilvl w:val="2"/>
          <w:numId w:val="64"/>
        </w:numPr>
        <w:rPr>
          <w:rFonts w:ascii="Arial" w:cs="Arial" w:eastAsia="Arial" w:hAnsi="Arial"/>
          <w:sz w:val="18"/>
          <w:szCs w:val="18"/>
          <w:color w:val="auto"/>
        </w:rPr>
      </w:pPr>
      <w:r>
        <w:rPr>
          <w:rFonts w:ascii="Arial" w:cs="Arial" w:eastAsia="Arial" w:hAnsi="Arial"/>
          <w:sz w:val="18"/>
          <w:szCs w:val="18"/>
          <w:color w:val="auto"/>
        </w:rPr>
        <w:t>As of the date on which any amount of a Director’s Deferred Cash Compensation becomes payable, his or her Cash Account shall be credited with an amount equal to that portion of such Deferred Cash Compensation as such Director has elected be credited to his or her Cash Account.</w:t>
      </w:r>
    </w:p>
    <w:p>
      <w:pPr>
        <w:spacing w:after="0" w:line="208" w:lineRule="exact"/>
        <w:rPr>
          <w:rFonts w:ascii="Arial" w:cs="Arial" w:eastAsia="Arial" w:hAnsi="Arial"/>
          <w:sz w:val="18"/>
          <w:szCs w:val="18"/>
          <w:color w:val="auto"/>
        </w:rPr>
      </w:pPr>
    </w:p>
    <w:p>
      <w:pPr>
        <w:ind w:left="1452" w:right="100" w:hanging="480"/>
        <w:spacing w:after="0" w:line="297" w:lineRule="auto"/>
        <w:tabs>
          <w:tab w:leader="none" w:pos="1452" w:val="left"/>
        </w:tabs>
        <w:numPr>
          <w:ilvl w:val="2"/>
          <w:numId w:val="64"/>
        </w:numPr>
        <w:rPr>
          <w:rFonts w:ascii="Arial" w:cs="Arial" w:eastAsia="Arial" w:hAnsi="Arial"/>
          <w:sz w:val="16"/>
          <w:szCs w:val="16"/>
          <w:color w:val="auto"/>
        </w:rPr>
      </w:pPr>
      <w:r>
        <w:rPr>
          <w:rFonts w:ascii="Arial" w:cs="Arial" w:eastAsia="Arial" w:hAnsi="Arial"/>
          <w:sz w:val="16"/>
          <w:szCs w:val="16"/>
          <w:color w:val="auto"/>
        </w:rPr>
        <w:t>As of the last day of each month, interest on each Cash Account shall be credited on the average of the balances on the first and last day of such month. Interest shall be credited at a rate equivalent to the average yield on corporate bonds rated Aaa by Moody’s Investors Service on September 30 of the preceding Year (or if there is no such yield reported for such date, then on the next preceding date for which such a yield is reported) as published in Federal Reserve Statistical Release H.15, or at such other rate that would qualify as a "reasonable rate of interest" as defined by Section 409A of the Code, as may be determined by the G&amp;SR Committee for each Year.</w:t>
      </w:r>
    </w:p>
    <w:p>
      <w:pPr>
        <w:spacing w:after="0" w:line="185" w:lineRule="exact"/>
        <w:rPr>
          <w:rFonts w:ascii="Arial" w:cs="Arial" w:eastAsia="Arial" w:hAnsi="Arial"/>
          <w:sz w:val="16"/>
          <w:szCs w:val="16"/>
          <w:color w:val="auto"/>
        </w:rPr>
      </w:pPr>
    </w:p>
    <w:p>
      <w:pPr>
        <w:ind w:left="972" w:hanging="486"/>
        <w:spacing w:after="0"/>
        <w:tabs>
          <w:tab w:leader="none" w:pos="972" w:val="left"/>
        </w:tabs>
        <w:numPr>
          <w:ilvl w:val="1"/>
          <w:numId w:val="64"/>
        </w:numPr>
        <w:rPr>
          <w:rFonts w:ascii="Arial" w:cs="Arial" w:eastAsia="Arial" w:hAnsi="Arial"/>
          <w:sz w:val="18"/>
          <w:szCs w:val="18"/>
          <w:color w:val="auto"/>
        </w:rPr>
      </w:pPr>
      <w:r>
        <w:rPr>
          <w:rFonts w:ascii="Arial" w:cs="Arial" w:eastAsia="Arial" w:hAnsi="Arial"/>
          <w:sz w:val="18"/>
          <w:szCs w:val="18"/>
          <w:i w:val="1"/>
          <w:iCs w:val="1"/>
          <w:color w:val="auto"/>
        </w:rPr>
        <w:t>Stock Unit Accounts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452" w:hanging="480"/>
        <w:spacing w:after="0" w:line="277" w:lineRule="auto"/>
        <w:tabs>
          <w:tab w:leader="none" w:pos="1452" w:val="left"/>
        </w:tabs>
        <w:numPr>
          <w:ilvl w:val="2"/>
          <w:numId w:val="64"/>
        </w:numPr>
        <w:rPr>
          <w:rFonts w:ascii="Arial" w:cs="Arial" w:eastAsia="Arial" w:hAnsi="Arial"/>
          <w:sz w:val="18"/>
          <w:szCs w:val="18"/>
          <w:color w:val="auto"/>
        </w:rPr>
      </w:pPr>
      <w:r>
        <w:rPr>
          <w:rFonts w:ascii="Arial" w:cs="Arial" w:eastAsia="Arial" w:hAnsi="Arial"/>
          <w:sz w:val="18"/>
          <w:szCs w:val="18"/>
          <w:color w:val="auto"/>
        </w:rPr>
        <w:t>The Company shall establish and maintain, as appropriate, separate unfunded Stock Unit Accounts for each Director who has elected that any portion of his or her Deferred Cash Compensation be credited to a Stock Unit Account.</w:t>
      </w:r>
    </w:p>
    <w:p>
      <w:pPr>
        <w:spacing w:after="0" w:line="197" w:lineRule="exact"/>
        <w:rPr>
          <w:rFonts w:ascii="Arial" w:cs="Arial" w:eastAsia="Arial" w:hAnsi="Arial"/>
          <w:sz w:val="18"/>
          <w:szCs w:val="18"/>
          <w:color w:val="auto"/>
        </w:rPr>
      </w:pPr>
    </w:p>
    <w:p>
      <w:pPr>
        <w:ind w:left="1452" w:hanging="480"/>
        <w:spacing w:after="0" w:line="259" w:lineRule="auto"/>
        <w:tabs>
          <w:tab w:leader="none" w:pos="1452" w:val="left"/>
        </w:tabs>
        <w:numPr>
          <w:ilvl w:val="2"/>
          <w:numId w:val="64"/>
        </w:numPr>
        <w:rPr>
          <w:rFonts w:ascii="Arial" w:cs="Arial" w:eastAsia="Arial" w:hAnsi="Arial"/>
          <w:sz w:val="18"/>
          <w:szCs w:val="18"/>
          <w:color w:val="auto"/>
        </w:rPr>
      </w:pPr>
      <w:r>
        <w:rPr>
          <w:rFonts w:ascii="Arial" w:cs="Arial" w:eastAsia="Arial" w:hAnsi="Arial"/>
          <w:sz w:val="18"/>
          <w:szCs w:val="18"/>
          <w:color w:val="auto"/>
        </w:rPr>
        <w:t>As of each date on which any amount of a Director’s Deferred Cash Compensation becomes payable, his or her Stock Unit Account shall be credited with that number of units as are equal to the number of full or fractional Shares as could be purchased at the Fair Market Value on the first trading day preceding such date with the portion of such Deferred Cash Compensation as such Director has elected be credited to his or her Stock Unit Account.</w:t>
      </w:r>
    </w:p>
    <w:p>
      <w:pPr>
        <w:spacing w:after="0" w:line="213" w:lineRule="exact"/>
        <w:rPr>
          <w:rFonts w:ascii="Arial" w:cs="Arial" w:eastAsia="Arial" w:hAnsi="Arial"/>
          <w:sz w:val="18"/>
          <w:szCs w:val="18"/>
          <w:color w:val="auto"/>
        </w:rPr>
      </w:pPr>
    </w:p>
    <w:p>
      <w:pPr>
        <w:ind w:left="1452" w:right="60" w:hanging="480"/>
        <w:spacing w:after="0" w:line="279" w:lineRule="auto"/>
        <w:tabs>
          <w:tab w:leader="none" w:pos="1452" w:val="left"/>
        </w:tabs>
        <w:numPr>
          <w:ilvl w:val="2"/>
          <w:numId w:val="64"/>
        </w:numPr>
        <w:rPr>
          <w:rFonts w:ascii="Arial" w:cs="Arial" w:eastAsia="Arial" w:hAnsi="Arial"/>
          <w:sz w:val="17"/>
          <w:szCs w:val="17"/>
          <w:color w:val="auto"/>
        </w:rPr>
      </w:pPr>
      <w:r>
        <w:rPr>
          <w:rFonts w:ascii="Arial" w:cs="Arial" w:eastAsia="Arial" w:hAnsi="Arial"/>
          <w:sz w:val="17"/>
          <w:szCs w:val="17"/>
          <w:color w:val="auto"/>
        </w:rPr>
        <w:t>As of the payment date for each dividend on Shares declared by the Board, there shall be credited to each Stock Unit Account that number of units as are equal to the number of full or fractional Shares as could be purchased at the Fair Market Value on the first trading day preceding the payment date for such dividend with an amount equal to the product of: (i) the dividend per share, and (ii) the number of units in such Stock Unit Account immediately prior to the record date for such dividend.</w:t>
      </w:r>
    </w:p>
    <w:p>
      <w:pPr>
        <w:spacing w:after="0" w:line="343" w:lineRule="exact"/>
        <w:rPr>
          <w:sz w:val="20"/>
          <w:szCs w:val="20"/>
          <w:color w:val="auto"/>
        </w:rPr>
      </w:pPr>
    </w:p>
    <w:p>
      <w:pPr>
        <w:jc w:val="center"/>
        <w:ind w:right="-51"/>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517" w:right="299" w:bottom="1440" w:gutter="0" w:footer="0" w:header="0"/>
        </w:sectPr>
      </w:pPr>
    </w:p>
    <w:bookmarkStart w:id="52" w:name="page53"/>
    <w:bookmarkEnd w:id="52"/>
    <w:p>
      <w:pPr>
        <w:ind w:left="492" w:hanging="492"/>
        <w:spacing w:after="0"/>
        <w:tabs>
          <w:tab w:leader="none" w:pos="492"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Each Director may elect to defer all or a portion of any Restricted Stock Unit Award.</w:t>
      </w:r>
    </w:p>
    <w:p>
      <w:pPr>
        <w:spacing w:after="0" w:line="252" w:lineRule="exact"/>
        <w:rPr>
          <w:rFonts w:ascii="Arial" w:cs="Arial" w:eastAsia="Arial" w:hAnsi="Arial"/>
          <w:sz w:val="18"/>
          <w:szCs w:val="18"/>
          <w:color w:val="auto"/>
        </w:rPr>
      </w:pPr>
    </w:p>
    <w:p>
      <w:pPr>
        <w:ind w:left="492" w:hanging="492"/>
        <w:spacing w:after="0"/>
        <w:tabs>
          <w:tab w:leader="none" w:pos="492"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Each Director may elect to defer all or a portion of any dividend equivalents paid on Restricted Stock Units.</w:t>
      </w:r>
    </w:p>
    <w:p>
      <w:pPr>
        <w:spacing w:after="0" w:line="252" w:lineRule="exact"/>
        <w:rPr>
          <w:rFonts w:ascii="Arial" w:cs="Arial" w:eastAsia="Arial" w:hAnsi="Arial"/>
          <w:sz w:val="18"/>
          <w:szCs w:val="18"/>
          <w:color w:val="auto"/>
        </w:rPr>
      </w:pPr>
    </w:p>
    <w:p>
      <w:pPr>
        <w:jc w:val="both"/>
        <w:ind w:left="492" w:right="60" w:hanging="492"/>
        <w:spacing w:after="0" w:line="342" w:lineRule="auto"/>
        <w:tabs>
          <w:tab w:leader="none" w:pos="492"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 xml:space="preserve">Time of Election. </w:t>
      </w:r>
      <w:r>
        <w:rPr>
          <w:rFonts w:ascii="Arial" w:cs="Arial" w:eastAsia="Arial" w:hAnsi="Arial"/>
          <w:sz w:val="16"/>
          <w:szCs w:val="16"/>
          <w:color w:val="auto"/>
        </w:rPr>
        <w:t>An election to defer all or any portion of Eligible Compensation for any Year shall be made in writing in the form (“Election Form”)</w:t>
      </w:r>
      <w:r>
        <w:rPr>
          <w:rFonts w:ascii="Arial" w:cs="Arial" w:eastAsia="Arial" w:hAnsi="Arial"/>
          <w:sz w:val="16"/>
          <w:szCs w:val="16"/>
          <w:i w:val="1"/>
          <w:iCs w:val="1"/>
          <w:color w:val="auto"/>
        </w:rPr>
        <w:t xml:space="preserve"> </w:t>
      </w:r>
      <w:r>
        <w:rPr>
          <w:rFonts w:ascii="Arial" w:cs="Arial" w:eastAsia="Arial" w:hAnsi="Arial"/>
          <w:sz w:val="16"/>
          <w:szCs w:val="16"/>
          <w:color w:val="auto"/>
        </w:rPr>
        <w:t>prescribed by the Secretary. The Election Form shall contain the Participant's elections as to the time of distribution of any compensation so deferred.</w:t>
      </w:r>
    </w:p>
    <w:p>
      <w:pPr>
        <w:spacing w:after="0" w:line="150" w:lineRule="exact"/>
        <w:rPr>
          <w:rFonts w:ascii="Arial" w:cs="Arial" w:eastAsia="Arial" w:hAnsi="Arial"/>
          <w:sz w:val="16"/>
          <w:szCs w:val="16"/>
          <w:color w:val="auto"/>
        </w:rPr>
      </w:pPr>
    </w:p>
    <w:p>
      <w:pPr>
        <w:ind w:left="972" w:hanging="486"/>
        <w:spacing w:after="0"/>
        <w:tabs>
          <w:tab w:leader="none" w:pos="972" w:val="left"/>
        </w:tabs>
        <w:numPr>
          <w:ilvl w:val="1"/>
          <w:numId w:val="65"/>
        </w:numPr>
        <w:rPr>
          <w:rFonts w:ascii="Arial" w:cs="Arial" w:eastAsia="Arial" w:hAnsi="Arial"/>
          <w:sz w:val="18"/>
          <w:szCs w:val="18"/>
          <w:color w:val="auto"/>
        </w:rPr>
      </w:pPr>
      <w:r>
        <w:rPr>
          <w:rFonts w:ascii="Arial" w:cs="Arial" w:eastAsia="Arial" w:hAnsi="Arial"/>
          <w:sz w:val="18"/>
          <w:szCs w:val="18"/>
          <w:color w:val="auto"/>
        </w:rPr>
        <w:t>A Participant may elect that his or her Deferred Compensation be distributed at the time or times indicated below:</w:t>
      </w:r>
    </w:p>
    <w:p>
      <w:pPr>
        <w:spacing w:after="0" w:line="252" w:lineRule="exact"/>
        <w:rPr>
          <w:rFonts w:ascii="Arial" w:cs="Arial" w:eastAsia="Arial" w:hAnsi="Arial"/>
          <w:sz w:val="18"/>
          <w:szCs w:val="18"/>
          <w:color w:val="auto"/>
        </w:rPr>
      </w:pPr>
    </w:p>
    <w:p>
      <w:pPr>
        <w:ind w:left="1452" w:hanging="480"/>
        <w:spacing w:after="0"/>
        <w:tabs>
          <w:tab w:leader="none" w:pos="1452" w:val="left"/>
        </w:tabs>
        <w:numPr>
          <w:ilvl w:val="2"/>
          <w:numId w:val="65"/>
        </w:numPr>
        <w:rPr>
          <w:rFonts w:ascii="Arial" w:cs="Arial" w:eastAsia="Arial" w:hAnsi="Arial"/>
          <w:sz w:val="18"/>
          <w:szCs w:val="18"/>
          <w:color w:val="auto"/>
        </w:rPr>
      </w:pPr>
      <w:r>
        <w:rPr>
          <w:rFonts w:ascii="Arial" w:cs="Arial" w:eastAsia="Arial" w:hAnsi="Arial"/>
          <w:sz w:val="18"/>
          <w:szCs w:val="18"/>
          <w:color w:val="auto"/>
        </w:rPr>
        <w:t>Entire balance to be distributed immediately after Separation from Service for any reason other than death;</w:t>
      </w:r>
    </w:p>
    <w:p>
      <w:pPr>
        <w:spacing w:after="0" w:line="252" w:lineRule="exact"/>
        <w:rPr>
          <w:rFonts w:ascii="Arial" w:cs="Arial" w:eastAsia="Arial" w:hAnsi="Arial"/>
          <w:sz w:val="18"/>
          <w:szCs w:val="18"/>
          <w:color w:val="auto"/>
        </w:rPr>
      </w:pPr>
    </w:p>
    <w:p>
      <w:pPr>
        <w:ind w:left="1452" w:right="160" w:hanging="480"/>
        <w:spacing w:after="0" w:line="277" w:lineRule="auto"/>
        <w:tabs>
          <w:tab w:leader="none" w:pos="1452" w:val="left"/>
        </w:tabs>
        <w:numPr>
          <w:ilvl w:val="2"/>
          <w:numId w:val="65"/>
        </w:numPr>
        <w:rPr>
          <w:rFonts w:ascii="Arial" w:cs="Arial" w:eastAsia="Arial" w:hAnsi="Arial"/>
          <w:sz w:val="18"/>
          <w:szCs w:val="18"/>
          <w:color w:val="auto"/>
        </w:rPr>
      </w:pPr>
      <w:r>
        <w:rPr>
          <w:rFonts w:ascii="Arial" w:cs="Arial" w:eastAsia="Arial" w:hAnsi="Arial"/>
          <w:sz w:val="18"/>
          <w:szCs w:val="18"/>
          <w:color w:val="auto"/>
        </w:rPr>
        <w:t>Entire balance to be distributed a number of months, as specified by the Participant on the Election Form, after Separation from Service for any reason other than death, but not later than ten years following such Separation from Service;</w:t>
      </w:r>
    </w:p>
    <w:p>
      <w:pPr>
        <w:spacing w:after="0" w:line="197" w:lineRule="exact"/>
        <w:rPr>
          <w:rFonts w:ascii="Arial" w:cs="Arial" w:eastAsia="Arial" w:hAnsi="Arial"/>
          <w:sz w:val="18"/>
          <w:szCs w:val="18"/>
          <w:color w:val="auto"/>
        </w:rPr>
      </w:pPr>
    </w:p>
    <w:p>
      <w:pPr>
        <w:jc w:val="both"/>
        <w:ind w:left="1452" w:hanging="480"/>
        <w:spacing w:after="0" w:line="264" w:lineRule="auto"/>
        <w:tabs>
          <w:tab w:leader="none" w:pos="1452" w:val="left"/>
        </w:tabs>
        <w:numPr>
          <w:ilvl w:val="2"/>
          <w:numId w:val="65"/>
        </w:numPr>
        <w:rPr>
          <w:rFonts w:ascii="Arial" w:cs="Arial" w:eastAsia="Arial" w:hAnsi="Arial"/>
          <w:sz w:val="18"/>
          <w:szCs w:val="18"/>
          <w:color w:val="auto"/>
        </w:rPr>
      </w:pPr>
      <w:r>
        <w:rPr>
          <w:rFonts w:ascii="Arial" w:cs="Arial" w:eastAsia="Arial" w:hAnsi="Arial"/>
          <w:sz w:val="18"/>
          <w:szCs w:val="18"/>
          <w:color w:val="auto"/>
        </w:rPr>
        <w:t>Approximately equal monthly installments for a number of months, as specified by the Participant on the Election Form, commencing the month after Separation from Service for any reason other than death, provided that distribution shall be completed not later than ten years following such Separation from Service; or</w:t>
      </w:r>
    </w:p>
    <w:p>
      <w:pPr>
        <w:spacing w:after="0" w:line="208" w:lineRule="exact"/>
        <w:rPr>
          <w:rFonts w:ascii="Arial" w:cs="Arial" w:eastAsia="Arial" w:hAnsi="Arial"/>
          <w:sz w:val="18"/>
          <w:szCs w:val="18"/>
          <w:color w:val="auto"/>
        </w:rPr>
      </w:pPr>
    </w:p>
    <w:p>
      <w:pPr>
        <w:ind w:left="1452" w:hanging="480"/>
        <w:spacing w:after="0" w:line="264" w:lineRule="auto"/>
        <w:tabs>
          <w:tab w:leader="none" w:pos="1452" w:val="left"/>
        </w:tabs>
        <w:numPr>
          <w:ilvl w:val="2"/>
          <w:numId w:val="65"/>
        </w:numPr>
        <w:rPr>
          <w:rFonts w:ascii="Arial" w:cs="Arial" w:eastAsia="Arial" w:hAnsi="Arial"/>
          <w:sz w:val="18"/>
          <w:szCs w:val="18"/>
          <w:color w:val="auto"/>
        </w:rPr>
      </w:pPr>
      <w:r>
        <w:rPr>
          <w:rFonts w:ascii="Arial" w:cs="Arial" w:eastAsia="Arial" w:hAnsi="Arial"/>
          <w:sz w:val="18"/>
          <w:szCs w:val="18"/>
          <w:color w:val="auto"/>
        </w:rPr>
        <w:t>A percentage of the entire balance to be paid on certain dates, with such percentages and dates specified by the Participant on the Election Form, provided that distribution shall commence no earlier than Separation from Service for any reason other than death, and shall be completed not later than ten years following such Separation from Service.</w:t>
      </w:r>
    </w:p>
    <w:p>
      <w:pPr>
        <w:spacing w:after="0" w:line="208" w:lineRule="exact"/>
        <w:rPr>
          <w:rFonts w:ascii="Arial" w:cs="Arial" w:eastAsia="Arial" w:hAnsi="Arial"/>
          <w:sz w:val="18"/>
          <w:szCs w:val="18"/>
          <w:color w:val="auto"/>
        </w:rPr>
      </w:pPr>
    </w:p>
    <w:p>
      <w:pPr>
        <w:ind w:left="972" w:right="60" w:hanging="486"/>
        <w:spacing w:after="0" w:line="277" w:lineRule="auto"/>
        <w:tabs>
          <w:tab w:leader="none" w:pos="972" w:val="left"/>
        </w:tabs>
        <w:numPr>
          <w:ilvl w:val="1"/>
          <w:numId w:val="65"/>
        </w:numPr>
        <w:rPr>
          <w:rFonts w:ascii="Arial" w:cs="Arial" w:eastAsia="Arial" w:hAnsi="Arial"/>
          <w:sz w:val="18"/>
          <w:szCs w:val="18"/>
          <w:color w:val="auto"/>
        </w:rPr>
      </w:pPr>
      <w:r>
        <w:rPr>
          <w:rFonts w:ascii="Arial" w:cs="Arial" w:eastAsia="Arial" w:hAnsi="Arial"/>
          <w:sz w:val="18"/>
          <w:szCs w:val="18"/>
          <w:color w:val="auto"/>
        </w:rPr>
        <w:t>A Participant may revoke an election as to the time of distribution and substitute a new election therefore by submitting an Election Form to the Secretary in accordance with the following criteria:</w:t>
      </w:r>
    </w:p>
    <w:p>
      <w:pPr>
        <w:spacing w:after="0" w:line="197" w:lineRule="exact"/>
        <w:rPr>
          <w:rFonts w:ascii="Arial" w:cs="Arial" w:eastAsia="Arial" w:hAnsi="Arial"/>
          <w:sz w:val="18"/>
          <w:szCs w:val="18"/>
          <w:color w:val="auto"/>
        </w:rPr>
      </w:pPr>
    </w:p>
    <w:p>
      <w:pPr>
        <w:jc w:val="both"/>
        <w:ind w:left="1452" w:right="260" w:hanging="480"/>
        <w:spacing w:after="0" w:line="264" w:lineRule="auto"/>
        <w:tabs>
          <w:tab w:leader="none" w:pos="1452" w:val="left"/>
        </w:tabs>
        <w:numPr>
          <w:ilvl w:val="2"/>
          <w:numId w:val="65"/>
        </w:numPr>
        <w:rPr>
          <w:rFonts w:ascii="Arial" w:cs="Arial" w:eastAsia="Arial" w:hAnsi="Arial"/>
          <w:sz w:val="18"/>
          <w:szCs w:val="18"/>
          <w:color w:val="auto"/>
        </w:rPr>
      </w:pPr>
      <w:r>
        <w:rPr>
          <w:rFonts w:ascii="Arial" w:cs="Arial" w:eastAsia="Arial" w:hAnsi="Arial"/>
          <w:sz w:val="18"/>
          <w:szCs w:val="18"/>
          <w:color w:val="auto"/>
        </w:rPr>
        <w:t>Any new election regarding the time of distribution must result in a minimum of five (5) years’ lapse between the currently applicable distribution date and the new date of distribution (as determined in accordance with the Regulations under Section 409A of the Code); and</w:t>
      </w:r>
    </w:p>
    <w:p>
      <w:pPr>
        <w:spacing w:after="0" w:line="208" w:lineRule="exact"/>
        <w:rPr>
          <w:rFonts w:ascii="Arial" w:cs="Arial" w:eastAsia="Arial" w:hAnsi="Arial"/>
          <w:sz w:val="18"/>
          <w:szCs w:val="18"/>
          <w:color w:val="auto"/>
        </w:rPr>
      </w:pPr>
    </w:p>
    <w:p>
      <w:pPr>
        <w:ind w:left="1452" w:hanging="480"/>
        <w:spacing w:after="0"/>
        <w:tabs>
          <w:tab w:leader="none" w:pos="1452" w:val="left"/>
        </w:tabs>
        <w:numPr>
          <w:ilvl w:val="2"/>
          <w:numId w:val="65"/>
        </w:numPr>
        <w:rPr>
          <w:rFonts w:ascii="Arial" w:cs="Arial" w:eastAsia="Arial" w:hAnsi="Arial"/>
          <w:sz w:val="17"/>
          <w:szCs w:val="17"/>
          <w:color w:val="auto"/>
        </w:rPr>
      </w:pPr>
      <w:r>
        <w:rPr>
          <w:rFonts w:ascii="Arial" w:cs="Arial" w:eastAsia="Arial" w:hAnsi="Arial"/>
          <w:sz w:val="17"/>
          <w:szCs w:val="17"/>
          <w:color w:val="auto"/>
        </w:rPr>
        <w:t>the election must be made at least twelve (12) months prior to the date of distribution that would otherwise have been applicable.</w:t>
      </w:r>
    </w:p>
    <w:p>
      <w:pPr>
        <w:spacing w:after="0" w:line="263" w:lineRule="exact"/>
        <w:rPr>
          <w:rFonts w:ascii="Arial" w:cs="Arial" w:eastAsia="Arial" w:hAnsi="Arial"/>
          <w:sz w:val="17"/>
          <w:szCs w:val="17"/>
          <w:color w:val="auto"/>
        </w:rPr>
      </w:pPr>
    </w:p>
    <w:p>
      <w:pPr>
        <w:ind w:left="972" w:right="440" w:hanging="486"/>
        <w:spacing w:after="0" w:line="255" w:lineRule="auto"/>
        <w:tabs>
          <w:tab w:leader="none" w:pos="972" w:val="left"/>
        </w:tabs>
        <w:numPr>
          <w:ilvl w:val="1"/>
          <w:numId w:val="65"/>
        </w:numPr>
        <w:rPr>
          <w:rFonts w:ascii="Arial" w:cs="Arial" w:eastAsia="Arial" w:hAnsi="Arial"/>
          <w:sz w:val="18"/>
          <w:szCs w:val="18"/>
          <w:color w:val="auto"/>
        </w:rPr>
      </w:pPr>
      <w:r>
        <w:rPr>
          <w:rFonts w:ascii="Arial" w:cs="Arial" w:eastAsia="Arial" w:hAnsi="Arial"/>
          <w:sz w:val="18"/>
          <w:szCs w:val="18"/>
          <w:color w:val="auto"/>
        </w:rPr>
        <w:t>Except as hereinafter provided, to be effective, an Election Form relating to payments for a Year, or to Restricted Stock Units that may be granted in such Year, must be received by the Secretary on or before December 31 of the preceding Year. In the case of a Director’s initial election to the Board, the initial Election Form must be received not more than 30 days following his or her election to the Board and, if received within such 30-day period, the Election Form shall be effective only for Eligible Compensation earned after the election becomes irrevocable pursuant to Section 9(f). The time of election and the time of distribution shall comply in all respects with the applicable requirements of Section 409A of the Code.</w:t>
      </w:r>
    </w:p>
    <w:p>
      <w:pPr>
        <w:spacing w:after="0" w:line="364"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7" w:right="259" w:bottom="1440" w:gutter="0" w:footer="0" w:header="0"/>
        </w:sectPr>
      </w:pPr>
    </w:p>
    <w:bookmarkStart w:id="53" w:name="page54"/>
    <w:bookmarkEnd w:id="53"/>
    <w:p>
      <w:pPr>
        <w:ind w:left="492" w:right="120" w:hanging="492"/>
        <w:spacing w:after="0" w:line="264" w:lineRule="auto"/>
        <w:tabs>
          <w:tab w:leader="none" w:pos="492"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Irrevocability of Election. </w:t>
      </w:r>
      <w:r>
        <w:rPr>
          <w:rFonts w:ascii="Arial" w:cs="Arial" w:eastAsia="Arial" w:hAnsi="Arial"/>
          <w:sz w:val="18"/>
          <w:szCs w:val="18"/>
          <w:color w:val="auto"/>
        </w:rPr>
        <w:t>A Director’s election to defer all or any portion of his or her Eligible Compensation for any Year and a revocation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substitution of an election regarding the time of distribution shall be irrevocable upon receipt by the Secretary of a completed Election Form from the Director.</w:t>
      </w:r>
    </w:p>
    <w:p>
      <w:pPr>
        <w:spacing w:after="0" w:line="208" w:lineRule="exact"/>
        <w:rPr>
          <w:rFonts w:ascii="Arial" w:cs="Arial" w:eastAsia="Arial" w:hAnsi="Arial"/>
          <w:sz w:val="18"/>
          <w:szCs w:val="18"/>
          <w:color w:val="auto"/>
        </w:rPr>
      </w:pPr>
    </w:p>
    <w:p>
      <w:pPr>
        <w:ind w:left="492" w:hanging="492"/>
        <w:spacing w:after="0"/>
        <w:tabs>
          <w:tab w:leader="none" w:pos="492"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Form of Distributions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972" w:hanging="486"/>
        <w:spacing w:after="0"/>
        <w:tabs>
          <w:tab w:leader="none" w:pos="972"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Distributions of amounts credited to each Participant’s Cash Account shall be made in cash.</w:t>
      </w:r>
    </w:p>
    <w:p>
      <w:pPr>
        <w:spacing w:after="0" w:line="252" w:lineRule="exact"/>
        <w:rPr>
          <w:rFonts w:ascii="Arial" w:cs="Arial" w:eastAsia="Arial" w:hAnsi="Arial"/>
          <w:sz w:val="18"/>
          <w:szCs w:val="18"/>
          <w:color w:val="auto"/>
        </w:rPr>
      </w:pPr>
    </w:p>
    <w:p>
      <w:pPr>
        <w:ind w:left="972" w:right="260" w:hanging="486"/>
        <w:spacing w:after="0" w:line="277" w:lineRule="auto"/>
        <w:tabs>
          <w:tab w:leader="none" w:pos="972"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Distributions of units credited to each Participant’s Stock Unit Account shall be made by issuing to such Participant an equivalent number of Shares.</w:t>
      </w:r>
    </w:p>
    <w:p>
      <w:pPr>
        <w:spacing w:after="0" w:line="197" w:lineRule="exact"/>
        <w:rPr>
          <w:rFonts w:ascii="Arial" w:cs="Arial" w:eastAsia="Arial" w:hAnsi="Arial"/>
          <w:sz w:val="18"/>
          <w:szCs w:val="18"/>
          <w:color w:val="auto"/>
        </w:rPr>
      </w:pPr>
    </w:p>
    <w:p>
      <w:pPr>
        <w:ind w:left="972" w:right="60" w:hanging="486"/>
        <w:spacing w:after="0" w:line="259" w:lineRule="auto"/>
        <w:tabs>
          <w:tab w:leader="none" w:pos="972"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Distribution of Shares relating to vested Restricted Stock Units the Participant has elected to defer shall be made by issuing to such Participant the whole number of Shares attributable to such vested Restricted Stock Units. Notwithstanding the foregoing, no fractional shares will be issued and any fractional unit will be distributed by payment of cash in the amount represented by such fractional unit based on the Fair Market Value on the date preceding the date of payment.</w:t>
      </w:r>
    </w:p>
    <w:p>
      <w:pPr>
        <w:spacing w:after="0" w:line="213" w:lineRule="exact"/>
        <w:rPr>
          <w:rFonts w:ascii="Arial" w:cs="Arial" w:eastAsia="Arial" w:hAnsi="Arial"/>
          <w:sz w:val="18"/>
          <w:szCs w:val="18"/>
          <w:color w:val="auto"/>
        </w:rPr>
      </w:pPr>
    </w:p>
    <w:p>
      <w:pPr>
        <w:ind w:left="492" w:hanging="492"/>
        <w:spacing w:after="0"/>
        <w:tabs>
          <w:tab w:leader="none" w:pos="492"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Time of Distributions.</w:t>
      </w:r>
    </w:p>
    <w:p>
      <w:pPr>
        <w:spacing w:after="0" w:line="252" w:lineRule="exact"/>
        <w:rPr>
          <w:rFonts w:ascii="Arial" w:cs="Arial" w:eastAsia="Arial" w:hAnsi="Arial"/>
          <w:sz w:val="18"/>
          <w:szCs w:val="18"/>
          <w:color w:val="auto"/>
        </w:rPr>
      </w:pPr>
    </w:p>
    <w:p>
      <w:pPr>
        <w:ind w:left="972" w:hanging="486"/>
        <w:spacing w:after="0" w:line="286" w:lineRule="auto"/>
        <w:tabs>
          <w:tab w:leader="none" w:pos="972" w:val="left"/>
        </w:tabs>
        <w:numPr>
          <w:ilvl w:val="1"/>
          <w:numId w:val="66"/>
        </w:numPr>
        <w:rPr>
          <w:rFonts w:ascii="Arial" w:cs="Arial" w:eastAsia="Arial" w:hAnsi="Arial"/>
          <w:sz w:val="17"/>
          <w:szCs w:val="17"/>
          <w:color w:val="auto"/>
        </w:rPr>
      </w:pPr>
      <w:r>
        <w:rPr>
          <w:rFonts w:ascii="Arial" w:cs="Arial" w:eastAsia="Arial" w:hAnsi="Arial"/>
          <w:sz w:val="17"/>
          <w:szCs w:val="17"/>
          <w:color w:val="auto"/>
        </w:rPr>
        <w:t>Normal Distributions. Except as otherwise hereinafter provided, distributions from a Participant's Deferred Compensation Account shall be made (Y) on the first day of the month following such Participant’s Separation from Service on the Board for any reason other than death, or (Z) at such later time as the Participant has elected on his or her Election Form in accordance with the terms of this Plan.</w:t>
      </w:r>
    </w:p>
    <w:p>
      <w:pPr>
        <w:spacing w:after="0" w:line="192" w:lineRule="exact"/>
        <w:rPr>
          <w:rFonts w:ascii="Arial" w:cs="Arial" w:eastAsia="Arial" w:hAnsi="Arial"/>
          <w:sz w:val="17"/>
          <w:szCs w:val="17"/>
          <w:color w:val="auto"/>
        </w:rPr>
      </w:pPr>
    </w:p>
    <w:p>
      <w:pPr>
        <w:ind w:left="972" w:right="620"/>
        <w:spacing w:after="0" w:line="277" w:lineRule="auto"/>
        <w:rPr>
          <w:rFonts w:ascii="Arial" w:cs="Arial" w:eastAsia="Arial" w:hAnsi="Arial"/>
          <w:sz w:val="17"/>
          <w:szCs w:val="17"/>
          <w:color w:val="auto"/>
        </w:rPr>
      </w:pPr>
      <w:r>
        <w:rPr>
          <w:rFonts w:ascii="Arial" w:cs="Arial" w:eastAsia="Arial" w:hAnsi="Arial"/>
          <w:sz w:val="18"/>
          <w:szCs w:val="18"/>
          <w:color w:val="auto"/>
        </w:rPr>
        <w:t>Notwithstanding the foregoing, no distribution may be made to a Specified Employee before the date that is six months after the date of Separation from Service or, if earlier, the date of death.</w:t>
      </w:r>
    </w:p>
    <w:p>
      <w:pPr>
        <w:spacing w:after="0" w:line="197" w:lineRule="exact"/>
        <w:rPr>
          <w:rFonts w:ascii="Arial" w:cs="Arial" w:eastAsia="Arial" w:hAnsi="Arial"/>
          <w:sz w:val="17"/>
          <w:szCs w:val="17"/>
          <w:color w:val="auto"/>
        </w:rPr>
      </w:pPr>
    </w:p>
    <w:p>
      <w:pPr>
        <w:ind w:left="972" w:right="100" w:hanging="486"/>
        <w:spacing w:after="0" w:line="302" w:lineRule="auto"/>
        <w:tabs>
          <w:tab w:leader="none" w:pos="972" w:val="left"/>
        </w:tabs>
        <w:numPr>
          <w:ilvl w:val="1"/>
          <w:numId w:val="66"/>
        </w:numPr>
        <w:rPr>
          <w:rFonts w:ascii="Arial" w:cs="Arial" w:eastAsia="Arial" w:hAnsi="Arial"/>
          <w:sz w:val="16"/>
          <w:szCs w:val="16"/>
          <w:color w:val="auto"/>
        </w:rPr>
      </w:pPr>
      <w:r>
        <w:rPr>
          <w:rFonts w:ascii="Arial" w:cs="Arial" w:eastAsia="Arial" w:hAnsi="Arial"/>
          <w:sz w:val="16"/>
          <w:szCs w:val="16"/>
          <w:color w:val="auto"/>
        </w:rPr>
        <w:t>Change in Control. In the event a Participant experiences a Separation From Service (other than for cause) within 24 months after a Change in Control (Post-2010 Grant), then, to the extent permitted without additional tax or penalty by Section 409A of the Code, such Participant shall receive a distribution of the balances credited to the Participant’s Account which are attributable to amounts credited to the account beginning on or after January 1, 2010. See Section 7(d)(iii) for the effect of such Separation From Service on deferred Restricted Stock Units.</w:t>
      </w:r>
    </w:p>
    <w:p>
      <w:pPr>
        <w:spacing w:after="0" w:line="181" w:lineRule="exact"/>
        <w:rPr>
          <w:rFonts w:ascii="Arial" w:cs="Arial" w:eastAsia="Arial" w:hAnsi="Arial"/>
          <w:sz w:val="16"/>
          <w:szCs w:val="16"/>
          <w:color w:val="auto"/>
        </w:rPr>
      </w:pPr>
    </w:p>
    <w:p>
      <w:pPr>
        <w:ind w:left="972" w:right="100"/>
        <w:spacing w:after="0" w:line="259" w:lineRule="auto"/>
        <w:rPr>
          <w:rFonts w:ascii="Arial" w:cs="Arial" w:eastAsia="Arial" w:hAnsi="Arial"/>
          <w:sz w:val="16"/>
          <w:szCs w:val="16"/>
          <w:color w:val="auto"/>
        </w:rPr>
      </w:pPr>
      <w:r>
        <w:rPr>
          <w:rFonts w:ascii="Arial" w:cs="Arial" w:eastAsia="Arial" w:hAnsi="Arial"/>
          <w:sz w:val="18"/>
          <w:szCs w:val="18"/>
          <w:color w:val="auto"/>
        </w:rPr>
        <w:t>The amounts to be distributed pursuant to this Section 9(h)(ii) shall be paid on, or as soon as practicable (but no later than 60 days) after, the Participant’s Separation from Service, provided, however, that if the Participant is a Specified Employee upon such Separation From Service, the balances credited to the Participant’s Account will be distributed on, or as soon as practicable (but no more than 10 days) after, the first day of the seventh month following such Separation From Service.</w:t>
      </w:r>
    </w:p>
    <w:p>
      <w:pPr>
        <w:spacing w:after="0" w:line="213" w:lineRule="exact"/>
        <w:rPr>
          <w:rFonts w:ascii="Arial" w:cs="Arial" w:eastAsia="Arial" w:hAnsi="Arial"/>
          <w:sz w:val="16"/>
          <w:szCs w:val="16"/>
          <w:color w:val="auto"/>
        </w:rPr>
      </w:pPr>
    </w:p>
    <w:p>
      <w:pPr>
        <w:jc w:val="both"/>
        <w:ind w:left="972" w:right="100"/>
        <w:spacing w:after="0" w:line="291" w:lineRule="auto"/>
        <w:rPr>
          <w:rFonts w:ascii="Arial" w:cs="Arial" w:eastAsia="Arial" w:hAnsi="Arial"/>
          <w:sz w:val="16"/>
          <w:szCs w:val="16"/>
          <w:color w:val="auto"/>
        </w:rPr>
      </w:pPr>
      <w:r>
        <w:rPr>
          <w:rFonts w:ascii="Arial" w:cs="Arial" w:eastAsia="Arial" w:hAnsi="Arial"/>
          <w:sz w:val="16"/>
          <w:szCs w:val="16"/>
          <w:color w:val="auto"/>
        </w:rPr>
        <w:t>To the extent that distributions of amounts pursuant to this Section 9(h)(ii) are not permitted without additional tax or penalty by Section 409A of the Code, the affected Participant shall receive distribution of the amounts referred to in this Section 9(h)(ii) in accordance with Section 9(h)</w:t>
      </w:r>
    </w:p>
    <w:p>
      <w:pPr>
        <w:ind w:left="972"/>
        <w:spacing w:after="0"/>
        <w:rPr>
          <w:rFonts w:ascii="Arial" w:cs="Arial" w:eastAsia="Arial" w:hAnsi="Arial"/>
          <w:sz w:val="16"/>
          <w:szCs w:val="16"/>
          <w:color w:val="auto"/>
        </w:rPr>
      </w:pPr>
      <w:r>
        <w:rPr>
          <w:rFonts w:ascii="Arial" w:cs="Arial" w:eastAsia="Arial" w:hAnsi="Arial"/>
          <w:sz w:val="18"/>
          <w:szCs w:val="18"/>
          <w:color w:val="auto"/>
        </w:rPr>
        <w:t>(i).</w:t>
      </w:r>
    </w:p>
    <w:p>
      <w:pPr>
        <w:spacing w:after="0" w:line="382" w:lineRule="exact"/>
        <w:rPr>
          <w:sz w:val="20"/>
          <w:szCs w:val="20"/>
          <w:color w:val="auto"/>
        </w:rPr>
      </w:pPr>
    </w:p>
    <w:p>
      <w:pPr>
        <w:jc w:val="center"/>
        <w:ind w:right="-31"/>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517" w:right="279" w:bottom="1440" w:gutter="0" w:footer="0" w:header="0"/>
        </w:sectPr>
      </w:pPr>
    </w:p>
    <w:bookmarkStart w:id="54" w:name="page55"/>
    <w:bookmarkEnd w:id="54"/>
    <w:p>
      <w:pPr>
        <w:ind w:left="972" w:right="240" w:hanging="486"/>
        <w:spacing w:after="0" w:line="291" w:lineRule="auto"/>
        <w:tabs>
          <w:tab w:leader="none" w:pos="972" w:val="left"/>
        </w:tabs>
        <w:numPr>
          <w:ilvl w:val="0"/>
          <w:numId w:val="67"/>
        </w:numPr>
        <w:rPr>
          <w:rFonts w:ascii="Arial" w:cs="Arial" w:eastAsia="Arial" w:hAnsi="Arial"/>
          <w:sz w:val="16"/>
          <w:szCs w:val="16"/>
          <w:color w:val="auto"/>
        </w:rPr>
      </w:pPr>
      <w:r>
        <w:rPr>
          <w:rFonts w:ascii="Arial" w:cs="Arial" w:eastAsia="Arial" w:hAnsi="Arial"/>
          <w:sz w:val="16"/>
          <w:szCs w:val="16"/>
          <w:color w:val="auto"/>
        </w:rPr>
        <w:t>Unforeseeable Emergency. An earlier distribution may be made upon a finding that the Participant is suffering from an Unforeseeable Emergency. A withdrawal on account of Unforeseeable Emergency may not be made to the extent that such emergency is or may be relieved</w:t>
      </w:r>
    </w:p>
    <w:p>
      <w:pPr>
        <w:ind w:left="972" w:right="640"/>
        <w:spacing w:after="0" w:line="290" w:lineRule="auto"/>
        <w:rPr>
          <w:rFonts w:ascii="Arial" w:cs="Arial" w:eastAsia="Arial" w:hAnsi="Arial"/>
          <w:sz w:val="16"/>
          <w:szCs w:val="16"/>
          <w:color w:val="auto"/>
        </w:rPr>
      </w:pPr>
      <w:r>
        <w:rPr>
          <w:rFonts w:ascii="Arial" w:cs="Arial" w:eastAsia="Arial" w:hAnsi="Arial"/>
          <w:sz w:val="17"/>
          <w:szCs w:val="17"/>
          <w:color w:val="auto"/>
        </w:rPr>
        <w:t>(A) through reimbursement or compensation from insurance or otherwise, (B) by liquidation of the Participant’s assets, to the extent the liquidation of such assets would not cause severe financial hardship, or (C) by cessation of deferrals under the Plan.</w:t>
      </w:r>
    </w:p>
    <w:p>
      <w:pPr>
        <w:spacing w:after="0" w:line="189" w:lineRule="exact"/>
        <w:rPr>
          <w:sz w:val="20"/>
          <w:szCs w:val="20"/>
          <w:color w:val="auto"/>
        </w:rPr>
      </w:pPr>
    </w:p>
    <w:p>
      <w:pPr>
        <w:ind w:left="972"/>
        <w:spacing w:after="0" w:line="273" w:lineRule="auto"/>
        <w:rPr>
          <w:sz w:val="20"/>
          <w:szCs w:val="20"/>
          <w:color w:val="auto"/>
        </w:rPr>
      </w:pPr>
      <w:r>
        <w:rPr>
          <w:rFonts w:ascii="Arial" w:cs="Arial" w:eastAsia="Arial" w:hAnsi="Arial"/>
          <w:sz w:val="17"/>
          <w:szCs w:val="17"/>
          <w:color w:val="auto"/>
        </w:rPr>
        <w:t>Withdrawal because of an Unforeseeable Emergency must be limited to the amount reasonably necessary to satisfy the emergency need (which may include amounts necessary to pay any federal, state, local, or foreign income taxes or penalties reasonably anticipated to result from the distribution), as determined by the Administrator, in its sole discretion. The Participant must apply in writing for a payment upon an “Unforeseeable Emergency,” using the form prescribed by the Administrator. The Administrator retains the sole and absolute discretion to grant or deny a payment upon an Unforeseeable Emergency. In the event of approval of a payment upon an Unforeseeable Emergency, the Participant’s outstanding deferral elections under the Plan shall be cancelled.</w:t>
      </w:r>
    </w:p>
    <w:p>
      <w:pPr>
        <w:spacing w:after="0" w:line="205" w:lineRule="exact"/>
        <w:rPr>
          <w:sz w:val="20"/>
          <w:szCs w:val="20"/>
          <w:color w:val="auto"/>
        </w:rPr>
      </w:pPr>
    </w:p>
    <w:p>
      <w:pPr>
        <w:ind w:left="492" w:right="20" w:hanging="492"/>
        <w:spacing w:after="0" w:line="297" w:lineRule="auto"/>
        <w:tabs>
          <w:tab w:leader="none" w:pos="492"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Death of Participant</w:t>
      </w:r>
      <w:r>
        <w:rPr>
          <w:rFonts w:ascii="Arial" w:cs="Arial" w:eastAsia="Arial" w:hAnsi="Arial"/>
          <w:sz w:val="16"/>
          <w:szCs w:val="16"/>
          <w:color w:val="auto"/>
        </w:rPr>
        <w:t>. Notwithstanding the foregoing, in the event of the death of a Participant prior to receipt by such Participant of the full amount of</w:t>
      </w:r>
      <w:r>
        <w:rPr>
          <w:rFonts w:ascii="Arial" w:cs="Arial" w:eastAsia="Arial" w:hAnsi="Arial"/>
          <w:sz w:val="16"/>
          <w:szCs w:val="16"/>
          <w:i w:val="1"/>
          <w:iCs w:val="1"/>
          <w:color w:val="auto"/>
        </w:rPr>
        <w:t xml:space="preserve"> </w:t>
      </w:r>
      <w:r>
        <w:rPr>
          <w:rFonts w:ascii="Arial" w:cs="Arial" w:eastAsia="Arial" w:hAnsi="Arial"/>
          <w:sz w:val="16"/>
          <w:szCs w:val="16"/>
          <w:color w:val="auto"/>
        </w:rPr>
        <w:t>cash and number of shares to be distributed from his or her Deferred Compensation Account, all such cash and/or shares will be distributed to the beneficiary or beneficiaries designated by the Participant, or if no beneficiary has been designated, to the Participant’s estate as soon as practicable following the month in which the death occurred. Shares to be distributed to the Participant in connection with deferred Restricted Stock Units shall also be distributed as described in the preceding sentence but in no event earlier than the fourth anniversary of the date of grant.</w:t>
      </w:r>
    </w:p>
    <w:p>
      <w:pPr>
        <w:spacing w:after="0" w:line="185" w:lineRule="exact"/>
        <w:rPr>
          <w:rFonts w:ascii="Arial" w:cs="Arial" w:eastAsia="Arial" w:hAnsi="Arial"/>
          <w:sz w:val="16"/>
          <w:szCs w:val="16"/>
          <w:color w:val="auto"/>
        </w:rPr>
      </w:pPr>
    </w:p>
    <w:p>
      <w:pPr>
        <w:ind w:left="492" w:right="220" w:hanging="492"/>
        <w:spacing w:after="0" w:line="276" w:lineRule="auto"/>
        <w:tabs>
          <w:tab w:leader="none" w:pos="492"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Certain Rights Reserved by the Company</w:t>
      </w:r>
      <w:r>
        <w:rPr>
          <w:rFonts w:ascii="Arial" w:cs="Arial" w:eastAsia="Arial" w:hAnsi="Arial"/>
          <w:sz w:val="17"/>
          <w:szCs w:val="17"/>
          <w:color w:val="auto"/>
        </w:rPr>
        <w:t>. In the event that, pursuant to Section 11, the Company suspends, modifies or terminates this Plan,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shall have the right to distribute to each Participant all amounts in such Participant’s Cash Account or Shares equivalent to units in such Participant’s Stock Unit Account, including, in the case of Stock Unit Accounts, the right to distribute cash equivalent to the units in such Accounts and all Shares attributable to vested Restricted Stock Units that a Participant has elected to defer, provided that any such suspension, modification or termination may be effected without penalty under Section 409A of the Code.</w:t>
      </w:r>
    </w:p>
    <w:p>
      <w:pPr>
        <w:spacing w:after="0" w:line="344" w:lineRule="exact"/>
        <w:rPr>
          <w:sz w:val="20"/>
          <w:szCs w:val="20"/>
          <w:color w:val="auto"/>
        </w:rPr>
      </w:pPr>
    </w:p>
    <w:p>
      <w:pPr>
        <w:jc w:val="center"/>
        <w:ind w:right="-31"/>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517" w:right="259" w:bottom="1440" w:gutter="0" w:footer="0" w:header="0"/>
        </w:sectPr>
      </w:pPr>
    </w:p>
    <w:bookmarkStart w:id="55" w:name="page56"/>
    <w:bookmarkEnd w:id="55"/>
    <w:p>
      <w:pPr>
        <w:ind w:left="500" w:right="100" w:hanging="492"/>
        <w:spacing w:after="0" w:line="257" w:lineRule="auto"/>
        <w:tabs>
          <w:tab w:leader="none" w:pos="50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Certain Affiliations</w:t>
      </w:r>
      <w:r>
        <w:rPr>
          <w:rFonts w:ascii="Arial" w:cs="Arial" w:eastAsia="Arial" w:hAnsi="Arial"/>
          <w:sz w:val="18"/>
          <w:szCs w:val="18"/>
          <w:color w:val="auto"/>
        </w:rPr>
        <w:t>. In the event that a Participant terminates his or her membership on the Board and becomes affiliated with a government agency,</w:t>
      </w:r>
      <w:r>
        <w:rPr>
          <w:rFonts w:ascii="Arial" w:cs="Arial" w:eastAsia="Arial" w:hAnsi="Arial"/>
          <w:sz w:val="18"/>
          <w:szCs w:val="18"/>
          <w:i w:val="1"/>
          <w:iCs w:val="1"/>
          <w:color w:val="auto"/>
        </w:rPr>
        <w:t xml:space="preserve"> </w:t>
      </w:r>
      <w:r>
        <w:rPr>
          <w:rFonts w:ascii="Arial" w:cs="Arial" w:eastAsia="Arial" w:hAnsi="Arial"/>
          <w:sz w:val="18"/>
          <w:szCs w:val="18"/>
          <w:color w:val="auto"/>
        </w:rPr>
        <w:t>all amounts in such Participant’s Cash Account, shares equivalent to units in such Participant’s Stock Unit Account and Shares attributable to Restricted Stock Units that such Participant has elected to defer will be distributed to the Participant if such payment is necessary to avoid violation of any applicable federal, state, local or foreign ethics or conflict of interest law or if necessary to comply with an ethics agreement with the federal government.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OTHER STOCK-BASED AWARDS.</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Administrator is hereby authorized to grant to Directors such other Awards that are denominated or payable in, valued in whole or in part by reference to, or otherwise based on or related to, Shares (including, without limitation, securities convertible into Shares) as are deemed by the Administrator to be consistent with the purposes of the Plan. Subject to the terms of the Plan, the Administrator shall determine the terms and conditions of such Awards. Shares or other securities delivered pursuant to a purchase right granted under this Section 10 shall be purchased for such consideration, which may be paid by such method or methods and in such form or forms, including, without limitation, cash, Shares, other securities, other Awards, or other property, or any combination thereof, as the Administrator shall determine, the value of which consideration, as established by the Administrator, shall not be less than the Fair Market Value of such Shares or other securities as of the date such purchase right is granted. The Company intends that such other Awards granted pursuant to this Section shall comply with Section 409A of the Code if applicable.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AMENDMENT AND TERMINATION.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Except to the extent prohibited by or inconsistent with applicable law:</w:t>
      </w:r>
    </w:p>
    <w:p>
      <w:pPr>
        <w:spacing w:after="0" w:line="252" w:lineRule="exact"/>
        <w:rPr>
          <w:sz w:val="20"/>
          <w:szCs w:val="20"/>
          <w:color w:val="auto"/>
        </w:rPr>
      </w:pPr>
    </w:p>
    <w:p>
      <w:pPr>
        <w:ind w:left="500" w:right="60" w:hanging="492"/>
        <w:spacing w:after="0" w:line="285" w:lineRule="auto"/>
        <w:tabs>
          <w:tab w:leader="none" w:pos="500"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Amendments</w:t>
      </w:r>
      <w:r>
        <w:rPr>
          <w:rFonts w:ascii="Arial" w:cs="Arial" w:eastAsia="Arial" w:hAnsi="Arial"/>
          <w:sz w:val="16"/>
          <w:szCs w:val="16"/>
          <w:color w:val="auto"/>
        </w:rPr>
        <w:t>. The Board may amend, alter, suspend, discontinue or terminate the Plan, including, without limitation, the number of shares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Awards granted pursuant to Sections 6, 7 and 8, without the consent of any stockholder, Participant, other holder or beneficiary of any Award, or other person;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such amendment, alteration, suspension, discontinuation or termination shall be made without (i) stockholder approval if such approval is necessary to comply with the listing requirements of the New York Stock Exchange or (ii) the consent of the affected Participants, if such action would adversely affect the rights of such Participants under any outstanding Award;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no such amendment or alteration shall increase the aggregate number of shares that may be issued under the Plan except as provided in Section 5(d). In addition, any such amendment shall be in compliance with Section 409A of the Code. The Administrator may modify any outstanding Awards to comply with Section 409A without consent from Participants. Notwithstanding any other provision of the Plan or any Award Agreement, no amendment, alteration, suspension, discontinuation or termination of the Plan or any Award Agreement shall be made that would (1) permit Options or SARs to be granted with a per Share exercise price of less than the Fair Market Value of a Share on the date of grant thereof or (2) except as provided in Section 5(d), (w) reduce the exercise price of any Option or SAR established at the time of grant thereof, (x) be treated as a repricing under U.S. generally accepted accounting principles (“GAAP”), (y) cancel an Option or SAR in exchange for another Option, SAR, restricted stock unit or any other Award, or (z) terminate an Option or SAR in exchange for a cash amount equal to or greater than the excess, if any, of the Fair Market Value of the underlying Shares on the date of cancellation over the exercise price times the number of Shares outstanding under the Award. A cancellation and exchange described in clause (y) of the immediately preceding sentence is prohibited regardless of whether the option, SAR, restricted stock unit or other equity is delivered simultaneously with the cancellation and regardless of whether the cancellation and exchange are treated as a repricing under GAAP or are voluntary on the part of the Participant.</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6" w:name="page57"/>
    <w:bookmarkEnd w:id="56"/>
    <w:p>
      <w:pPr>
        <w:ind w:left="500" w:right="40" w:hanging="492"/>
        <w:spacing w:after="0" w:line="277" w:lineRule="auto"/>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Correction of Defects, Omissions and Inconsistencies</w:t>
      </w:r>
      <w:r>
        <w:rPr>
          <w:rFonts w:ascii="Arial" w:cs="Arial" w:eastAsia="Arial" w:hAnsi="Arial"/>
          <w:sz w:val="18"/>
          <w:szCs w:val="18"/>
          <w:color w:val="auto"/>
        </w:rPr>
        <w:t>. The Administrator may correct any defect, supply any omission, or reconcile any inconsistency</w:t>
      </w:r>
      <w:r>
        <w:rPr>
          <w:rFonts w:ascii="Arial" w:cs="Arial" w:eastAsia="Arial" w:hAnsi="Arial"/>
          <w:sz w:val="18"/>
          <w:szCs w:val="18"/>
          <w:i w:val="1"/>
          <w:iCs w:val="1"/>
          <w:color w:val="auto"/>
        </w:rPr>
        <w:t xml:space="preserve"> </w:t>
      </w:r>
      <w:r>
        <w:rPr>
          <w:rFonts w:ascii="Arial" w:cs="Arial" w:eastAsia="Arial" w:hAnsi="Arial"/>
          <w:sz w:val="18"/>
          <w:szCs w:val="18"/>
          <w:color w:val="auto"/>
        </w:rPr>
        <w:t>in the Plan or any Award in the manner and to the extent it shall deem desirable to carry the Plan into effect.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GENERAL PROVISIONS.</w:t>
      </w:r>
    </w:p>
    <w:p>
      <w:pPr>
        <w:spacing w:after="0" w:line="256" w:lineRule="exact"/>
        <w:rPr>
          <w:sz w:val="20"/>
          <w:szCs w:val="20"/>
          <w:color w:val="auto"/>
        </w:rPr>
      </w:pPr>
    </w:p>
    <w:p>
      <w:pPr>
        <w:ind w:left="500" w:right="40" w:hanging="492"/>
        <w:spacing w:after="0" w:line="264" w:lineRule="auto"/>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No Rights of Stockholders</w:t>
      </w:r>
      <w:r>
        <w:rPr>
          <w:rFonts w:ascii="Arial" w:cs="Arial" w:eastAsia="Arial" w:hAnsi="Arial"/>
          <w:sz w:val="18"/>
          <w:szCs w:val="18"/>
          <w:color w:val="auto"/>
        </w:rPr>
        <w:t>. Neither a Participant nor a Participant’s legal representative shall be, or have any of the rights and privileges of, a</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of the Company in respect of any Shares issuable under the Plan in connection with any Award or Account, in whole or in part, unless and until certificates or other indicia of ownership of such shares shall have been issued.</w:t>
      </w:r>
    </w:p>
    <w:p>
      <w:pPr>
        <w:spacing w:after="0" w:line="208" w:lineRule="exact"/>
        <w:rPr>
          <w:rFonts w:ascii="Arial" w:cs="Arial" w:eastAsia="Arial" w:hAnsi="Arial"/>
          <w:sz w:val="18"/>
          <w:szCs w:val="18"/>
          <w:color w:val="auto"/>
        </w:rPr>
      </w:pPr>
    </w:p>
    <w:p>
      <w:pPr>
        <w:ind w:left="500" w:right="80" w:hanging="492"/>
        <w:spacing w:after="0" w:line="264" w:lineRule="auto"/>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Limits of Transfer of Awards. </w:t>
      </w:r>
      <w:r>
        <w:rPr>
          <w:rFonts w:ascii="Arial" w:cs="Arial" w:eastAsia="Arial" w:hAnsi="Arial"/>
          <w:sz w:val="18"/>
          <w:szCs w:val="18"/>
          <w:color w:val="auto"/>
        </w:rPr>
        <w:t>No Award and no right under any such Award, shall be assignable, alienable, saleable or transferable by a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than by will or by the laws of descent and distribution. During the Participant’s lifetime, rights under an Award shall be exercisable only by the Participant, or if permissible under applicable law, by the Participant’s guardian or legal representative.</w:t>
      </w:r>
    </w:p>
    <w:p>
      <w:pPr>
        <w:spacing w:after="0" w:line="208" w:lineRule="exact"/>
        <w:rPr>
          <w:rFonts w:ascii="Arial" w:cs="Arial" w:eastAsia="Arial" w:hAnsi="Arial"/>
          <w:sz w:val="18"/>
          <w:szCs w:val="18"/>
          <w:color w:val="auto"/>
        </w:rPr>
      </w:pPr>
    </w:p>
    <w:p>
      <w:pPr>
        <w:ind w:left="500" w:right="20" w:hanging="492"/>
        <w:spacing w:after="0" w:line="308" w:lineRule="auto"/>
        <w:tabs>
          <w:tab w:leader="none" w:pos="500"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No Limit on Other Compensation Arrangements</w:t>
      </w:r>
      <w:r>
        <w:rPr>
          <w:rFonts w:ascii="Arial" w:cs="Arial" w:eastAsia="Arial" w:hAnsi="Arial"/>
          <w:sz w:val="17"/>
          <w:szCs w:val="17"/>
          <w:color w:val="auto"/>
        </w:rPr>
        <w:t>. Nothing contained in the Plan shall prevent the Company from adopting or continuing in effect other</w:t>
      </w:r>
      <w:r>
        <w:rPr>
          <w:rFonts w:ascii="Arial" w:cs="Arial" w:eastAsia="Arial" w:hAnsi="Arial"/>
          <w:sz w:val="17"/>
          <w:szCs w:val="17"/>
          <w:i w:val="1"/>
          <w:iCs w:val="1"/>
          <w:color w:val="auto"/>
        </w:rPr>
        <w:t xml:space="preserve"> </w:t>
      </w:r>
      <w:r>
        <w:rPr>
          <w:rFonts w:ascii="Arial" w:cs="Arial" w:eastAsia="Arial" w:hAnsi="Arial"/>
          <w:sz w:val="17"/>
          <w:szCs w:val="17"/>
          <w:color w:val="auto"/>
        </w:rPr>
        <w:t>or additional compensation arrangements, and such arrangements may be either generally applicable or applicable only in specific cases.</w:t>
      </w:r>
    </w:p>
    <w:p>
      <w:pPr>
        <w:spacing w:after="0" w:line="173" w:lineRule="exact"/>
        <w:rPr>
          <w:rFonts w:ascii="Arial" w:cs="Arial" w:eastAsia="Arial" w:hAnsi="Arial"/>
          <w:sz w:val="17"/>
          <w:szCs w:val="17"/>
          <w:color w:val="auto"/>
        </w:rPr>
      </w:pPr>
    </w:p>
    <w:p>
      <w:pPr>
        <w:ind w:left="500" w:right="100" w:hanging="492"/>
        <w:spacing w:after="0" w:line="277" w:lineRule="auto"/>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The validity, construction, and effect of the Plan and any rules and regulations relating to the Plan shall be determined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laws of the State of Delaware without giving effect to the principles of conflict of laws thereof.</w:t>
      </w:r>
    </w:p>
    <w:p>
      <w:pPr>
        <w:spacing w:after="0" w:line="197" w:lineRule="exact"/>
        <w:rPr>
          <w:rFonts w:ascii="Arial" w:cs="Arial" w:eastAsia="Arial" w:hAnsi="Arial"/>
          <w:sz w:val="18"/>
          <w:szCs w:val="18"/>
          <w:color w:val="auto"/>
        </w:rPr>
      </w:pPr>
    </w:p>
    <w:p>
      <w:pPr>
        <w:ind w:left="500" w:hanging="492"/>
        <w:spacing w:after="0" w:line="276" w:lineRule="auto"/>
        <w:tabs>
          <w:tab w:leader="none" w:pos="500"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Severability</w:t>
      </w:r>
      <w:r>
        <w:rPr>
          <w:rFonts w:ascii="Arial" w:cs="Arial" w:eastAsia="Arial" w:hAnsi="Arial"/>
          <w:sz w:val="17"/>
          <w:szCs w:val="17"/>
          <w:color w:val="auto"/>
        </w:rPr>
        <w:t>. If any provision of the Plan or any Award Agreement is or becomes or is deemed to be invalid, illegal, or unenforceable in any</w:t>
      </w:r>
      <w:r>
        <w:rPr>
          <w:rFonts w:ascii="Arial" w:cs="Arial" w:eastAsia="Arial" w:hAnsi="Arial"/>
          <w:sz w:val="17"/>
          <w:szCs w:val="17"/>
          <w:i w:val="1"/>
          <w:iCs w:val="1"/>
          <w:color w:val="auto"/>
        </w:rPr>
        <w:t xml:space="preserve"> </w:t>
      </w:r>
      <w:r>
        <w:rPr>
          <w:rFonts w:ascii="Arial" w:cs="Arial" w:eastAsia="Arial" w:hAnsi="Arial"/>
          <w:sz w:val="17"/>
          <w:szCs w:val="17"/>
          <w:color w:val="auto"/>
        </w:rPr>
        <w:t>jurisdiction, or as to any person, Award or Account, or would disqualify the Plan or any Award under any law deemed applicable by the Administrator, such provision shall be construed or deemed amended to conform to applicable laws, or if it cannot be so construed or deemed amended without, in the determination of the Administrator, materially altering the intent of the Plan or the Award, such provision shall be stricken as to such jurisdiction, person or Award, and the remainder of the Plan and any such Award shall remain in full force and effect.</w:t>
      </w:r>
    </w:p>
    <w:p>
      <w:pPr>
        <w:spacing w:after="0" w:line="199" w:lineRule="exact"/>
        <w:rPr>
          <w:rFonts w:ascii="Arial" w:cs="Arial" w:eastAsia="Arial" w:hAnsi="Arial"/>
          <w:sz w:val="17"/>
          <w:szCs w:val="17"/>
          <w:color w:val="auto"/>
        </w:rPr>
      </w:pPr>
    </w:p>
    <w:p>
      <w:pPr>
        <w:ind w:left="500" w:right="140" w:hanging="492"/>
        <w:spacing w:after="0" w:line="259" w:lineRule="auto"/>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No Trust or Fund Created</w:t>
      </w:r>
      <w:r>
        <w:rPr>
          <w:rFonts w:ascii="Arial" w:cs="Arial" w:eastAsia="Arial" w:hAnsi="Arial"/>
          <w:sz w:val="18"/>
          <w:szCs w:val="18"/>
          <w:color w:val="auto"/>
        </w:rPr>
        <w:t>. Neither the Plan nor any Award or Account shall create or be construed to create a trust or separate fund of any kind or a</w:t>
      </w:r>
      <w:r>
        <w:rPr>
          <w:rFonts w:ascii="Arial" w:cs="Arial" w:eastAsia="Arial" w:hAnsi="Arial"/>
          <w:sz w:val="18"/>
          <w:szCs w:val="18"/>
          <w:i w:val="1"/>
          <w:iCs w:val="1"/>
          <w:color w:val="auto"/>
        </w:rPr>
        <w:t xml:space="preserve"> </w:t>
      </w:r>
      <w:r>
        <w:rPr>
          <w:rFonts w:ascii="Arial" w:cs="Arial" w:eastAsia="Arial" w:hAnsi="Arial"/>
          <w:sz w:val="18"/>
          <w:szCs w:val="18"/>
          <w:color w:val="auto"/>
        </w:rPr>
        <w:t>fiduciary relationship between the Company and a Participant or any other person. To the extent that any person acquires a right to receive an Award or Account, or Shares pursuant to an Award or Account, from the Company pursuant to this Plan, such right shall be no greater than the right of any unsecured general creditor of the Company.</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57" w:name="page58"/>
    <w:bookmarkEnd w:id="57"/>
    <w:p>
      <w:pPr>
        <w:ind w:left="500" w:hanging="492"/>
        <w:spacing w:after="0" w:line="259" w:lineRule="auto"/>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Accounts Unsecured</w:t>
      </w:r>
      <w:r>
        <w:rPr>
          <w:rFonts w:ascii="Arial" w:cs="Arial" w:eastAsia="Arial" w:hAnsi="Arial"/>
          <w:sz w:val="18"/>
          <w:szCs w:val="18"/>
          <w:color w:val="auto"/>
        </w:rPr>
        <w:t>. Until distributed, all amounts credited to any Cash Accounts or represented by units credited to any Stock Unit Account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of the Company, available for the Company’s use, and subject to the claims of general creditors of the Company. The rights of any Participant or beneficiary to distributions under this Plan are not subject to anticipation, alienation, sale, transfer, assignment, or encumbrance, and shall not be subject to the debts or liabilities of any Participant or beneficiary.</w:t>
      </w:r>
    </w:p>
    <w:p>
      <w:pPr>
        <w:spacing w:after="0" w:line="213" w:lineRule="exact"/>
        <w:rPr>
          <w:rFonts w:ascii="Arial" w:cs="Arial" w:eastAsia="Arial" w:hAnsi="Arial"/>
          <w:sz w:val="18"/>
          <w:szCs w:val="18"/>
          <w:color w:val="auto"/>
        </w:rPr>
      </w:pPr>
    </w:p>
    <w:p>
      <w:pPr>
        <w:ind w:left="500" w:right="40" w:hanging="492"/>
        <w:spacing w:after="0" w:line="257" w:lineRule="auto"/>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Withholding</w:t>
      </w:r>
      <w:r>
        <w:rPr>
          <w:rFonts w:ascii="Arial" w:cs="Arial" w:eastAsia="Arial" w:hAnsi="Arial"/>
          <w:sz w:val="18"/>
          <w:szCs w:val="18"/>
          <w:color w:val="auto"/>
        </w:rPr>
        <w:t>. The Company shall be authorized to withhold from any Awards granted or any transfer made under any Award or under the Plan or from</w:t>
      </w:r>
      <w:r>
        <w:rPr>
          <w:rFonts w:ascii="Arial" w:cs="Arial" w:eastAsia="Arial" w:hAnsi="Arial"/>
          <w:sz w:val="18"/>
          <w:szCs w:val="18"/>
          <w:i w:val="1"/>
          <w:iCs w:val="1"/>
          <w:color w:val="auto"/>
        </w:rPr>
        <w:t xml:space="preserve"> </w:t>
      </w:r>
      <w:r>
        <w:rPr>
          <w:rFonts w:ascii="Arial" w:cs="Arial" w:eastAsia="Arial" w:hAnsi="Arial"/>
          <w:sz w:val="18"/>
          <w:szCs w:val="18"/>
          <w:color w:val="auto"/>
        </w:rPr>
        <w:t>any dividend equivalents to be paid on Restricted Stock Units the amount (in cash, Shares, other securities, or other property) of any taxes required to be withheld in respect of a grant, exercise, payment or settlement of an Award or any payment of dividend equivalents under Restricted Stock Units or under the Plan and to take such other action as may be necessary in the opinion of the Company to satisfy all obligations of the Company for the payment of any such taxes.</w:t>
      </w:r>
    </w:p>
    <w:p>
      <w:pPr>
        <w:spacing w:after="0" w:line="215" w:lineRule="exact"/>
        <w:rPr>
          <w:rFonts w:ascii="Arial" w:cs="Arial" w:eastAsia="Arial" w:hAnsi="Arial"/>
          <w:sz w:val="18"/>
          <w:szCs w:val="18"/>
          <w:color w:val="auto"/>
        </w:rPr>
      </w:pPr>
    </w:p>
    <w:p>
      <w:pPr>
        <w:ind w:left="500" w:right="100" w:hanging="492"/>
        <w:spacing w:after="0" w:line="259" w:lineRule="auto"/>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No Right to Continued Board Membership</w:t>
      </w:r>
      <w:r>
        <w:rPr>
          <w:rFonts w:ascii="Arial" w:cs="Arial" w:eastAsia="Arial" w:hAnsi="Arial"/>
          <w:sz w:val="18"/>
          <w:szCs w:val="18"/>
          <w:color w:val="auto"/>
        </w:rPr>
        <w:t>. The grant of an Award or establishment of an Account shall not be construed as giving a Participant the</w:t>
      </w:r>
      <w:r>
        <w:rPr>
          <w:rFonts w:ascii="Arial" w:cs="Arial" w:eastAsia="Arial" w:hAnsi="Arial"/>
          <w:sz w:val="18"/>
          <w:szCs w:val="18"/>
          <w:i w:val="1"/>
          <w:iCs w:val="1"/>
          <w:color w:val="auto"/>
        </w:rPr>
        <w:t xml:space="preserve"> </w:t>
      </w:r>
      <w:r>
        <w:rPr>
          <w:rFonts w:ascii="Arial" w:cs="Arial" w:eastAsia="Arial" w:hAnsi="Arial"/>
          <w:sz w:val="18"/>
          <w:szCs w:val="18"/>
          <w:color w:val="auto"/>
        </w:rPr>
        <w:t>right to be retained as a director of the Company. The Board may at any time fail or refuse to nominate a Participant for election to the Board, and the stockholders of the Company may at any election fail or refuse to elect any Participant to the Board free from any liability or claim under this Plan or any Award or Account.</w:t>
      </w:r>
    </w:p>
    <w:p>
      <w:pPr>
        <w:spacing w:after="0" w:line="213" w:lineRule="exact"/>
        <w:rPr>
          <w:rFonts w:ascii="Arial" w:cs="Arial" w:eastAsia="Arial" w:hAnsi="Arial"/>
          <w:sz w:val="18"/>
          <w:szCs w:val="18"/>
          <w:color w:val="auto"/>
        </w:rPr>
      </w:pPr>
    </w:p>
    <w:p>
      <w:pPr>
        <w:ind w:left="500" w:right="160" w:hanging="492"/>
        <w:spacing w:after="0" w:line="277" w:lineRule="auto"/>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409A Compliance</w:t>
      </w:r>
      <w:r>
        <w:rPr>
          <w:rFonts w:ascii="Arial" w:cs="Arial" w:eastAsia="Arial" w:hAnsi="Arial"/>
          <w:sz w:val="18"/>
          <w:szCs w:val="18"/>
          <w:color w:val="auto"/>
        </w:rPr>
        <w:t>. The Company makes no representations or covenants that any Award granted or Deferred Compensation arrangement maintained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Plan will comply with Section 409A of the Code.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EFFECTIVE DATE OF THE PLAN.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Plan shall be effective as of the date of its approval by the stockholders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TERM OF THE PLAN.</w:t>
      </w:r>
    </w:p>
    <w:p>
      <w:pPr>
        <w:spacing w:after="0" w:line="25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No Award shall be granted or compensation deferred under the Plan after the tenth anniversary of the Effective Date of the Plan. However, unless otherwise expressly provided in the Plan or in an applicable Award Agreement, any Award granted or Account established prior to the termination of the Plan may extend beyond such date, and the authority of the Committee and the Board under Section 11 to amend, alter, adjust, suspend, discontinue, or terminate any such Award or Account, or to waive any conditions or rights thereunder, shall extend beyond such date.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Exhibit 13</w:t>
            </w:r>
          </w:p>
        </w:tc>
        <w:tc>
          <w:tcPr>
            <w:tcW w:w="0" w:type="dxa"/>
            <w:vAlign w:val="bottom"/>
          </w:tcPr>
          <w:p>
            <w:pPr>
              <w:spacing w:after="0"/>
              <w:rPr>
                <w:sz w:val="1"/>
                <w:szCs w:val="1"/>
                <w:color w:val="auto"/>
              </w:rPr>
            </w:pPr>
          </w:p>
        </w:tc>
      </w:tr>
      <w:tr>
        <w:trPr>
          <w:trHeight w:val="427"/>
        </w:trPr>
        <w:tc>
          <w:tcPr>
            <w:tcW w:w="7440" w:type="dxa"/>
            <w:vAlign w:val="bottom"/>
            <w:gridSpan w:val="2"/>
          </w:tcPr>
          <w:p>
            <w:pPr>
              <w:spacing w:after="0"/>
              <w:rPr>
                <w:sz w:val="20"/>
                <w:szCs w:val="20"/>
                <w:color w:val="auto"/>
              </w:rPr>
            </w:pPr>
            <w:r>
              <w:rPr>
                <w:rFonts w:ascii="Arial" w:cs="Arial" w:eastAsia="Arial" w:hAnsi="Arial"/>
                <w:sz w:val="14"/>
                <w:szCs w:val="14"/>
                <w:color w:val="auto"/>
              </w:rPr>
              <w:t>TEXAS INSTRUMENTS 2009 ANNUAL REPORT n PAGE 2</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For Years Ended</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40" w:type="dxa"/>
            <w:vAlign w:val="bottom"/>
            <w:gridSpan w:val="2"/>
          </w:tcPr>
          <w:p>
            <w:pPr>
              <w:ind w:left="180"/>
              <w:spacing w:after="0"/>
              <w:rPr>
                <w:sz w:val="20"/>
                <w:szCs w:val="20"/>
                <w:color w:val="auto"/>
              </w:rPr>
            </w:pPr>
            <w:r>
              <w:rPr>
                <w:rFonts w:ascii="Arial" w:cs="Arial" w:eastAsia="Arial" w:hAnsi="Arial"/>
                <w:sz w:val="18"/>
                <w:szCs w:val="18"/>
                <w:b w:val="1"/>
                <w:bCs w:val="1"/>
                <w:color w:val="auto"/>
              </w:rPr>
              <w:t>December 31,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Consolidated statements of income</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2009</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2008</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[Millions of dollars, except share and per-share amounts]</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10,427</w:t>
            </w:r>
          </w:p>
        </w:tc>
        <w:tc>
          <w:tcPr>
            <w:tcW w:w="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12,501</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13,835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Cost of revenue</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5,428</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6,256</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6,466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4,999</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6,245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1,476</w:t>
            </w:r>
          </w:p>
        </w:tc>
        <w:tc>
          <w:tcPr>
            <w:tcW w:w="4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1,940</w:t>
            </w:r>
          </w:p>
        </w:tc>
        <w:tc>
          <w:tcPr>
            <w:tcW w:w="320" w:type="dxa"/>
            <w:vAlign w:val="bottom"/>
          </w:tcPr>
          <w:p>
            <w:pPr>
              <w:spacing w:after="0"/>
              <w:rPr>
                <w:sz w:val="18"/>
                <w:szCs w:val="18"/>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2,140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1,320</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1,614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Restructuring expense</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254</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1,991</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2,437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3,497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44</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2,017</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2,481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3,692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547</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561</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1,470</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1,920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2,641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Income from discontinued operations, net of income taxes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1,470</w:t>
            </w:r>
          </w:p>
        </w:tc>
        <w:tc>
          <w:tcPr>
            <w:tcW w:w="4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1,920</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2,657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w:t>
            </w: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1.46</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4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1.46</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w:t>
            </w:r>
          </w:p>
        </w:tc>
        <w:tc>
          <w:tcPr>
            <w:tcW w:w="4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1.44</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w:t>
            </w: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1.44</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1,260</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1,308</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1,269</w:t>
            </w:r>
          </w:p>
        </w:tc>
        <w:tc>
          <w:tcPr>
            <w:tcW w:w="4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1,321</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dividends declared per share of common stock</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0.45</w:t>
            </w: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0.41</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36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760" w:type="dxa"/>
            <w:vAlign w:val="bottom"/>
            <w:gridSpan w:val="5"/>
          </w:tcPr>
          <w:p>
            <w:pPr>
              <w:jc w:val="right"/>
              <w:spacing w:after="0"/>
              <w:rPr>
                <w:sz w:val="20"/>
                <w:szCs w:val="20"/>
                <w:color w:val="auto"/>
              </w:rPr>
            </w:pPr>
            <w:r>
              <w:rPr>
                <w:rFonts w:ascii="Arial" w:cs="Arial" w:eastAsia="Arial" w:hAnsi="Arial"/>
                <w:sz w:val="14"/>
                <w:szCs w:val="14"/>
                <w:color w:val="auto"/>
                <w:w w:val="99"/>
              </w:rPr>
              <w:t>TEXAS INSTRUMENTS 2009 ANNUAL REPORT n PAGE 3</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For Years Ended</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Consolidated statements of comprehensive income</w:t>
            </w: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2009</w:t>
            </w: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2008</w:t>
            </w: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[Millions of dollars]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1,470</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1,920</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Available-for-sale investments: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Unrealized gains (losses), net of tax benefit (expense) of ($9), $20 and ($3)</w:t>
            </w:r>
          </w:p>
        </w:tc>
        <w:tc>
          <w:tcPr>
            <w:tcW w:w="22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17</w:t>
            </w:r>
          </w:p>
        </w:tc>
        <w:tc>
          <w:tcPr>
            <w:tcW w:w="3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8"/>
              </w:rPr>
              <w:t>Reclassification of recognized transactions, net of tax benefit (expense) of ($3), $0 and $0</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Net actuarial loss of defined benefit plans: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Annual adjustment, net of tax benefit (expense) of ($38), $282 and ($19)</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91</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(476)</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ind w:left="320"/>
              <w:spacing w:after="0" w:line="201" w:lineRule="exact"/>
              <w:rPr>
                <w:sz w:val="20"/>
                <w:szCs w:val="20"/>
                <w:color w:val="auto"/>
              </w:rPr>
            </w:pPr>
            <w:r>
              <w:rPr>
                <w:rFonts w:ascii="Arial" w:cs="Arial" w:eastAsia="Arial" w:hAnsi="Arial"/>
                <w:sz w:val="18"/>
                <w:szCs w:val="18"/>
                <w:color w:val="auto"/>
                <w:w w:val="98"/>
              </w:rPr>
              <w:t>Reclassification of recognized transactions, net of tax benefit (expense) of ($27), ($17) and</w:t>
            </w:r>
          </w:p>
        </w:tc>
        <w:tc>
          <w:tcPr>
            <w:tcW w:w="220" w:type="dxa"/>
            <w:vAlign w:val="bottom"/>
          </w:tcPr>
          <w:p>
            <w:pPr>
              <w:spacing w:after="0"/>
              <w:rPr>
                <w:sz w:val="17"/>
                <w:szCs w:val="17"/>
                <w:color w:val="auto"/>
              </w:rPr>
            </w:pPr>
          </w:p>
        </w:tc>
        <w:tc>
          <w:tcPr>
            <w:tcW w:w="106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rPr>
              <w:t>62</w:t>
            </w: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gridSpan w:val="2"/>
          </w:tcPr>
          <w:p>
            <w:pPr>
              <w:jc w:val="right"/>
              <w:ind w:right="647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Prior service cost of defined benefit plans: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Annual adjustment, net of tax benefit (expense) of $1, $1 and $2</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380" w:type="dxa"/>
            <w:vAlign w:val="bottom"/>
          </w:tcPr>
          <w:p>
            <w:pPr>
              <w:spacing w:after="0"/>
              <w:rPr>
                <w:sz w:val="18"/>
                <w:szCs w:val="18"/>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w w:val="98"/>
              </w:rPr>
              <w:t>Reclassification of recognized transactions, net of tax benefit (expense) of $3, ($1) and $1</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169</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(466)</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 from continuing operations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1,639</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1,454</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Income from discontinued operations, net of income taxes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1,639</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1,454</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2,696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60" w:name="page61"/>
    <w:bookmarkEnd w:id="60"/>
    <w:p>
      <w:pPr>
        <w:spacing w:after="0"/>
        <w:rPr>
          <w:sz w:val="20"/>
          <w:szCs w:val="20"/>
          <w:color w:val="auto"/>
        </w:rPr>
      </w:pPr>
      <w:r>
        <w:rPr>
          <w:rFonts w:ascii="Arial" w:cs="Arial" w:eastAsia="Arial" w:hAnsi="Arial"/>
          <w:sz w:val="14"/>
          <w:szCs w:val="14"/>
          <w:color w:val="auto"/>
        </w:rPr>
        <w:t>TEXAS INSTRUMENTS 2009 ANNUAL REPORT n PAGE 4</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50"/>
        </w:trPr>
        <w:tc>
          <w:tcPr>
            <w:tcW w:w="8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Consolidated balance sheets</w:t>
            </w: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2009</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[Millions of dollars, except share amounts]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1,182</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1,743</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 of allowances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1,277</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1,202</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546</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164</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6,114</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Property, plant and equipment at cost</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6,705</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7,321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accumulated depreciation</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(3,547)</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3,158</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637</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926</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intangibles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124</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926</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 licenses, net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119</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Overfunded retirement plans</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64</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51</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12,119</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503</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841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128</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profit sharing and retirement</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115</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1,587</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Underfunded retirement plans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425</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67</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credits and 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318</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2,397</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Preferred stock, $25 par value. Authorized – 10,000,000 shares.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Participating cumulative preferred. None issued.</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Common stock, $1 par value. Authorized – 2,400,000,000 shares.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Shares issued: 2009 – 1,739,811,721; 2008 – 1,739,718,073</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1,740</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Paid-in capital</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1,086</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22,066</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Less treasury common stock at cost.</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Shares: 2009 – 499,693,704; 2008 – 461,822,215</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(14,549)</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Accumulated other comprehensive income (loss), net of taxes</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(621)</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9,722</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12,119</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780" w:type="dxa"/>
            <w:vAlign w:val="bottom"/>
            <w:gridSpan w:val="5"/>
          </w:tcPr>
          <w:p>
            <w:pPr>
              <w:jc w:val="right"/>
              <w:spacing w:after="0"/>
              <w:rPr>
                <w:sz w:val="20"/>
                <w:szCs w:val="20"/>
                <w:color w:val="auto"/>
              </w:rPr>
            </w:pPr>
            <w:r>
              <w:rPr>
                <w:rFonts w:ascii="Arial" w:cs="Arial" w:eastAsia="Arial" w:hAnsi="Arial"/>
                <w:sz w:val="14"/>
                <w:szCs w:val="14"/>
                <w:color w:val="auto"/>
              </w:rPr>
              <w:t>TEXAS INSTRUMENTS 2009 ANNUAL REPORT n PAGE 5</w:t>
            </w:r>
          </w:p>
        </w:tc>
      </w:tr>
      <w:tr>
        <w:trPr>
          <w:trHeight w:val="426"/>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For Years Ended</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0"/>
        </w:trPr>
        <w:tc>
          <w:tcPr>
            <w:tcW w:w="7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Consolidated statements of cash flows</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2008</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2007</w:t>
            </w: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[Millions of dollars]</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18"/>
        </w:trPr>
        <w:tc>
          <w:tcPr>
            <w:tcW w:w="744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1,470</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1,920</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2,657</w:t>
            </w: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Adjustments to net income:</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from discontinued operations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877</w:t>
            </w:r>
          </w:p>
        </w:tc>
        <w:tc>
          <w:tcPr>
            <w:tcW w:w="3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1,022</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1,022</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186</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213</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Amortization of acquisition-related intangibles</w:t>
            </w:r>
          </w:p>
        </w:tc>
        <w:tc>
          <w:tcPr>
            <w:tcW w:w="20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48</w:t>
            </w:r>
          </w:p>
        </w:tc>
        <w:tc>
          <w:tcPr>
            <w:tcW w:w="3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Gains on sales of assets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146</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(decrease) from changes in:</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(364)</w:t>
            </w:r>
          </w:p>
        </w:tc>
        <w:tc>
          <w:tcPr>
            <w:tcW w:w="3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865</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177</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43</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35</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73</w:t>
            </w:r>
          </w:p>
        </w:tc>
        <w:tc>
          <w:tcPr>
            <w:tcW w:w="3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304</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profit sharing and retirement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28</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2,643</w:t>
            </w: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3,330</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4,407</w:t>
            </w:r>
          </w:p>
        </w:tc>
      </w:tr>
    </w:tbl>
    <w:p>
      <w:pPr>
        <w:spacing w:after="0" w:line="200" w:lineRule="exact"/>
        <w:rPr>
          <w:sz w:val="20"/>
          <w:szCs w:val="20"/>
          <w:color w:val="auto"/>
        </w:rPr>
      </w:pPr>
    </w:p>
    <w:p>
      <w:pPr>
        <w:sectPr>
          <w:pgSz w:w="11900" w:h="16838" w:orient="portrait"/>
          <w:cols w:equalWidth="0" w:num="1">
            <w:col w:w="11420"/>
          </w:cols>
          <w:pgMar w:left="240" w:top="513"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investing activities: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Additions to property, plant and equipment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sales of assets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Purchases of short-term investments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Sales and maturities of short-term investments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Purchases of long-term investments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Redemptions and sales of long-term investments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Acquisitions, net of cash acquired</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provided by investing activities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jc w:val="right"/>
              <w:ind w:right="330"/>
              <w:spacing w:after="0"/>
              <w:rPr>
                <w:sz w:val="20"/>
                <w:szCs w:val="20"/>
                <w:color w:val="auto"/>
              </w:rPr>
            </w:pPr>
            <w:r>
              <w:rPr>
                <w:rFonts w:ascii="Arial" w:cs="Arial" w:eastAsia="Arial" w:hAnsi="Arial"/>
                <w:sz w:val="18"/>
                <w:szCs w:val="18"/>
                <w:b w:val="1"/>
                <w:bCs w:val="1"/>
                <w:color w:val="auto"/>
              </w:rPr>
              <w:t>(753)</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(763)</w:t>
            </w:r>
          </w:p>
        </w:tc>
        <w:tc>
          <w:tcPr>
            <w:tcW w:w="980" w:type="dxa"/>
            <w:vAlign w:val="bottom"/>
          </w:tcPr>
          <w:p>
            <w:pPr>
              <w:jc w:val="right"/>
              <w:spacing w:after="0"/>
              <w:rPr>
                <w:sz w:val="20"/>
                <w:szCs w:val="20"/>
                <w:color w:val="auto"/>
              </w:rPr>
            </w:pPr>
            <w:r>
              <w:rPr>
                <w:rFonts w:ascii="Arial" w:cs="Arial" w:eastAsia="Arial" w:hAnsi="Arial"/>
                <w:sz w:val="18"/>
                <w:szCs w:val="18"/>
                <w:color w:val="auto"/>
              </w:rPr>
              <w:t>(686)</w:t>
            </w:r>
          </w:p>
        </w:tc>
      </w:tr>
      <w:tr>
        <w:trPr>
          <w:trHeight w:val="216"/>
        </w:trPr>
        <w:tc>
          <w:tcPr>
            <w:tcW w:w="164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16"/>
        </w:trPr>
        <w:tc>
          <w:tcPr>
            <w:tcW w:w="1640" w:type="dxa"/>
            <w:vAlign w:val="bottom"/>
          </w:tcPr>
          <w:p>
            <w:pPr>
              <w:jc w:val="right"/>
              <w:ind w:right="330"/>
              <w:spacing w:after="0"/>
              <w:rPr>
                <w:sz w:val="20"/>
                <w:szCs w:val="20"/>
                <w:color w:val="auto"/>
              </w:rPr>
            </w:pPr>
            <w:r>
              <w:rPr>
                <w:rFonts w:ascii="Arial" w:cs="Arial" w:eastAsia="Arial" w:hAnsi="Arial"/>
                <w:sz w:val="18"/>
                <w:szCs w:val="18"/>
                <w:b w:val="1"/>
                <w:bCs w:val="1"/>
                <w:color w:val="auto"/>
              </w:rPr>
              <w:t>(2,273)</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(1,746)</w:t>
            </w:r>
          </w:p>
        </w:tc>
        <w:tc>
          <w:tcPr>
            <w:tcW w:w="980" w:type="dxa"/>
            <w:vAlign w:val="bottom"/>
          </w:tcPr>
          <w:p>
            <w:pPr>
              <w:jc w:val="right"/>
              <w:spacing w:after="0"/>
              <w:rPr>
                <w:sz w:val="20"/>
                <w:szCs w:val="20"/>
                <w:color w:val="auto"/>
              </w:rPr>
            </w:pPr>
            <w:r>
              <w:rPr>
                <w:rFonts w:ascii="Arial" w:cs="Arial" w:eastAsia="Arial" w:hAnsi="Arial"/>
                <w:sz w:val="18"/>
                <w:szCs w:val="18"/>
                <w:color w:val="auto"/>
              </w:rPr>
              <w:t>(5,035)</w:t>
            </w:r>
          </w:p>
        </w:tc>
      </w:tr>
      <w:tr>
        <w:trPr>
          <w:trHeight w:val="216"/>
        </w:trPr>
        <w:tc>
          <w:tcPr>
            <w:tcW w:w="1640" w:type="dxa"/>
            <w:vAlign w:val="bottom"/>
          </w:tcPr>
          <w:p>
            <w:pPr>
              <w:jc w:val="right"/>
              <w:ind w:right="390"/>
              <w:spacing w:after="0"/>
              <w:rPr>
                <w:sz w:val="20"/>
                <w:szCs w:val="20"/>
                <w:color w:val="auto"/>
              </w:rPr>
            </w:pPr>
            <w:r>
              <w:rPr>
                <w:rFonts w:ascii="Arial" w:cs="Arial" w:eastAsia="Arial" w:hAnsi="Arial"/>
                <w:sz w:val="18"/>
                <w:szCs w:val="18"/>
                <w:b w:val="1"/>
                <w:bCs w:val="1"/>
                <w:color w:val="auto"/>
              </w:rPr>
              <w:t>2,030</w:t>
            </w: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1,300</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5,981</w:t>
            </w:r>
          </w:p>
        </w:tc>
      </w:tr>
      <w:tr>
        <w:trPr>
          <w:trHeight w:val="216"/>
        </w:trPr>
        <w:tc>
          <w:tcPr>
            <w:tcW w:w="1640" w:type="dxa"/>
            <w:vAlign w:val="bottom"/>
          </w:tcPr>
          <w:p>
            <w:pPr>
              <w:jc w:val="right"/>
              <w:ind w:right="330"/>
              <w:spacing w:after="0"/>
              <w:rPr>
                <w:sz w:val="20"/>
                <w:szCs w:val="20"/>
                <w:color w:val="auto"/>
              </w:rPr>
            </w:pPr>
            <w:r>
              <w:rPr>
                <w:rFonts w:ascii="Arial" w:cs="Arial" w:eastAsia="Arial" w:hAnsi="Arial"/>
                <w:sz w:val="18"/>
                <w:szCs w:val="18"/>
                <w:b w:val="1"/>
                <w:bCs w:val="1"/>
                <w:color w:val="auto"/>
              </w:rPr>
              <w:t>(9)</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(9)</w:t>
            </w: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640" w:type="dxa"/>
            <w:vAlign w:val="bottom"/>
          </w:tcPr>
          <w:p>
            <w:pPr>
              <w:jc w:val="right"/>
              <w:ind w:right="390"/>
              <w:spacing w:after="0"/>
              <w:rPr>
                <w:sz w:val="20"/>
                <w:szCs w:val="20"/>
                <w:color w:val="auto"/>
              </w:rPr>
            </w:pPr>
            <w:r>
              <w:rPr>
                <w:rFonts w:ascii="Arial" w:cs="Arial" w:eastAsia="Arial" w:hAnsi="Arial"/>
                <w:sz w:val="18"/>
                <w:szCs w:val="18"/>
                <w:b w:val="1"/>
                <w:bCs w:val="1"/>
                <w:color w:val="auto"/>
              </w:rPr>
              <w:t>64</w:t>
            </w: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55</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41"/>
        </w:trPr>
        <w:tc>
          <w:tcPr>
            <w:tcW w:w="16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(155)</w:t>
            </w:r>
          </w:p>
        </w:tc>
        <w:tc>
          <w:tcPr>
            <w:tcW w:w="1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(19)</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23"/>
        </w:trPr>
        <w:tc>
          <w:tcPr>
            <w:tcW w:w="16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(1,096)</w:t>
            </w:r>
          </w:p>
        </w:tc>
        <w:tc>
          <w:tcPr>
            <w:tcW w:w="1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(1,182)</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-4718685</wp:posOffset>
            </wp:positionH>
            <wp:positionV relativeFrom="paragraph">
              <wp:posOffset>-1268730</wp:posOffset>
            </wp:positionV>
            <wp:extent cx="72466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-994410</wp:posOffset>
            </wp:positionV>
            <wp:extent cx="72466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-719455</wp:posOffset>
            </wp:positionV>
            <wp:extent cx="72466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-445135</wp:posOffset>
            </wp:positionV>
            <wp:extent cx="72466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-153670</wp:posOffset>
            </wp:positionV>
            <wp:extent cx="724662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20" w:space="720"/>
            <w:col w:w="3980"/>
          </w:cols>
          <w:pgMar w:left="240" w:top="513" w:right="2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financing activities: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Payments on long-term debt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Dividends paid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Sales and other common stock transactions</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Excess tax benefit from stock option exercises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 repurchases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640" w:type="dxa"/>
            <w:vAlign w:val="bottom"/>
          </w:tcPr>
          <w:p>
            <w:pPr>
              <w:jc w:val="right"/>
              <w:ind w:right="330"/>
              <w:spacing w:after="0"/>
              <w:rPr>
                <w:sz w:val="20"/>
                <w:szCs w:val="20"/>
                <w:color w:val="auto"/>
              </w:rPr>
            </w:pPr>
            <w:r>
              <w:rPr>
                <w:rFonts w:ascii="Arial" w:cs="Arial" w:eastAsia="Arial" w:hAnsi="Arial"/>
                <w:sz w:val="18"/>
                <w:szCs w:val="18"/>
                <w:b w:val="1"/>
                <w:bCs w:val="1"/>
                <w:color w:val="auto"/>
              </w:rPr>
              <w:t>(567)</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(537)</w:t>
            </w:r>
          </w:p>
        </w:tc>
        <w:tc>
          <w:tcPr>
            <w:tcW w:w="98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216"/>
        </w:trPr>
        <w:tc>
          <w:tcPr>
            <w:tcW w:w="1640" w:type="dxa"/>
            <w:vAlign w:val="bottom"/>
          </w:tcPr>
          <w:p>
            <w:pPr>
              <w:jc w:val="right"/>
              <w:ind w:right="390"/>
              <w:spacing w:after="0"/>
              <w:rPr>
                <w:sz w:val="20"/>
                <w:szCs w:val="20"/>
                <w:color w:val="auto"/>
              </w:rPr>
            </w:pPr>
            <w:r>
              <w:rPr>
                <w:rFonts w:ascii="Arial" w:cs="Arial" w:eastAsia="Arial" w:hAnsi="Arial"/>
                <w:sz w:val="18"/>
                <w:szCs w:val="18"/>
                <w:b w:val="1"/>
                <w:bCs w:val="1"/>
                <w:color w:val="auto"/>
              </w:rPr>
              <w:t>109</w:t>
            </w: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210</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761</w:t>
            </w:r>
          </w:p>
        </w:tc>
      </w:tr>
      <w:tr>
        <w:trPr>
          <w:trHeight w:val="216"/>
        </w:trPr>
        <w:tc>
          <w:tcPr>
            <w:tcW w:w="1640" w:type="dxa"/>
            <w:vAlign w:val="bottom"/>
          </w:tcPr>
          <w:p>
            <w:pPr>
              <w:jc w:val="right"/>
              <w:ind w:right="390"/>
              <w:spacing w:after="0"/>
              <w:rPr>
                <w:sz w:val="20"/>
                <w:szCs w:val="20"/>
                <w:color w:val="auto"/>
              </w:rPr>
            </w:pPr>
            <w:r>
              <w:rPr>
                <w:rFonts w:ascii="Arial" w:cs="Arial" w:eastAsia="Arial" w:hAnsi="Arial"/>
                <w:sz w:val="18"/>
                <w:szCs w:val="18"/>
                <w:b w:val="1"/>
                <w:bCs w:val="1"/>
                <w:color w:val="auto"/>
              </w:rPr>
              <w:t>1</w:t>
            </w: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19</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116</w:t>
            </w:r>
          </w:p>
        </w:tc>
      </w:tr>
      <w:tr>
        <w:trPr>
          <w:trHeight w:val="241"/>
        </w:trPr>
        <w:tc>
          <w:tcPr>
            <w:tcW w:w="16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(954)</w:t>
            </w:r>
          </w:p>
        </w:tc>
        <w:tc>
          <w:tcPr>
            <w:tcW w:w="1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(2,122)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(4,886)</w:t>
            </w:r>
          </w:p>
        </w:tc>
      </w:tr>
      <w:tr>
        <w:trPr>
          <w:trHeight w:val="223"/>
        </w:trPr>
        <w:tc>
          <w:tcPr>
            <w:tcW w:w="16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(1,411)</w:t>
            </w:r>
          </w:p>
        </w:tc>
        <w:tc>
          <w:tcPr>
            <w:tcW w:w="1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(2,430)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-4718685</wp:posOffset>
            </wp:positionH>
            <wp:positionV relativeFrom="paragraph">
              <wp:posOffset>-994410</wp:posOffset>
            </wp:positionV>
            <wp:extent cx="72466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-719455</wp:posOffset>
            </wp:positionV>
            <wp:extent cx="72466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-445135</wp:posOffset>
            </wp:positionV>
            <wp:extent cx="72466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-153670</wp:posOffset>
            </wp:positionV>
            <wp:extent cx="724662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20" w:space="720"/>
            <w:col w:w="3980"/>
          </w:cols>
          <w:pgMar w:left="240" w:top="513"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136</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1,046</w:t>
            </w: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1,328</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1,183</w:t>
            </w: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42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1,182</w:t>
            </w:r>
          </w:p>
        </w:tc>
        <w:tc>
          <w:tcPr>
            <w:tcW w:w="5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1,046</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62" w:name="page63"/>
    <w:bookmarkEnd w:id="62"/>
    <w:tbl>
      <w:tblPr>
        <w:tblLayout w:type="fixed"/>
        <w:tblInd w:w="0" w:type="dxa"/>
        <w:tblCellMar>
          <w:top w:w="0" w:type="dxa"/>
          <w:left w:w="0" w:type="dxa"/>
          <w:bottom w:w="0" w:type="dxa"/>
          <w:right w:w="0" w:type="dxa"/>
        </w:tblCellMar>
      </w:tblPr>
      <w:tr>
        <w:trPr>
          <w:trHeight w:val="182"/>
        </w:trPr>
        <w:tc>
          <w:tcPr>
            <w:tcW w:w="4500" w:type="dxa"/>
            <w:vAlign w:val="bottom"/>
            <w:gridSpan w:val="2"/>
          </w:tcPr>
          <w:p>
            <w:pPr>
              <w:spacing w:after="0"/>
              <w:rPr>
                <w:sz w:val="20"/>
                <w:szCs w:val="20"/>
                <w:color w:val="auto"/>
              </w:rPr>
            </w:pPr>
            <w:r>
              <w:rPr>
                <w:rFonts w:ascii="Arial" w:cs="Arial" w:eastAsia="Arial" w:hAnsi="Arial"/>
                <w:sz w:val="14"/>
                <w:szCs w:val="14"/>
                <w:color w:val="auto"/>
              </w:rPr>
              <w:t>TEXAS INSTRUMENTS 2009 ANNUAL REPORT n PAGE 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Accumulated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Treasury</w:t>
            </w:r>
          </w:p>
        </w:tc>
        <w:tc>
          <w:tcPr>
            <w:tcW w:w="320" w:type="dxa"/>
            <w:vAlign w:val="bottom"/>
          </w:tcPr>
          <w:p>
            <w:pPr>
              <w:spacing w:after="0"/>
              <w:rPr>
                <w:sz w:val="18"/>
                <w:szCs w:val="18"/>
                <w:color w:val="auto"/>
              </w:rPr>
            </w:pPr>
          </w:p>
        </w:tc>
        <w:tc>
          <w:tcPr>
            <w:tcW w:w="1060" w:type="dxa"/>
            <w:vAlign w:val="bottom"/>
          </w:tcPr>
          <w:p>
            <w:pPr>
              <w:jc w:val="center"/>
              <w:ind w:right="270"/>
              <w:spacing w:after="0"/>
              <w:rPr>
                <w:sz w:val="20"/>
                <w:szCs w:val="20"/>
                <w:color w:val="auto"/>
              </w:rPr>
            </w:pPr>
            <w:r>
              <w:rPr>
                <w:rFonts w:ascii="Arial" w:cs="Arial" w:eastAsia="Arial" w:hAnsi="Arial"/>
                <w:sz w:val="18"/>
                <w:szCs w:val="18"/>
                <w:b w:val="1"/>
                <w:bCs w:val="1"/>
                <w:color w:val="auto"/>
                <w:w w:val="95"/>
              </w:rPr>
              <w:t>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Common</w:t>
            </w:r>
          </w:p>
        </w:tc>
        <w:tc>
          <w:tcPr>
            <w:tcW w:w="300" w:type="dxa"/>
            <w:vAlign w:val="bottom"/>
          </w:tcPr>
          <w:p>
            <w:pPr>
              <w:spacing w:after="0"/>
              <w:rPr>
                <w:sz w:val="18"/>
                <w:szCs w:val="18"/>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b w:val="1"/>
                <w:bCs w:val="1"/>
                <w:color w:val="auto"/>
              </w:rPr>
              <w:t>Paid-in</w:t>
            </w:r>
          </w:p>
        </w:tc>
        <w:tc>
          <w:tcPr>
            <w:tcW w:w="240" w:type="dxa"/>
            <w:vAlign w:val="bottom"/>
          </w:tcPr>
          <w:p>
            <w:pPr>
              <w:spacing w:after="0"/>
              <w:rPr>
                <w:sz w:val="18"/>
                <w:szCs w:val="18"/>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w w:val="97"/>
              </w:rPr>
              <w:t>Retained</w:t>
            </w:r>
          </w:p>
        </w:tc>
        <w:tc>
          <w:tcPr>
            <w:tcW w:w="22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b w:val="1"/>
                <w:bCs w:val="1"/>
                <w:color w:val="auto"/>
                <w:w w:val="92"/>
              </w:rPr>
              <w:t>Common</w:t>
            </w: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Comprehensive</w:t>
            </w:r>
          </w:p>
        </w:tc>
        <w:tc>
          <w:tcPr>
            <w:tcW w:w="0" w:type="dxa"/>
            <w:vAlign w:val="bottom"/>
          </w:tcPr>
          <w:p>
            <w:pPr>
              <w:spacing w:after="0"/>
              <w:rPr>
                <w:sz w:val="1"/>
                <w:szCs w:val="1"/>
                <w:color w:val="auto"/>
              </w:rPr>
            </w:pPr>
          </w:p>
        </w:tc>
      </w:tr>
      <w:tr>
        <w:trPr>
          <w:trHeight w:val="241"/>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Consolidated statements of stockholders’ equity</w:t>
            </w: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Stock</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Capital</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6"/>
              </w:rPr>
              <w:t>Earnings</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Stock</w:t>
            </w: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0" w:type="dxa"/>
            <w:vAlign w:val="bottom"/>
          </w:tcPr>
          <w:p>
            <w:pPr>
              <w:spacing w:after="0"/>
              <w:rPr>
                <w:sz w:val="1"/>
                <w:szCs w:val="1"/>
                <w:color w:val="auto"/>
              </w:rPr>
            </w:pP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[Millions of dollars, except per-share amounts]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vMerge w:val="restart"/>
          </w:tcPr>
          <w:p>
            <w:pPr>
              <w:spacing w:after="0"/>
              <w:rPr>
                <w:sz w:val="24"/>
                <w:szCs w:val="24"/>
                <w:color w:val="auto"/>
              </w:rPr>
            </w:pPr>
          </w:p>
        </w:tc>
        <w:tc>
          <w:tcPr>
            <w:tcW w:w="4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885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17,529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2,657</w:t>
            </w:r>
          </w:p>
        </w:tc>
        <w:tc>
          <w:tcPr>
            <w:tcW w:w="2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Dividends declared on common stock ($.30 per share)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Common stock issued on exercise of stock options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(437)</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1,191</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repurchases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(4,921)</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Stock-based compensation transactions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280</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impact from exercise of options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204</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Other comprehensive income (loss), net of tax</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 for uncertain tax positions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2007</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1,740</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931</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19,788</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(12,160)</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1,920</w:t>
            </w:r>
          </w:p>
        </w:tc>
        <w:tc>
          <w:tcPr>
            <w:tcW w:w="2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Dividends declared on common stock ($.41 per share)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Common stock issued on exercise of stock options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360</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repurchases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Stock-based compensation transactions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213</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impact from exercise of options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Other comprehensive income (loss), net of tax</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Balance, December 31, 2008</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1,740</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1,022</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21,168</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(13,814)</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income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1,470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b w:val="1"/>
                <w:bCs w:val="1"/>
                <w:color w:val="auto"/>
                <w:w w:val="93"/>
              </w:rPr>
              <w:t>Dividends declared on common stock ($.45 per share)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(567)</w:t>
            </w:r>
          </w:p>
        </w:tc>
        <w:tc>
          <w:tcPr>
            <w:tcW w:w="2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97"/>
              </w:rPr>
              <w:t>Common stock issued on exercise of stock options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226</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b w:val="1"/>
                <w:bCs w:val="1"/>
                <w:color w:val="auto"/>
              </w:rPr>
              <w:t>Stock repurchases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(961)</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Stock-based compensation transactions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186</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b w:val="1"/>
                <w:bCs w:val="1"/>
                <w:color w:val="auto"/>
              </w:rPr>
              <w:t>Tax impact from exercise of options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Other comprehensive income (loss), net of tax</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ind w:left="160"/>
              <w:spacing w:after="0"/>
              <w:rPr>
                <w:sz w:val="20"/>
                <w:szCs w:val="20"/>
                <w:color w:val="auto"/>
              </w:rPr>
            </w:pPr>
            <w:r>
              <w:rPr>
                <w:rFonts w:ascii="Arial" w:cs="Arial" w:eastAsia="Arial" w:hAnsi="Arial"/>
                <w:sz w:val="18"/>
                <w:szCs w:val="18"/>
                <w:b w:val="1"/>
                <w:bCs w:val="1"/>
                <w:color w:val="auto"/>
              </w:rPr>
              <w:t>Other</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2009</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1,740</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1,086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22,066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(14,549)</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4"/>
          <w:szCs w:val="14"/>
          <w:color w:val="auto"/>
        </w:rPr>
        <w:t>TEXAS INSTRUMENTS 2009 ANNUAL REPORT n PAGE 7</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significant accounting policies and practices</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u w:val="single" w:color="auto"/>
          <w:color w:val="auto"/>
        </w:rPr>
        <w:t>Business</w:t>
      </w:r>
      <w:r>
        <w:rPr>
          <w:rFonts w:ascii="Arial" w:cs="Arial" w:eastAsia="Arial" w:hAnsi="Arial"/>
          <w:sz w:val="18"/>
          <w:szCs w:val="18"/>
          <w:color w:val="auto"/>
        </w:rPr>
        <w:t>: At Texas Instruments (TI), we design and make semiconductors that we sell to electronics designers and manufacturers all over the world. We have three reportable segments, which are established along major product categories as follows:</w:t>
      </w:r>
    </w:p>
    <w:p>
      <w:pPr>
        <w:spacing w:after="0" w:line="197" w:lineRule="exact"/>
        <w:rPr>
          <w:sz w:val="20"/>
          <w:szCs w:val="20"/>
          <w:color w:val="auto"/>
        </w:rPr>
      </w:pPr>
    </w:p>
    <w:p>
      <w:pPr>
        <w:ind w:left="340" w:right="460"/>
        <w:spacing w:after="0" w:line="277" w:lineRule="auto"/>
        <w:rPr>
          <w:sz w:val="20"/>
          <w:szCs w:val="20"/>
          <w:color w:val="auto"/>
        </w:rPr>
      </w:pPr>
      <w:r>
        <w:rPr>
          <w:rFonts w:ascii="Arial" w:cs="Arial" w:eastAsia="Arial" w:hAnsi="Arial"/>
          <w:sz w:val="18"/>
          <w:szCs w:val="18"/>
          <w:color w:val="auto"/>
        </w:rPr>
        <w:t>Analog – consists of high-performance analog (includes data converters, amplifiers and interface products), high-volume analog &amp; logic and power management,</w:t>
      </w:r>
    </w:p>
    <w:p>
      <w:pPr>
        <w:spacing w:after="0" w:line="197" w:lineRule="exact"/>
        <w:rPr>
          <w:sz w:val="20"/>
          <w:szCs w:val="20"/>
          <w:color w:val="auto"/>
        </w:rPr>
      </w:pPr>
    </w:p>
    <w:p>
      <w:pPr>
        <w:ind w:left="340" w:right="80"/>
        <w:spacing w:after="0" w:line="277" w:lineRule="auto"/>
        <w:rPr>
          <w:sz w:val="20"/>
          <w:szCs w:val="20"/>
          <w:color w:val="auto"/>
        </w:rPr>
      </w:pPr>
      <w:r>
        <w:rPr>
          <w:rFonts w:ascii="Arial" w:cs="Arial" w:eastAsia="Arial" w:hAnsi="Arial"/>
          <w:sz w:val="18"/>
          <w:szCs w:val="18"/>
          <w:color w:val="auto"/>
        </w:rPr>
        <w:t>Embedded Processing – consists of digital signal processors (DSPs) and microcontrollers used in catalog, communications infrastructure and automotive applications, and</w:t>
      </w:r>
    </w:p>
    <w:p>
      <w:pPr>
        <w:spacing w:after="0" w:line="197" w:lineRule="exact"/>
        <w:rPr>
          <w:sz w:val="20"/>
          <w:szCs w:val="20"/>
          <w:color w:val="auto"/>
        </w:rPr>
      </w:pPr>
    </w:p>
    <w:p>
      <w:pPr>
        <w:ind w:left="340" w:right="680"/>
        <w:spacing w:after="0" w:line="277" w:lineRule="auto"/>
        <w:rPr>
          <w:sz w:val="20"/>
          <w:szCs w:val="20"/>
          <w:color w:val="auto"/>
        </w:rPr>
      </w:pPr>
      <w:r>
        <w:rPr>
          <w:rFonts w:ascii="Arial" w:cs="Arial" w:eastAsia="Arial" w:hAnsi="Arial"/>
          <w:sz w:val="18"/>
          <w:szCs w:val="18"/>
          <w:color w:val="auto"/>
        </w:rPr>
        <w:t>Wireless – consists of DSPs and analog used in basebands for handsets, OMAP™ applications processors and connectivity products for wireless applications.</w:t>
      </w:r>
    </w:p>
    <w:p>
      <w:pPr>
        <w:spacing w:after="0" w:line="197" w:lineRule="exact"/>
        <w:rPr>
          <w:sz w:val="20"/>
          <w:szCs w:val="20"/>
          <w:color w:val="auto"/>
        </w:rPr>
      </w:pPr>
    </w:p>
    <w:p>
      <w:pPr>
        <w:jc w:val="both"/>
        <w:ind w:right="540" w:firstLine="324"/>
        <w:spacing w:after="0" w:line="264" w:lineRule="auto"/>
        <w:rPr>
          <w:sz w:val="20"/>
          <w:szCs w:val="20"/>
          <w:color w:val="auto"/>
        </w:rPr>
      </w:pPr>
      <w:r>
        <w:rPr>
          <w:rFonts w:ascii="Arial" w:cs="Arial" w:eastAsia="Arial" w:hAnsi="Arial"/>
          <w:sz w:val="18"/>
          <w:szCs w:val="18"/>
          <w:color w:val="auto"/>
        </w:rPr>
        <w:t>In addition, we report the results of our remaining business activities in Other. Other includes DLP® products, calculators, reduced-instruction set computing (RISC) microprocessors, application-specific integrated circuits (ASIC) products and royalties received for our patented technology that we license to other electronics companies. See Note 14 for additional information on our business segments.</w:t>
      </w:r>
    </w:p>
    <w:p>
      <w:pPr>
        <w:spacing w:after="0" w:line="208"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i w:val="1"/>
          <w:iCs w:val="1"/>
          <w:color w:val="auto"/>
        </w:rPr>
        <w:t xml:space="preserve">Acquisitions </w:t>
      </w:r>
      <w:r>
        <w:rPr>
          <w:rFonts w:ascii="Arial" w:cs="Arial" w:eastAsia="Arial" w:hAnsi="Arial"/>
          <w:sz w:val="16"/>
          <w:szCs w:val="16"/>
          <w:color w:val="auto"/>
        </w:rPr>
        <w:t>– In the second quarter of 2009, we expanded our microcontroller portfolio by acquiring Luminary Micro for net cash of $51 million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of $7 million. We recognized $15 million of goodwill, which is not expected to be deductible for tax purposes, $41 million of intangible assets, and $2 million of other net assets and liabilities. The former Luminary Micro operations were integrated into our Embedded Processing segment.</w:t>
      </w:r>
    </w:p>
    <w:p>
      <w:pPr>
        <w:ind w:right="100" w:firstLine="324"/>
        <w:spacing w:after="0" w:line="250" w:lineRule="auto"/>
        <w:rPr>
          <w:sz w:val="20"/>
          <w:szCs w:val="20"/>
          <w:color w:val="auto"/>
        </w:rPr>
      </w:pPr>
      <w:r>
        <w:rPr>
          <w:rFonts w:ascii="Arial" w:cs="Arial" w:eastAsia="Arial" w:hAnsi="Arial"/>
          <w:sz w:val="18"/>
          <w:szCs w:val="18"/>
          <w:color w:val="auto"/>
        </w:rPr>
        <w:t>In the first quarter of 2009, we acquired CICLON Semiconductor Device Corporation (CICLON), a designer of high-frequency, high-efficiency power management semiconductors, for net cash of $104 million and other consideration of $7 million. We recognized $70 million of goodwill, which is not expected to be deductible for tax purposes, $40 million of intangible assets, and $1 million of other net assets and liabilities. The former CICLON operations were integrated into our Analog segment.</w:t>
      </w:r>
    </w:p>
    <w:p>
      <w:pPr>
        <w:spacing w:after="0" w:line="2" w:lineRule="exact"/>
        <w:rPr>
          <w:sz w:val="20"/>
          <w:szCs w:val="20"/>
          <w:color w:val="auto"/>
        </w:rPr>
      </w:pPr>
    </w:p>
    <w:p>
      <w:pPr>
        <w:ind w:right="520" w:firstLine="324"/>
        <w:spacing w:after="0" w:line="250" w:lineRule="auto"/>
        <w:rPr>
          <w:sz w:val="20"/>
          <w:szCs w:val="20"/>
          <w:color w:val="auto"/>
        </w:rPr>
      </w:pPr>
      <w:r>
        <w:rPr>
          <w:rFonts w:ascii="Arial" w:cs="Arial" w:eastAsia="Arial" w:hAnsi="Arial"/>
          <w:sz w:val="18"/>
          <w:szCs w:val="18"/>
          <w:color w:val="auto"/>
        </w:rPr>
        <w:t>In the second quarter of 2008, to obtain design expertise and technology, we made two acquisitions, both of which were integrated into our Analog segment, for net cash of $19 million. We recognized $2 million of goodwill and $13 million of intangible assets.</w:t>
      </w:r>
    </w:p>
    <w:p>
      <w:pPr>
        <w:spacing w:after="0" w:line="1" w:lineRule="exact"/>
        <w:rPr>
          <w:sz w:val="20"/>
          <w:szCs w:val="20"/>
          <w:color w:val="auto"/>
        </w:rPr>
      </w:pPr>
    </w:p>
    <w:p>
      <w:pPr>
        <w:jc w:val="both"/>
        <w:ind w:right="20" w:firstLine="324"/>
        <w:spacing w:after="0" w:line="250" w:lineRule="auto"/>
        <w:rPr>
          <w:sz w:val="20"/>
          <w:szCs w:val="20"/>
          <w:color w:val="auto"/>
        </w:rPr>
      </w:pPr>
      <w:r>
        <w:rPr>
          <w:rFonts w:ascii="Arial" w:cs="Arial" w:eastAsia="Arial" w:hAnsi="Arial"/>
          <w:sz w:val="18"/>
          <w:szCs w:val="18"/>
          <w:color w:val="auto"/>
        </w:rPr>
        <w:t>During 2007, to obtain design expertise and technology, we made three acquisitions, including an asset acquisition, for net cash of $87 million. The asset acquisition was integrated into our Wireless segment and the remaining two acquisitions were integrated into our Analog segment. We recognized $48 million of goodwill and $45 million of intangible assets.</w:t>
      </w:r>
    </w:p>
    <w:p>
      <w:pPr>
        <w:spacing w:after="0" w:line="1" w:lineRule="exact"/>
        <w:rPr>
          <w:sz w:val="20"/>
          <w:szCs w:val="20"/>
          <w:color w:val="auto"/>
        </w:rPr>
      </w:pPr>
    </w:p>
    <w:p>
      <w:pPr>
        <w:jc w:val="both"/>
        <w:ind w:right="320" w:firstLine="324"/>
        <w:spacing w:after="0" w:line="255" w:lineRule="auto"/>
        <w:rPr>
          <w:sz w:val="20"/>
          <w:szCs w:val="20"/>
          <w:color w:val="auto"/>
        </w:rPr>
      </w:pPr>
      <w:r>
        <w:rPr>
          <w:rFonts w:ascii="Arial" w:cs="Arial" w:eastAsia="Arial" w:hAnsi="Arial"/>
          <w:sz w:val="18"/>
          <w:szCs w:val="18"/>
          <w:color w:val="auto"/>
        </w:rPr>
        <w:t>With the exception of the asset acquisition, all acquisitions were accounted for as purchase business combinations. The results of operations for these acquisitions have been included in our financial statements from their respective acquisition dates. Pro forma information has not been presented for these acquisitions because it would not be materially different from amounts reported.</w:t>
      </w:r>
    </w:p>
    <w:p>
      <w:pPr>
        <w:spacing w:after="0" w:line="21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i w:val="1"/>
          <w:iCs w:val="1"/>
          <w:color w:val="auto"/>
        </w:rPr>
        <w:t xml:space="preserve">Dispositions </w:t>
      </w:r>
      <w:r>
        <w:rPr>
          <w:rFonts w:ascii="Arial" w:cs="Arial" w:eastAsia="Arial" w:hAnsi="Arial"/>
          <w:sz w:val="16"/>
          <w:szCs w:val="16"/>
          <w:color w:val="auto"/>
        </w:rPr>
        <w:t>– In July 2007, we completed the sale of our broadband digital subscriber line (DSL) customer-premises equipment semiconductor product line,</w:t>
      </w:r>
      <w:r>
        <w:rPr>
          <w:rFonts w:ascii="Arial" w:cs="Arial" w:eastAsia="Arial" w:hAnsi="Arial"/>
          <w:sz w:val="16"/>
          <w:szCs w:val="16"/>
          <w:i w:val="1"/>
          <w:iCs w:val="1"/>
          <w:color w:val="auto"/>
        </w:rPr>
        <w:t xml:space="preserve"> </w:t>
      </w:r>
      <w:r>
        <w:rPr>
          <w:rFonts w:ascii="Arial" w:cs="Arial" w:eastAsia="Arial" w:hAnsi="Arial"/>
          <w:sz w:val="16"/>
          <w:szCs w:val="16"/>
          <w:color w:val="auto"/>
        </w:rPr>
        <w:t>which was included in Other, to Infineon Technologies AG (Infineon) for $61 million and recognized a pre-tax gain of $39 million in cost of revenue.</w:t>
      </w:r>
    </w:p>
    <w:p>
      <w:pPr>
        <w:spacing w:after="0" w:line="151"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i w:val="1"/>
          <w:iCs w:val="1"/>
          <w:color w:val="auto"/>
        </w:rPr>
        <w:t xml:space="preserve">Discontinued operations </w:t>
      </w:r>
      <w:r>
        <w:rPr>
          <w:rFonts w:ascii="Arial" w:cs="Arial" w:eastAsia="Arial" w:hAnsi="Arial"/>
          <w:sz w:val="16"/>
          <w:szCs w:val="16"/>
          <w:color w:val="auto"/>
        </w:rPr>
        <w:t>– Income from discontinued operations in 2007 of $16 million (or $0.01 per share) includes an income tax benefit related to a</w:t>
      </w:r>
      <w:r>
        <w:rPr>
          <w:rFonts w:ascii="Arial" w:cs="Arial" w:eastAsia="Arial" w:hAnsi="Arial"/>
          <w:sz w:val="16"/>
          <w:szCs w:val="16"/>
          <w:i w:val="1"/>
          <w:iCs w:val="1"/>
          <w:color w:val="auto"/>
        </w:rPr>
        <w:t xml:space="preserve"> </w:t>
      </w:r>
      <w:r>
        <w:rPr>
          <w:rFonts w:ascii="Arial" w:cs="Arial" w:eastAsia="Arial" w:hAnsi="Arial"/>
          <w:sz w:val="16"/>
          <w:szCs w:val="16"/>
          <w:color w:val="auto"/>
        </w:rPr>
        <w:t>reduction of a state tax liability associated with the sale of our former Sensors &amp; Controls business, which was renamed Sensata Technologies (Sensata).</w:t>
      </w:r>
    </w:p>
    <w:p>
      <w:pPr>
        <w:spacing w:after="0" w:line="15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u w:val="single" w:color="auto"/>
          <w:color w:val="auto"/>
        </w:rPr>
        <w:t>Basis of presentation</w:t>
      </w:r>
      <w:r>
        <w:rPr>
          <w:rFonts w:ascii="Arial" w:cs="Arial" w:eastAsia="Arial" w:hAnsi="Arial"/>
          <w:sz w:val="17"/>
          <w:szCs w:val="17"/>
          <w:color w:val="auto"/>
        </w:rPr>
        <w:t>: The consolidated financial statements have been prepared in accordance with accounting principles generally accepted in the United States (U.S. GAAP). The basis of these financial statements is comparable for all periods presented herein, except for the adoption of:</w:t>
      </w:r>
    </w:p>
    <w:p>
      <w:pPr>
        <w:spacing w:after="0" w:line="174" w:lineRule="exact"/>
        <w:rPr>
          <w:sz w:val="20"/>
          <w:szCs w:val="20"/>
          <w:color w:val="auto"/>
        </w:rPr>
      </w:pPr>
    </w:p>
    <w:p>
      <w:pPr>
        <w:ind w:left="500" w:hanging="168"/>
        <w:spacing w:after="0"/>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new accounting standard on business combinations as of January 1, 2009, the impact of which was not significant, and</w:t>
      </w:r>
    </w:p>
    <w:p>
      <w:pPr>
        <w:spacing w:after="0" w:line="23" w:lineRule="exact"/>
        <w:rPr>
          <w:rFonts w:ascii="Arial" w:cs="Arial" w:eastAsia="Arial" w:hAnsi="Arial"/>
          <w:sz w:val="18"/>
          <w:szCs w:val="18"/>
          <w:color w:val="auto"/>
        </w:rPr>
      </w:pPr>
    </w:p>
    <w:p>
      <w:pPr>
        <w:ind w:left="500" w:right="540" w:hanging="168"/>
        <w:spacing w:after="0" w:line="290" w:lineRule="auto"/>
        <w:tabs>
          <w:tab w:leader="none" w:pos="5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 new accounting standard on fair-value measurements for financial assets and liabilities as of January 1, 2008, and for non-financial assets and liabilities as of January 1, 2009, which primarily resulted in additional disclosures regarding fair-value measurements.</w:t>
      </w:r>
    </w:p>
    <w:p>
      <w:pPr>
        <w:spacing w:after="0" w:line="189" w:lineRule="exact"/>
        <w:rPr>
          <w:sz w:val="20"/>
          <w:szCs w:val="20"/>
          <w:color w:val="auto"/>
        </w:rPr>
      </w:pPr>
    </w:p>
    <w:p>
      <w:pPr>
        <w:ind w:right="320" w:firstLine="324"/>
        <w:spacing w:after="0" w:line="256" w:lineRule="auto"/>
        <w:rPr>
          <w:sz w:val="20"/>
          <w:szCs w:val="20"/>
          <w:color w:val="auto"/>
        </w:rPr>
      </w:pPr>
      <w:r>
        <w:rPr>
          <w:rFonts w:ascii="Arial" w:cs="Arial" w:eastAsia="Arial" w:hAnsi="Arial"/>
          <w:sz w:val="18"/>
          <w:szCs w:val="18"/>
          <w:color w:val="auto"/>
        </w:rPr>
        <w:t>The consolidated financial statements include the accounts of all subsidiaries. All intercompany balances and transactions have been eliminated in consolidation. All dollar amounts in the financial statements and tables in the notes, except per-share amounts, are stated in millions of U.S. dollars unless otherwise indicated. All amounts in the notes reference continuing operations unless otherwise indicated.</w:t>
      </w:r>
    </w:p>
    <w:p>
      <w:pPr>
        <w:ind w:left="340"/>
        <w:spacing w:after="0"/>
        <w:rPr>
          <w:sz w:val="20"/>
          <w:szCs w:val="20"/>
          <w:color w:val="auto"/>
        </w:rPr>
      </w:pPr>
      <w:r>
        <w:rPr>
          <w:rFonts w:ascii="Arial" w:cs="Arial" w:eastAsia="Arial" w:hAnsi="Arial"/>
          <w:sz w:val="18"/>
          <w:szCs w:val="18"/>
          <w:color w:val="auto"/>
        </w:rPr>
        <w:t>The preparation of financial statements requires the use of estimates from which final results may vary.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4" w:name="page65"/>
    <w:bookmarkEnd w:id="64"/>
    <w:p>
      <w:pPr>
        <w:spacing w:after="0"/>
        <w:rPr>
          <w:sz w:val="20"/>
          <w:szCs w:val="20"/>
          <w:color w:val="auto"/>
        </w:rPr>
      </w:pPr>
      <w:r>
        <w:rPr>
          <w:rFonts w:ascii="Arial" w:cs="Arial" w:eastAsia="Arial" w:hAnsi="Arial"/>
          <w:sz w:val="14"/>
          <w:szCs w:val="14"/>
          <w:color w:val="auto"/>
        </w:rPr>
        <w:t>TEXAS INSTRUMENTS 2009 ANNUAL REPORT n PAGE 8</w:t>
      </w:r>
    </w:p>
    <w:p>
      <w:pPr>
        <w:spacing w:after="0" w:line="23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u w:val="single" w:color="auto"/>
          <w:color w:val="auto"/>
        </w:rPr>
        <w:t>Revenue recognition</w:t>
      </w:r>
      <w:r>
        <w:rPr>
          <w:rFonts w:ascii="Arial" w:cs="Arial" w:eastAsia="Arial" w:hAnsi="Arial"/>
          <w:sz w:val="17"/>
          <w:szCs w:val="17"/>
          <w:color w:val="auto"/>
        </w:rPr>
        <w:t>: We recognize revenue from direct sales of our products to our customers, including shipping fees, when title passes to the customer, which usually occurs upon shipment or delivery, depending upon the terms of the sales order; when persuasive evidence of an arrangement exists; and when collectibility is reasonably assured. Estimates of product returns for quality reasons and of price allowances (based on historical experience, product shipment analysis and customer contractual arrangements) are recorded when revenue is recognized. Allowances include volume-based incentives and special pricing arrangements. In addition, we record allowances for accounts receivable that we estimate may not be collected.</w:t>
      </w:r>
    </w:p>
    <w:p>
      <w:pPr>
        <w:spacing w:after="0" w:line="3" w:lineRule="exact"/>
        <w:rPr>
          <w:sz w:val="20"/>
          <w:szCs w:val="20"/>
          <w:color w:val="auto"/>
        </w:rPr>
      </w:pPr>
    </w:p>
    <w:p>
      <w:pPr>
        <w:ind w:right="80" w:firstLine="324"/>
        <w:spacing w:after="0" w:line="265" w:lineRule="auto"/>
        <w:rPr>
          <w:sz w:val="20"/>
          <w:szCs w:val="20"/>
          <w:color w:val="auto"/>
        </w:rPr>
      </w:pPr>
      <w:r>
        <w:rPr>
          <w:rFonts w:ascii="Arial" w:cs="Arial" w:eastAsia="Arial" w:hAnsi="Arial"/>
          <w:sz w:val="17"/>
          <w:szCs w:val="17"/>
          <w:color w:val="auto"/>
        </w:rPr>
        <w:t>We recognize revenue from direct sales of our products to our distributors, net of allowances, consistent with the principles discussed above. Title transfers to the distributors at delivery or when the products are pulled from consignment inventory and payment is due on our standard commercial terms; payment terms are not contingent upon resale of the products. We also grant discounts to some distributors for prompt payments. We calculate credit allowances based on historical data, current economic conditions and contractual terms. For instance, we sell to distributors at standard published prices, but we may grant them price adjustment credits in response to individual competitive opportunities they may have. To estimate allowances for this type of credit, we use statistical percentages of revenue, determined quarterly, based upon recent historical adjustment trends.</w:t>
      </w:r>
    </w:p>
    <w:p>
      <w:pPr>
        <w:spacing w:after="0" w:line="1" w:lineRule="exact"/>
        <w:rPr>
          <w:sz w:val="20"/>
          <w:szCs w:val="20"/>
          <w:color w:val="auto"/>
        </w:rPr>
      </w:pPr>
    </w:p>
    <w:p>
      <w:pPr>
        <w:ind w:firstLine="324"/>
        <w:spacing w:after="0" w:line="250" w:lineRule="auto"/>
        <w:rPr>
          <w:sz w:val="20"/>
          <w:szCs w:val="20"/>
          <w:color w:val="auto"/>
        </w:rPr>
      </w:pPr>
      <w:r>
        <w:rPr>
          <w:rFonts w:ascii="Arial" w:cs="Arial" w:eastAsia="Arial" w:hAnsi="Arial"/>
          <w:sz w:val="18"/>
          <w:szCs w:val="18"/>
          <w:color w:val="auto"/>
        </w:rPr>
        <w:t>We also provide distributors an allowance to scrap certain slow-moving or obsolete products in their inventory, estimated as a negotiated fixed percentage of each distributor’s purchases from us. In addition, if we publish a new price for a product that is lower than that paid by distributors for the same product still remaining in each distributor’s on-hand inventory, we may credit them for the difference between those prices. The allowance for this type of credit is based on the identified product price difference applied to our estimate of each distributor’s on-hand inventory of that product. We believe we can reasonably and reliably estimate allowances for credits to distributors in a timely manner.</w:t>
      </w:r>
    </w:p>
    <w:p>
      <w:pPr>
        <w:spacing w:after="0" w:line="2" w:lineRule="exact"/>
        <w:rPr>
          <w:sz w:val="20"/>
          <w:szCs w:val="20"/>
          <w:color w:val="auto"/>
        </w:rPr>
      </w:pPr>
    </w:p>
    <w:p>
      <w:pPr>
        <w:ind w:firstLine="324"/>
        <w:spacing w:after="0" w:line="281" w:lineRule="auto"/>
        <w:rPr>
          <w:sz w:val="20"/>
          <w:szCs w:val="20"/>
          <w:color w:val="auto"/>
        </w:rPr>
      </w:pPr>
      <w:r>
        <w:rPr>
          <w:rFonts w:ascii="Arial" w:cs="Arial" w:eastAsia="Arial" w:hAnsi="Arial"/>
          <w:sz w:val="16"/>
          <w:szCs w:val="16"/>
          <w:color w:val="auto"/>
        </w:rPr>
        <w:t>We determine the amount and timing of royalty revenue based on our contractual agreements with intellectual property licensees. We recognize royalty revenue when earned under the terms of the agreements and when we consider realization of payment to be probable. Where royalties are based on a percentage of licensee sales of royalty-bearing products, we recognize royalty revenue by applying this percentage to our estimate of applicable licensee sales. We base this estimate on historical experience and an analysis of each licensee’s sales results. Where royalties are based on fixed payment amounts, we recognize royalty revenue ratably over the term of the royalty agreement. Where warranted, revenue from licensees may be recognized on a cash basis.</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include shipping and handling costs in cost of revenue.</w:t>
      </w:r>
    </w:p>
    <w:p>
      <w:pPr>
        <w:spacing w:after="0" w:line="23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u w:val="single" w:color="auto"/>
          <w:color w:val="auto"/>
        </w:rPr>
        <w:t>Stock-based compensation</w:t>
      </w:r>
      <w:r>
        <w:rPr>
          <w:rFonts w:ascii="Arial" w:cs="Arial" w:eastAsia="Arial" w:hAnsi="Arial"/>
          <w:sz w:val="18"/>
          <w:szCs w:val="18"/>
          <w:color w:val="auto"/>
        </w:rPr>
        <w:t>: We have several stock-based employee compensation plans, which are more fully described in Note 3. We account for all awards granted under those plans at fair value and estimate fair values for non-qualified stock options using the Black-Scholes option-pricing model with the assumptions listed in Note 3.</w:t>
      </w:r>
    </w:p>
    <w:p>
      <w:pPr>
        <w:spacing w:after="0" w:line="20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u w:val="single" w:color="auto"/>
          <w:color w:val="auto"/>
        </w:rPr>
        <w:t>Advertising costs</w:t>
      </w:r>
      <w:r>
        <w:rPr>
          <w:rFonts w:ascii="Arial" w:cs="Arial" w:eastAsia="Arial" w:hAnsi="Arial"/>
          <w:sz w:val="18"/>
          <w:szCs w:val="18"/>
          <w:color w:val="auto"/>
        </w:rPr>
        <w:t>: We expense advertising and other promotional costs as incurred. This expense was $42 million in 2009, $123 million in 2008 and $194 million in 2007.</w:t>
      </w:r>
    </w:p>
    <w:p>
      <w:pPr>
        <w:spacing w:after="0" w:line="19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u w:val="single" w:color="auto"/>
          <w:color w:val="auto"/>
        </w:rPr>
        <w:t>Income taxes</w:t>
      </w:r>
      <w:r>
        <w:rPr>
          <w:rFonts w:ascii="Arial" w:cs="Arial" w:eastAsia="Arial" w:hAnsi="Arial"/>
          <w:sz w:val="17"/>
          <w:szCs w:val="17"/>
          <w:color w:val="auto"/>
        </w:rPr>
        <w:t>: We account for income taxes using an asset and liability approach. We record the amount of taxes payable or refundable for the current year and the deferred tax assets and liabilities for future tax consequences of events that have been recognized in the financial statements or tax returns. We record a valuation allowance when it is more likely than not that some portion or all of the deferred tax assets will not be realized.</w:t>
      </w:r>
    </w:p>
    <w:p>
      <w:pPr>
        <w:spacing w:after="0" w:line="19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u w:val="single" w:color="auto"/>
          <w:color w:val="auto"/>
        </w:rPr>
        <w:t>Other assessed taxes</w:t>
      </w:r>
      <w:r>
        <w:rPr>
          <w:rFonts w:ascii="Arial" w:cs="Arial" w:eastAsia="Arial" w:hAnsi="Arial"/>
          <w:sz w:val="18"/>
          <w:szCs w:val="18"/>
          <w:color w:val="auto"/>
        </w:rPr>
        <w:t>: Some transactions require us to collect taxes such as sales, value-added and excise taxes from our customers. These transactions are presented in our statements of income on a net (excluded from revenue) basis.</w:t>
      </w:r>
    </w:p>
    <w:p>
      <w:pPr>
        <w:spacing w:after="0" w:line="19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u w:val="single" w:color="auto"/>
          <w:color w:val="auto"/>
        </w:rPr>
        <w:t>Earnings per share (EPS)</w:t>
      </w:r>
      <w:r>
        <w:rPr>
          <w:rFonts w:ascii="Arial" w:cs="Arial" w:eastAsia="Arial" w:hAnsi="Arial"/>
          <w:sz w:val="16"/>
          <w:szCs w:val="16"/>
          <w:color w:val="auto"/>
        </w:rPr>
        <w:t xml:space="preserve">: In 2008, the Financial Accounting Standards Board (FASB) issued an update to Accounting Standards Codification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 that required us to calculate EPS using the two-class method beginning January 1, 2009. As a result, unvested awards of share-based</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with rights to receive dividends or dividend equivalents, such as our restricted stock units (RSUs), are considered to be participating securities. Under the two-class method, a portion of income from continuing operations or net income is allocated to these participating securities and, therefore, is excluded from the calculation of EPS allocated to common stock, as shown in the table below. We have adopted the two-class method retroactively and, as a result, all prior period earnings per share data presented herein have been adjusted to conform to these provisions. The adoption of this standard resulted in a decrease of $.01 per share to the previously reported basic and diluted EPS for 2008 and a decrease of $.01 to the previously reported diluted EPS for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gridSpan w:val="10"/>
          </w:tcPr>
          <w:p>
            <w:pPr>
              <w:jc w:val="right"/>
              <w:spacing w:after="0"/>
              <w:rPr>
                <w:sz w:val="20"/>
                <w:szCs w:val="20"/>
                <w:color w:val="auto"/>
              </w:rPr>
            </w:pPr>
            <w:r>
              <w:rPr>
                <w:rFonts w:ascii="Arial" w:cs="Arial" w:eastAsia="Arial" w:hAnsi="Arial"/>
                <w:sz w:val="14"/>
                <w:szCs w:val="14"/>
                <w:color w:val="auto"/>
              </w:rPr>
              <w:t>TEXAS INSTRUMENTS 2009 ANNUAL REPORT n PAGE 9</w:t>
            </w:r>
          </w:p>
        </w:tc>
        <w:tc>
          <w:tcPr>
            <w:tcW w:w="0" w:type="dxa"/>
            <w:vAlign w:val="bottom"/>
          </w:tcPr>
          <w:p>
            <w:pPr>
              <w:spacing w:after="0"/>
              <w:rPr>
                <w:sz w:val="1"/>
                <w:szCs w:val="1"/>
                <w:color w:val="auto"/>
              </w:rPr>
            </w:pPr>
          </w:p>
        </w:tc>
      </w:tr>
      <w:tr>
        <w:trPr>
          <w:trHeight w:val="444"/>
        </w:trPr>
        <w:tc>
          <w:tcPr>
            <w:tcW w:w="9520" w:type="dxa"/>
            <w:vAlign w:val="bottom"/>
            <w:gridSpan w:val="24"/>
          </w:tcPr>
          <w:p>
            <w:pPr>
              <w:spacing w:after="0"/>
              <w:rPr>
                <w:sz w:val="20"/>
                <w:szCs w:val="20"/>
                <w:color w:val="auto"/>
              </w:rPr>
            </w:pPr>
            <w:r>
              <w:rPr>
                <w:rFonts w:ascii="Arial" w:cs="Arial" w:eastAsia="Arial" w:hAnsi="Arial"/>
                <w:sz w:val="18"/>
                <w:szCs w:val="18"/>
                <w:color w:val="auto"/>
                <w:w w:val="96"/>
              </w:rPr>
              <w:t>Computation and reconciliation of earnings per common share from continuing operations are as follows (shares in millions):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w w:val="91"/>
              </w:rPr>
              <w:t>Income</w:t>
            </w: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w w:val="91"/>
              </w:rPr>
              <w:t>Income</w:t>
            </w: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w w:val="91"/>
              </w:rPr>
              <w:t>Income</w:t>
            </w: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from</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from</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from</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60" w:type="dxa"/>
            <w:vAlign w:val="bottom"/>
            <w:gridSpan w:val="4"/>
          </w:tcPr>
          <w:p>
            <w:pPr>
              <w:ind w:left="100"/>
              <w:spacing w:after="0"/>
              <w:rPr>
                <w:sz w:val="20"/>
                <w:szCs w:val="20"/>
                <w:color w:val="auto"/>
              </w:rPr>
            </w:pPr>
            <w:r>
              <w:rPr>
                <w:rFonts w:ascii="Arial" w:cs="Arial" w:eastAsia="Arial" w:hAnsi="Arial"/>
                <w:sz w:val="18"/>
                <w:szCs w:val="18"/>
                <w:b w:val="1"/>
                <w:bCs w:val="1"/>
                <w:color w:val="auto"/>
              </w:rPr>
              <w:t>Continuing</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ind w:left="100"/>
              <w:spacing w:after="0"/>
              <w:rPr>
                <w:sz w:val="20"/>
                <w:szCs w:val="20"/>
                <w:color w:val="auto"/>
              </w:rPr>
            </w:pPr>
            <w:r>
              <w:rPr>
                <w:rFonts w:ascii="Arial" w:cs="Arial" w:eastAsia="Arial" w:hAnsi="Arial"/>
                <w:sz w:val="18"/>
                <w:szCs w:val="18"/>
                <w:b w:val="1"/>
                <w:bCs w:val="1"/>
                <w:color w:val="auto"/>
              </w:rPr>
              <w:t>Continuing</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ind w:left="100"/>
              <w:spacing w:after="0"/>
              <w:rPr>
                <w:sz w:val="20"/>
                <w:szCs w:val="20"/>
                <w:color w:val="auto"/>
              </w:rPr>
            </w:pPr>
            <w:r>
              <w:rPr>
                <w:rFonts w:ascii="Arial" w:cs="Arial" w:eastAsia="Arial" w:hAnsi="Arial"/>
                <w:sz w:val="18"/>
                <w:szCs w:val="18"/>
                <w:b w:val="1"/>
                <w:bCs w:val="1"/>
                <w:color w:val="auto"/>
              </w:rPr>
              <w:t>Continuing</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Operations</w:t>
            </w: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EPS</w:t>
            </w: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Operations</w:t>
            </w: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EPS</w:t>
            </w: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Operations</w:t>
            </w: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Basic EPS: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Income</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1,470</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1,920</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2,641</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tcPr>
          <w:p>
            <w:pPr>
              <w:spacing w:after="0" w:line="201" w:lineRule="exact"/>
              <w:rPr>
                <w:sz w:val="20"/>
                <w:szCs w:val="20"/>
                <w:color w:val="auto"/>
              </w:rPr>
            </w:pPr>
            <w:r>
              <w:rPr>
                <w:rFonts w:ascii="Arial" w:cs="Arial" w:eastAsia="Arial" w:hAnsi="Arial"/>
                <w:sz w:val="18"/>
                <w:szCs w:val="18"/>
                <w:color w:val="auto"/>
              </w:rPr>
              <w:t>Less income allocated to</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(14)</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80" w:type="dxa"/>
            <w:vAlign w:val="bottom"/>
          </w:tcPr>
          <w:p>
            <w:pPr>
              <w:ind w:left="160"/>
              <w:spacing w:after="0"/>
              <w:rPr>
                <w:sz w:val="20"/>
                <w:szCs w:val="20"/>
                <w:color w:val="auto"/>
              </w:rPr>
            </w:pPr>
            <w:r>
              <w:rPr>
                <w:rFonts w:ascii="Arial" w:cs="Arial" w:eastAsia="Arial" w:hAnsi="Arial"/>
                <w:sz w:val="18"/>
                <w:szCs w:val="18"/>
                <w:color w:val="auto"/>
              </w:rPr>
              <w:t>RSUs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Income allocated to common</w:t>
            </w: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for basic EPS</w:t>
            </w:r>
          </w:p>
        </w:tc>
        <w:tc>
          <w:tcPr>
            <w:tcW w:w="20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1,456</w:t>
            </w: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1,260</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calculation</w:t>
            </w:r>
          </w:p>
        </w:tc>
        <w:tc>
          <w:tcPr>
            <w:tcW w:w="200" w:type="dxa"/>
            <w:vAlign w:val="bottom"/>
            <w:gridSpan w:val="2"/>
            <w:vMerge w:val="continue"/>
            <w:shd w:val="clear" w:color="auto" w:fill="CCEEFF"/>
          </w:tcPr>
          <w:p>
            <w:pPr>
              <w:spacing w:after="0"/>
              <w:rPr>
                <w:sz w:val="23"/>
                <w:szCs w:val="23"/>
                <w:color w:val="auto"/>
              </w:rPr>
            </w:pPr>
          </w:p>
        </w:tc>
        <w:tc>
          <w:tcPr>
            <w:tcW w:w="960" w:type="dxa"/>
            <w:vAlign w:val="bottom"/>
            <w:gridSpan w:val="2"/>
            <w:vMerge w:val="continue"/>
            <w:shd w:val="clear" w:color="auto" w:fill="CCEEFF"/>
          </w:tcPr>
          <w:p>
            <w:pPr>
              <w:spacing w:after="0"/>
              <w:rPr>
                <w:sz w:val="23"/>
                <w:szCs w:val="23"/>
                <w:color w:val="auto"/>
              </w:rPr>
            </w:pPr>
          </w:p>
        </w:tc>
        <w:tc>
          <w:tcPr>
            <w:tcW w:w="900" w:type="dxa"/>
            <w:vAlign w:val="bottom"/>
            <w:vMerge w:val="continue"/>
            <w:shd w:val="clear" w:color="auto" w:fill="CCEEFF"/>
          </w:tcPr>
          <w:p>
            <w:pPr>
              <w:spacing w:after="0"/>
              <w:rPr>
                <w:sz w:val="23"/>
                <w:szCs w:val="23"/>
                <w:color w:val="auto"/>
              </w:rPr>
            </w:pPr>
          </w:p>
        </w:tc>
        <w:tc>
          <w:tcPr>
            <w:tcW w:w="260" w:type="dxa"/>
            <w:vAlign w:val="bottom"/>
            <w:gridSpan w:val="2"/>
            <w:vMerge w:val="continue"/>
            <w:shd w:val="clear" w:color="auto" w:fill="CCEEFF"/>
          </w:tcPr>
          <w:p>
            <w:pPr>
              <w:spacing w:after="0"/>
              <w:rPr>
                <w:sz w:val="23"/>
                <w:szCs w:val="23"/>
                <w:color w:val="auto"/>
              </w:rPr>
            </w:pPr>
          </w:p>
        </w:tc>
        <w:tc>
          <w:tcPr>
            <w:tcW w:w="740" w:type="dxa"/>
            <w:vAlign w:val="bottom"/>
            <w:gridSpan w:val="2"/>
            <w:vMerge w:val="continue"/>
            <w:shd w:val="clear" w:color="auto" w:fill="CCEEFF"/>
          </w:tcPr>
          <w:p>
            <w:pPr>
              <w:spacing w:after="0"/>
              <w:rPr>
                <w:sz w:val="23"/>
                <w:szCs w:val="23"/>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1,908</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2,631</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 for dilutive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tcPr>
          <w:p>
            <w:pPr>
              <w:ind w:left="160"/>
              <w:spacing w:after="0" w:line="201" w:lineRule="exact"/>
              <w:rPr>
                <w:sz w:val="20"/>
                <w:szCs w:val="20"/>
                <w:color w:val="auto"/>
              </w:rPr>
            </w:pPr>
            <w:r>
              <w:rPr>
                <w:rFonts w:ascii="Arial" w:cs="Arial" w:eastAsia="Arial" w:hAnsi="Arial"/>
                <w:sz w:val="18"/>
                <w:szCs w:val="18"/>
                <w:color w:val="auto"/>
                <w:w w:val="92"/>
              </w:rPr>
              <w:t>Stock-based compensation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tcPr>
          <w:p>
            <w:pPr>
              <w:ind w:left="320"/>
              <w:spacing w:after="0"/>
              <w:rPr>
                <w:sz w:val="20"/>
                <w:szCs w:val="20"/>
                <w:color w:val="auto"/>
              </w:rPr>
            </w:pPr>
            <w:r>
              <w:rPr>
                <w:rFonts w:ascii="Arial" w:cs="Arial" w:eastAsia="Arial" w:hAnsi="Arial"/>
                <w:sz w:val="18"/>
                <w:szCs w:val="18"/>
                <w:color w:val="auto"/>
              </w:rPr>
              <w:t>plans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Diluted EPS: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Income</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1,470</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1,920</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2,641</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tcPr>
          <w:p>
            <w:pPr>
              <w:spacing w:after="0" w:line="201" w:lineRule="exact"/>
              <w:rPr>
                <w:sz w:val="20"/>
                <w:szCs w:val="20"/>
                <w:color w:val="auto"/>
              </w:rPr>
            </w:pPr>
            <w:r>
              <w:rPr>
                <w:rFonts w:ascii="Arial" w:cs="Arial" w:eastAsia="Arial" w:hAnsi="Arial"/>
                <w:sz w:val="18"/>
                <w:szCs w:val="18"/>
                <w:color w:val="auto"/>
              </w:rPr>
              <w:t>Less income allocated to</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(14)</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80" w:type="dxa"/>
            <w:vAlign w:val="bottom"/>
          </w:tcPr>
          <w:p>
            <w:pPr>
              <w:ind w:left="160"/>
              <w:spacing w:after="0"/>
              <w:rPr>
                <w:sz w:val="20"/>
                <w:szCs w:val="20"/>
                <w:color w:val="auto"/>
              </w:rPr>
            </w:pPr>
            <w:r>
              <w:rPr>
                <w:rFonts w:ascii="Arial" w:cs="Arial" w:eastAsia="Arial" w:hAnsi="Arial"/>
                <w:sz w:val="18"/>
                <w:szCs w:val="18"/>
                <w:color w:val="auto"/>
              </w:rPr>
              <w:t>RSUs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vMerge w:val="continue"/>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(12)</w:t>
            </w: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(10)</w:t>
            </w: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Income allocated to common</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for diluted EPS</w:t>
            </w:r>
          </w:p>
        </w:tc>
        <w:tc>
          <w:tcPr>
            <w:tcW w:w="20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1,456</w:t>
            </w: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1,269</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calculation</w:t>
            </w:r>
          </w:p>
        </w:tc>
        <w:tc>
          <w:tcPr>
            <w:tcW w:w="200" w:type="dxa"/>
            <w:vAlign w:val="bottom"/>
            <w:gridSpan w:val="2"/>
            <w:vMerge w:val="continue"/>
            <w:shd w:val="clear" w:color="auto" w:fill="CCEEFF"/>
          </w:tcPr>
          <w:p>
            <w:pPr>
              <w:spacing w:after="0"/>
              <w:rPr>
                <w:sz w:val="21"/>
                <w:szCs w:val="21"/>
                <w:color w:val="auto"/>
              </w:rPr>
            </w:pPr>
          </w:p>
        </w:tc>
        <w:tc>
          <w:tcPr>
            <w:tcW w:w="960" w:type="dxa"/>
            <w:vAlign w:val="bottom"/>
            <w:gridSpan w:val="2"/>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260" w:type="dxa"/>
            <w:vAlign w:val="bottom"/>
            <w:gridSpan w:val="2"/>
            <w:vMerge w:val="continue"/>
            <w:shd w:val="clear" w:color="auto" w:fill="CCEEFF"/>
          </w:tcPr>
          <w:p>
            <w:pPr>
              <w:spacing w:after="0"/>
              <w:rPr>
                <w:sz w:val="21"/>
                <w:szCs w:val="21"/>
                <w:color w:val="auto"/>
              </w:rPr>
            </w:pPr>
          </w:p>
        </w:tc>
        <w:tc>
          <w:tcPr>
            <w:tcW w:w="740" w:type="dxa"/>
            <w:vAlign w:val="bottom"/>
            <w:gridSpan w:val="2"/>
            <w:vMerge w:val="continue"/>
            <w:shd w:val="clear" w:color="auto" w:fill="CCEEFF"/>
          </w:tcPr>
          <w:p>
            <w:pPr>
              <w:spacing w:after="0"/>
              <w:rPr>
                <w:sz w:val="21"/>
                <w:szCs w:val="21"/>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1,908</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2,631</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Options to purchase 135 million, 123 million and 46 million shares of common stock were outstanding during 2009, 2008, and 2007 that were not included in the computation of diluted earnings per share because their exercise price was greater than the average market price of the common shares and, therefore, the effect would be anti-dilutive.</w:t>
      </w:r>
    </w:p>
    <w:p>
      <w:pPr>
        <w:spacing w:after="0" w:line="20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We present investments on our balance sheets as cash equivalents, short-term investments or long-term investments. More specific details are as follows:</w:t>
      </w:r>
    </w:p>
    <w:p>
      <w:pPr>
        <w:spacing w:after="0" w:line="19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Cash equivalents and short-term investments: </w:t>
      </w:r>
      <w:r>
        <w:rPr>
          <w:rFonts w:ascii="Arial" w:cs="Arial" w:eastAsia="Arial" w:hAnsi="Arial"/>
          <w:sz w:val="18"/>
          <w:szCs w:val="18"/>
          <w:color w:val="auto"/>
        </w:rPr>
        <w:t>We consider investments in debt securities with original maturities of three months or less to be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We consider investments in liquid debt securities with maturities beyond three months from the date of our investment as being available for use in current operations, and include these investments in short-term investments. The primary objectives of our cash equivalent and short-term investment activities are to preserve capital and maintain liquidity while generating appropriate returns.</w:t>
      </w:r>
    </w:p>
    <w:p>
      <w:pPr>
        <w:spacing w:after="0" w:line="21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Long-term investments: </w:t>
      </w:r>
      <w:r>
        <w:rPr>
          <w:rFonts w:ascii="Arial" w:cs="Arial" w:eastAsia="Arial" w:hAnsi="Arial"/>
          <w:sz w:val="18"/>
          <w:szCs w:val="18"/>
          <w:color w:val="auto"/>
        </w:rPr>
        <w:t>Long-term investments consist of auction-rate securities (debt instruments with variable interest rates), mutual funds, venture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funds and non-marketable equity securities.</w:t>
      </w:r>
    </w:p>
    <w:p>
      <w:pPr>
        <w:spacing w:after="0" w:line="19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i w:val="1"/>
          <w:iCs w:val="1"/>
          <w:color w:val="auto"/>
        </w:rPr>
        <w:t xml:space="preserve">Classification of investments: </w:t>
      </w:r>
      <w:r>
        <w:rPr>
          <w:rFonts w:ascii="Arial" w:cs="Arial" w:eastAsia="Arial" w:hAnsi="Arial"/>
          <w:sz w:val="18"/>
          <w:szCs w:val="18"/>
          <w:color w:val="auto"/>
        </w:rPr>
        <w:t>Depending on our reasons for holding the investment and our ownership percentage, we classify investments in securities as</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available-for-sale, trading, equity method or cost method investments, which are more fully described in Note 7. We determine cost or amortized cost, as appropriate, on a specific identification basis.</w:t>
      </w:r>
    </w:p>
    <w:p>
      <w:pPr>
        <w:spacing w:after="0" w:line="208"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u w:val="single" w:color="auto"/>
          <w:color w:val="auto"/>
        </w:rPr>
        <w:t>Inventories</w:t>
      </w:r>
      <w:r>
        <w:rPr>
          <w:rFonts w:ascii="Arial" w:cs="Arial" w:eastAsia="Arial" w:hAnsi="Arial"/>
          <w:sz w:val="18"/>
          <w:szCs w:val="18"/>
          <w:color w:val="auto"/>
        </w:rPr>
        <w:t>: Inventories are stated at the lower of cost or estimated net realizable value. Cost is generally computed on a currently adjusted standard cost basis, which approximates costs on a first-in first-out basis. Standard costs are based on the normal utilization of installed factory capacity. Costs associated with underutilization of capacity are expensed as incurred. Inventory held at consignment locations is included in our finished goods inventory, as we retain full title and rights to the product.</w:t>
      </w:r>
    </w:p>
    <w:p>
      <w:pPr>
        <w:spacing w:after="0" w:line="2" w:lineRule="exact"/>
        <w:rPr>
          <w:sz w:val="20"/>
          <w:szCs w:val="20"/>
          <w:color w:val="auto"/>
        </w:rPr>
      </w:pPr>
    </w:p>
    <w:p>
      <w:pPr>
        <w:jc w:val="both"/>
        <w:ind w:right="100" w:firstLine="324"/>
        <w:spacing w:after="0" w:line="255" w:lineRule="auto"/>
        <w:rPr>
          <w:sz w:val="20"/>
          <w:szCs w:val="20"/>
          <w:color w:val="auto"/>
        </w:rPr>
      </w:pPr>
      <w:r>
        <w:rPr>
          <w:rFonts w:ascii="Arial" w:cs="Arial" w:eastAsia="Arial" w:hAnsi="Arial"/>
          <w:sz w:val="18"/>
          <w:szCs w:val="18"/>
          <w:color w:val="auto"/>
        </w:rPr>
        <w:t>We review inventory quarterly for salability and obsolescence. A specific allowance is provided for inventory considered unlikely to be sold. Remaining inventory includes a salability and obsolescence allowance based on an analysis of historical disposal activity. We write off inventory in the period in which disposal occurs.</w:t>
      </w:r>
    </w:p>
    <w:p>
      <w:pPr>
        <w:spacing w:after="0" w:line="2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u w:val="single" w:color="auto"/>
          <w:color w:val="auto"/>
        </w:rPr>
        <w:t>Property, plant and equipment and other capitalized costs</w:t>
      </w:r>
      <w:r>
        <w:rPr>
          <w:rFonts w:ascii="Arial" w:cs="Arial" w:eastAsia="Arial" w:hAnsi="Arial"/>
          <w:sz w:val="18"/>
          <w:szCs w:val="18"/>
          <w:color w:val="auto"/>
        </w:rPr>
        <w:t>: Property, plant and equipment are stated at cost and depreciated over their estimated useful lives using the straight-line method. Leasehold improvements are amortized using the straight-line method over the shorter of the remaining lease term or the estimated useful lives of the improvements. We amortize acquisition-related intangibles on a straight-line basis over the estimated economic life of the assets. Capitalized software licenses generally are amortized on a straight-line basis over the term of the license. Fully depreciated or amortized assets are written off against accumulated depreciation or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66" w:name="page67"/>
    <w:bookmarkEnd w:id="66"/>
    <w:p>
      <w:pPr>
        <w:spacing w:after="0"/>
        <w:rPr>
          <w:sz w:val="20"/>
          <w:szCs w:val="20"/>
          <w:color w:val="auto"/>
        </w:rPr>
      </w:pPr>
      <w:r>
        <w:rPr>
          <w:rFonts w:ascii="Arial" w:cs="Arial" w:eastAsia="Arial" w:hAnsi="Arial"/>
          <w:sz w:val="14"/>
          <w:szCs w:val="14"/>
          <w:color w:val="auto"/>
        </w:rPr>
        <w:t>TEXAS INSTRUMENTS 2009 ANNUAL REPORT n PAGE 10</w:t>
      </w:r>
    </w:p>
    <w:p>
      <w:pPr>
        <w:spacing w:after="0" w:line="23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u w:val="single" w:color="auto"/>
          <w:color w:val="auto"/>
        </w:rPr>
        <w:t>Impairments of long-lived assets</w:t>
      </w:r>
      <w:r>
        <w:rPr>
          <w:rFonts w:ascii="Arial" w:cs="Arial" w:eastAsia="Arial" w:hAnsi="Arial"/>
          <w:sz w:val="16"/>
          <w:szCs w:val="16"/>
          <w:color w:val="auto"/>
        </w:rPr>
        <w:t>: We regularly review whether facts or circumstances exist that indicate the carrying values of property, plant and equipment or other long-lived assets, including intangible assets, are impaired. We assess the recoverability of assets by comparing the projected undiscounted net cash flows associated with those assets to their respective carrying amounts. Any impairment charge is based on the excess of the carrying amount over the fair value of those assets. Fair value is determined by available market valuations, if applicable, or by discounted cash flows (DCF).</w:t>
      </w:r>
    </w:p>
    <w:p>
      <w:pPr>
        <w:spacing w:after="0" w:line="181"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u w:val="single" w:color="auto"/>
          <w:color w:val="auto"/>
        </w:rPr>
        <w:t>Goodwill</w:t>
      </w:r>
      <w:r>
        <w:rPr>
          <w:rFonts w:ascii="Arial" w:cs="Arial" w:eastAsia="Arial" w:hAnsi="Arial"/>
          <w:sz w:val="18"/>
          <w:szCs w:val="18"/>
          <w:color w:val="auto"/>
        </w:rPr>
        <w:t>: Goodwill is not amortized but is reviewed for impairment annually, or more frequently if certain impairment indicators arise. We complete our annual goodwill impairment tests as of October 1 for our reporting units. The test compares the fair value for each reporting unit to its associated carrying value including goodwill.</w:t>
      </w:r>
    </w:p>
    <w:p>
      <w:pPr>
        <w:spacing w:after="0" w:line="208" w:lineRule="exact"/>
        <w:rPr>
          <w:sz w:val="20"/>
          <w:szCs w:val="20"/>
          <w:color w:val="auto"/>
        </w:rPr>
      </w:pPr>
    </w:p>
    <w:p>
      <w:pPr>
        <w:spacing w:after="0" w:line="297" w:lineRule="auto"/>
        <w:rPr>
          <w:sz w:val="20"/>
          <w:szCs w:val="20"/>
          <w:color w:val="auto"/>
        </w:rPr>
      </w:pPr>
      <w:r>
        <w:rPr>
          <w:rFonts w:ascii="Arial" w:cs="Arial" w:eastAsia="Arial" w:hAnsi="Arial"/>
          <w:sz w:val="16"/>
          <w:szCs w:val="16"/>
          <w:u w:val="single" w:color="auto"/>
          <w:color w:val="auto"/>
        </w:rPr>
        <w:t>Foreign currency</w:t>
      </w:r>
      <w:r>
        <w:rPr>
          <w:rFonts w:ascii="Arial" w:cs="Arial" w:eastAsia="Arial" w:hAnsi="Arial"/>
          <w:sz w:val="16"/>
          <w:szCs w:val="16"/>
          <w:color w:val="auto"/>
        </w:rPr>
        <w:t>: The functional currency for our non-U.S. subsidiaries is the U.S. dollar. Accounts recorded in currencies other than the U.S. dollar are remeasured into the functional currency. Current assets (except inventories), deferred income taxes, other assets, current liabilities and long-term liabilities are remeasured at exchange rates in effect at the end of each reporting period. Inventories, and property, plant and equipment and depreciation thereon, are remeasured at historic exchange rates. Revenue and expense accounts other than depreciation for each month are remeasured at the appropriate daily rate of exchange. Currency exchange gains and losses from remeasurement are credited or charged to other income (expense) net (OI&amp;E).</w:t>
      </w:r>
    </w:p>
    <w:p>
      <w:pPr>
        <w:spacing w:after="0" w:line="18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u w:val="single" w:color="auto"/>
          <w:color w:val="auto"/>
        </w:rPr>
        <w:t>Derivatives and hedging</w:t>
      </w:r>
      <w:r>
        <w:rPr>
          <w:rFonts w:ascii="Arial" w:cs="Arial" w:eastAsia="Arial" w:hAnsi="Arial"/>
          <w:sz w:val="18"/>
          <w:szCs w:val="18"/>
          <w:color w:val="auto"/>
        </w:rPr>
        <w:t>: We use derivative financial instruments to manage exposure to foreign exchange risk. These instruments are primarily forward foreign currency exchange contracts that are used as economic hedges to reduce the earnings impact exchange rate fluctuations may have on our non-U.S. dollar net balance sheet exposures or for specified non-U.S. dollar forecasted transactions. Gains and losses from changes in the fair value of these forward foreign currency exchange contracts are credited or charged to OI&amp;E. We do not use derivatives for speculative or trading purposes. We do not apply hedge accounting to our foreign currency derivative instruments.</w:t>
      </w:r>
    </w:p>
    <w:p>
      <w:pPr>
        <w:spacing w:after="0" w:line="21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u w:val="single" w:color="auto"/>
          <w:color w:val="auto"/>
        </w:rPr>
        <w:t>Changes in accounting standards</w:t>
      </w:r>
      <w:r>
        <w:rPr>
          <w:rFonts w:ascii="Arial" w:cs="Arial" w:eastAsia="Arial" w:hAnsi="Arial"/>
          <w:sz w:val="17"/>
          <w:szCs w:val="17"/>
          <w:color w:val="auto"/>
        </w:rPr>
        <w:t>: In June 2009, the FASB Accounting Standards Codification™ (Codification) became the single source of authoritative U.S. GAAP. The Codification did not create any new GAAP standards, but incorporated existing accounting and reporting standards into a new topical structure with a new referencing system to identify authoritative accounting standards, replacing the prior references to Statement of Financial Accounting Standards (SFAS), Emerging Issues Task Force (EITF), FASB Staff Position (FSP), etc. Authoritative standards included in the Codification are designated by their ASC topical reference, and new standards issued after July 1, 2009, are designated as Accounting Standards Updates (ASUs), with a year and assigned sequence number. References to prior standards have been updated to reflect the new system.</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October 2009, the FASB concurrently issued the following ASUs:</w:t>
      </w:r>
    </w:p>
    <w:p>
      <w:pPr>
        <w:spacing w:after="0" w:line="238" w:lineRule="exact"/>
        <w:rPr>
          <w:sz w:val="20"/>
          <w:szCs w:val="20"/>
          <w:color w:val="auto"/>
        </w:rPr>
      </w:pPr>
    </w:p>
    <w:p>
      <w:pPr>
        <w:jc w:val="both"/>
        <w:ind w:left="500" w:right="80" w:hanging="168"/>
        <w:spacing w:after="0" w:line="271" w:lineRule="auto"/>
        <w:tabs>
          <w:tab w:leader="none" w:pos="5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ASU No. 2009 – 14 - </w:t>
      </w:r>
      <w:r>
        <w:rPr>
          <w:rFonts w:ascii="Arial" w:cs="Arial" w:eastAsia="Arial" w:hAnsi="Arial"/>
          <w:sz w:val="17"/>
          <w:szCs w:val="17"/>
          <w:i w:val="1"/>
          <w:iCs w:val="1"/>
          <w:color w:val="auto"/>
        </w:rPr>
        <w:t>Software (Topic 985): Certain Revenue Arrangements That Include Software Elements.</w:t>
      </w:r>
      <w:r>
        <w:rPr>
          <w:rFonts w:ascii="Arial" w:cs="Arial" w:eastAsia="Arial" w:hAnsi="Arial"/>
          <w:sz w:val="17"/>
          <w:szCs w:val="17"/>
          <w:color w:val="auto"/>
        </w:rPr>
        <w:t xml:space="preserve"> This standard removes tangible products from the scope of software revenue recognition guidance and also provides guidance on determining whether software deliverables in an arrangement that includes a tangible product, such as embedded software, are within the scope of the software revenue guidance.</w:t>
      </w:r>
    </w:p>
    <w:p>
      <w:pPr>
        <w:ind w:left="500" w:right="100" w:hanging="168"/>
        <w:spacing w:after="0" w:line="292" w:lineRule="auto"/>
        <w:tabs>
          <w:tab w:leader="none" w:pos="5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ASU No. 2009 – 13 - </w:t>
      </w:r>
      <w:r>
        <w:rPr>
          <w:rFonts w:ascii="Arial" w:cs="Arial" w:eastAsia="Arial" w:hAnsi="Arial"/>
          <w:sz w:val="16"/>
          <w:szCs w:val="16"/>
          <w:i w:val="1"/>
          <w:iCs w:val="1"/>
          <w:color w:val="auto"/>
        </w:rPr>
        <w:t>Revenue Recognition (Topic 605): Multiple-Deliverable Revenue Arrangements.</w:t>
      </w:r>
      <w:r>
        <w:rPr>
          <w:rFonts w:ascii="Arial" w:cs="Arial" w:eastAsia="Arial" w:hAnsi="Arial"/>
          <w:sz w:val="16"/>
          <w:szCs w:val="16"/>
          <w:color w:val="auto"/>
        </w:rPr>
        <w:t xml:space="preserve"> This standard modifies the revenue recognition guidance for arrangements that involve the delivery of multiple elements, such as product, software, services and support, to a customer at different times as part of a single revenue generating transaction. This standard provides principles and application guidance to determine whether multiple deliverables exist, how the individual deliverables should be separated and how to allocate the revenue in the arrangement among those separate deliverables. The standard also expands the disclosure requirements for multiple deliverable revenue arrangements.</w:t>
      </w:r>
    </w:p>
    <w:p>
      <w:pPr>
        <w:spacing w:after="0" w:line="190"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We expect to apply these standards on a prospective basis for revenue arrangements entered into or materially modified beginning January 1, 2011. We have evaluated the potential impact of these standards and expect they will have no significant impact on our financial position and results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2. Restructuring activities</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Costs incurred with restructuring activities generally consist of voluntary and involuntary severance-related expenses, asset impairments and other costs to exit activities. We recognize voluntary termination benefits when the employee accepts the offered benefit arrangement. We recognize involuntary severance-related expenses depending on whether the termination benefits are provided under an ongoing benefit arrangement or under a one-time benefit arrangement. We recognize involuntary severance-related expenses associated with an ongoing benefit arrangement once they are probable and the amounts are estimable. We recognize involuntary severance-related expenses associated with a one-time benefit arrangement once the benefits have been communicated to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2" w:right="259" w:bottom="1440" w:gutter="0" w:footer="0" w:header="0"/>
        </w:sectPr>
      </w:pPr>
    </w:p>
    <w:bookmarkStart w:id="67" w:name="page68"/>
    <w:bookmarkEnd w:id="67"/>
    <w:p>
      <w:pPr>
        <w:ind w:left="7700"/>
        <w:spacing w:after="0"/>
        <w:rPr>
          <w:sz w:val="20"/>
          <w:szCs w:val="20"/>
          <w:color w:val="auto"/>
        </w:rPr>
      </w:pPr>
      <w:r>
        <w:rPr>
          <w:rFonts w:ascii="Arial" w:cs="Arial" w:eastAsia="Arial" w:hAnsi="Arial"/>
          <w:sz w:val="13"/>
          <w:szCs w:val="13"/>
          <w:color w:val="auto"/>
        </w:rPr>
        <w:t>TEXAS INSTRUMENTS 2009 ANNUAL REPORT n PAGE 11</w:t>
      </w:r>
    </w:p>
    <w:p>
      <w:pPr>
        <w:spacing w:after="0" w:line="24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Restructuring activities have also resulted in asset impairments, which are included in restructuring expense and are recorded as an adjustment to the basis of the asset, not as a liability relating to a restructuring charge. When we commit to a plan to abandon a long-lived asset before the end of its previously estimated useful life, we accelerate the recognition of depreciation to reflect the use of the asset over its shortened useful life. When an asset is held to be sold, we write down the carrying value to its net realizable value and cease depreciation.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2008 and 2009 actions</w:t>
      </w:r>
    </w:p>
    <w:p>
      <w:pPr>
        <w:spacing w:after="0" w:line="23" w:lineRule="exact"/>
        <w:rPr>
          <w:sz w:val="20"/>
          <w:szCs w:val="20"/>
          <w:color w:val="auto"/>
        </w:rPr>
      </w:pPr>
    </w:p>
    <w:p>
      <w:pPr>
        <w:jc w:val="both"/>
        <w:ind w:right="380"/>
        <w:spacing w:after="0" w:line="255" w:lineRule="auto"/>
        <w:rPr>
          <w:sz w:val="20"/>
          <w:szCs w:val="20"/>
          <w:color w:val="auto"/>
        </w:rPr>
      </w:pPr>
      <w:r>
        <w:rPr>
          <w:rFonts w:ascii="Arial" w:cs="Arial" w:eastAsia="Arial" w:hAnsi="Arial"/>
          <w:sz w:val="18"/>
          <w:szCs w:val="18"/>
          <w:color w:val="auto"/>
        </w:rPr>
        <w:t>In October 2008, we announced actions to reduce expenses in our Wireless segment, especially our baseband operation. In January 2009, we announced actions that included broad-based employment reductions to align our spending with weakened demand. Combined, these actions eliminated about 3,900 jobs; they were completed in 2009.</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2007 actions</w:t>
      </w:r>
    </w:p>
    <w:p>
      <w:pPr>
        <w:spacing w:after="0" w:line="23"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In January 2007, we announced plans to change how we develop advanced digital manufacturing process technology. Instead of separately creating our own core process technology, we now work collaboratively with our foundry partners to specify and drive the next generations of digital process technology. Additionally, we stopped production at an older digital factory. These actions eliminated about 300 jobs and were completed in 2007.</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reflects the changes in accrued restructuring balances associated with these actions: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2008 and 2009 Actions</w:t>
            </w:r>
          </w:p>
        </w:tc>
        <w:tc>
          <w:tcPr>
            <w:tcW w:w="38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2007 Action</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2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3"/>
              </w:rPr>
              <w:t>Impairments</w:t>
            </w: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Impairments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Severance and</w:t>
            </w:r>
          </w:p>
        </w:tc>
        <w:tc>
          <w:tcPr>
            <w:tcW w:w="132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4"/>
              </w:rPr>
              <w:t>and Other</w:t>
            </w: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and Other</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5"/>
              </w:rPr>
              <w:t>Benefits</w:t>
            </w:r>
          </w:p>
        </w:tc>
        <w:tc>
          <w:tcPr>
            <w:tcW w:w="94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88"/>
              </w:rPr>
              <w:t>Charges</w:t>
            </w: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8"/>
              </w:rPr>
              <w:t>Charges</w:t>
            </w:r>
          </w:p>
        </w:tc>
        <w:tc>
          <w:tcPr>
            <w:tcW w:w="3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Accrual at December 31, 2007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Restructuring expense</w:t>
            </w:r>
          </w:p>
        </w:tc>
        <w:tc>
          <w:tcPr>
            <w:tcW w:w="160" w:type="dxa"/>
            <w:vAlign w:val="bottom"/>
          </w:tcPr>
          <w:p>
            <w:pPr>
              <w:spacing w:after="0"/>
              <w:rPr>
                <w:sz w:val="18"/>
                <w:szCs w:val="18"/>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218</w:t>
            </w:r>
          </w:p>
        </w:tc>
        <w:tc>
          <w:tcPr>
            <w:tcW w:w="940" w:type="dxa"/>
            <w:vAlign w:val="bottom"/>
          </w:tcPr>
          <w:p>
            <w:pPr>
              <w:spacing w:after="0"/>
              <w:rPr>
                <w:sz w:val="18"/>
                <w:szCs w:val="18"/>
                <w:color w:val="auto"/>
              </w:rPr>
            </w:pPr>
          </w:p>
        </w:tc>
        <w:tc>
          <w:tcPr>
            <w:tcW w:w="380" w:type="dxa"/>
            <w:vAlign w:val="bottom"/>
          </w:tcPr>
          <w:p>
            <w:pPr>
              <w:jc w:val="right"/>
              <w:ind w:right="70"/>
              <w:spacing w:after="0"/>
              <w:rPr>
                <w:sz w:val="20"/>
                <w:szCs w:val="20"/>
                <w:color w:val="auto"/>
              </w:rPr>
            </w:pPr>
            <w:r>
              <w:rPr>
                <w:rFonts w:ascii="Arial" w:cs="Arial" w:eastAsia="Arial" w:hAnsi="Arial"/>
                <w:sz w:val="18"/>
                <w:szCs w:val="18"/>
                <w:color w:val="auto"/>
                <w:w w:val="99"/>
              </w:rPr>
              <w:t>12</w:t>
            </w:r>
          </w:p>
        </w:tc>
        <w:tc>
          <w:tcPr>
            <w:tcW w:w="940" w:type="dxa"/>
            <w:vAlign w:val="bottom"/>
          </w:tcPr>
          <w:p>
            <w:pPr>
              <w:spacing w:after="0"/>
              <w:rPr>
                <w:sz w:val="18"/>
                <w:szCs w:val="18"/>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Non-cash charges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Payments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w:t>
            </w:r>
          </w:p>
        </w:tc>
        <w:tc>
          <w:tcPr>
            <w:tcW w:w="9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Remaining accrual at December 31, 2008</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186</w:t>
            </w:r>
          </w:p>
        </w:tc>
        <w:tc>
          <w:tcPr>
            <w:tcW w:w="9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9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Restructuring expense</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201</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11</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Non-cash (charges) credit</w:t>
            </w:r>
          </w:p>
        </w:tc>
        <w:tc>
          <w:tcPr>
            <w:tcW w:w="1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(26)*</w:t>
            </w:r>
          </w:p>
        </w:tc>
        <w:tc>
          <w:tcPr>
            <w:tcW w:w="940" w:type="dxa"/>
            <w:vAlign w:val="bottom"/>
          </w:tcPr>
          <w:p>
            <w:pPr>
              <w:spacing w:after="0"/>
              <w:rPr>
                <w:sz w:val="18"/>
                <w:szCs w:val="18"/>
                <w:color w:val="auto"/>
              </w:rPr>
            </w:pPr>
          </w:p>
        </w:tc>
        <w:tc>
          <w:tcPr>
            <w:tcW w:w="380" w:type="dxa"/>
            <w:vAlign w:val="bottom"/>
          </w:tcPr>
          <w:p>
            <w:pPr>
              <w:jc w:val="right"/>
              <w:ind w:right="70"/>
              <w:spacing w:after="0"/>
              <w:rPr>
                <w:sz w:val="20"/>
                <w:szCs w:val="20"/>
                <w:color w:val="auto"/>
              </w:rPr>
            </w:pPr>
            <w:r>
              <w:rPr>
                <w:rFonts w:ascii="Arial" w:cs="Arial" w:eastAsia="Arial" w:hAnsi="Arial"/>
                <w:sz w:val="18"/>
                <w:szCs w:val="18"/>
                <w:b w:val="1"/>
                <w:bCs w:val="1"/>
                <w:color w:val="auto"/>
              </w:rPr>
              <w:t>1</w:t>
            </w:r>
          </w:p>
        </w:tc>
        <w:tc>
          <w:tcPr>
            <w:tcW w:w="9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Payments</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(277)</w:t>
            </w:r>
          </w:p>
        </w:tc>
        <w:tc>
          <w:tcPr>
            <w:tcW w:w="9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w:t>
            </w:r>
          </w:p>
        </w:tc>
        <w:tc>
          <w:tcPr>
            <w:tcW w:w="9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Remaining accrual at December 31, 2009</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84</w:t>
            </w: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10</w:t>
            </w: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Reflects charges and credits for postretirement benefit plan settlement, curtailment and special termination benefits.</w:t>
      </w:r>
    </w:p>
    <w:p>
      <w:pPr>
        <w:spacing w:after="0" w:line="252"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accrual balances above are a component of Accrued expenses and other liabilities or Deferred credits and other liabilities on our balance sheets, depending on the expected timing of payment.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Restructuring expense recognized by segment from the actions above are as follows:</w:t>
            </w: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93"/>
        </w:trPr>
        <w:tc>
          <w:tcPr>
            <w:tcW w:w="20" w:type="dxa"/>
            <w:vAlign w:val="bottom"/>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2008</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2007</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Analog</w:t>
            </w:r>
          </w:p>
        </w:tc>
        <w:tc>
          <w:tcPr>
            <w:tcW w:w="820" w:type="dxa"/>
            <w:vAlign w:val="bottom"/>
            <w:shd w:val="clear" w:color="auto" w:fill="CCEEFF"/>
          </w:tcPr>
          <w:p>
            <w:pPr>
              <w:jc w:val="right"/>
              <w:ind w:right="660"/>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87</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Embedded Processing</w:t>
            </w:r>
          </w:p>
        </w:tc>
        <w:tc>
          <w:tcPr>
            <w:tcW w:w="820" w:type="dxa"/>
            <w:vAlign w:val="bottom"/>
          </w:tcPr>
          <w:p>
            <w:pPr>
              <w:spacing w:after="0"/>
              <w:rPr>
                <w:sz w:val="18"/>
                <w:szCs w:val="18"/>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b w:val="1"/>
                <w:bCs w:val="1"/>
                <w:color w:val="auto"/>
              </w:rPr>
              <w:t>43</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Wireless</w:t>
            </w: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59</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23</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restructuring expense</w:t>
            </w:r>
          </w:p>
        </w:tc>
        <w:tc>
          <w:tcPr>
            <w:tcW w:w="820" w:type="dxa"/>
            <w:vAlign w:val="bottom"/>
            <w:tcBorders>
              <w:bottom w:val="single" w:sz="8" w:color="auto"/>
            </w:tcBorders>
            <w:shd w:val="clear" w:color="auto" w:fill="CCEEFF"/>
          </w:tcPr>
          <w:p>
            <w:pPr>
              <w:jc w:val="right"/>
              <w:ind w:right="660"/>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212</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254</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652"/>
        </w:trPr>
        <w:tc>
          <w:tcPr>
            <w:tcW w:w="20" w:type="dxa"/>
            <w:vAlign w:val="bottom"/>
          </w:tcPr>
          <w:p>
            <w:pPr>
              <w:spacing w:after="0"/>
              <w:rPr>
                <w:sz w:val="24"/>
                <w:szCs w:val="24"/>
                <w:color w:val="auto"/>
              </w:rPr>
            </w:pPr>
          </w:p>
        </w:tc>
        <w:tc>
          <w:tcPr>
            <w:tcW w:w="74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82"/>
        </w:trPr>
        <w:tc>
          <w:tcPr>
            <w:tcW w:w="7440" w:type="dxa"/>
            <w:vAlign w:val="bottom"/>
            <w:gridSpan w:val="2"/>
          </w:tcPr>
          <w:p>
            <w:pPr>
              <w:spacing w:after="0"/>
              <w:rPr>
                <w:sz w:val="20"/>
                <w:szCs w:val="20"/>
                <w:color w:val="auto"/>
              </w:rPr>
            </w:pPr>
            <w:r>
              <w:rPr>
                <w:rFonts w:ascii="Arial" w:cs="Arial" w:eastAsia="Arial" w:hAnsi="Arial"/>
                <w:sz w:val="14"/>
                <w:szCs w:val="14"/>
                <w:color w:val="auto"/>
              </w:rPr>
              <w:t>TEXAS INSTRUMENTS 2009 ANNUAL REPORT n PAGE 12</w:t>
            </w: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44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3. Stock-based compensation</w:t>
            </w: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93"/>
        </w:trPr>
        <w:tc>
          <w:tcPr>
            <w:tcW w:w="20" w:type="dxa"/>
            <w:vAlign w:val="bottom"/>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4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2007</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Stock-based compensation expense recognized:</w:t>
            </w: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revenue</w:t>
            </w:r>
          </w:p>
        </w:tc>
        <w:tc>
          <w:tcPr>
            <w:tcW w:w="820" w:type="dxa"/>
            <w:vAlign w:val="bottom"/>
            <w:shd w:val="clear" w:color="auto" w:fill="CCEEFF"/>
          </w:tcPr>
          <w:p>
            <w:pPr>
              <w:jc w:val="right"/>
              <w:ind w:right="660"/>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w:t>
            </w:r>
          </w:p>
        </w:tc>
        <w:tc>
          <w:tcPr>
            <w:tcW w:w="9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820" w:type="dxa"/>
            <w:vAlign w:val="bottom"/>
          </w:tcPr>
          <w:p>
            <w:pPr>
              <w:spacing w:after="0"/>
              <w:rPr>
                <w:sz w:val="18"/>
                <w:szCs w:val="18"/>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b w:val="1"/>
                <w:bCs w:val="1"/>
                <w:color w:val="auto"/>
              </w:rPr>
              <w:t>54</w:t>
            </w:r>
          </w:p>
        </w:tc>
        <w:tc>
          <w:tcPr>
            <w:tcW w:w="92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83</w:t>
            </w: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8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97</w:t>
            </w:r>
          </w:p>
        </w:tc>
        <w:tc>
          <w:tcPr>
            <w:tcW w:w="9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110</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tcPr>
          <w:p>
            <w:pPr>
              <w:jc w:val="right"/>
              <w:ind w:right="660"/>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186</w:t>
            </w:r>
          </w:p>
        </w:tc>
        <w:tc>
          <w:tcPr>
            <w:tcW w:w="9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213</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280</w:t>
            </w: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These amounts include expense related to non-qualified stock options, RSUs and to stock options offered under our employee stock purchase plan.</w:t>
      </w:r>
    </w:p>
    <w:p>
      <w:pPr>
        <w:spacing w:after="0" w:line="35" w:lineRule="exact"/>
        <w:rPr>
          <w:sz w:val="20"/>
          <w:szCs w:val="20"/>
          <w:color w:val="auto"/>
        </w:rPr>
      </w:pPr>
    </w:p>
    <w:p>
      <w:pPr>
        <w:ind w:right="120" w:firstLine="324"/>
        <w:spacing w:after="0" w:line="250" w:lineRule="auto"/>
        <w:rPr>
          <w:sz w:val="20"/>
          <w:szCs w:val="20"/>
          <w:color w:val="auto"/>
        </w:rPr>
      </w:pPr>
      <w:r>
        <w:rPr>
          <w:rFonts w:ascii="Arial" w:cs="Arial" w:eastAsia="Arial" w:hAnsi="Arial"/>
          <w:sz w:val="18"/>
          <w:szCs w:val="18"/>
          <w:color w:val="auto"/>
        </w:rPr>
        <w:t>We issue awards of non-qualified stock options generally with graded vesting provisions (e.g., 25 percent per year for four years). In such cases, we recognize the related compensation cost on a straight-line basis over the minimum service period required for vesting of the award. For awards to employees who are retirement eligible or nearing retirement eligibility, we recognize compensation cost on a straight-line basis over the longer of the service period required to be performed by the employee in order to earn the award, or a six-month period.</w:t>
      </w:r>
    </w:p>
    <w:p>
      <w:pPr>
        <w:spacing w:after="0" w:line="2"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We also issue RSUs, which generally vest four years after the date of grant. In such cases, we recognize the related compensation costs on a straight-line basis over the vesting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methods and assumptions</w:t>
      </w:r>
    </w:p>
    <w:p>
      <w:pPr>
        <w:spacing w:after="0" w:line="23"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We estimate the fair values for non-qualified stock options under the long-term incentive plans and director plans using the Black-Scholes option-pricing model with the following weighted average assumptions: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4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2008</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2007</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 per share</w:t>
            </w:r>
          </w:p>
        </w:tc>
        <w:tc>
          <w:tcPr>
            <w:tcW w:w="21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5.43</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8.86</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9.72</w:t>
            </w: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Weighted average assumptions used:</w:t>
            </w:r>
          </w:p>
        </w:tc>
        <w:tc>
          <w:tcPr>
            <w:tcW w:w="2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Expected volatility</w:t>
            </w:r>
          </w:p>
        </w:tc>
        <w:tc>
          <w:tcPr>
            <w:tcW w:w="2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Expected lives</w:t>
            </w:r>
          </w:p>
        </w:tc>
        <w:tc>
          <w:tcPr>
            <w:tcW w:w="2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5.9 yrs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 yrs</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 yrs</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Risk-free interest rates</w:t>
            </w:r>
          </w:p>
        </w:tc>
        <w:tc>
          <w:tcPr>
            <w:tcW w:w="2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2.63%</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r>
      <w:tr>
        <w:trPr>
          <w:trHeight w:val="234"/>
        </w:trPr>
        <w:tc>
          <w:tcPr>
            <w:tcW w:w="20" w:type="dxa"/>
            <w:vAlign w:val="bottom"/>
          </w:tcPr>
          <w:p>
            <w:pPr>
              <w:spacing w:after="0"/>
              <w:rPr>
                <w:sz w:val="20"/>
                <w:szCs w:val="20"/>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Expected dividend yields</w:t>
            </w:r>
          </w:p>
        </w:tc>
        <w:tc>
          <w:tcPr>
            <w:tcW w:w="2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2.94%</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0.57%</w:t>
            </w:r>
          </w:p>
        </w:tc>
      </w:tr>
    </w:tbl>
    <w:p>
      <w:pPr>
        <w:spacing w:after="0" w:line="210" w:lineRule="exact"/>
        <w:rPr>
          <w:sz w:val="20"/>
          <w:szCs w:val="20"/>
          <w:color w:val="auto"/>
        </w:rPr>
      </w:pPr>
    </w:p>
    <w:p>
      <w:pPr>
        <w:jc w:val="both"/>
        <w:ind w:right="480"/>
        <w:spacing w:after="0" w:line="256" w:lineRule="auto"/>
        <w:rPr>
          <w:sz w:val="20"/>
          <w:szCs w:val="20"/>
          <w:color w:val="auto"/>
        </w:rPr>
      </w:pPr>
      <w:r>
        <w:rPr>
          <w:rFonts w:ascii="Arial" w:cs="Arial" w:eastAsia="Arial" w:hAnsi="Arial"/>
          <w:sz w:val="18"/>
          <w:szCs w:val="18"/>
          <w:color w:val="auto"/>
        </w:rPr>
        <w:t>We determine expected volatility on all options granted after July 1, 2005, using available implied volatility rates rather than on an analysis of historical volatility. We believe that market-based measures of implied volatility are currently the best available indicators of the expected volatility used in these estimates.</w:t>
      </w:r>
    </w:p>
    <w:p>
      <w:pPr>
        <w:ind w:right="380" w:firstLine="324"/>
        <w:spacing w:after="0" w:line="250" w:lineRule="auto"/>
        <w:rPr>
          <w:sz w:val="20"/>
          <w:szCs w:val="20"/>
          <w:color w:val="auto"/>
        </w:rPr>
      </w:pPr>
      <w:r>
        <w:rPr>
          <w:rFonts w:ascii="Arial" w:cs="Arial" w:eastAsia="Arial" w:hAnsi="Arial"/>
          <w:sz w:val="18"/>
          <w:szCs w:val="18"/>
          <w:color w:val="auto"/>
        </w:rPr>
        <w:t>We determine expected lives of options based on the historical share option exercise experience of our optionees using a rolling 10-year average. We believe the historical experience method is the best estimate of future exercise patterns currently available.</w:t>
      </w:r>
    </w:p>
    <w:p>
      <w:pPr>
        <w:spacing w:after="0" w:line="1" w:lineRule="exact"/>
        <w:rPr>
          <w:sz w:val="20"/>
          <w:szCs w:val="20"/>
          <w:color w:val="auto"/>
        </w:rPr>
      </w:pPr>
    </w:p>
    <w:p>
      <w:pPr>
        <w:ind w:right="40" w:firstLine="324"/>
        <w:spacing w:after="0" w:line="250" w:lineRule="auto"/>
        <w:rPr>
          <w:sz w:val="20"/>
          <w:szCs w:val="20"/>
          <w:color w:val="auto"/>
        </w:rPr>
      </w:pPr>
      <w:r>
        <w:rPr>
          <w:rFonts w:ascii="Arial" w:cs="Arial" w:eastAsia="Arial" w:hAnsi="Arial"/>
          <w:sz w:val="18"/>
          <w:szCs w:val="18"/>
          <w:color w:val="auto"/>
        </w:rPr>
        <w:t>Risk-free interest rates are determined using the implied yield currently available for zero-coupon U.S. government issues with a remaining term equal to the expected life of the options.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Expected dividend yields are based on the approved annual dividend rate in effect and the current market price of our common stock at the time of grant.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 assumption for a future dividend rate change is included unless there is an approved plan to change the dividend in the near term.</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per share of RSUs that we grant is determined based on the market price of our common stock on the date of grant.</w:t>
      </w:r>
    </w:p>
    <w:p>
      <w:pPr>
        <w:spacing w:after="0" w:line="9" w:lineRule="exact"/>
        <w:rPr>
          <w:sz w:val="20"/>
          <w:szCs w:val="20"/>
          <w:color w:val="auto"/>
        </w:rPr>
      </w:pPr>
    </w:p>
    <w:p>
      <w:pPr>
        <w:ind w:right="580" w:firstLine="324"/>
        <w:spacing w:after="0" w:line="290" w:lineRule="auto"/>
        <w:rPr>
          <w:sz w:val="20"/>
          <w:szCs w:val="20"/>
          <w:color w:val="auto"/>
        </w:rPr>
      </w:pPr>
      <w:r>
        <w:rPr>
          <w:rFonts w:ascii="Arial" w:cs="Arial" w:eastAsia="Arial" w:hAnsi="Arial"/>
          <w:sz w:val="17"/>
          <w:szCs w:val="17"/>
          <w:color w:val="auto"/>
        </w:rPr>
        <w:t>The TI Employees 2005 Stock Purchase Plan is a discount-purchase plan and consequently, the Black-Scholes option-pricing model is not used to determine the fair value per share of these awards. The fair value per share under this plan equals the amount of the discount.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Long-term incentive and director compensation plans</w:t>
      </w:r>
    </w:p>
    <w:p>
      <w:pPr>
        <w:spacing w:after="0" w:line="2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have stock options outstanding to participants under the Texas Instruments 1996 Long-Term Incentive Plan, the Texas Instruments 2000 Long-Term Incentive Plan, the Texas Instruments 2003 Long-Term Incentive Plan and the Texas Instruments 2009 Long-Term Incentive Plan. No further grants may be made under the 1996, 2000 or 2003 plans. We also assumed stock options granted under the Burr-Brown 1993 Stock Incentive Plan and the Radia Communications, Inc. 2000 Stock Option/Stock Issuance Plan. Unless the options are acquisition-related replacement options, the option price per share may not be less than 100 percent of the fair market value of our common stock on the date of the grant. Substantially all the options have a 10-year term and vest ratably over four years. Our options generally continue to vest after the option recipient retires.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394970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4"/>
          <w:szCs w:val="14"/>
          <w:color w:val="auto"/>
        </w:rPr>
        <w:t>TEXAS INSTRUMENTS 2009 ANNUAL REPORT n PAGE 13</w:t>
      </w:r>
    </w:p>
    <w:p>
      <w:pPr>
        <w:spacing w:after="0" w:line="235"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7"/>
          <w:szCs w:val="17"/>
          <w:color w:val="auto"/>
        </w:rPr>
        <w:t>We have RSUs outstanding under the 2000 Long-Term Incentive Plan, the 2003 Long-Term Incentive Plan and the 2009 Long-Term Incentive Plan. Each RSU represents the right to receive one share of TI common stock on the vesting date, which is generally four years after the date of grant. Upon vesting, the shares are issued without payment by the grantee. RSUs generally do not continue to vest after the recipient’s retirement date.</w:t>
      </w:r>
    </w:p>
    <w:p>
      <w:pPr>
        <w:ind w:firstLine="324"/>
        <w:spacing w:after="0" w:line="250" w:lineRule="auto"/>
        <w:rPr>
          <w:sz w:val="20"/>
          <w:szCs w:val="20"/>
          <w:color w:val="auto"/>
        </w:rPr>
      </w:pPr>
      <w:r>
        <w:rPr>
          <w:rFonts w:ascii="Arial" w:cs="Arial" w:eastAsia="Arial" w:hAnsi="Arial"/>
          <w:sz w:val="18"/>
          <w:szCs w:val="18"/>
          <w:color w:val="auto"/>
        </w:rPr>
        <w:t>Under the 2009 Long-Term Incentive Plan approved by stockholders in April 2009, we may grant stock options, including incentive stock options, restricted stock and RSUs, performance units and other stock-based awards. The plan provides for the issuance of 75,000,000 shares of TI common stock. Shares issued under acquisition-related replacement awards do not count against the shares available for grant under the plan. In addition, if a stock-based award (other than an acquisition-related replacement award) under any predecessor plan terminates, the unissued shares subject to the award become available for grant under the 2009 plan.</w:t>
      </w:r>
    </w:p>
    <w:p>
      <w:pPr>
        <w:spacing w:after="0" w:line="2" w:lineRule="exact"/>
        <w:rPr>
          <w:sz w:val="20"/>
          <w:szCs w:val="20"/>
          <w:color w:val="auto"/>
        </w:rPr>
      </w:pPr>
    </w:p>
    <w:p>
      <w:pPr>
        <w:ind w:right="100" w:firstLine="324"/>
        <w:spacing w:after="0" w:line="250" w:lineRule="auto"/>
        <w:rPr>
          <w:sz w:val="20"/>
          <w:szCs w:val="20"/>
          <w:color w:val="auto"/>
        </w:rPr>
      </w:pPr>
      <w:r>
        <w:rPr>
          <w:rFonts w:ascii="Arial" w:cs="Arial" w:eastAsia="Arial" w:hAnsi="Arial"/>
          <w:sz w:val="18"/>
          <w:szCs w:val="18"/>
          <w:color w:val="auto"/>
        </w:rPr>
        <w:t>Under our 2003 Director Compensation Plan, we made annual grants of stock options, RSUs and other stock-based awards to each non-employee director. Beginning in 2007, the plan provided for annual grants of 2,500 RSUs and of a stock option for 7,000 shares. The plan also provided for a one-time grant of 2,000 RSUs to each new non-employee director of TI. No further grants of stock-based awards may be made under the 2003 Director Compensation Plan.</w:t>
      </w:r>
    </w:p>
    <w:p>
      <w:pPr>
        <w:spacing w:after="0" w:line="2" w:lineRule="exact"/>
        <w:rPr>
          <w:sz w:val="20"/>
          <w:szCs w:val="20"/>
          <w:color w:val="auto"/>
        </w:rPr>
      </w:pPr>
    </w:p>
    <w:p>
      <w:pPr>
        <w:ind w:right="300" w:firstLine="324"/>
        <w:spacing w:after="0" w:line="253" w:lineRule="auto"/>
        <w:rPr>
          <w:sz w:val="20"/>
          <w:szCs w:val="20"/>
          <w:color w:val="auto"/>
        </w:rPr>
      </w:pPr>
      <w:r>
        <w:rPr>
          <w:rFonts w:ascii="Arial" w:cs="Arial" w:eastAsia="Arial" w:hAnsi="Arial"/>
          <w:sz w:val="18"/>
          <w:szCs w:val="18"/>
          <w:color w:val="auto"/>
        </w:rPr>
        <w:t>In April 2009, our stockholders approved the Texas Instruments 2009 Director Compensation Plan. The plan permits the grant of stock options, RSUs and other stock-based awards to non-employee directors, as well as issuance of TI common stock upon the distribution of stock units credited to deferred-compensation accounts established for such directors. The plan provides for annual grants to non-employee directors, and for a one-time grant of RSUs to each new non-employee director, at the same levels described above under the 2003 plan. The plan provides for the issuance of 2,000,000 shares of TI common stock.</w:t>
      </w:r>
    </w:p>
    <w:p>
      <w:pPr>
        <w:spacing w:after="0" w:line="21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Stock option and RSU transactions under the above-mentioned long-term incentive and director compensation plans (including assumed stock options previously granted under the Burr-Brown and Radia Communications, Inc. plans) during 2009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800" w:type="dxa"/>
            <w:vAlign w:val="bottom"/>
            <w:gridSpan w:val="3"/>
          </w:tcPr>
          <w:p>
            <w:pPr>
              <w:jc w:val="right"/>
              <w:ind w:right="910"/>
              <w:spacing w:after="0"/>
              <w:rPr>
                <w:sz w:val="20"/>
                <w:szCs w:val="20"/>
                <w:color w:val="auto"/>
              </w:rPr>
            </w:pPr>
            <w:r>
              <w:rPr>
                <w:rFonts w:ascii="Arial" w:cs="Arial" w:eastAsia="Arial" w:hAnsi="Arial"/>
                <w:sz w:val="18"/>
                <w:szCs w:val="18"/>
                <w:b w:val="1"/>
                <w:bCs w:val="1"/>
                <w:color w:val="auto"/>
              </w:rPr>
              <w:t>Stock Options</w:t>
            </w:r>
          </w:p>
        </w:tc>
        <w:tc>
          <w:tcPr>
            <w:tcW w:w="254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Restricted Stock Units</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center"/>
              <w:ind w:right="330"/>
              <w:spacing w:after="0"/>
              <w:rPr>
                <w:sz w:val="20"/>
                <w:szCs w:val="20"/>
                <w:color w:val="auto"/>
              </w:rPr>
            </w:pPr>
            <w:r>
              <w:rPr>
                <w:rFonts w:ascii="Arial" w:cs="Arial" w:eastAsia="Arial" w:hAnsi="Arial"/>
                <w:sz w:val="18"/>
                <w:szCs w:val="18"/>
                <w:b w:val="1"/>
                <w:bCs w:val="1"/>
                <w:color w:val="auto"/>
                <w:w w:val="88"/>
              </w:rPr>
              <w:t>Weighted</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center"/>
              <w:ind w:right="310"/>
              <w:spacing w:after="0"/>
              <w:rPr>
                <w:sz w:val="20"/>
                <w:szCs w:val="20"/>
                <w:color w:val="auto"/>
              </w:rPr>
            </w:pPr>
            <w:r>
              <w:rPr>
                <w:rFonts w:ascii="Arial" w:cs="Arial" w:eastAsia="Arial" w:hAnsi="Arial"/>
                <w:sz w:val="18"/>
                <w:szCs w:val="18"/>
                <w:b w:val="1"/>
                <w:bCs w:val="1"/>
                <w:color w:val="auto"/>
                <w:w w:val="87"/>
              </w:rPr>
              <w:t>Average</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Grant-Date</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00" w:type="dxa"/>
            <w:vAlign w:val="bottom"/>
            <w:gridSpan w:val="2"/>
          </w:tcPr>
          <w:p>
            <w:pPr>
              <w:jc w:val="center"/>
              <w:ind w:right="90"/>
              <w:spacing w:after="0"/>
              <w:rPr>
                <w:sz w:val="20"/>
                <w:szCs w:val="20"/>
                <w:color w:val="auto"/>
              </w:rPr>
            </w:pPr>
            <w:r>
              <w:rPr>
                <w:rFonts w:ascii="Arial" w:cs="Arial" w:eastAsia="Arial" w:hAnsi="Arial"/>
                <w:sz w:val="18"/>
                <w:szCs w:val="18"/>
                <w:b w:val="1"/>
                <w:bCs w:val="1"/>
                <w:color w:val="auto"/>
                <w:w w:val="87"/>
              </w:rPr>
              <w:t>Exercise Price</w:t>
            </w:r>
          </w:p>
        </w:tc>
        <w:tc>
          <w:tcPr>
            <w:tcW w:w="122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Fair Value per</w:t>
            </w:r>
          </w:p>
        </w:tc>
      </w:tr>
      <w:tr>
        <w:trPr>
          <w:trHeight w:val="241"/>
        </w:trPr>
        <w:tc>
          <w:tcPr>
            <w:tcW w:w="20" w:type="dxa"/>
            <w:vAlign w:val="bottom"/>
          </w:tcPr>
          <w:p>
            <w:pPr>
              <w:spacing w:after="0"/>
              <w:rPr>
                <w:sz w:val="20"/>
                <w:szCs w:val="20"/>
                <w:color w:val="auto"/>
              </w:rPr>
            </w:pPr>
          </w:p>
        </w:tc>
        <w:tc>
          <w:tcPr>
            <w:tcW w:w="60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Shares</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91"/>
              </w:rPr>
              <w:t>per Share</w:t>
            </w: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7"/>
              </w:rPr>
              <w:t>Share</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grants, December 31, 2008</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182,465,078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31.29</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10,350,724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28.63</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Granted</w:t>
            </w: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rPr>
              <w:t>15,227,681</w:t>
            </w:r>
          </w:p>
        </w:tc>
        <w:tc>
          <w:tcPr>
            <w:tcW w:w="24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14.99</w:t>
            </w: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5,778,648</w:t>
            </w: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15.78</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Vested RSUs</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(1,149,500)</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24.05</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Expired and forfeited</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(19,659,953)</w:t>
            </w:r>
          </w:p>
        </w:tc>
        <w:tc>
          <w:tcPr>
            <w:tcW w:w="24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27.91</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(570,870)</w:t>
            </w:r>
          </w:p>
        </w:tc>
        <w:tc>
          <w:tcPr>
            <w:tcW w:w="1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28.02</w:t>
            </w: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Exercised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(3,319,584)</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16.67</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Outstanding grants, December 31, 2009</w:t>
            </w: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174,713,222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30.53</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14,409,002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23.86</w:t>
            </w: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weighted average grant-date fair value of RSUs granted during the years 2009, 2008 and 2007 was $15.78, $29.09 and $29.46 per share. For the years ended December 31, 2009, 2008 and 2007, the total fair value of shares vested from RSU grants was $28 million, $20 million and $12 million.</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Summarized information about stock options outstanding under the various long-term plans mentioned above at December 31, 2009, is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920" w:type="dxa"/>
            <w:vAlign w:val="bottom"/>
            <w:gridSpan w:val="2"/>
          </w:tcPr>
          <w:p>
            <w:pPr>
              <w:jc w:val="right"/>
              <w:ind w:right="810"/>
              <w:spacing w:after="0"/>
              <w:rPr>
                <w:sz w:val="20"/>
                <w:szCs w:val="20"/>
                <w:color w:val="auto"/>
              </w:rPr>
            </w:pPr>
            <w:r>
              <w:rPr>
                <w:rFonts w:ascii="Arial" w:cs="Arial" w:eastAsia="Arial" w:hAnsi="Arial"/>
                <w:sz w:val="18"/>
                <w:szCs w:val="18"/>
                <w:b w:val="1"/>
                <w:bCs w:val="1"/>
                <w:color w:val="auto"/>
              </w:rPr>
              <w:t>Stock Options Outstanding</w:t>
            </w: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18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Options Exercisable</w:t>
            </w:r>
          </w:p>
        </w:tc>
        <w:tc>
          <w:tcPr>
            <w:tcW w:w="6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9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Weighted Average</w:t>
            </w: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9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Remaining</w:t>
            </w:r>
          </w:p>
        </w:tc>
        <w:tc>
          <w:tcPr>
            <w:tcW w:w="188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9"/>
              </w:rPr>
              <w:t>Weighted Average</w:t>
            </w:r>
          </w:p>
        </w:tc>
        <w:tc>
          <w:tcPr>
            <w:tcW w:w="1960" w:type="dxa"/>
            <w:vAlign w:val="bottom"/>
          </w:tcPr>
          <w:p>
            <w:pPr>
              <w:spacing w:after="0"/>
              <w:rPr>
                <w:sz w:val="18"/>
                <w:szCs w:val="18"/>
                <w:color w:val="auto"/>
              </w:rPr>
            </w:pPr>
          </w:p>
        </w:tc>
        <w:tc>
          <w:tcPr>
            <w:tcW w:w="1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Range of Exercise</w:t>
            </w:r>
          </w:p>
        </w:tc>
        <w:tc>
          <w:tcPr>
            <w:tcW w:w="198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Number Outstanding</w:t>
            </w:r>
          </w:p>
        </w:tc>
        <w:tc>
          <w:tcPr>
            <w:tcW w:w="194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Contractual Life</w:t>
            </w:r>
          </w:p>
        </w:tc>
        <w:tc>
          <w:tcPr>
            <w:tcW w:w="188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9"/>
              </w:rPr>
              <w:t>Exercise Price per</w:t>
            </w:r>
          </w:p>
        </w:tc>
        <w:tc>
          <w:tcPr>
            <w:tcW w:w="196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Number Exercisable</w:t>
            </w:r>
          </w:p>
        </w:tc>
        <w:tc>
          <w:tcPr>
            <w:tcW w:w="1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Exercise Price per</w:t>
            </w:r>
          </w:p>
        </w:tc>
      </w:tr>
      <w:tr>
        <w:trPr>
          <w:trHeight w:val="241"/>
        </w:trPr>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Prices</w:t>
            </w:r>
          </w:p>
        </w:tc>
        <w:tc>
          <w:tcPr>
            <w:tcW w:w="19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(shares)</w:t>
            </w:r>
          </w:p>
        </w:tc>
        <w:tc>
          <w:tcPr>
            <w:tcW w:w="1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(years)</w:t>
            </w:r>
          </w:p>
        </w:tc>
        <w:tc>
          <w:tcPr>
            <w:tcW w:w="122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b w:val="1"/>
                <w:bCs w:val="1"/>
                <w:color w:val="auto"/>
                <w:w w:val="87"/>
              </w:rPr>
              <w:t>Share</w:t>
            </w:r>
          </w:p>
        </w:tc>
        <w:tc>
          <w:tcPr>
            <w:tcW w:w="6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(shares)</w:t>
            </w:r>
          </w:p>
        </w:tc>
        <w:tc>
          <w:tcPr>
            <w:tcW w:w="122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b w:val="1"/>
                <w:bCs w:val="1"/>
                <w:color w:val="auto"/>
                <w:w w:val="87"/>
              </w:rPr>
              <w:t>Share</w:t>
            </w:r>
          </w:p>
        </w:tc>
        <w:tc>
          <w:tcPr>
            <w:tcW w:w="620" w:type="dxa"/>
            <w:vAlign w:val="bottom"/>
            <w:tcBorders>
              <w:bottom w:val="single" w:sz="8" w:color="auto"/>
            </w:tcBorders>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 to 10.00</w:t>
            </w:r>
          </w:p>
        </w:tc>
        <w:tc>
          <w:tcPr>
            <w:tcW w:w="19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40,159</w:t>
            </w:r>
          </w:p>
        </w:tc>
        <w:tc>
          <w:tcPr>
            <w:tcW w:w="19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2.6</w:t>
            </w:r>
          </w:p>
        </w:tc>
        <w:tc>
          <w:tcPr>
            <w:tcW w:w="122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5.32</w:t>
            </w:r>
          </w:p>
        </w:tc>
        <w:tc>
          <w:tcPr>
            <w:tcW w:w="19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40,159</w:t>
            </w:r>
          </w:p>
        </w:tc>
        <w:tc>
          <w:tcPr>
            <w:tcW w:w="122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5.32</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10.01 to 20.00</w:t>
            </w:r>
          </w:p>
        </w:tc>
        <w:tc>
          <w:tcPr>
            <w:tcW w:w="1980" w:type="dxa"/>
            <w:vAlign w:val="bottom"/>
          </w:tcPr>
          <w:p>
            <w:pPr>
              <w:jc w:val="right"/>
              <w:ind w:right="130"/>
              <w:spacing w:after="0"/>
              <w:rPr>
                <w:sz w:val="20"/>
                <w:szCs w:val="20"/>
                <w:color w:val="auto"/>
              </w:rPr>
            </w:pPr>
            <w:r>
              <w:rPr>
                <w:rFonts w:ascii="Arial" w:cs="Arial" w:eastAsia="Arial" w:hAnsi="Arial"/>
                <w:sz w:val="18"/>
                <w:szCs w:val="18"/>
                <w:b w:val="1"/>
                <w:bCs w:val="1"/>
                <w:color w:val="auto"/>
              </w:rPr>
              <w:t>39,622,107</w:t>
            </w:r>
          </w:p>
        </w:tc>
        <w:tc>
          <w:tcPr>
            <w:tcW w:w="1940" w:type="dxa"/>
            <w:vAlign w:val="bottom"/>
          </w:tcPr>
          <w:p>
            <w:pPr>
              <w:jc w:val="right"/>
              <w:ind w:right="90"/>
              <w:spacing w:after="0"/>
              <w:rPr>
                <w:sz w:val="20"/>
                <w:szCs w:val="20"/>
                <w:color w:val="auto"/>
              </w:rPr>
            </w:pPr>
            <w:r>
              <w:rPr>
                <w:rFonts w:ascii="Arial" w:cs="Arial" w:eastAsia="Arial" w:hAnsi="Arial"/>
                <w:sz w:val="18"/>
                <w:szCs w:val="18"/>
                <w:b w:val="1"/>
                <w:bCs w:val="1"/>
                <w:color w:val="auto"/>
              </w:rPr>
              <w:t>5.4</w:t>
            </w:r>
          </w:p>
        </w:tc>
        <w:tc>
          <w:tcPr>
            <w:tcW w:w="1220" w:type="dxa"/>
            <w:vAlign w:val="bottom"/>
          </w:tcPr>
          <w:p>
            <w:pPr>
              <w:spacing w:after="0"/>
              <w:rPr>
                <w:sz w:val="18"/>
                <w:szCs w:val="18"/>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b w:val="1"/>
                <w:bCs w:val="1"/>
                <w:color w:val="auto"/>
              </w:rPr>
              <w:t>15.76</w:t>
            </w:r>
          </w:p>
        </w:tc>
        <w:tc>
          <w:tcPr>
            <w:tcW w:w="1960" w:type="dxa"/>
            <w:vAlign w:val="bottom"/>
          </w:tcPr>
          <w:p>
            <w:pPr>
              <w:jc w:val="right"/>
              <w:ind w:right="90"/>
              <w:spacing w:after="0"/>
              <w:rPr>
                <w:sz w:val="20"/>
                <w:szCs w:val="20"/>
                <w:color w:val="auto"/>
              </w:rPr>
            </w:pPr>
            <w:r>
              <w:rPr>
                <w:rFonts w:ascii="Arial" w:cs="Arial" w:eastAsia="Arial" w:hAnsi="Arial"/>
                <w:sz w:val="18"/>
                <w:szCs w:val="18"/>
                <w:b w:val="1"/>
                <w:bCs w:val="1"/>
                <w:color w:val="auto"/>
              </w:rPr>
              <w:t>24,552,126</w:t>
            </w:r>
          </w:p>
        </w:tc>
        <w:tc>
          <w:tcPr>
            <w:tcW w:w="122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16.24</w:t>
            </w: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20.01 to 30.00</w:t>
            </w:r>
          </w:p>
        </w:tc>
        <w:tc>
          <w:tcPr>
            <w:tcW w:w="19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53,831,869</w:t>
            </w:r>
          </w:p>
        </w:tc>
        <w:tc>
          <w:tcPr>
            <w:tcW w:w="19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4.6</w:t>
            </w:r>
          </w:p>
        </w:tc>
        <w:tc>
          <w:tcPr>
            <w:tcW w:w="12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25.87</w:t>
            </w:r>
          </w:p>
        </w:tc>
        <w:tc>
          <w:tcPr>
            <w:tcW w:w="19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43,773,811</w:t>
            </w:r>
          </w:p>
        </w:tc>
        <w:tc>
          <w:tcPr>
            <w:tcW w:w="12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25.11</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30.01 to 40.00</w:t>
            </w:r>
          </w:p>
        </w:tc>
        <w:tc>
          <w:tcPr>
            <w:tcW w:w="1980" w:type="dxa"/>
            <w:vAlign w:val="bottom"/>
          </w:tcPr>
          <w:p>
            <w:pPr>
              <w:jc w:val="right"/>
              <w:ind w:right="130"/>
              <w:spacing w:after="0"/>
              <w:rPr>
                <w:sz w:val="20"/>
                <w:szCs w:val="20"/>
                <w:color w:val="auto"/>
              </w:rPr>
            </w:pPr>
            <w:r>
              <w:rPr>
                <w:rFonts w:ascii="Arial" w:cs="Arial" w:eastAsia="Arial" w:hAnsi="Arial"/>
                <w:sz w:val="18"/>
                <w:szCs w:val="18"/>
                <w:b w:val="1"/>
                <w:bCs w:val="1"/>
                <w:color w:val="auto"/>
              </w:rPr>
              <w:t>51,033,106</w:t>
            </w:r>
          </w:p>
        </w:tc>
        <w:tc>
          <w:tcPr>
            <w:tcW w:w="1940" w:type="dxa"/>
            <w:vAlign w:val="bottom"/>
          </w:tcPr>
          <w:p>
            <w:pPr>
              <w:jc w:val="right"/>
              <w:ind w:right="90"/>
              <w:spacing w:after="0"/>
              <w:rPr>
                <w:sz w:val="20"/>
                <w:szCs w:val="20"/>
                <w:color w:val="auto"/>
              </w:rPr>
            </w:pPr>
            <w:r>
              <w:rPr>
                <w:rFonts w:ascii="Arial" w:cs="Arial" w:eastAsia="Arial" w:hAnsi="Arial"/>
                <w:sz w:val="18"/>
                <w:szCs w:val="18"/>
                <w:b w:val="1"/>
                <w:bCs w:val="1"/>
                <w:color w:val="auto"/>
              </w:rPr>
              <w:t>4.0</w:t>
            </w:r>
          </w:p>
        </w:tc>
        <w:tc>
          <w:tcPr>
            <w:tcW w:w="1220" w:type="dxa"/>
            <w:vAlign w:val="bottom"/>
          </w:tcPr>
          <w:p>
            <w:pPr>
              <w:spacing w:after="0"/>
              <w:rPr>
                <w:sz w:val="18"/>
                <w:szCs w:val="18"/>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b w:val="1"/>
                <w:bCs w:val="1"/>
                <w:color w:val="auto"/>
              </w:rPr>
              <w:t>33.08</w:t>
            </w:r>
          </w:p>
        </w:tc>
        <w:tc>
          <w:tcPr>
            <w:tcW w:w="1960" w:type="dxa"/>
            <w:vAlign w:val="bottom"/>
          </w:tcPr>
          <w:p>
            <w:pPr>
              <w:jc w:val="right"/>
              <w:ind w:right="90"/>
              <w:spacing w:after="0"/>
              <w:rPr>
                <w:sz w:val="20"/>
                <w:szCs w:val="20"/>
                <w:color w:val="auto"/>
              </w:rPr>
            </w:pPr>
            <w:r>
              <w:rPr>
                <w:rFonts w:ascii="Arial" w:cs="Arial" w:eastAsia="Arial" w:hAnsi="Arial"/>
                <w:sz w:val="18"/>
                <w:szCs w:val="18"/>
                <w:b w:val="1"/>
                <w:bCs w:val="1"/>
                <w:color w:val="auto"/>
              </w:rPr>
              <w:t>46,645,309</w:t>
            </w:r>
          </w:p>
        </w:tc>
        <w:tc>
          <w:tcPr>
            <w:tcW w:w="122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33.14</w:t>
            </w: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40.01 to 50.00</w:t>
            </w:r>
          </w:p>
        </w:tc>
        <w:tc>
          <w:tcPr>
            <w:tcW w:w="19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329,260</w:t>
            </w:r>
          </w:p>
        </w:tc>
        <w:tc>
          <w:tcPr>
            <w:tcW w:w="19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0.9</w:t>
            </w:r>
          </w:p>
        </w:tc>
        <w:tc>
          <w:tcPr>
            <w:tcW w:w="12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43.87</w:t>
            </w:r>
          </w:p>
        </w:tc>
        <w:tc>
          <w:tcPr>
            <w:tcW w:w="19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329,260</w:t>
            </w:r>
          </w:p>
        </w:tc>
        <w:tc>
          <w:tcPr>
            <w:tcW w:w="12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43.87</w:t>
            </w:r>
          </w:p>
        </w:tc>
      </w:tr>
      <w:tr>
        <w:trPr>
          <w:trHeight w:val="250"/>
        </w:trPr>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50.01 to 84.32</w:t>
            </w:r>
          </w:p>
        </w:tc>
        <w:tc>
          <w:tcPr>
            <w:tcW w:w="1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29,856,721</w:t>
            </w:r>
          </w:p>
        </w:tc>
        <w:tc>
          <w:tcPr>
            <w:tcW w:w="1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0.5</w:t>
            </w:r>
          </w:p>
        </w:tc>
        <w:tc>
          <w:tcPr>
            <w:tcW w:w="1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54.05</w:t>
            </w:r>
          </w:p>
        </w:tc>
        <w:tc>
          <w:tcPr>
            <w:tcW w:w="1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29,856,721</w:t>
            </w:r>
          </w:p>
        </w:tc>
        <w:tc>
          <w:tcPr>
            <w:tcW w:w="12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54.05</w:t>
            </w:r>
          </w:p>
        </w:tc>
      </w:tr>
      <w:tr>
        <w:trPr>
          <w:trHeight w:val="311"/>
        </w:trPr>
        <w:tc>
          <w:tcPr>
            <w:tcW w:w="20" w:type="dxa"/>
            <w:vAlign w:val="bottom"/>
          </w:tcPr>
          <w:p>
            <w:pPr>
              <w:spacing w:after="0"/>
              <w:rPr>
                <w:sz w:val="24"/>
                <w:szCs w:val="24"/>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 to 84.32</w:t>
            </w:r>
          </w:p>
        </w:tc>
        <w:tc>
          <w:tcPr>
            <w:tcW w:w="1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174,713,222</w:t>
            </w:r>
          </w:p>
        </w:tc>
        <w:tc>
          <w:tcPr>
            <w:tcW w:w="19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3.9</w:t>
            </w:r>
          </w:p>
        </w:tc>
        <w:tc>
          <w:tcPr>
            <w:tcW w:w="12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30.53</w:t>
            </w:r>
          </w:p>
        </w:tc>
        <w:tc>
          <w:tcPr>
            <w:tcW w:w="19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145,197,386</w:t>
            </w:r>
          </w:p>
        </w:tc>
        <w:tc>
          <w:tcPr>
            <w:tcW w:w="12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32.18</w:t>
            </w: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years ended December 31, 2009, 2008 and 2007, the aggregate intrinsic value (i.e., the difference in the closing market price and the exercise price paid by the optionee) of options exercised under these plans was $21 million, $110 million and $606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70" w:name="page71"/>
    <w:bookmarkEnd w:id="70"/>
    <w:p>
      <w:pPr>
        <w:spacing w:after="0"/>
        <w:rPr>
          <w:sz w:val="20"/>
          <w:szCs w:val="20"/>
          <w:color w:val="auto"/>
        </w:rPr>
      </w:pPr>
      <w:r>
        <w:rPr>
          <w:rFonts w:ascii="Arial" w:cs="Arial" w:eastAsia="Arial" w:hAnsi="Arial"/>
          <w:sz w:val="14"/>
          <w:szCs w:val="14"/>
          <w:color w:val="auto"/>
        </w:rPr>
        <w:t>TEXAS INSTRUMENTS 2009 ANNUAL REPORT n PAGE 14</w:t>
      </w:r>
    </w:p>
    <w:p>
      <w:pPr>
        <w:spacing w:after="0" w:line="20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Summarized information as of December 31, 2009, about outstanding stock options that are vested and expected to vest, as well as stock options that are currently exercisable,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Outstanding</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3940" w:type="dxa"/>
            <w:vAlign w:val="bottom"/>
            <w:gridSpan w:val="2"/>
          </w:tcPr>
          <w:p>
            <w:pPr>
              <w:jc w:val="center"/>
              <w:ind w:left="2510"/>
              <w:spacing w:after="0"/>
              <w:rPr>
                <w:sz w:val="20"/>
                <w:szCs w:val="20"/>
                <w:color w:val="auto"/>
              </w:rPr>
            </w:pPr>
            <w:r>
              <w:rPr>
                <w:rFonts w:ascii="Arial" w:cs="Arial" w:eastAsia="Arial" w:hAnsi="Arial"/>
                <w:sz w:val="18"/>
                <w:szCs w:val="18"/>
                <w:b w:val="1"/>
                <w:bCs w:val="1"/>
                <w:color w:val="auto"/>
                <w:w w:val="90"/>
              </w:rPr>
              <w:t>Stock Options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3940" w:type="dxa"/>
            <w:vAlign w:val="bottom"/>
            <w:gridSpan w:val="2"/>
          </w:tcPr>
          <w:p>
            <w:pPr>
              <w:jc w:val="center"/>
              <w:ind w:left="2510"/>
              <w:spacing w:after="0"/>
              <w:rPr>
                <w:sz w:val="20"/>
                <w:szCs w:val="20"/>
                <w:color w:val="auto"/>
              </w:rPr>
            </w:pPr>
            <w:r>
              <w:rPr>
                <w:rFonts w:ascii="Arial" w:cs="Arial" w:eastAsia="Arial" w:hAnsi="Arial"/>
                <w:sz w:val="18"/>
                <w:szCs w:val="18"/>
                <w:b w:val="1"/>
                <w:bCs w:val="1"/>
                <w:color w:val="auto"/>
                <w:w w:val="91"/>
              </w:rPr>
              <w:t>(Fully Vested</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3940" w:type="dxa"/>
            <w:vAlign w:val="bottom"/>
            <w:gridSpan w:val="2"/>
          </w:tcPr>
          <w:p>
            <w:pPr>
              <w:jc w:val="center"/>
              <w:ind w:left="2510"/>
              <w:spacing w:after="0"/>
              <w:rPr>
                <w:sz w:val="20"/>
                <w:szCs w:val="20"/>
                <w:color w:val="auto"/>
              </w:rPr>
            </w:pPr>
            <w:r>
              <w:rPr>
                <w:rFonts w:ascii="Arial" w:cs="Arial" w:eastAsia="Arial" w:hAnsi="Arial"/>
                <w:sz w:val="18"/>
                <w:szCs w:val="18"/>
                <w:b w:val="1"/>
                <w:bCs w:val="1"/>
                <w:color w:val="auto"/>
                <w:w w:val="90"/>
              </w:rPr>
              <w:t>and Expected</w:t>
            </w:r>
          </w:p>
        </w:tc>
        <w:tc>
          <w:tcPr>
            <w:tcW w:w="22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Options</w:t>
            </w:r>
          </w:p>
        </w:tc>
      </w:tr>
      <w:tr>
        <w:trPr>
          <w:trHeight w:val="241"/>
        </w:trPr>
        <w:tc>
          <w:tcPr>
            <w:tcW w:w="20" w:type="dxa"/>
            <w:vAlign w:val="bottom"/>
          </w:tcPr>
          <w:p>
            <w:pPr>
              <w:spacing w:after="0"/>
              <w:rPr>
                <w:sz w:val="20"/>
                <w:szCs w:val="20"/>
                <w:color w:val="auto"/>
              </w:rPr>
            </w:pPr>
          </w:p>
        </w:tc>
        <w:tc>
          <w:tcPr>
            <w:tcW w:w="61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to Vest) (a)</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7"/>
              </w:rPr>
              <w:t>Exercisable</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Number of outstanding (shares)</w:t>
            </w:r>
          </w:p>
        </w:tc>
        <w:tc>
          <w:tcPr>
            <w:tcW w:w="27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173,539,877</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145,197,386</w:t>
            </w: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b w:val="1"/>
                <w:bCs w:val="1"/>
                <w:color w:val="auto"/>
              </w:rPr>
              <w:t>Weighted average remaining contractual life</w:t>
            </w:r>
          </w:p>
        </w:tc>
        <w:tc>
          <w:tcPr>
            <w:tcW w:w="27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3.9 yrs</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3.0 yrs</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exercise price per share</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30.60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32.18</w:t>
            </w:r>
          </w:p>
        </w:tc>
      </w:tr>
      <w:tr>
        <w:trPr>
          <w:trHeight w:val="234"/>
        </w:trPr>
        <w:tc>
          <w:tcPr>
            <w:tcW w:w="2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b w:val="1"/>
                <w:bCs w:val="1"/>
                <w:color w:val="auto"/>
              </w:rPr>
              <w:t>Intrinsic value</w:t>
            </w:r>
          </w:p>
        </w:tc>
        <w:tc>
          <w:tcPr>
            <w:tcW w:w="2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475</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316</w:t>
            </w:r>
          </w:p>
        </w:tc>
      </w:tr>
    </w:tbl>
    <w:p>
      <w:pPr>
        <w:spacing w:after="0" w:line="210" w:lineRule="exact"/>
        <w:rPr>
          <w:sz w:val="20"/>
          <w:szCs w:val="20"/>
          <w:color w:val="auto"/>
        </w:rPr>
      </w:pPr>
    </w:p>
    <w:p>
      <w:pPr>
        <w:ind w:left="500" w:right="300" w:hanging="492"/>
        <w:spacing w:after="0" w:line="277" w:lineRule="auto"/>
        <w:tabs>
          <w:tab w:leader="none" w:pos="5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Includes effects of expected forfeitures. Excluding the effects of expected forfeitures, the aggregate intrinsic value of stock options outstanding was $483 million.</w:t>
      </w:r>
    </w:p>
    <w:p>
      <w:pPr>
        <w:spacing w:after="0" w:line="19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As of December 31, 2009, the total future compensation cost related to unvested stock options and RSUs not yet recognized in the statements of income was $117 million and $139 million. Of that total, $118 million, $85 million, $48 million and $5 million will be recognized in 2010, 2011, 2012 and 2013.</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stock purchase plan</w:t>
      </w:r>
    </w:p>
    <w:p>
      <w:pPr>
        <w:spacing w:after="0" w:line="23" w:lineRule="exact"/>
        <w:rPr>
          <w:sz w:val="20"/>
          <w:szCs w:val="20"/>
          <w:color w:val="auto"/>
        </w:rPr>
      </w:pPr>
    </w:p>
    <w:p>
      <w:pPr>
        <w:ind w:right="380"/>
        <w:spacing w:after="0" w:line="281" w:lineRule="auto"/>
        <w:rPr>
          <w:sz w:val="20"/>
          <w:szCs w:val="20"/>
          <w:color w:val="auto"/>
        </w:rPr>
      </w:pPr>
      <w:r>
        <w:rPr>
          <w:rFonts w:ascii="Arial" w:cs="Arial" w:eastAsia="Arial" w:hAnsi="Arial"/>
          <w:sz w:val="16"/>
          <w:szCs w:val="16"/>
          <w:color w:val="auto"/>
        </w:rPr>
        <w:t>Under the TI Employees 2005 Stock Purchase Plan, options are offered to all eligible employees in amounts based on a percentage of the employee’s compensation. Under the plan, the option price per share is 85 percent of the fair market value on the exercise date, and options have a three-month term.</w:t>
      </w:r>
    </w:p>
    <w:p>
      <w:pPr>
        <w:spacing w:after="0" w:line="1"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color w:val="auto"/>
        </w:rPr>
        <w:t>Options outstanding under the plan at December 31, 2009, had an exercise price of $22.11 per share (85 percent of the fair market value of TI common stock on the date of automatic exercise). Of the total outstanding options, none were exercisable at year-end 2009.</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Employee stock purchase plan transactions during 2009 were as follows:</w:t>
            </w:r>
          </w:p>
        </w:tc>
        <w:tc>
          <w:tcPr>
            <w:tcW w:w="1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41"/>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Employee</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Stock</w:t>
            </w: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Purchase Plan</w:t>
            </w: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88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(shares) (a)</w:t>
            </w:r>
          </w:p>
        </w:tc>
        <w:tc>
          <w:tcPr>
            <w:tcW w:w="13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7"/>
              </w:rPr>
              <w:t>Exercise Price</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Outstanding grants, December 31, 2008</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1,039,543</w:t>
            </w: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13.64</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Granted</w:t>
            </w: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rPr>
              <w:t>3,009,785</w:t>
            </w:r>
          </w:p>
        </w:tc>
        <w:tc>
          <w:tcPr>
            <w:tcW w:w="4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17.75</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Exercised</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(3,469,647)</w:t>
            </w: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15.79</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Outstanding grants, December 31, 2009</w:t>
            </w: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579,681</w:t>
            </w:r>
          </w:p>
        </w:tc>
        <w:tc>
          <w:tcPr>
            <w:tcW w:w="4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22.11</w:t>
            </w: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Excludes options offered but not granted.</w:t>
      </w:r>
    </w:p>
    <w:p>
      <w:pPr>
        <w:spacing w:after="0" w:line="252"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weighted average grant-date fair value of options granted under the employee stock purchase plans during the years 2009, 2008 and 2007 was $3.13, $3.37 and $5.10 per share. During the years ended December 31, 2009, 2008 and 2007, the total intrinsic value of options exercised under these plans was $10 million, $11 million and $11 million.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Effect on shares outstanding and treasury shares</w:t>
      </w:r>
    </w:p>
    <w:p>
      <w:pPr>
        <w:spacing w:after="0" w:line="23" w:lineRule="exact"/>
        <w:rPr>
          <w:sz w:val="20"/>
          <w:szCs w:val="20"/>
          <w:color w:val="auto"/>
        </w:rPr>
      </w:pPr>
    </w:p>
    <w:p>
      <w:pPr>
        <w:ind w:right="600"/>
        <w:spacing w:after="0" w:line="250" w:lineRule="auto"/>
        <w:rPr>
          <w:sz w:val="20"/>
          <w:szCs w:val="20"/>
          <w:color w:val="auto"/>
        </w:rPr>
      </w:pPr>
      <w:r>
        <w:rPr>
          <w:rFonts w:ascii="Arial" w:cs="Arial" w:eastAsia="Arial" w:hAnsi="Arial"/>
          <w:sz w:val="18"/>
          <w:szCs w:val="18"/>
          <w:color w:val="auto"/>
        </w:rPr>
        <w:t>Our practice is to issue shares of common stock upon exercise of stock options generally from treasury shares and, on a limited basis, from previously unissued shares. We settled stock option plan exercises using treasury shares of 6,695,583 in 2009; 11,217,809 in 2008 and 39,791,295 in 2007; and previously unissued common shares of 93,648 in 2009; 85,472 in 2008 and 511,907 in 2007.</w:t>
      </w:r>
    </w:p>
    <w:p>
      <w:pPr>
        <w:spacing w:after="0" w:line="1"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Upon vesting of RSUs, we issued treasury shares of 977,728 in 2009; 544,404 in 2008 and 515,209 in 2007; and previously unissued common shares of zero in 2009; zero in 2008 and 12,000 in 2007.</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80" w:type="dxa"/>
            <w:vAlign w:val="bottom"/>
            <w:gridSpan w:val="2"/>
          </w:tcPr>
          <w:p>
            <w:pPr>
              <w:spacing w:after="0"/>
              <w:rPr>
                <w:sz w:val="20"/>
                <w:szCs w:val="20"/>
                <w:color w:val="auto"/>
              </w:rPr>
            </w:pPr>
            <w:r>
              <w:rPr>
                <w:rFonts w:ascii="Arial" w:cs="Arial" w:eastAsia="Arial" w:hAnsi="Arial"/>
                <w:sz w:val="18"/>
                <w:szCs w:val="18"/>
                <w:color w:val="auto"/>
              </w:rPr>
              <w:t>Shares available for future grant and reserved for issuance are summarized below:</w:t>
            </w:r>
          </w:p>
        </w:tc>
        <w:tc>
          <w:tcPr>
            <w:tcW w:w="27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41"/>
        </w:trPr>
        <w:tc>
          <w:tcPr>
            <w:tcW w:w="2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404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As of December 31, 2009</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2700" w:type="dxa"/>
            <w:vAlign w:val="bottom"/>
          </w:tcPr>
          <w:p>
            <w:pPr>
              <w:jc w:val="center"/>
              <w:ind w:left="1230"/>
              <w:spacing w:after="0"/>
              <w:rPr>
                <w:sz w:val="20"/>
                <w:szCs w:val="20"/>
                <w:color w:val="auto"/>
              </w:rPr>
            </w:pPr>
            <w:r>
              <w:rPr>
                <w:rFonts w:ascii="Arial" w:cs="Arial" w:eastAsia="Arial" w:hAnsi="Arial"/>
                <w:sz w:val="18"/>
                <w:szCs w:val="18"/>
                <w:b w:val="1"/>
                <w:bCs w:val="1"/>
                <w:color w:val="auto"/>
                <w:w w:val="92"/>
              </w:rPr>
              <w:t>Long-term</w:t>
            </w:r>
          </w:p>
        </w:tc>
        <w:tc>
          <w:tcPr>
            <w:tcW w:w="13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2700" w:type="dxa"/>
            <w:vAlign w:val="bottom"/>
          </w:tcPr>
          <w:p>
            <w:pPr>
              <w:jc w:val="center"/>
              <w:ind w:left="1230"/>
              <w:spacing w:after="0"/>
              <w:rPr>
                <w:sz w:val="20"/>
                <w:szCs w:val="20"/>
                <w:color w:val="auto"/>
              </w:rPr>
            </w:pPr>
            <w:r>
              <w:rPr>
                <w:rFonts w:ascii="Arial" w:cs="Arial" w:eastAsia="Arial" w:hAnsi="Arial"/>
                <w:sz w:val="18"/>
                <w:szCs w:val="18"/>
                <w:b w:val="1"/>
                <w:bCs w:val="1"/>
                <w:color w:val="auto"/>
                <w:w w:val="92"/>
              </w:rPr>
              <w:t>Incentive and</w:t>
            </w:r>
          </w:p>
        </w:tc>
        <w:tc>
          <w:tcPr>
            <w:tcW w:w="13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2700" w:type="dxa"/>
            <w:vAlign w:val="bottom"/>
          </w:tcPr>
          <w:p>
            <w:pPr>
              <w:jc w:val="center"/>
              <w:ind w:left="1230"/>
              <w:spacing w:after="0"/>
              <w:rPr>
                <w:sz w:val="20"/>
                <w:szCs w:val="20"/>
                <w:color w:val="auto"/>
              </w:rPr>
            </w:pPr>
            <w:r>
              <w:rPr>
                <w:rFonts w:ascii="Arial" w:cs="Arial" w:eastAsia="Arial" w:hAnsi="Arial"/>
                <w:sz w:val="18"/>
                <w:szCs w:val="18"/>
                <w:b w:val="1"/>
                <w:bCs w:val="1"/>
                <w:color w:val="auto"/>
                <w:w w:val="95"/>
              </w:rPr>
              <w:t>Director</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TI Employees</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2700" w:type="dxa"/>
            <w:vAlign w:val="bottom"/>
          </w:tcPr>
          <w:p>
            <w:pPr>
              <w:jc w:val="center"/>
              <w:ind w:left="1230"/>
              <w:spacing w:after="0"/>
              <w:rPr>
                <w:sz w:val="20"/>
                <w:szCs w:val="20"/>
                <w:color w:val="auto"/>
              </w:rPr>
            </w:pPr>
            <w:r>
              <w:rPr>
                <w:rFonts w:ascii="Arial" w:cs="Arial" w:eastAsia="Arial" w:hAnsi="Arial"/>
                <w:sz w:val="18"/>
                <w:szCs w:val="18"/>
                <w:b w:val="1"/>
                <w:bCs w:val="1"/>
                <w:color w:val="auto"/>
                <w:w w:val="87"/>
              </w:rPr>
              <w:t>Compensation</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2005 Stock</w:t>
            </w:r>
          </w:p>
        </w:tc>
      </w:tr>
      <w:tr>
        <w:trPr>
          <w:trHeight w:val="241"/>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Shares</w:t>
            </w:r>
          </w:p>
        </w:tc>
        <w:tc>
          <w:tcPr>
            <w:tcW w:w="2700" w:type="dxa"/>
            <w:vAlign w:val="bottom"/>
          </w:tcPr>
          <w:p>
            <w:pPr>
              <w:jc w:val="center"/>
              <w:ind w:left="1230"/>
              <w:spacing w:after="0"/>
              <w:rPr>
                <w:sz w:val="20"/>
                <w:szCs w:val="20"/>
                <w:color w:val="auto"/>
              </w:rPr>
            </w:pPr>
            <w:r>
              <w:rPr>
                <w:rFonts w:ascii="Arial" w:cs="Arial" w:eastAsia="Arial" w:hAnsi="Arial"/>
                <w:sz w:val="18"/>
                <w:szCs w:val="18"/>
                <w:b w:val="1"/>
                <w:bCs w:val="1"/>
                <w:color w:val="auto"/>
                <w:w w:val="87"/>
              </w:rPr>
              <w:t>Plans</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Purchase Plan</w:t>
            </w:r>
          </w:p>
        </w:tc>
      </w:tr>
      <w:tr>
        <w:trPr>
          <w:trHeight w:val="216"/>
        </w:trPr>
        <w:tc>
          <w:tcPr>
            <w:tcW w:w="20" w:type="dxa"/>
            <w:vAlign w:val="bottom"/>
          </w:tcPr>
          <w:p>
            <w:pPr>
              <w:spacing w:after="0"/>
              <w:rPr>
                <w:sz w:val="18"/>
                <w:szCs w:val="18"/>
                <w:color w:val="auto"/>
              </w:rPr>
            </w:pPr>
          </w:p>
        </w:tc>
        <w:tc>
          <w:tcPr>
            <w:tcW w:w="7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Available for future grant</w:t>
            </w:r>
          </w:p>
        </w:tc>
        <w:tc>
          <w:tcPr>
            <w:tcW w:w="27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79,542,009</w:t>
            </w:r>
          </w:p>
        </w:tc>
        <w:tc>
          <w:tcPr>
            <w:tcW w:w="13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31,935,700</w:t>
            </w:r>
          </w:p>
        </w:tc>
      </w:tr>
      <w:tr>
        <w:trPr>
          <w:trHeight w:val="234"/>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r>
              <w:rPr>
                <w:rFonts w:ascii="Arial" w:cs="Arial" w:eastAsia="Arial" w:hAnsi="Arial"/>
                <w:sz w:val="18"/>
                <w:szCs w:val="18"/>
                <w:b w:val="1"/>
                <w:bCs w:val="1"/>
                <w:color w:val="auto"/>
              </w:rPr>
              <w:t>Reserved for issuance (a)</w:t>
            </w:r>
          </w:p>
        </w:tc>
        <w:tc>
          <w:tcPr>
            <w:tcW w:w="2700" w:type="dxa"/>
            <w:vAlign w:val="bottom"/>
          </w:tcPr>
          <w:p>
            <w:pPr>
              <w:jc w:val="right"/>
              <w:ind w:right="30"/>
              <w:spacing w:after="0"/>
              <w:rPr>
                <w:sz w:val="20"/>
                <w:szCs w:val="20"/>
                <w:color w:val="auto"/>
              </w:rPr>
            </w:pPr>
            <w:r>
              <w:rPr>
                <w:rFonts w:ascii="Arial" w:cs="Arial" w:eastAsia="Arial" w:hAnsi="Arial"/>
                <w:sz w:val="18"/>
                <w:szCs w:val="18"/>
                <w:b w:val="1"/>
                <w:bCs w:val="1"/>
                <w:color w:val="auto"/>
              </w:rPr>
              <w:t>268,802,866</w:t>
            </w: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32,515,381</w:t>
            </w:r>
          </w:p>
        </w:tc>
      </w:tr>
    </w:tbl>
    <w:p>
      <w:pPr>
        <w:spacing w:after="0" w:line="210" w:lineRule="exact"/>
        <w:rPr>
          <w:sz w:val="20"/>
          <w:szCs w:val="20"/>
          <w:color w:val="auto"/>
        </w:rPr>
      </w:pPr>
    </w:p>
    <w:p>
      <w:pPr>
        <w:ind w:left="340" w:right="480" w:hanging="332"/>
        <w:spacing w:after="0" w:line="277"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Includes 138,633 shares credited to directors’ deferred compensation accounts that may settle in shares of TI common stock on a one-for-one basis. These shares are not included as grants outstanding at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71" w:name="page72"/>
    <w:bookmarkEnd w:id="71"/>
    <w:p>
      <w:pPr>
        <w:ind w:left="7680"/>
        <w:spacing w:after="0"/>
        <w:rPr>
          <w:sz w:val="20"/>
          <w:szCs w:val="20"/>
          <w:color w:val="auto"/>
        </w:rPr>
      </w:pPr>
      <w:r>
        <w:rPr>
          <w:rFonts w:ascii="Arial" w:cs="Arial" w:eastAsia="Arial" w:hAnsi="Arial"/>
          <w:sz w:val="13"/>
          <w:szCs w:val="13"/>
          <w:color w:val="auto"/>
        </w:rPr>
        <w:t>TEXAS INSTRUMENTS 2009 ANNUAL REPORT n PAGE 15</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Effect on cash flows</w:t>
      </w:r>
    </w:p>
    <w:p>
      <w:pPr>
        <w:spacing w:after="0" w:line="23" w:lineRule="exact"/>
        <w:rPr>
          <w:sz w:val="20"/>
          <w:szCs w:val="20"/>
          <w:color w:val="auto"/>
        </w:rPr>
      </w:pPr>
    </w:p>
    <w:p>
      <w:pPr>
        <w:jc w:val="both"/>
        <w:ind w:right="60"/>
        <w:spacing w:after="0" w:line="323" w:lineRule="auto"/>
        <w:rPr>
          <w:sz w:val="20"/>
          <w:szCs w:val="20"/>
          <w:color w:val="auto"/>
        </w:rPr>
      </w:pPr>
      <w:r>
        <w:rPr>
          <w:rFonts w:ascii="Arial" w:cs="Arial" w:eastAsia="Arial" w:hAnsi="Arial"/>
          <w:sz w:val="16"/>
          <w:szCs w:val="16"/>
          <w:color w:val="auto"/>
        </w:rPr>
        <w:t>Cash received from the exercise of options was $109 million in 2009, $210 million in 2008 and $761 million in 2007. The related net tax impact realized was ($2) million, $31 million and $204 million (which includes excess tax benefits realized of $1 million, $19 million and $116 million) in 2009, 2008 and 2007.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Profit sharing plans</w:t>
      </w:r>
    </w:p>
    <w:p>
      <w:pPr>
        <w:spacing w:after="0" w:line="25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Profit sharing benefits are generally formulaic and determined by one or more subsidiary or company-wide financial metrics. We pay profit sharing benefits primarily under the company-wide TI Employee Profit Sharing Plan. This plan provides for profit sharing to be paid based solely on TI’s operating margin for the full calendar year. Under this plan, TI must achieve a minimum threshold of 10 percent operating margin before any profit sharing is paid. At 10 percent operating margin, profit sharing will be 2 percent of eligible payroll. The maximum amount of profit sharing available under the plan is 20 percent of eligible payroll, which is paid only if TI’s operating margin is at or above 35 percent for a full calendar year.</w:t>
      </w:r>
    </w:p>
    <w:p>
      <w:pPr>
        <w:spacing w:after="0" w:line="3" w:lineRule="exact"/>
        <w:rPr>
          <w:sz w:val="20"/>
          <w:szCs w:val="20"/>
          <w:color w:val="auto"/>
        </w:rPr>
      </w:pPr>
    </w:p>
    <w:p>
      <w:pPr>
        <w:ind w:right="440" w:firstLine="324"/>
        <w:spacing w:after="0" w:line="261" w:lineRule="auto"/>
        <w:rPr>
          <w:sz w:val="20"/>
          <w:szCs w:val="20"/>
          <w:color w:val="auto"/>
        </w:rPr>
      </w:pPr>
      <w:r>
        <w:rPr>
          <w:rFonts w:ascii="Arial" w:cs="Arial" w:eastAsia="Arial" w:hAnsi="Arial"/>
          <w:sz w:val="18"/>
          <w:szCs w:val="18"/>
          <w:color w:val="auto"/>
        </w:rPr>
        <w:t>We recognized $102 million, $121 million and $180 million of profit sharing expense under the TI Employee Profit Sharing Plan in 2009, 2008 and 2007.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5. Income taxes</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Income from continuing operations before income taxes</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U.S.</w:t>
            </w:r>
          </w:p>
        </w:tc>
        <w:tc>
          <w:tcPr>
            <w:tcW w:w="240" w:type="dxa"/>
            <w:vAlign w:val="bottom"/>
          </w:tcPr>
          <w:p>
            <w:pPr>
              <w:spacing w:after="0"/>
              <w:rPr>
                <w:sz w:val="24"/>
                <w:szCs w:val="24"/>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w w:val="97"/>
              </w:rPr>
              <w:t>Non-U.S.</w:t>
            </w:r>
          </w:p>
        </w:tc>
        <w:tc>
          <w:tcPr>
            <w:tcW w:w="320" w:type="dxa"/>
            <w:vAlign w:val="bottom"/>
          </w:tcPr>
          <w:p>
            <w:pPr>
              <w:spacing w:after="0"/>
              <w:rPr>
                <w:sz w:val="24"/>
                <w:szCs w:val="24"/>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1,375</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642</w:t>
            </w:r>
          </w:p>
        </w:tc>
        <w:tc>
          <w:tcPr>
            <w:tcW w:w="3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2008</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1,749</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732</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2,738</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954</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3,692</w:t>
            </w:r>
          </w:p>
        </w:tc>
        <w:tc>
          <w:tcPr>
            <w:tcW w:w="0" w:type="dxa"/>
            <w:vAlign w:val="bottom"/>
          </w:tcPr>
          <w:p>
            <w:pPr>
              <w:spacing w:after="0"/>
              <w:rPr>
                <w:sz w:val="1"/>
                <w:szCs w:val="1"/>
                <w:color w:val="auto"/>
              </w:rPr>
            </w:pPr>
          </w:p>
        </w:tc>
      </w:tr>
      <w:tr>
        <w:trPr>
          <w:trHeight w:val="493"/>
        </w:trPr>
        <w:tc>
          <w:tcPr>
            <w:tcW w:w="6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Provision (benefit) for income taxes</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U.S. Federal</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Non-U.S.</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U.S. State</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Current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334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Arial" w:cs="Arial" w:eastAsia="Arial" w:hAnsi="Arial"/>
                <w:sz w:val="18"/>
                <w:szCs w:val="18"/>
                <w:b w:val="1"/>
                <w:bCs w:val="1"/>
                <w:color w:val="auto"/>
              </w:rPr>
              <w:t>Deferred</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117</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451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Current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646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(214)</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432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823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Deferred</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820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453"/>
        </w:trPr>
        <w:tc>
          <w:tcPr>
            <w:tcW w:w="7440" w:type="dxa"/>
            <w:vAlign w:val="bottom"/>
            <w:gridSpan w:val="4"/>
          </w:tcPr>
          <w:p>
            <w:pPr>
              <w:spacing w:after="0"/>
              <w:rPr>
                <w:sz w:val="20"/>
                <w:szCs w:val="20"/>
                <w:color w:val="auto"/>
              </w:rPr>
            </w:pPr>
            <w:r>
              <w:rPr>
                <w:rFonts w:ascii="Arial" w:cs="Arial" w:eastAsia="Arial" w:hAnsi="Arial"/>
                <w:sz w:val="18"/>
                <w:szCs w:val="18"/>
                <w:color w:val="auto"/>
              </w:rPr>
              <w:t>Principal reconciling items from income tax computed at the statutory federal rate follow:</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2009</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2008</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Computed tax at statutory rate</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706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868</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Effect of non-U.S. rates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(101)</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(197)</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tax credits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U.S. tax benefits for manufacturing and foreign sales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 provision for income taxes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547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561</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2"/>
        </w:trPr>
        <w:tc>
          <w:tcPr>
            <w:tcW w:w="20" w:type="dxa"/>
            <w:vAlign w:val="bottom"/>
          </w:tcPr>
          <w:p>
            <w:pPr>
              <w:spacing w:after="0"/>
              <w:rPr>
                <w:sz w:val="24"/>
                <w:szCs w:val="24"/>
                <w:color w:val="auto"/>
              </w:rPr>
            </w:pPr>
          </w:p>
        </w:tc>
        <w:tc>
          <w:tcPr>
            <w:tcW w:w="60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82"/>
        </w:trPr>
        <w:tc>
          <w:tcPr>
            <w:tcW w:w="8820" w:type="dxa"/>
            <w:vAlign w:val="bottom"/>
            <w:gridSpan w:val="2"/>
          </w:tcPr>
          <w:p>
            <w:pPr>
              <w:spacing w:after="0"/>
              <w:rPr>
                <w:sz w:val="20"/>
                <w:szCs w:val="20"/>
                <w:color w:val="auto"/>
              </w:rPr>
            </w:pPr>
            <w:r>
              <w:rPr>
                <w:rFonts w:ascii="Arial" w:cs="Arial" w:eastAsia="Arial" w:hAnsi="Arial"/>
                <w:sz w:val="14"/>
                <w:szCs w:val="14"/>
                <w:color w:val="auto"/>
              </w:rPr>
              <w:t>TEXAS INSTRUMENTS 2009 ANNUAL REPORT n PAGE 16</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444"/>
        </w:trPr>
        <w:tc>
          <w:tcPr>
            <w:tcW w:w="8820" w:type="dxa"/>
            <w:vAlign w:val="bottom"/>
            <w:gridSpan w:val="2"/>
          </w:tcPr>
          <w:p>
            <w:pPr>
              <w:spacing w:after="0"/>
              <w:rPr>
                <w:sz w:val="20"/>
                <w:szCs w:val="20"/>
                <w:color w:val="auto"/>
              </w:rPr>
            </w:pPr>
            <w:r>
              <w:rPr>
                <w:rFonts w:ascii="Arial" w:cs="Arial" w:eastAsia="Arial" w:hAnsi="Arial"/>
                <w:sz w:val="18"/>
                <w:szCs w:val="18"/>
                <w:color w:val="auto"/>
              </w:rPr>
              <w:t>The primary components of deferred income tax assets and liabilities were as follows: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December 31,</w:t>
            </w:r>
          </w:p>
        </w:tc>
      </w:tr>
      <w:tr>
        <w:trPr>
          <w:trHeight w:val="250"/>
        </w:trPr>
        <w:tc>
          <w:tcPr>
            <w:tcW w:w="20" w:type="dxa"/>
            <w:vAlign w:val="bottom"/>
          </w:tcPr>
          <w:p>
            <w:pPr>
              <w:spacing w:after="0"/>
              <w:rPr>
                <w:sz w:val="21"/>
                <w:szCs w:val="21"/>
                <w:color w:val="auto"/>
              </w:rPr>
            </w:pPr>
          </w:p>
        </w:tc>
        <w:tc>
          <w:tcPr>
            <w:tcW w:w="88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2008</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income tax assets: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Postretirement benefit costs recognized in AOCI</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380</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Inventories and related reserves</w:t>
            </w:r>
          </w:p>
        </w:tc>
        <w:tc>
          <w:tcPr>
            <w:tcW w:w="28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347</w:t>
            </w:r>
          </w:p>
        </w:tc>
        <w:tc>
          <w:tcPr>
            <w:tcW w:w="3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428</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339</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w:t>
            </w: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219</w:t>
            </w:r>
          </w:p>
        </w:tc>
        <w:tc>
          <w:tcPr>
            <w:tcW w:w="3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293</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loss and tax credit carryforwards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201</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Intangibles</w:t>
            </w:r>
          </w:p>
        </w:tc>
        <w:tc>
          <w:tcPr>
            <w:tcW w:w="28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71</w:t>
            </w:r>
          </w:p>
        </w:tc>
        <w:tc>
          <w:tcPr>
            <w:tcW w:w="3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77</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40</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93</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132</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1,690</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1,903</w:t>
            </w: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Less valuation allowance</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1,688</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1,901</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plant and equipment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Accrued retirement costs (defined benefit and retiree health care)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(176)</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income tax asset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1,405</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1,626</w:t>
            </w:r>
          </w:p>
        </w:tc>
      </w:tr>
    </w:tbl>
    <w:p>
      <w:pPr>
        <w:spacing w:after="0" w:line="229"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As of December 31, 2009 and 2008, net deferred income tax assets of $1.41 billion and $1.63 billion were presented in the balance sheets, based on tax jurisdiction, as deferred income tax assets of $1.47 billion and $1.69 billion and deferred income tax liabilities of $67 million and $59 million. The decrease in net deferred income tax assets from December 31, 2008 to December 31, 2009, exceeds the $146 million deferred tax provision primarily due to the recording of deferred tax assets associated with postretirement benefit costs recognized in accumulated other comprehensive income (AOCI). We make an ongoing assessment regarding the realization of U.S. and non-U.S. deferred tax assets. While these assets are not assured of realization, our assessment is that a valuation allowance is not required for the remaining balance of the deferred tax assets. This assessment is based on our evaluation of relevant criteria including the existence of (a) deferred tax liabilities that can be used to absorb deferred tax assets, (b) taxable income in prior carryback years and (c) expectations for future taxable income.</w:t>
      </w:r>
    </w:p>
    <w:p>
      <w:pPr>
        <w:spacing w:after="0" w:line="3" w:lineRule="exact"/>
        <w:rPr>
          <w:sz w:val="20"/>
          <w:szCs w:val="20"/>
          <w:color w:val="auto"/>
        </w:rPr>
      </w:pPr>
    </w:p>
    <w:p>
      <w:pPr>
        <w:ind w:left="340" w:right="600"/>
        <w:spacing w:after="0" w:line="281" w:lineRule="auto"/>
        <w:rPr>
          <w:sz w:val="20"/>
          <w:szCs w:val="20"/>
          <w:color w:val="auto"/>
        </w:rPr>
      </w:pPr>
      <w:r>
        <w:rPr>
          <w:rFonts w:ascii="Arial" w:cs="Arial" w:eastAsia="Arial" w:hAnsi="Arial"/>
          <w:sz w:val="16"/>
          <w:szCs w:val="16"/>
          <w:color w:val="auto"/>
        </w:rPr>
        <w:t>We have aggregate U.S. and non-U.S. tax loss carryforwards of approximately $289 million, of which $149 million expire through the year 2024. Provision has been made for deferred taxes on undistributed earnings of non-U.S. subsidiaries to the extent that dividend payments from these</w:t>
      </w:r>
    </w:p>
    <w:p>
      <w:pPr>
        <w:spacing w:after="0" w:line="1"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subsidiaries are expected to result in additional tax liability. The remaining undistributed earnings (approximately $3.06 billion at December 31, 2009) have been indefinitely reinvested; therefore, no provision has been made for taxes due upon remittance of these earnings. It is not practicable to determine the amount of unrecognized deferred tax liability on these unremitted earnings.</w:t>
      </w:r>
    </w:p>
    <w:p>
      <w:pPr>
        <w:spacing w:after="0" w:line="1"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auto"/>
        </w:rPr>
        <w:t>Cash payments made for income taxes (net of refunds) were $331 million, $772 million and $733 million for the years ended December 31, 2009, 2008 and 2007.</w:t>
      </w:r>
    </w:p>
    <w:p>
      <w:pPr>
        <w:spacing w:after="0" w:line="21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u w:val="single" w:color="auto"/>
          <w:color w:val="auto"/>
        </w:rPr>
        <w:t>Uncertain tax positions</w:t>
      </w:r>
      <w:r>
        <w:rPr>
          <w:rFonts w:ascii="Arial" w:cs="Arial" w:eastAsia="Arial" w:hAnsi="Arial"/>
          <w:sz w:val="16"/>
          <w:szCs w:val="16"/>
          <w:color w:val="auto"/>
        </w:rPr>
        <w:t>: We operate in a number of tax jurisdictions and are subject to examination of our income tax returns by tax authorities in those jurisdictions who may challenge any item on these tax returns. Because the matters challenged by authorities are typically complex, their ultimate outcome is uncertain. We recognize accrued interest related to uncertain tax positions and penalties as components of OI&amp;E. Before any benefit can be recorded in the financial statements, we must determine that it is “more likely than not” that a tax position will be sustained by the appropriate tax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5420" w:type="dxa"/>
            <w:vAlign w:val="bottom"/>
            <w:gridSpan w:val="5"/>
          </w:tcPr>
          <w:p>
            <w:pPr>
              <w:jc w:val="right"/>
              <w:spacing w:after="0"/>
              <w:rPr>
                <w:sz w:val="20"/>
                <w:szCs w:val="20"/>
                <w:color w:val="auto"/>
              </w:rPr>
            </w:pPr>
            <w:r>
              <w:rPr>
                <w:rFonts w:ascii="Arial" w:cs="Arial" w:eastAsia="Arial" w:hAnsi="Arial"/>
                <w:sz w:val="14"/>
                <w:szCs w:val="14"/>
                <w:color w:val="auto"/>
              </w:rPr>
              <w:t>TEXAS INSTRUMENTS 2009 ANNUAL REPORT n PAGE 17</w:t>
            </w:r>
          </w:p>
        </w:tc>
        <w:tc>
          <w:tcPr>
            <w:tcW w:w="0" w:type="dxa"/>
            <w:vAlign w:val="bottom"/>
          </w:tcPr>
          <w:p>
            <w:pPr>
              <w:spacing w:after="0"/>
              <w:rPr>
                <w:sz w:val="1"/>
                <w:szCs w:val="1"/>
                <w:color w:val="auto"/>
              </w:rPr>
            </w:pPr>
          </w:p>
        </w:tc>
      </w:tr>
      <w:tr>
        <w:trPr>
          <w:trHeight w:val="444"/>
        </w:trPr>
        <w:tc>
          <w:tcPr>
            <w:tcW w:w="9620" w:type="dxa"/>
            <w:vAlign w:val="bottom"/>
            <w:gridSpan w:val="4"/>
          </w:tcPr>
          <w:p>
            <w:pPr>
              <w:spacing w:after="0"/>
              <w:rPr>
                <w:sz w:val="20"/>
                <w:szCs w:val="20"/>
                <w:color w:val="auto"/>
              </w:rPr>
            </w:pPr>
            <w:r>
              <w:rPr>
                <w:rFonts w:ascii="Arial" w:cs="Arial" w:eastAsia="Arial" w:hAnsi="Arial"/>
                <w:sz w:val="18"/>
                <w:szCs w:val="18"/>
                <w:color w:val="auto"/>
              </w:rPr>
              <w:t>The following table summarizes the changes in the total amounts of uncertain tax positions for 2009 and 2008:</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2009</w:t>
            </w:r>
          </w:p>
        </w:tc>
        <w:tc>
          <w:tcPr>
            <w:tcW w:w="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w:t>
            </w:r>
          </w:p>
        </w:tc>
        <w:tc>
          <w:tcPr>
            <w:tcW w:w="3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148</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2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b w:val="1"/>
                <w:bCs w:val="1"/>
                <w:color w:val="auto"/>
              </w:rPr>
              <w:t>10</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Additions for tax positions of prior years</w:t>
            </w:r>
          </w:p>
        </w:tc>
        <w:tc>
          <w:tcPr>
            <w:tcW w:w="2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Reductions for tax positions of prior years</w:t>
            </w:r>
          </w:p>
        </w:tc>
        <w:tc>
          <w:tcPr>
            <w:tcW w:w="2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Settlements with tax authorities</w:t>
            </w:r>
          </w:p>
        </w:tc>
        <w:tc>
          <w:tcPr>
            <w:tcW w:w="28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Balance, December 31</w:t>
            </w:r>
          </w:p>
        </w:tc>
        <w:tc>
          <w:tcPr>
            <w:tcW w:w="36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ind w:right="50"/>
              <w:spacing w:after="0"/>
              <w:rPr>
                <w:sz w:val="20"/>
                <w:szCs w:val="20"/>
                <w:color w:val="auto"/>
              </w:rPr>
            </w:pPr>
            <w:r>
              <w:rPr>
                <w:rFonts w:ascii="Arial" w:cs="Arial" w:eastAsia="Arial" w:hAnsi="Arial"/>
                <w:sz w:val="18"/>
                <w:szCs w:val="18"/>
                <w:b w:val="1"/>
                <w:bCs w:val="1"/>
                <w:color w:val="auto"/>
              </w:rPr>
              <w:t>56</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recognized in the year ended December 31</w:t>
            </w:r>
          </w:p>
        </w:tc>
        <w:tc>
          <w:tcPr>
            <w:tcW w:w="3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8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Accrued interest (receivable) payable as of December 31</w:t>
            </w:r>
          </w:p>
        </w:tc>
        <w:tc>
          <w:tcPr>
            <w:tcW w:w="36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The liabilities for uncertain tax positions and accrued interest payable are a component of Deferred credits and other liabilities, and accrued interest receivable is a component of Other assets on our balance sheets.</w:t>
      </w:r>
    </w:p>
    <w:p>
      <w:pPr>
        <w:spacing w:after="0" w:line="1" w:lineRule="exact"/>
        <w:rPr>
          <w:sz w:val="20"/>
          <w:szCs w:val="20"/>
          <w:color w:val="auto"/>
        </w:rPr>
      </w:pPr>
    </w:p>
    <w:p>
      <w:pPr>
        <w:jc w:val="both"/>
        <w:ind w:right="200" w:firstLine="324"/>
        <w:spacing w:after="0" w:line="281" w:lineRule="auto"/>
        <w:rPr>
          <w:sz w:val="20"/>
          <w:szCs w:val="20"/>
          <w:color w:val="auto"/>
        </w:rPr>
      </w:pPr>
      <w:r>
        <w:rPr>
          <w:rFonts w:ascii="Arial" w:cs="Arial" w:eastAsia="Arial" w:hAnsi="Arial"/>
          <w:sz w:val="16"/>
          <w:szCs w:val="16"/>
          <w:color w:val="auto"/>
        </w:rPr>
        <w:t>During 2009, a $90 million payment was made in respect of U.S. tax return audits for the years 2003 through 2006 for all settled audit adjustments on which the adjustment amount had been agreed with the IRS. The audit adjustments had been previously reflected in our liability for uncertain tax positions and the payment had no income statement impact. Other U.S. tax audit issues for these years remain unresolved and subject to issue resolution processes. A $20 million tax interest payment was also made in 2009 for the interest liability that had been accrued on the same agreed U.S. tax audit adjustments.</w:t>
      </w:r>
    </w:p>
    <w:p>
      <w:pPr>
        <w:spacing w:after="0" w:line="3" w:lineRule="exact"/>
        <w:rPr>
          <w:sz w:val="20"/>
          <w:szCs w:val="20"/>
          <w:color w:val="auto"/>
        </w:rPr>
      </w:pPr>
    </w:p>
    <w:p>
      <w:pPr>
        <w:ind w:right="140" w:firstLine="324"/>
        <w:spacing w:after="0" w:line="250" w:lineRule="auto"/>
        <w:rPr>
          <w:sz w:val="20"/>
          <w:szCs w:val="20"/>
          <w:color w:val="auto"/>
        </w:rPr>
      </w:pPr>
      <w:r>
        <w:rPr>
          <w:rFonts w:ascii="Arial" w:cs="Arial" w:eastAsia="Arial" w:hAnsi="Arial"/>
          <w:sz w:val="18"/>
          <w:szCs w:val="18"/>
          <w:color w:val="auto"/>
        </w:rPr>
        <w:t>The $56 million liability for uncertain tax positions as of December 31, 2009, represents tax positions that, if recognized, would impact the effective tax rate. If these tax liabilities are ultimately realized, $28 million of deferred tax assets would also be realized, primarily related to refunds from counterparty jurisdictions resulting from procedures for relief from double taxation.</w:t>
      </w:r>
    </w:p>
    <w:p>
      <w:pPr>
        <w:spacing w:after="0" w:line="1" w:lineRule="exact"/>
        <w:rPr>
          <w:sz w:val="20"/>
          <w:szCs w:val="20"/>
          <w:color w:val="auto"/>
        </w:rPr>
      </w:pPr>
    </w:p>
    <w:p>
      <w:pPr>
        <w:ind w:right="20" w:firstLine="324"/>
        <w:spacing w:after="0" w:line="281" w:lineRule="auto"/>
        <w:rPr>
          <w:sz w:val="20"/>
          <w:szCs w:val="20"/>
          <w:color w:val="auto"/>
        </w:rPr>
      </w:pPr>
      <w:r>
        <w:rPr>
          <w:rFonts w:ascii="Arial" w:cs="Arial" w:eastAsia="Arial" w:hAnsi="Arial"/>
          <w:sz w:val="16"/>
          <w:szCs w:val="16"/>
          <w:color w:val="auto"/>
        </w:rPr>
        <w:t>As of December 31, 2009, the statute of limitations remains open for U.S. federal tax returns for 1999 and following years. Our returns for the years 2000 through 2006 are the subject of tax treaty procedures for relief from double taxation; and our returns for the years 2003 through 2006 will be the subject of an appeals proceeding in 2010. Cases currently before the United States Tax Court could have an impact on the determination of our uncertain tax positions and the outcome of the 2010 appeals proceeding. It is reasonably possible that the appeals proceeding will be completed within the next 12 months.</w:t>
      </w:r>
    </w:p>
    <w:p>
      <w:pPr>
        <w:spacing w:after="0" w:line="3" w:lineRule="exact"/>
        <w:rPr>
          <w:sz w:val="20"/>
          <w:szCs w:val="20"/>
          <w:color w:val="auto"/>
        </w:rPr>
      </w:pPr>
    </w:p>
    <w:p>
      <w:pPr>
        <w:ind w:right="640" w:firstLine="324"/>
        <w:spacing w:after="0" w:line="281" w:lineRule="auto"/>
        <w:rPr>
          <w:sz w:val="20"/>
          <w:szCs w:val="20"/>
          <w:color w:val="auto"/>
        </w:rPr>
      </w:pPr>
      <w:r>
        <w:rPr>
          <w:rFonts w:ascii="Arial" w:cs="Arial" w:eastAsia="Arial" w:hAnsi="Arial"/>
          <w:sz w:val="16"/>
          <w:szCs w:val="16"/>
          <w:color w:val="auto"/>
        </w:rPr>
        <w:t>In foreign jurisdictions, the years open to audit represent the years still subject to the statute of limitations. Years still open to audit by foreign tax authorities in major jurisdictions include Germany (2004 onward), France (2007 onward), Japan (2002 onward) and Taiwan (2004 onward).</w:t>
      </w:r>
    </w:p>
    <w:p>
      <w:pPr>
        <w:spacing w:after="0" w:line="1"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We are unable to estimate the range of any reasonably possible increase or decrease in uncertain tax positions that may occur within the next 12 months resulting from the eventual outcome of the years currently under audit or appeal. However, we do not anticipate any such outcome will result in a material change to our financial condition or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Financial instruments and risk concentration</w:t>
      </w:r>
    </w:p>
    <w:p>
      <w:pPr>
        <w:spacing w:after="0" w:line="25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u w:val="single" w:color="auto"/>
          <w:color w:val="auto"/>
        </w:rPr>
        <w:t>Financial instruments</w:t>
      </w:r>
      <w:r>
        <w:rPr>
          <w:rFonts w:ascii="Arial" w:cs="Arial" w:eastAsia="Arial" w:hAnsi="Arial"/>
          <w:sz w:val="18"/>
          <w:szCs w:val="18"/>
          <w:color w:val="auto"/>
        </w:rPr>
        <w:t>: We hold derivative financial instruments such as forward foreign currency exchange contracts, forward purchase contracts and investment warrants, the fair value of which is not material at December 31, 2009. Our forward foreign currency exchange contracts outstanding at December 31, 2009, had a notional value of $465 million to hedge our non-U.S. dollar net balance sheet exposures (including $220 million to sell Japanese yen, $37 million to sell euros and $49 million to buy Taiwan dollars).</w:t>
      </w:r>
    </w:p>
    <w:p>
      <w:pPr>
        <w:spacing w:after="0" w:line="2"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Cash equivalents, short-term investments, certain long-term investments, postretirement plan assets and deferred compensation liabilities are carried at fair value. The carrying values for other current financial assets and liabilities, such as accounts receivable and accounts payable, approximate fair value due to their short maturity.</w:t>
      </w:r>
    </w:p>
    <w:p>
      <w:pPr>
        <w:spacing w:after="0" w:line="21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u w:val="single" w:color="auto"/>
          <w:color w:val="auto"/>
        </w:rPr>
        <w:t>Risk concentration</w:t>
      </w:r>
      <w:r>
        <w:rPr>
          <w:rFonts w:ascii="Arial" w:cs="Arial" w:eastAsia="Arial" w:hAnsi="Arial"/>
          <w:sz w:val="18"/>
          <w:szCs w:val="18"/>
          <w:color w:val="auto"/>
        </w:rPr>
        <w:t>: Financial instruments that could subject us to concentrations of credit risk are primarily cash, cash equivalents, short-term investments and accounts receivable. In order to manage our credit risk exposure, we place cash investments in investment-grade debt securities and limit the amount of credit exposure to any one issuer. We also limit counterparties on forward foreign currency exchange contracts to investment-grade-rated financial institutions.</w:t>
      </w:r>
    </w:p>
    <w:p>
      <w:pPr>
        <w:spacing w:after="0" w:line="2"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Concentrations of credit risk with respect to accounts receivable are limited due to the large number of customers in our customer base and their dispersion across different industries and geographic areas. We maintain an allowance for losses based on the expected collectibility of accounts receivable. These allowances are deducted from accounts receivable on our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402590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82"/>
        </w:trPr>
        <w:tc>
          <w:tcPr>
            <w:tcW w:w="4900" w:type="dxa"/>
            <w:vAlign w:val="bottom"/>
            <w:gridSpan w:val="2"/>
          </w:tcPr>
          <w:p>
            <w:pPr>
              <w:spacing w:after="0"/>
              <w:rPr>
                <w:sz w:val="20"/>
                <w:szCs w:val="20"/>
                <w:color w:val="auto"/>
              </w:rPr>
            </w:pPr>
            <w:r>
              <w:rPr>
                <w:rFonts w:ascii="Arial" w:cs="Arial" w:eastAsia="Arial" w:hAnsi="Arial"/>
                <w:sz w:val="14"/>
                <w:szCs w:val="14"/>
                <w:color w:val="auto"/>
              </w:rPr>
              <w:t>TEXAS INSTRUMENTS 2009 ANNUAL REPORT n PAGE 18</w:t>
            </w:r>
          </w:p>
        </w:tc>
        <w:tc>
          <w:tcPr>
            <w:tcW w:w="1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417"/>
        </w:trPr>
        <w:tc>
          <w:tcPr>
            <w:tcW w:w="4900" w:type="dxa"/>
            <w:vAlign w:val="bottom"/>
            <w:gridSpan w:val="2"/>
          </w:tcPr>
          <w:p>
            <w:pPr>
              <w:spacing w:after="0"/>
              <w:rPr>
                <w:sz w:val="20"/>
                <w:szCs w:val="20"/>
                <w:color w:val="auto"/>
              </w:rPr>
            </w:pPr>
            <w:r>
              <w:rPr>
                <w:rFonts w:ascii="Arial" w:cs="Arial" w:eastAsia="Arial" w:hAnsi="Arial"/>
                <w:sz w:val="18"/>
                <w:szCs w:val="18"/>
                <w:color w:val="auto"/>
              </w:rPr>
              <w:t>Details of these allowances are as follows:</w:t>
            </w: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Additions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Balance at</w:t>
            </w:r>
          </w:p>
        </w:tc>
        <w:tc>
          <w:tcPr>
            <w:tcW w:w="220" w:type="dxa"/>
            <w:vAlign w:val="bottom"/>
          </w:tcPr>
          <w:p>
            <w:pPr>
              <w:spacing w:after="0"/>
              <w:rPr>
                <w:sz w:val="18"/>
                <w:szCs w:val="18"/>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Charged to</w:t>
            </w:r>
          </w:p>
        </w:tc>
        <w:tc>
          <w:tcPr>
            <w:tcW w:w="220" w:type="dxa"/>
            <w:vAlign w:val="bottom"/>
          </w:tcPr>
          <w:p>
            <w:pPr>
              <w:spacing w:after="0"/>
              <w:rPr>
                <w:sz w:val="18"/>
                <w:szCs w:val="18"/>
                <w:color w:val="auto"/>
              </w:rPr>
            </w:pPr>
          </w:p>
        </w:tc>
        <w:tc>
          <w:tcPr>
            <w:tcW w:w="1160" w:type="dxa"/>
            <w:vAlign w:val="bottom"/>
          </w:tcPr>
          <w:p>
            <w:pPr>
              <w:jc w:val="center"/>
              <w:ind w:right="170"/>
              <w:spacing w:after="0"/>
              <w:rPr>
                <w:sz w:val="20"/>
                <w:szCs w:val="20"/>
                <w:color w:val="auto"/>
              </w:rPr>
            </w:pPr>
            <w:r>
              <w:rPr>
                <w:rFonts w:ascii="Arial" w:cs="Arial" w:eastAsia="Arial" w:hAnsi="Arial"/>
                <w:sz w:val="18"/>
                <w:szCs w:val="18"/>
                <w:b w:val="1"/>
                <w:bCs w:val="1"/>
                <w:color w:val="auto"/>
                <w:w w:val="85"/>
              </w:rPr>
              <w:t>Recoveries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Beginning of</w:t>
            </w:r>
          </w:p>
        </w:tc>
        <w:tc>
          <w:tcPr>
            <w:tcW w:w="22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Operating</w:t>
            </w:r>
          </w:p>
        </w:tc>
        <w:tc>
          <w:tcPr>
            <w:tcW w:w="220" w:type="dxa"/>
            <w:vAlign w:val="bottom"/>
          </w:tcPr>
          <w:p>
            <w:pPr>
              <w:spacing w:after="0"/>
              <w:rPr>
                <w:sz w:val="18"/>
                <w:szCs w:val="18"/>
                <w:color w:val="auto"/>
              </w:rPr>
            </w:pPr>
          </w:p>
        </w:tc>
        <w:tc>
          <w:tcPr>
            <w:tcW w:w="1160" w:type="dxa"/>
            <w:vAlign w:val="bottom"/>
          </w:tcPr>
          <w:p>
            <w:pPr>
              <w:jc w:val="center"/>
              <w:ind w:right="150"/>
              <w:spacing w:after="0"/>
              <w:rPr>
                <w:sz w:val="20"/>
                <w:szCs w:val="20"/>
                <w:color w:val="auto"/>
              </w:rPr>
            </w:pPr>
            <w:r>
              <w:rPr>
                <w:rFonts w:ascii="Arial" w:cs="Arial" w:eastAsia="Arial" w:hAnsi="Arial"/>
                <w:sz w:val="18"/>
                <w:szCs w:val="18"/>
                <w:b w:val="1"/>
                <w:bCs w:val="1"/>
                <w:color w:val="auto"/>
                <w:w w:val="95"/>
              </w:rPr>
              <w:t>and Write-</w:t>
            </w:r>
          </w:p>
        </w:tc>
        <w:tc>
          <w:tcPr>
            <w:tcW w:w="180" w:type="dxa"/>
            <w:vAlign w:val="bottom"/>
          </w:tcPr>
          <w:p>
            <w:pPr>
              <w:spacing w:after="0"/>
              <w:rPr>
                <w:sz w:val="18"/>
                <w:szCs w:val="18"/>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Balance at</w:t>
            </w:r>
          </w:p>
        </w:tc>
      </w:tr>
      <w:tr>
        <w:trPr>
          <w:trHeight w:val="241"/>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Accounts receivable allowances</w:t>
            </w:r>
          </w:p>
        </w:tc>
        <w:tc>
          <w:tcPr>
            <w:tcW w:w="1260" w:type="dxa"/>
            <w:vAlign w:val="bottom"/>
          </w:tcPr>
          <w:p>
            <w:pPr>
              <w:spacing w:after="0"/>
              <w:rPr>
                <w:sz w:val="20"/>
                <w:szCs w:val="20"/>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Year</w:t>
            </w:r>
          </w:p>
        </w:tc>
        <w:tc>
          <w:tcPr>
            <w:tcW w:w="220" w:type="dxa"/>
            <w:vAlign w:val="bottom"/>
          </w:tcPr>
          <w:p>
            <w:pPr>
              <w:spacing w:after="0"/>
              <w:rPr>
                <w:sz w:val="20"/>
                <w:szCs w:val="20"/>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6"/>
              </w:rPr>
              <w:t>Results</w:t>
            </w:r>
          </w:p>
        </w:tc>
        <w:tc>
          <w:tcPr>
            <w:tcW w:w="220" w:type="dxa"/>
            <w:vAlign w:val="bottom"/>
          </w:tcPr>
          <w:p>
            <w:pPr>
              <w:spacing w:after="0"/>
              <w:rPr>
                <w:sz w:val="20"/>
                <w:szCs w:val="20"/>
                <w:color w:val="auto"/>
              </w:rPr>
            </w:pPr>
          </w:p>
        </w:tc>
        <w:tc>
          <w:tcPr>
            <w:tcW w:w="116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offs, Net</w:t>
            </w:r>
          </w:p>
        </w:tc>
        <w:tc>
          <w:tcPr>
            <w:tcW w:w="18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End of Year</w:t>
            </w:r>
          </w:p>
        </w:tc>
      </w:tr>
      <w:tr>
        <w:trPr>
          <w:trHeight w:val="216"/>
        </w:trPr>
        <w:tc>
          <w:tcPr>
            <w:tcW w:w="20" w:type="dxa"/>
            <w:vAlign w:val="bottom"/>
          </w:tcPr>
          <w:p>
            <w:pPr>
              <w:spacing w:after="0"/>
              <w:rPr>
                <w:sz w:val="18"/>
                <w:szCs w:val="18"/>
                <w:color w:val="auto"/>
              </w:rPr>
            </w:pPr>
          </w:p>
        </w:tc>
        <w:tc>
          <w:tcPr>
            <w:tcW w:w="4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w:t>
            </w: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2008</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Valuation of debt and equity investments and certain liabilities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and equity investments</w:t>
      </w:r>
    </w:p>
    <w:p>
      <w:pPr>
        <w:spacing w:after="0" w:line="23" w:lineRule="exact"/>
        <w:rPr>
          <w:sz w:val="20"/>
          <w:szCs w:val="20"/>
          <w:color w:val="auto"/>
        </w:rPr>
      </w:pPr>
    </w:p>
    <w:p>
      <w:pPr>
        <w:ind w:left="340" w:right="280" w:hanging="323"/>
        <w:spacing w:after="0" w:line="281" w:lineRule="auto"/>
        <w:rPr>
          <w:sz w:val="20"/>
          <w:szCs w:val="20"/>
          <w:color w:val="auto"/>
        </w:rPr>
      </w:pPr>
      <w:r>
        <w:rPr>
          <w:rFonts w:ascii="Arial" w:cs="Arial" w:eastAsia="Arial" w:hAnsi="Arial"/>
          <w:sz w:val="16"/>
          <w:szCs w:val="16"/>
          <w:color w:val="auto"/>
        </w:rPr>
        <w:t>We classify our investments as available-for-sale, trading, equity method or cost method. Most of our investments are classified as available-for-sale. Available-for-sale securities consist primarily of money market funds and debt securities. Available-for-sale securities are stated at fair value, which is</w:t>
      </w:r>
    </w:p>
    <w:p>
      <w:pPr>
        <w:spacing w:after="0" w:line="1" w:lineRule="exact"/>
        <w:rPr>
          <w:sz w:val="20"/>
          <w:szCs w:val="20"/>
          <w:color w:val="auto"/>
        </w:rPr>
      </w:pPr>
    </w:p>
    <w:p>
      <w:pPr>
        <w:jc w:val="both"/>
        <w:ind w:right="440"/>
        <w:spacing w:after="0" w:line="250" w:lineRule="auto"/>
        <w:rPr>
          <w:sz w:val="20"/>
          <w:szCs w:val="20"/>
          <w:color w:val="auto"/>
        </w:rPr>
      </w:pPr>
      <w:r>
        <w:rPr>
          <w:rFonts w:ascii="Arial" w:cs="Arial" w:eastAsia="Arial" w:hAnsi="Arial"/>
          <w:sz w:val="18"/>
          <w:szCs w:val="18"/>
          <w:color w:val="auto"/>
        </w:rPr>
        <w:t>generally based on market prices, broker quotes or, when necessary, financial models (see fair value discussion below). We record other-than-temporary losses (impairments) on these securities in OI&amp;E in our statements of income, and all other unrealized gains and losses as an increase or decrease, net of taxes, in AOCI on our balance sheet.</w:t>
      </w:r>
    </w:p>
    <w:p>
      <w:pPr>
        <w:spacing w:after="0" w:line="1" w:lineRule="exact"/>
        <w:rPr>
          <w:sz w:val="20"/>
          <w:szCs w:val="20"/>
          <w:color w:val="auto"/>
        </w:rPr>
      </w:pPr>
    </w:p>
    <w:p>
      <w:pPr>
        <w:ind w:right="20" w:firstLine="324"/>
        <w:spacing w:after="0" w:line="281" w:lineRule="auto"/>
        <w:rPr>
          <w:sz w:val="20"/>
          <w:szCs w:val="20"/>
          <w:color w:val="auto"/>
        </w:rPr>
      </w:pPr>
      <w:r>
        <w:rPr>
          <w:rFonts w:ascii="Arial" w:cs="Arial" w:eastAsia="Arial" w:hAnsi="Arial"/>
          <w:sz w:val="16"/>
          <w:szCs w:val="16"/>
          <w:color w:val="auto"/>
        </w:rPr>
        <w:t>Trading securities are stated at fair value based on market prices. Our trading securities consist exclusively of mutual funds that hold a variety of debt and equity investments intended to generate returns that offset changes in certain deferred compensation liabilities. We record changes in the fair value of our trading securities and the related deferred compensation liabilities in selling, general and administrative (SG&amp;A) expense in our statements of income.</w:t>
      </w:r>
    </w:p>
    <w:p>
      <w:pPr>
        <w:spacing w:after="0" w:line="2"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Our other investments are not measured at fair value but are accounted for using either the equity method or cost method. These investments consist of interests in venture capital funds and other non-marketable equity securities. Gains or losses from equity method investments are reflected in OI&amp;E based on our ownership share of the investee’s financial results. Gains and losses on cost method investments are recorded in OI&amp;E when realized or when an impairment of the investment’s value is warranted based on our assessment of the recoverability of each investment.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Details of our investments and related unrealized gains and losses included in AOCI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December 31, 2009</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December 31, 2008</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Cash and Cash</w:t>
            </w:r>
          </w:p>
        </w:tc>
        <w:tc>
          <w:tcPr>
            <w:tcW w:w="300" w:type="dxa"/>
            <w:vAlign w:val="bottom"/>
          </w:tcPr>
          <w:p>
            <w:pPr>
              <w:spacing w:after="0"/>
              <w:rPr>
                <w:sz w:val="18"/>
                <w:szCs w:val="18"/>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Short-term</w:t>
            </w:r>
          </w:p>
        </w:tc>
        <w:tc>
          <w:tcPr>
            <w:tcW w:w="14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Long-term</w:t>
            </w: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w w:val="89"/>
              </w:rPr>
              <w:t>Cash and Cash</w:t>
            </w:r>
          </w:p>
        </w:tc>
        <w:tc>
          <w:tcPr>
            <w:tcW w:w="260" w:type="dxa"/>
            <w:vAlign w:val="bottom"/>
          </w:tcPr>
          <w:p>
            <w:pPr>
              <w:spacing w:after="0"/>
              <w:rPr>
                <w:sz w:val="18"/>
                <w:szCs w:val="18"/>
                <w:color w:val="auto"/>
              </w:rPr>
            </w:pPr>
          </w:p>
        </w:tc>
        <w:tc>
          <w:tcPr>
            <w:tcW w:w="122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Short-term</w:t>
            </w:r>
          </w:p>
        </w:tc>
        <w:tc>
          <w:tcPr>
            <w:tcW w:w="12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rPr>
              <w:t>Long-term</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Equivalents</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9"/>
              </w:rPr>
              <w:t>Investments</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Investments</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Equivalents</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Investments</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Investments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tcPr>
          <w:p>
            <w:pPr>
              <w:spacing w:after="0" w:line="198" w:lineRule="exact"/>
              <w:rPr>
                <w:sz w:val="20"/>
                <w:szCs w:val="20"/>
                <w:color w:val="auto"/>
              </w:rPr>
            </w:pPr>
            <w:r>
              <w:rPr>
                <w:rFonts w:ascii="Arial" w:cs="Arial" w:eastAsia="Arial" w:hAnsi="Arial"/>
                <w:sz w:val="18"/>
                <w:szCs w:val="18"/>
                <w:b w:val="1"/>
                <w:bCs w:val="1"/>
                <w:color w:val="auto"/>
              </w:rPr>
              <w:t>Measured at fair value:</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Available-for-sale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Corporate obligations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300" w:type="dxa"/>
            <w:vAlign w:val="bottom"/>
          </w:tcPr>
          <w:p>
            <w:pPr>
              <w:spacing w:after="0"/>
              <w:rPr>
                <w:sz w:val="18"/>
                <w:szCs w:val="18"/>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b w:val="1"/>
                <w:bCs w:val="1"/>
                <w:color w:val="auto"/>
              </w:rPr>
              <w:t>438</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8"/>
                <w:szCs w:val="18"/>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U.S. Government agency and Treasury</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360</w:t>
            </w:r>
          </w:p>
        </w:tc>
        <w:tc>
          <w:tcPr>
            <w:tcW w:w="30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1,305</w:t>
            </w:r>
          </w:p>
        </w:tc>
        <w:tc>
          <w:tcPr>
            <w:tcW w:w="1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654</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w w:val="99"/>
              </w:rPr>
              <w:t>Mortgage-backed and other securities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Auction-rate securities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458</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Trading</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Mutual funds</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123</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1,023</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1,743</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581</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1,494</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measurement basis: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Equity method investments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33</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method investments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Cash on hand</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1,743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637</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1,494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1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Amounts included in AOCI from</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available-for-sale securities:</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Unrealized gains (pre-tax)</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30"/>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(pre-tax)</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659"/>
        </w:trPr>
        <w:tc>
          <w:tcPr>
            <w:tcW w:w="20" w:type="dxa"/>
            <w:vAlign w:val="bottom"/>
          </w:tcPr>
          <w:p>
            <w:pPr>
              <w:spacing w:after="0"/>
              <w:rPr>
                <w:sz w:val="24"/>
                <w:szCs w:val="24"/>
                <w:color w:val="auto"/>
              </w:rPr>
            </w:pPr>
          </w:p>
        </w:tc>
        <w:tc>
          <w:tcPr>
            <w:tcW w:w="31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5" w:name="page76"/>
    <w:bookmarkEnd w:id="75"/>
    <w:p>
      <w:pPr>
        <w:ind w:left="7680"/>
        <w:spacing w:after="0"/>
        <w:rPr>
          <w:sz w:val="20"/>
          <w:szCs w:val="20"/>
          <w:color w:val="auto"/>
        </w:rPr>
      </w:pPr>
      <w:r>
        <w:rPr>
          <w:rFonts w:ascii="Arial" w:cs="Arial" w:eastAsia="Arial" w:hAnsi="Arial"/>
          <w:sz w:val="13"/>
          <w:szCs w:val="13"/>
          <w:color w:val="auto"/>
        </w:rPr>
        <w:t>TEXAS INSTRUMENTS 2009 ANNUAL REPORT n PAGE 19</w:t>
      </w:r>
    </w:p>
    <w:p>
      <w:pPr>
        <w:spacing w:after="0" w:line="220"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As of December 31, 2009, about 80 percent of our investments in the corporate obligations shown above are insured by either the Federal Deposit Insurance Corporation (FDIC) or the U.K. government.</w:t>
      </w:r>
    </w:p>
    <w:p>
      <w:pPr>
        <w:spacing w:after="0" w:line="1" w:lineRule="exact"/>
        <w:rPr>
          <w:sz w:val="20"/>
          <w:szCs w:val="20"/>
          <w:color w:val="auto"/>
        </w:rPr>
      </w:pPr>
    </w:p>
    <w:p>
      <w:pPr>
        <w:jc w:val="both"/>
        <w:ind w:right="100" w:firstLine="324"/>
        <w:spacing w:after="0" w:line="265" w:lineRule="auto"/>
        <w:rPr>
          <w:sz w:val="20"/>
          <w:szCs w:val="20"/>
          <w:color w:val="auto"/>
        </w:rPr>
      </w:pPr>
      <w:r>
        <w:rPr>
          <w:rFonts w:ascii="Arial" w:cs="Arial" w:eastAsia="Arial" w:hAnsi="Arial"/>
          <w:sz w:val="17"/>
          <w:szCs w:val="17"/>
          <w:color w:val="auto"/>
        </w:rPr>
        <w:t>As of December 31, 2009, unrealized losses included in AOCI were associated with auction-rate securities. As of December 31, 2008, unrealized losses included in AOCI were primarily associated with auction-rate securities and mortgage-backed securities. The change in unrealized losses from December 31, 2008, was due to increases in fair values of the investments held as well as the effects of redemptions and sales since that date.</w:t>
      </w:r>
    </w:p>
    <w:p>
      <w:pPr>
        <w:spacing w:after="0" w:line="1" w:lineRule="exact"/>
        <w:rPr>
          <w:sz w:val="20"/>
          <w:szCs w:val="20"/>
          <w:color w:val="auto"/>
        </w:rPr>
      </w:pPr>
    </w:p>
    <w:p>
      <w:pPr>
        <w:ind w:right="120" w:firstLine="324"/>
        <w:spacing w:after="0" w:line="250" w:lineRule="auto"/>
        <w:rPr>
          <w:sz w:val="20"/>
          <w:szCs w:val="20"/>
          <w:color w:val="auto"/>
        </w:rPr>
      </w:pPr>
      <w:r>
        <w:rPr>
          <w:rFonts w:ascii="Arial" w:cs="Arial" w:eastAsia="Arial" w:hAnsi="Arial"/>
          <w:sz w:val="18"/>
          <w:szCs w:val="18"/>
          <w:color w:val="auto"/>
        </w:rPr>
        <w:t>As of December 31, 2009, we have determined that our investments classified as available-for-sale with unrealized losses are not other-than-temporarily impaired. We expect to recover the entire cost basis of these securities. We do not intend to sell these investments, nor do we expect to be required to sell these investments before a recovery of the cost basis. For the year ended December 31, 2009, we did not recognize in earnings any credit losses related to these investments.</w:t>
      </w:r>
    </w:p>
    <w:p>
      <w:pPr>
        <w:spacing w:after="0" w:line="2" w:lineRule="exact"/>
        <w:rPr>
          <w:sz w:val="20"/>
          <w:szCs w:val="20"/>
          <w:color w:val="auto"/>
        </w:rPr>
      </w:pPr>
    </w:p>
    <w:p>
      <w:pPr>
        <w:ind w:right="260" w:firstLine="324"/>
        <w:spacing w:after="0" w:line="261" w:lineRule="auto"/>
        <w:rPr>
          <w:sz w:val="20"/>
          <w:szCs w:val="20"/>
          <w:color w:val="auto"/>
        </w:rPr>
      </w:pPr>
      <w:r>
        <w:rPr>
          <w:rFonts w:ascii="Arial" w:cs="Arial" w:eastAsia="Arial" w:hAnsi="Arial"/>
          <w:sz w:val="18"/>
          <w:szCs w:val="18"/>
          <w:color w:val="auto"/>
        </w:rPr>
        <w:t>Proceeds from sales of available-for-sale securities prior to their scheduled maturities were $1.37 billion, $1.76 billion and $2.12 billion in 2009, 2008 and 2007. Gross realized gains and losses from these sales were not significant.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maturities of investments in debt securities classified as available-for-sale at December 31, 2009:</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Due</w:t>
            </w:r>
          </w:p>
        </w:tc>
        <w:tc>
          <w:tcPr>
            <w:tcW w:w="3480" w:type="dxa"/>
            <w:vAlign w:val="bottom"/>
          </w:tcPr>
          <w:p>
            <w:pPr>
              <w:spacing w:after="0"/>
              <w:rPr>
                <w:sz w:val="20"/>
                <w:szCs w:val="20"/>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Fair Value</w:t>
            </w:r>
          </w:p>
        </w:tc>
      </w:tr>
      <w:tr>
        <w:trPr>
          <w:trHeight w:val="216"/>
        </w:trPr>
        <w:tc>
          <w:tcPr>
            <w:tcW w:w="20" w:type="dxa"/>
            <w:vAlign w:val="bottom"/>
          </w:tcPr>
          <w:p>
            <w:pPr>
              <w:spacing w:after="0"/>
              <w:rPr>
                <w:sz w:val="18"/>
                <w:szCs w:val="18"/>
                <w:color w:val="auto"/>
              </w:rPr>
            </w:pPr>
          </w:p>
        </w:tc>
        <w:tc>
          <w:tcPr>
            <w:tcW w:w="6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One year or less</w:t>
            </w:r>
          </w:p>
        </w:tc>
        <w:tc>
          <w:tcPr>
            <w:tcW w:w="3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2,259</w:t>
            </w: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One to three years</w:t>
            </w:r>
          </w:p>
        </w:tc>
        <w:tc>
          <w:tcPr>
            <w:tcW w:w="34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507</w:t>
            </w: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Greater than three years (auction-rate securities)</w:t>
            </w:r>
          </w:p>
        </w:tc>
        <w:tc>
          <w:tcPr>
            <w:tcW w:w="34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458</w:t>
            </w:r>
          </w:p>
        </w:tc>
      </w:tr>
    </w:tbl>
    <w:p>
      <w:pPr>
        <w:spacing w:after="0" w:line="22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Gross realized gains and losses from sales of other long-term investments were not significant for any periods presented. Other-than-temporary declines and impairments in the values of these investments recognized in OI&amp;E were $14 million, $10 million and $18 million in 2009, 2008 and 2007.</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considerations</w:t>
      </w:r>
    </w:p>
    <w:p>
      <w:pPr>
        <w:spacing w:after="0" w:line="23"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As noted above, we measure and report our financial assets and liabilities at fair value.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three-level hierarchy discussed below indicates the extent and level of judgment used to estimate fair-value measurements.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Uses unadjusted quoted prices that are available in active markets for identical assets or liabilities as of the reporting date.</w:t>
      </w:r>
    </w:p>
    <w:p>
      <w:pPr>
        <w:spacing w:after="0" w:line="9" w:lineRule="exact"/>
        <w:rPr>
          <w:sz w:val="20"/>
          <w:szCs w:val="20"/>
          <w:color w:val="auto"/>
        </w:rPr>
      </w:pPr>
    </w:p>
    <w:p>
      <w:pPr>
        <w:ind w:left="1140" w:right="240" w:hanging="809"/>
        <w:spacing w:after="0" w:line="281" w:lineRule="auto"/>
        <w:rPr>
          <w:sz w:val="20"/>
          <w:szCs w:val="20"/>
          <w:color w:val="auto"/>
        </w:rPr>
      </w:pPr>
      <w:r>
        <w:rPr>
          <w:rFonts w:ascii="Arial" w:cs="Arial" w:eastAsia="Arial" w:hAnsi="Arial"/>
          <w:sz w:val="16"/>
          <w:szCs w:val="16"/>
          <w:color w:val="auto"/>
        </w:rPr>
        <w:t>Level 2 – Uses inputs other than Level 1 that are either directly or indirectly observable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w:t>
      </w:r>
    </w:p>
    <w:p>
      <w:pPr>
        <w:spacing w:after="0" w:line="3" w:lineRule="exact"/>
        <w:rPr>
          <w:sz w:val="20"/>
          <w:szCs w:val="20"/>
          <w:color w:val="auto"/>
        </w:rPr>
      </w:pPr>
    </w:p>
    <w:p>
      <w:pPr>
        <w:ind w:left="1140" w:right="340" w:hanging="809"/>
        <w:spacing w:after="0" w:line="265" w:lineRule="auto"/>
        <w:rPr>
          <w:sz w:val="20"/>
          <w:szCs w:val="20"/>
          <w:color w:val="auto"/>
        </w:rPr>
      </w:pPr>
      <w:r>
        <w:rPr>
          <w:rFonts w:ascii="Arial" w:cs="Arial" w:eastAsia="Arial" w:hAnsi="Arial"/>
          <w:sz w:val="17"/>
          <w:szCs w:val="17"/>
          <w:color w:val="auto"/>
        </w:rPr>
        <w:t>Level 3 – Uses inputs that are unobservable, supported by little or no market activity and reflect the use of significant management judgment. These values are generally determined using pricing models that utilize management estimates of market participant assumptions.</w:t>
      </w:r>
    </w:p>
    <w:p>
      <w:pPr>
        <w:ind w:right="40" w:firstLine="324"/>
        <w:spacing w:after="0" w:line="281" w:lineRule="auto"/>
        <w:rPr>
          <w:sz w:val="20"/>
          <w:szCs w:val="20"/>
          <w:color w:val="auto"/>
        </w:rPr>
      </w:pPr>
      <w:r>
        <w:rPr>
          <w:rFonts w:ascii="Arial" w:cs="Arial" w:eastAsia="Arial" w:hAnsi="Arial"/>
          <w:sz w:val="16"/>
          <w:szCs w:val="16"/>
          <w:color w:val="auto"/>
        </w:rPr>
        <w:t>We own auction-rate securities that are classified as Level 3 assets. Auction-rate securities are debt instruments with variable interest rates that historically would periodically reset through an auction process. There is currently no active market for auction-rate securities, so we use a DCF model to determine the estimated fair value of these investments as of each quarter end. The assumptions used in preparing the DCF model include estimates for the amount and timing of future interest and principal payments and the rate of return required by investors to own these securities in the current environment. In making these assumptions we consider relevant factors including: the formula for each security that defines the interest rate paid to investors in the event of a failed auction; forward projections of the interest rate benchmarks specified in such formulas; the likely timing of principal repayments; the probability of full repayment considering the guarantees by the U.S. Department of Education of the underlying student loans and additional credit enhancements provided through other means; and, publicly available pricing data for student loan asset-backed securities that are not subject to auctions. Our estimate of the rate of return required by investors to own these securities also considers the reduced liquidity for auction-rate securities.</w:t>
      </w:r>
    </w:p>
    <w:p>
      <w:pPr>
        <w:spacing w:after="0" w:line="6"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To date, we have collected all interest on all of our auction-rate securities when due and expect to continue to do so in the future. The principal associated with failed auctions will not be accessible until successful auctions resume, a buyer is found outside of the auction process, or issuers use a different form of financing to replace these securities. Meanwhile, issuers continue to repay principal over time from cash flows prior to final maturity, or make final payments when they come due according to contractual maturities ranging from 13 to 38 years. All of our auction-rate securities are backed by pools of student loans substantially guaranteed by the U.S. Department of Education, and we continue to believe that the credit quality of these securities is high based on this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405130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76" w:name="page77"/>
    <w:bookmarkEnd w:id="76"/>
    <w:p>
      <w:pPr>
        <w:spacing w:after="0"/>
        <w:rPr>
          <w:sz w:val="20"/>
          <w:szCs w:val="20"/>
          <w:color w:val="auto"/>
        </w:rPr>
      </w:pPr>
      <w:r>
        <w:rPr>
          <w:rFonts w:ascii="Arial" w:cs="Arial" w:eastAsia="Arial" w:hAnsi="Arial"/>
          <w:sz w:val="14"/>
          <w:szCs w:val="14"/>
          <w:color w:val="auto"/>
        </w:rPr>
        <w:t>TEXAS INSTRUMENTS 2009 ANNUAL REPORT n PAGE 20</w:t>
      </w:r>
    </w:p>
    <w:p>
      <w:pPr>
        <w:spacing w:after="0" w:line="20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As of December 31, 2009, all of these securities had the highest possible long-term credit rating from at least one of the major rating agencies. One security (with a par value of $25 million) had a long-term credit rating below AAA/Aaa, and it was rated AAA/B3. While our ability to liquidate auction-rate investments is likely to be limited for some period of time, we do not believe this will materially impact our ability to fund our working capital needs, capital expenditures, dividend payments or other business requirements.</w:t>
      </w:r>
    </w:p>
    <w:p>
      <w:pPr>
        <w:spacing w:after="0" w:line="2" w:lineRule="exact"/>
        <w:rPr>
          <w:sz w:val="20"/>
          <w:szCs w:val="20"/>
          <w:color w:val="auto"/>
        </w:rPr>
      </w:pPr>
    </w:p>
    <w:p>
      <w:pPr>
        <w:jc w:val="both"/>
        <w:ind w:right="80" w:firstLine="324"/>
        <w:spacing w:after="0" w:line="323" w:lineRule="auto"/>
        <w:rPr>
          <w:sz w:val="20"/>
          <w:szCs w:val="20"/>
          <w:color w:val="auto"/>
        </w:rPr>
      </w:pPr>
      <w:r>
        <w:rPr>
          <w:rFonts w:ascii="Arial" w:cs="Arial" w:eastAsia="Arial" w:hAnsi="Arial"/>
          <w:sz w:val="16"/>
          <w:szCs w:val="16"/>
          <w:color w:val="auto"/>
        </w:rPr>
        <w:t>The following are our assets and liabilities that were accounted for at fair value on a recurring basis as of December 31, 2009, and 2008. These tables do not include cash on hand, assets held by our postretirement plans or assets and liabilities that are measured at historical cost or any basis other than fair value.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270"/>
              <w:spacing w:after="0"/>
              <w:rPr>
                <w:sz w:val="20"/>
                <w:szCs w:val="20"/>
                <w:color w:val="auto"/>
              </w:rPr>
            </w:pPr>
            <w:r>
              <w:rPr>
                <w:rFonts w:ascii="Arial" w:cs="Arial" w:eastAsia="Arial" w:hAnsi="Arial"/>
                <w:sz w:val="18"/>
                <w:szCs w:val="18"/>
                <w:b w:val="1"/>
                <w:bCs w:val="1"/>
                <w:color w:val="auto"/>
                <w:w w:val="95"/>
              </w:rPr>
              <w:t>Fair Value</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480" w:type="dxa"/>
            <w:vAlign w:val="bottom"/>
            <w:gridSpan w:val="3"/>
          </w:tcPr>
          <w:p>
            <w:pPr>
              <w:ind w:left="118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2009</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8"/>
              </w:rPr>
              <w:t>Level 1</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Level 2</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1300" w:type="dxa"/>
            <w:vAlign w:val="bottom"/>
            <w:gridSpan w:val="2"/>
            <w:shd w:val="clear" w:color="auto" w:fill="CCEEFF"/>
          </w:tcPr>
          <w:p>
            <w:pPr>
              <w:ind w:left="1200"/>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563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563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Corporate obligations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538</w:t>
            </w: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538</w:t>
            </w: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Government agency and Treasury securities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1,665</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911</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754</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Auction-rate securities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458</w:t>
            </w: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458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Mutual funds</w:t>
            </w: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123</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123</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Total assets</w:t>
            </w:r>
          </w:p>
        </w:tc>
        <w:tc>
          <w:tcPr>
            <w:tcW w:w="1300" w:type="dxa"/>
            <w:vAlign w:val="bottom"/>
            <w:gridSpan w:val="2"/>
          </w:tcPr>
          <w:p>
            <w:pPr>
              <w:ind w:left="120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3,347</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1,597</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1,292</w:t>
            </w:r>
          </w:p>
        </w:tc>
        <w:tc>
          <w:tcPr>
            <w:tcW w:w="3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458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b w:val="1"/>
                <w:bCs w:val="1"/>
                <w:color w:val="auto"/>
              </w:rPr>
              <w:t>Liabilities: (a)</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Contingent consideration</w:t>
            </w:r>
          </w:p>
        </w:tc>
        <w:tc>
          <w:tcPr>
            <w:tcW w:w="1300" w:type="dxa"/>
            <w:vAlign w:val="bottom"/>
            <w:gridSpan w:val="2"/>
            <w:shd w:val="clear" w:color="auto" w:fill="CCEEFF"/>
          </w:tcPr>
          <w:p>
            <w:pPr>
              <w:ind w:left="1200"/>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Deferred compensation</w:t>
            </w:r>
          </w:p>
        </w:tc>
        <w:tc>
          <w:tcPr>
            <w:tcW w:w="1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154</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154</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300" w:type="dxa"/>
            <w:vAlign w:val="bottom"/>
            <w:gridSpan w:val="2"/>
            <w:shd w:val="clear" w:color="auto" w:fill="CCEEFF"/>
          </w:tcPr>
          <w:p>
            <w:pPr>
              <w:ind w:left="1200"/>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4860" w:type="dxa"/>
            <w:vAlign w:val="bottom"/>
            <w:tcBorders>
              <w:top w:val="single" w:sz="8" w:color="CCEEFF"/>
            </w:tcBorders>
          </w:tcPr>
          <w:p>
            <w:pPr>
              <w:spacing w:after="0"/>
              <w:rPr>
                <w:sz w:val="24"/>
                <w:szCs w:val="24"/>
                <w:color w:val="auto"/>
              </w:rPr>
            </w:pPr>
          </w:p>
        </w:tc>
        <w:tc>
          <w:tcPr>
            <w:tcW w:w="12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95"/>
              </w:rPr>
              <w:t>Fair Value</w:t>
            </w: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480" w:type="dxa"/>
            <w:vAlign w:val="bottom"/>
            <w:gridSpan w:val="3"/>
          </w:tcPr>
          <w:p>
            <w:pPr>
              <w:ind w:left="118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2008</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8"/>
              </w:rPr>
              <w:t>Level 1</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Level 2</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130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Corporate obligations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640</w:t>
            </w: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640</w:t>
            </w: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Government agency and Treasury securities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654</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654</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Mortgage-backed and other securities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250</w:t>
            </w: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Auction-rate securities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482</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Mutual funds</w:t>
            </w:r>
          </w:p>
        </w:tc>
        <w:tc>
          <w:tcPr>
            <w:tcW w:w="1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96</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0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2,918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Deferred compensation</w:t>
            </w:r>
          </w:p>
        </w:tc>
        <w:tc>
          <w:tcPr>
            <w:tcW w:w="1300" w:type="dxa"/>
            <w:vAlign w:val="bottom"/>
            <w:gridSpan w:val="2"/>
          </w:tcPr>
          <w:p>
            <w:pPr>
              <w:ind w:left="120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138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140" w:hanging="332"/>
        <w:spacing w:after="0" w:line="277" w:lineRule="auto"/>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liabilities above are a component of Accrued expenses and other liabilities or Deferred credits and other liabilities on our balance sheets, depending on the expected timing of payment.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change in the fair values for Level 3 assets and liabilities for the years ended December 31, 2009 and 2008:</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Level 3</w:t>
            </w:r>
          </w:p>
        </w:tc>
        <w:tc>
          <w:tcPr>
            <w:tcW w:w="1080" w:type="dxa"/>
            <w:vAlign w:val="bottom"/>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74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4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1"/>
              </w:rPr>
              <w:t>Liabilities</w:t>
            </w:r>
          </w:p>
        </w:tc>
      </w:tr>
      <w:tr>
        <w:trPr>
          <w:trHeight w:val="234"/>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r>
              <w:rPr>
                <w:rFonts w:ascii="Arial" w:cs="Arial" w:eastAsia="Arial" w:hAnsi="Arial"/>
                <w:sz w:val="18"/>
                <w:szCs w:val="18"/>
                <w:b w:val="1"/>
                <w:bCs w:val="1"/>
                <w:color w:val="auto"/>
              </w:rPr>
              <w:t>Changes in fair value during the period (pre-tax):</w:t>
            </w:r>
          </w:p>
        </w:tc>
        <w:tc>
          <w:tcPr>
            <w:tcW w:w="1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7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Balance, December 31, 2007</w:t>
            </w:r>
          </w:p>
        </w:tc>
        <w:tc>
          <w:tcPr>
            <w:tcW w:w="21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Transfers into Level 3</w:t>
            </w:r>
          </w:p>
        </w:tc>
        <w:tc>
          <w:tcPr>
            <w:tcW w:w="1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color w:val="auto"/>
                <w:w w:val="93"/>
              </w:rPr>
              <w:t>556</w:t>
            </w: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loss – included in AOCI</w:t>
            </w:r>
          </w:p>
        </w:tc>
        <w:tc>
          <w:tcPr>
            <w:tcW w:w="1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Redemptions at par</w:t>
            </w:r>
          </w:p>
        </w:tc>
        <w:tc>
          <w:tcPr>
            <w:tcW w:w="132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Balance, December 31, 2008</w:t>
            </w:r>
          </w:p>
        </w:tc>
        <w:tc>
          <w:tcPr>
            <w:tcW w:w="13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3"/>
              </w:rPr>
              <w:t>482</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New contingent consideration</w:t>
            </w:r>
          </w:p>
        </w:tc>
        <w:tc>
          <w:tcPr>
            <w:tcW w:w="1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w:t>
            </w: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b w:val="1"/>
                <w:bCs w:val="1"/>
                <w:color w:val="auto"/>
              </w:rPr>
              <w:t>Change in fair value of contingent consideration – included in operating profit</w:t>
            </w:r>
          </w:p>
        </w:tc>
        <w:tc>
          <w:tcPr>
            <w:tcW w:w="1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8</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Reduction in unrealized loss – included in AOCI</w:t>
            </w:r>
          </w:p>
        </w:tc>
        <w:tc>
          <w:tcPr>
            <w:tcW w:w="1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21</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23"/>
        </w:trPr>
        <w:tc>
          <w:tcPr>
            <w:tcW w:w="20" w:type="dxa"/>
            <w:vAlign w:val="bottom"/>
          </w:tcPr>
          <w:p>
            <w:pPr>
              <w:spacing w:after="0"/>
              <w:rPr>
                <w:sz w:val="19"/>
                <w:szCs w:val="19"/>
                <w:color w:val="auto"/>
              </w:rPr>
            </w:pPr>
          </w:p>
        </w:tc>
        <w:tc>
          <w:tcPr>
            <w:tcW w:w="7480" w:type="dxa"/>
            <w:vAlign w:val="bottom"/>
          </w:tcPr>
          <w:p>
            <w:pPr>
              <w:ind w:left="160"/>
              <w:spacing w:after="0"/>
              <w:rPr>
                <w:sz w:val="20"/>
                <w:szCs w:val="20"/>
                <w:color w:val="auto"/>
              </w:rPr>
            </w:pPr>
            <w:r>
              <w:rPr>
                <w:rFonts w:ascii="Arial" w:cs="Arial" w:eastAsia="Arial" w:hAnsi="Arial"/>
                <w:sz w:val="18"/>
                <w:szCs w:val="18"/>
                <w:b w:val="1"/>
                <w:bCs w:val="1"/>
                <w:color w:val="auto"/>
              </w:rPr>
              <w:t>Redemptions at par</w:t>
            </w:r>
          </w:p>
        </w:tc>
        <w:tc>
          <w:tcPr>
            <w:tcW w:w="132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57"/>
        </w:trPr>
        <w:tc>
          <w:tcPr>
            <w:tcW w:w="20" w:type="dxa"/>
            <w:vAlign w:val="bottom"/>
          </w:tcPr>
          <w:p>
            <w:pPr>
              <w:spacing w:after="0"/>
              <w:rPr>
                <w:sz w:val="22"/>
                <w:szCs w:val="22"/>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Balance, December 31, 2009</w:t>
            </w:r>
          </w:p>
        </w:tc>
        <w:tc>
          <w:tcPr>
            <w:tcW w:w="21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3"/>
              </w:rPr>
              <w:t>458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w:t>
            </w:r>
          </w:p>
        </w:tc>
      </w:tr>
      <w:tr>
        <w:trPr>
          <w:trHeight w:val="652"/>
        </w:trPr>
        <w:tc>
          <w:tcPr>
            <w:tcW w:w="20" w:type="dxa"/>
            <w:vAlign w:val="bottom"/>
          </w:tcPr>
          <w:p>
            <w:pPr>
              <w:spacing w:after="0"/>
              <w:rPr>
                <w:sz w:val="24"/>
                <w:szCs w:val="24"/>
                <w:color w:val="auto"/>
              </w:rPr>
            </w:pPr>
          </w:p>
        </w:tc>
        <w:tc>
          <w:tcPr>
            <w:tcW w:w="7480" w:type="dxa"/>
            <w:vAlign w:val="bottom"/>
            <w:tcBorders>
              <w:top w:val="single" w:sz="8" w:color="CCEEFF"/>
              <w:bottom w:val="single" w:sz="8" w:color="808080"/>
            </w:tcBorders>
          </w:tcPr>
          <w:p>
            <w:pPr>
              <w:spacing w:after="0"/>
              <w:rPr>
                <w:sz w:val="24"/>
                <w:szCs w:val="24"/>
                <w:color w:val="auto"/>
              </w:rPr>
            </w:pPr>
          </w:p>
        </w:tc>
        <w:tc>
          <w:tcPr>
            <w:tcW w:w="1320" w:type="dxa"/>
            <w:vAlign w:val="bottom"/>
            <w:tcBorders>
              <w:top w:val="single" w:sz="8" w:color="CCEEFF"/>
              <w:bottom w:val="single" w:sz="8" w:color="808080"/>
            </w:tcBorders>
          </w:tcPr>
          <w:p>
            <w:pPr>
              <w:spacing w:after="0"/>
              <w:rPr>
                <w:sz w:val="24"/>
                <w:szCs w:val="24"/>
                <w:color w:val="auto"/>
              </w:rPr>
            </w:pPr>
          </w:p>
        </w:tc>
        <w:tc>
          <w:tcPr>
            <w:tcW w:w="840" w:type="dxa"/>
            <w:vAlign w:val="bottom"/>
            <w:tcBorders>
              <w:top w:val="single" w:sz="8" w:color="auto"/>
              <w:bottom w:val="single" w:sz="8" w:color="808080"/>
            </w:tcBorders>
          </w:tcPr>
          <w:p>
            <w:pPr>
              <w:spacing w:after="0"/>
              <w:rPr>
                <w:sz w:val="24"/>
                <w:szCs w:val="24"/>
                <w:color w:val="auto"/>
              </w:rPr>
            </w:pPr>
          </w:p>
        </w:tc>
        <w:tc>
          <w:tcPr>
            <w:tcW w:w="440" w:type="dxa"/>
            <w:vAlign w:val="bottom"/>
            <w:tcBorders>
              <w:top w:val="single" w:sz="8" w:color="auto"/>
              <w:bottom w:val="single" w:sz="8" w:color="808080"/>
            </w:tcBorders>
          </w:tcPr>
          <w:p>
            <w:pPr>
              <w:spacing w:after="0"/>
              <w:rPr>
                <w:sz w:val="24"/>
                <w:szCs w:val="24"/>
                <w:color w:val="auto"/>
              </w:rPr>
            </w:pPr>
          </w:p>
        </w:tc>
        <w:tc>
          <w:tcPr>
            <w:tcW w:w="240" w:type="dxa"/>
            <w:vAlign w:val="bottom"/>
            <w:tcBorders>
              <w:top w:val="single" w:sz="8" w:color="auto"/>
              <w:bottom w:val="single" w:sz="8" w:color="808080"/>
            </w:tcBorders>
          </w:tcPr>
          <w:p>
            <w:pPr>
              <w:spacing w:after="0"/>
              <w:rPr>
                <w:sz w:val="24"/>
                <w:szCs w:val="24"/>
                <w:color w:val="auto"/>
              </w:rPr>
            </w:pPr>
          </w:p>
        </w:tc>
        <w:tc>
          <w:tcPr>
            <w:tcW w:w="1080" w:type="dxa"/>
            <w:vAlign w:val="bottom"/>
            <w:tcBorders>
              <w:top w:val="single" w:sz="8" w:color="auto"/>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4"/>
          <w:szCs w:val="14"/>
          <w:color w:val="auto"/>
        </w:rPr>
        <w:t>TEXAS INSTRUMENTS 2009 ANNUAL REPORT n PAGE 21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other acquisition-related intangibles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Changes in goodwill as of December 31, 2009, by segment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Embedded</w:t>
            </w: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46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Analog</w:t>
            </w:r>
          </w:p>
        </w:tc>
        <w:tc>
          <w:tcPr>
            <w:tcW w:w="4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6"/>
              </w:rPr>
              <w:t>Processing</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Wireless</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Other</w:t>
            </w:r>
          </w:p>
        </w:tc>
        <w:tc>
          <w:tcPr>
            <w:tcW w:w="3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Goodwill, December 31, 2008</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6"/>
              </w:rPr>
              <w:t>567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c>
          <w:tcPr>
            <w:tcW w:w="10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82</w:t>
            </w:r>
          </w:p>
        </w:tc>
        <w:tc>
          <w:tcPr>
            <w:tcW w:w="9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840</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Additions from acquisitions</w:t>
            </w:r>
          </w:p>
        </w:tc>
        <w:tc>
          <w:tcPr>
            <w:tcW w:w="880" w:type="dxa"/>
            <w:vAlign w:val="bottom"/>
          </w:tcPr>
          <w:p>
            <w:pPr>
              <w:spacing w:after="0"/>
              <w:rPr>
                <w:sz w:val="18"/>
                <w:szCs w:val="18"/>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b w:val="1"/>
                <w:bCs w:val="1"/>
                <w:color w:val="auto"/>
              </w:rPr>
              <w:t>70</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15</w:t>
            </w:r>
          </w:p>
        </w:tc>
        <w:tc>
          <w:tcPr>
            <w:tcW w:w="1040" w:type="dxa"/>
            <w:vAlign w:val="bottom"/>
          </w:tcPr>
          <w:p>
            <w:pPr>
              <w:spacing w:after="0"/>
              <w:rPr>
                <w:sz w:val="18"/>
                <w:szCs w:val="18"/>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spacing w:after="0"/>
              <w:rPr>
                <w:sz w:val="18"/>
                <w:szCs w:val="18"/>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85</w:t>
            </w: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Adjustments</w:t>
            </w:r>
          </w:p>
        </w:tc>
        <w:tc>
          <w:tcPr>
            <w:tcW w:w="8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Goodwill, December 31, 2009</w:t>
            </w:r>
          </w:p>
        </w:tc>
        <w:tc>
          <w:tcPr>
            <w:tcW w:w="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6"/>
              </w:rPr>
              <w:t>638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172</w:t>
            </w:r>
          </w:p>
        </w:tc>
        <w:tc>
          <w:tcPr>
            <w:tcW w:w="10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82</w:t>
            </w:r>
          </w:p>
        </w:tc>
        <w:tc>
          <w:tcPr>
            <w:tcW w:w="9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34</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926</w:t>
            </w: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There was no impairment of goodwill during 2009 or 2008. The goodwill balances shown on our balance sheets are net of total accumulated amortization of $221 million at year-end 2009 and 2008.</w:t>
      </w:r>
    </w:p>
    <w:p>
      <w:pPr>
        <w:spacing w:after="0" w:line="1" w:lineRule="exact"/>
        <w:rPr>
          <w:sz w:val="20"/>
          <w:szCs w:val="20"/>
          <w:color w:val="auto"/>
        </w:rPr>
      </w:pPr>
    </w:p>
    <w:p>
      <w:pPr>
        <w:ind w:right="500" w:firstLine="324"/>
        <w:spacing w:after="0" w:line="261" w:lineRule="auto"/>
        <w:rPr>
          <w:sz w:val="20"/>
          <w:szCs w:val="20"/>
          <w:color w:val="auto"/>
        </w:rPr>
      </w:pPr>
      <w:r>
        <w:rPr>
          <w:rFonts w:ascii="Arial" w:cs="Arial" w:eastAsia="Arial" w:hAnsi="Arial"/>
          <w:sz w:val="18"/>
          <w:szCs w:val="18"/>
          <w:color w:val="auto"/>
        </w:rPr>
        <w:t>In 2009, 2008 and 2007, we recognized intangible assets associated with acquisitions we made during the year of $81 million, $13 million and $45 million, respectively, primarily for developed technology, to be amortized over two to eight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acquisition-related intangible assets: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88"/>
              </w:rPr>
              <w:t>Gross</w:t>
            </w: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December 31, 2009</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84"/>
              </w:rPr>
              <w:t>Gross</w:t>
            </w: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December 31, 2008</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4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Amortization</w:t>
            </w:r>
          </w:p>
        </w:tc>
        <w:tc>
          <w:tcPr>
            <w:tcW w:w="160" w:type="dxa"/>
            <w:vAlign w:val="bottom"/>
          </w:tcPr>
          <w:p>
            <w:pPr>
              <w:spacing w:after="0"/>
              <w:rPr>
                <w:sz w:val="18"/>
                <w:szCs w:val="18"/>
                <w:color w:val="auto"/>
              </w:rPr>
            </w:pPr>
          </w:p>
        </w:tc>
        <w:tc>
          <w:tcPr>
            <w:tcW w:w="100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Carrying</w:t>
            </w:r>
          </w:p>
        </w:tc>
        <w:tc>
          <w:tcPr>
            <w:tcW w:w="15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Accumulated</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Carrying</w:t>
            </w:r>
          </w:p>
        </w:tc>
        <w:tc>
          <w:tcPr>
            <w:tcW w:w="150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Accumulated</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2"/>
              </w:rPr>
              <w:t>Period</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Amount</w:t>
            </w:r>
          </w:p>
        </w:tc>
        <w:tc>
          <w:tcPr>
            <w:tcW w:w="152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Amortization</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Net</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4"/>
              </w:rPr>
              <w:t>Amount</w:t>
            </w:r>
          </w:p>
        </w:tc>
        <w:tc>
          <w:tcPr>
            <w:tcW w:w="15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Amortization</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tcPr>
          <w:p>
            <w:pPr>
              <w:spacing w:after="0" w:line="201" w:lineRule="exact"/>
              <w:rPr>
                <w:sz w:val="20"/>
                <w:szCs w:val="20"/>
                <w:color w:val="auto"/>
              </w:rPr>
            </w:pPr>
            <w:r>
              <w:rPr>
                <w:rFonts w:ascii="Arial" w:cs="Arial" w:eastAsia="Arial" w:hAnsi="Arial"/>
                <w:sz w:val="18"/>
                <w:szCs w:val="18"/>
                <w:color w:val="auto"/>
              </w:rPr>
              <w:t>Acquisition-related</w:t>
            </w: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tcPr>
          <w:p>
            <w:pPr>
              <w:ind w:left="160"/>
              <w:spacing w:after="0"/>
              <w:rPr>
                <w:sz w:val="20"/>
                <w:szCs w:val="20"/>
                <w:color w:val="auto"/>
              </w:rPr>
            </w:pPr>
            <w:r>
              <w:rPr>
                <w:rFonts w:ascii="Arial" w:cs="Arial" w:eastAsia="Arial" w:hAnsi="Arial"/>
                <w:sz w:val="18"/>
                <w:szCs w:val="18"/>
                <w:color w:val="auto"/>
              </w:rPr>
              <w:t>intangibles:</w:t>
            </w: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Developed technology</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2–10 years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w:t>
            </w:r>
          </w:p>
        </w:tc>
        <w:tc>
          <w:tcPr>
            <w:tcW w:w="68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97</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7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60</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ind w:left="160"/>
              <w:spacing w:after="0"/>
              <w:rPr>
                <w:sz w:val="20"/>
                <w:szCs w:val="20"/>
                <w:color w:val="auto"/>
              </w:rPr>
            </w:pPr>
            <w:r>
              <w:rPr>
                <w:rFonts w:ascii="Arial" w:cs="Arial" w:eastAsia="Arial" w:hAnsi="Arial"/>
                <w:sz w:val="18"/>
                <w:szCs w:val="18"/>
                <w:color w:val="auto"/>
              </w:rPr>
              <w:t>Other intangibles</w:t>
            </w: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3–10 years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680" w:type="dxa"/>
            <w:vAlign w:val="bottom"/>
          </w:tcPr>
          <w:p>
            <w:pPr>
              <w:spacing w:after="0"/>
              <w:rPr>
                <w:sz w:val="18"/>
                <w:szCs w:val="18"/>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b w:val="1"/>
                <w:bCs w:val="1"/>
                <w:color w:val="auto"/>
              </w:rPr>
              <w:t>28</w:t>
            </w:r>
          </w:p>
        </w:tc>
        <w:tc>
          <w:tcPr>
            <w:tcW w:w="2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32</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c>
          <w:tcPr>
            <w:tcW w:w="700" w:type="dxa"/>
            <w:vAlign w:val="bottom"/>
          </w:tcPr>
          <w:p>
            <w:pPr>
              <w:spacing w:after="0"/>
              <w:rPr>
                <w:sz w:val="18"/>
                <w:szCs w:val="18"/>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In-process research and</w:t>
            </w: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6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development</w:t>
            </w:r>
          </w:p>
        </w:tc>
        <w:tc>
          <w:tcPr>
            <w:tcW w:w="134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0"/>
              </w:rPr>
              <w:t>(a)</w:t>
            </w:r>
          </w:p>
        </w:tc>
        <w:tc>
          <w:tcPr>
            <w:tcW w:w="1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ind w:left="160"/>
              <w:spacing w:after="0"/>
              <w:rPr>
                <w:sz w:val="20"/>
                <w:szCs w:val="20"/>
                <w:color w:val="auto"/>
              </w:rPr>
            </w:pPr>
            <w:r>
              <w:rPr>
                <w:rFonts w:ascii="Arial" w:cs="Arial" w:eastAsia="Arial" w:hAnsi="Arial"/>
                <w:sz w:val="18"/>
                <w:szCs w:val="18"/>
                <w:color w:val="auto"/>
              </w:rPr>
              <w:t>Total</w:t>
            </w:r>
          </w:p>
        </w:tc>
        <w:tc>
          <w:tcPr>
            <w:tcW w:w="13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w:t>
            </w:r>
          </w:p>
        </w:tc>
        <w:tc>
          <w:tcPr>
            <w:tcW w:w="6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125</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7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80</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Not yet subject to amortization.</w:t>
      </w:r>
    </w:p>
    <w:p>
      <w:pPr>
        <w:spacing w:after="0" w:line="25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Amortization of acquisition-related intangibles was $48 million, $37 million and $48 million for 2009, 2008 and 2007, primarily related to developed technology.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20" w:type="dxa"/>
            <w:vAlign w:val="bottom"/>
            <w:gridSpan w:val="2"/>
          </w:tcPr>
          <w:p>
            <w:pPr>
              <w:spacing w:after="0"/>
              <w:rPr>
                <w:sz w:val="20"/>
                <w:szCs w:val="20"/>
                <w:color w:val="auto"/>
              </w:rPr>
            </w:pPr>
            <w:r>
              <w:rPr>
                <w:rFonts w:ascii="Arial" w:cs="Arial" w:eastAsia="Arial" w:hAnsi="Arial"/>
                <w:sz w:val="18"/>
                <w:szCs w:val="18"/>
                <w:color w:val="auto"/>
                <w:w w:val="99"/>
              </w:rPr>
              <w:t>The following table sets forth the estimated amortization of acquisition-related intangibles for the years ended December 31:</w:t>
            </w: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9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2011</w:t>
            </w:r>
          </w:p>
        </w:tc>
        <w:tc>
          <w:tcPr>
            <w:tcW w:w="1120" w:type="dxa"/>
            <w:vAlign w:val="bottom"/>
          </w:tcPr>
          <w:p>
            <w:pPr>
              <w:spacing w:after="0"/>
              <w:rPr>
                <w:sz w:val="18"/>
                <w:szCs w:val="18"/>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2013</w:t>
            </w:r>
          </w:p>
        </w:tc>
        <w:tc>
          <w:tcPr>
            <w:tcW w:w="1120" w:type="dxa"/>
            <w:vAlign w:val="bottom"/>
          </w:tcPr>
          <w:p>
            <w:pPr>
              <w:spacing w:after="0"/>
              <w:rPr>
                <w:sz w:val="18"/>
                <w:szCs w:val="18"/>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Thereafter</w:t>
            </w:r>
          </w:p>
        </w:tc>
        <w:tc>
          <w:tcPr>
            <w:tcW w:w="1120" w:type="dxa"/>
            <w:vAlign w:val="bottom"/>
          </w:tcPr>
          <w:p>
            <w:pPr>
              <w:spacing w:after="0"/>
              <w:rPr>
                <w:sz w:val="20"/>
                <w:szCs w:val="20"/>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Postretirement benefit plans</w:t>
      </w:r>
    </w:p>
    <w:p>
      <w:pPr>
        <w:spacing w:after="0" w:line="25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u w:val="single" w:color="auto"/>
          <w:color w:val="auto"/>
        </w:rPr>
        <w:t>Plan descriptions</w:t>
      </w:r>
      <w:r>
        <w:rPr>
          <w:rFonts w:ascii="Arial" w:cs="Arial" w:eastAsia="Arial" w:hAnsi="Arial"/>
          <w:sz w:val="18"/>
          <w:szCs w:val="18"/>
          <w:color w:val="auto"/>
        </w:rPr>
        <w:t>: We have various employee retirement plans including defined benefit, defined contribution and retiree health care benefit plans. For qualifying employees, we offer deferred compensation arrangements.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retirement plans:</w:t>
      </w:r>
    </w:p>
    <w:p>
      <w:pPr>
        <w:spacing w:after="0" w:line="23"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Principal retirement plans in the U.S. are qualified and non-qualified defined benefit pension plans (all of which closed to new participants after November 1997), a defined contribution plan and an enhanced defined contribution plan. The defined benefit pension plans include employees still accruing benefits as well as employees and participants that no longer accrue service-related benefits, but instead, may participate in the enhanced defined contribution plan.</w:t>
      </w:r>
    </w:p>
    <w:p>
      <w:pPr>
        <w:spacing w:after="0" w:line="2" w:lineRule="exact"/>
        <w:rPr>
          <w:sz w:val="20"/>
          <w:szCs w:val="20"/>
          <w:color w:val="auto"/>
        </w:rPr>
      </w:pPr>
    </w:p>
    <w:p>
      <w:pPr>
        <w:ind w:right="240" w:firstLine="324"/>
        <w:spacing w:after="0" w:line="253" w:lineRule="auto"/>
        <w:rPr>
          <w:sz w:val="20"/>
          <w:szCs w:val="20"/>
          <w:color w:val="auto"/>
        </w:rPr>
      </w:pPr>
      <w:r>
        <w:rPr>
          <w:rFonts w:ascii="Arial" w:cs="Arial" w:eastAsia="Arial" w:hAnsi="Arial"/>
          <w:sz w:val="18"/>
          <w:szCs w:val="18"/>
          <w:color w:val="auto"/>
        </w:rPr>
        <w:t>Both defined contribution plans offer an employer-matching savings option that allows employees to make pre-tax contributions to various investment choices, including a TI common stock fund. Employees who elected to continue accruing a benefit in the qualified defined benefit pension plans may also participate in the defined contribution plan, where employer-matching contributions are provided for up to 2 percent of the employee’s annual eligible earnings. Employees who elected not to continue accruing a benefit in the defined benefit pension plans, and employees hired after November 1997 and through December 31, 2003, may participate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402590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78" w:name="page79"/>
    <w:bookmarkEnd w:id="78"/>
    <w:p>
      <w:pPr>
        <w:spacing w:after="0"/>
        <w:rPr>
          <w:sz w:val="20"/>
          <w:szCs w:val="20"/>
          <w:color w:val="auto"/>
        </w:rPr>
      </w:pPr>
      <w:r>
        <w:rPr>
          <w:rFonts w:ascii="Arial" w:cs="Arial" w:eastAsia="Arial" w:hAnsi="Arial"/>
          <w:sz w:val="14"/>
          <w:szCs w:val="14"/>
          <w:color w:val="auto"/>
        </w:rPr>
        <w:t>TEXAS INSTRUMENTS 2009 ANNUAL REPORT n PAGE 22</w:t>
      </w:r>
    </w:p>
    <w:p>
      <w:pPr>
        <w:spacing w:after="0" w:line="20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enhanced defined contribution plan. This plan provides for a fixed employer contribution of 2 percent of the employee’s annual eligible earnings, plus an employer-matching contribution of up to 4 percent of the employee’s annual eligible earnings. Employees hired after December 31, 2003, do not receive the fixed employer contribution of 2 percent of the employee’s annual eligible earnings.</w:t>
      </w:r>
    </w:p>
    <w:p>
      <w:pPr>
        <w:jc w:val="both"/>
        <w:ind w:right="320" w:firstLine="324"/>
        <w:spacing w:after="0" w:line="250" w:lineRule="auto"/>
        <w:rPr>
          <w:sz w:val="20"/>
          <w:szCs w:val="20"/>
          <w:color w:val="auto"/>
        </w:rPr>
      </w:pPr>
      <w:r>
        <w:rPr>
          <w:rFonts w:ascii="Arial" w:cs="Arial" w:eastAsia="Arial" w:hAnsi="Arial"/>
          <w:sz w:val="18"/>
          <w:szCs w:val="18"/>
          <w:color w:val="auto"/>
        </w:rPr>
        <w:t>At December 31, 2009 and 2008, as a result of employees’ elections, TI’s U.S. defined contribution plans held shares of TI common stock totaling 29 million shares and 32 million shares valued at $759 million and $494 million, respectively. Dividends paid on these shares for 2009 and 2008 totaled $14 million each year.</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aggregate expense for the U.S. defined contribution plans was $51 million in 2009 and $56 million in each of 2008 and 2007.</w:t>
      </w:r>
    </w:p>
    <w:p>
      <w:pPr>
        <w:spacing w:after="0" w:line="9"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Benefits under the qualified defined benefit pension plan are determined using a formula based upon years of service and the highest five consecutive years of compensation. We intend to contribute amounts to this plan to meet the minimum funding requirements of applicable local laws and regulations, plus such additional amounts as we deem appropriate. The non-qualified defined benefit plans are unfunded and closed to new participants.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retiree health care benefit plan:</w:t>
      </w:r>
    </w:p>
    <w:p>
      <w:pPr>
        <w:spacing w:after="0" w:line="23"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U.S. employees that meet eligibility requirements are offered medical coverage during retirement. We make a contribution toward the cost of those retiree medical benefits for certain retirees and their dependents. The contribution rates are based upon various factors, the most important of which are an employee’s date of hire, date of retirement, years of service and eligibility for Medicare benefits. The balance of the cost is borne by the plan’s participants. Employees hired after January 1, 2001, are responsible for the full cost of their medical benefits during retirement.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retirement plans:</w:t>
      </w:r>
    </w:p>
    <w:p>
      <w:pPr>
        <w:spacing w:after="0" w:line="23"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We provide retirement coverage for non-U.S. employees, as required by local laws or to the extent we deem appropriate, through a number of defined benefit and defined contribution plans. Retirement benefits are generally based on an employee’s years of service and compensation. Funding requirements are determined on an individual country and plan basis and are subject to local country practices and market circumstances.</w:t>
      </w:r>
    </w:p>
    <w:p>
      <w:pPr>
        <w:spacing w:after="0" w:line="1" w:lineRule="exact"/>
        <w:rPr>
          <w:sz w:val="20"/>
          <w:szCs w:val="20"/>
          <w:color w:val="auto"/>
        </w:rPr>
      </w:pPr>
    </w:p>
    <w:p>
      <w:pPr>
        <w:ind w:right="260" w:firstLine="324"/>
        <w:spacing w:after="0" w:line="290" w:lineRule="auto"/>
        <w:rPr>
          <w:sz w:val="20"/>
          <w:szCs w:val="20"/>
          <w:color w:val="auto"/>
        </w:rPr>
      </w:pPr>
      <w:r>
        <w:rPr>
          <w:rFonts w:ascii="Arial" w:cs="Arial" w:eastAsia="Arial" w:hAnsi="Arial"/>
          <w:sz w:val="17"/>
          <w:szCs w:val="17"/>
          <w:color w:val="auto"/>
        </w:rPr>
        <w:t>As of December 31, 2009 and 2008, as a result of employees’ elections, TI’s non-U.S. defined contribution plans held TI common stock valued at $13 million and $10 million, respectively. Dividends paid on these shares of TI common stock for 2009 and 2008 were not material.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Effect on the statements of income and balance sheets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Expense related to defined benefit and retiree health care benefit plans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4"/>
          </w:tcPr>
          <w:p>
            <w:pPr>
              <w:jc w:val="right"/>
              <w:spacing w:after="0"/>
              <w:rPr>
                <w:sz w:val="20"/>
                <w:szCs w:val="20"/>
                <w:color w:val="auto"/>
              </w:rPr>
            </w:pPr>
            <w:r>
              <w:rPr>
                <w:rFonts w:ascii="Arial" w:cs="Arial" w:eastAsia="Arial" w:hAnsi="Arial"/>
                <w:sz w:val="18"/>
                <w:szCs w:val="18"/>
                <w:b w:val="1"/>
                <w:bCs w:val="1"/>
                <w:color w:val="auto"/>
              </w:rPr>
              <w:t>U.S. Defined Benefit</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40" w:type="dxa"/>
            <w:vAlign w:val="bottom"/>
            <w:gridSpan w:val="5"/>
          </w:tcPr>
          <w:p>
            <w:pPr>
              <w:jc w:val="right"/>
              <w:ind w:right="530"/>
              <w:spacing w:after="0"/>
              <w:rPr>
                <w:sz w:val="20"/>
                <w:szCs w:val="20"/>
                <w:color w:val="auto"/>
              </w:rPr>
            </w:pPr>
            <w:r>
              <w:rPr>
                <w:rFonts w:ascii="Arial" w:cs="Arial" w:eastAsia="Arial" w:hAnsi="Arial"/>
                <w:sz w:val="18"/>
                <w:szCs w:val="18"/>
                <w:b w:val="1"/>
                <w:bCs w:val="1"/>
                <w:color w:val="auto"/>
              </w:rPr>
              <w:t>U.S. Retiree Health Care</w:t>
            </w:r>
          </w:p>
        </w:tc>
        <w:tc>
          <w:tcPr>
            <w:tcW w:w="220" w:type="dxa"/>
            <w:vAlign w:val="bottom"/>
          </w:tcPr>
          <w:p>
            <w:pPr>
              <w:spacing w:after="0"/>
              <w:rPr>
                <w:sz w:val="20"/>
                <w:szCs w:val="20"/>
                <w:color w:val="auto"/>
              </w:rPr>
            </w:pPr>
          </w:p>
        </w:tc>
        <w:tc>
          <w:tcPr>
            <w:tcW w:w="2740" w:type="dxa"/>
            <w:vAlign w:val="bottom"/>
            <w:gridSpan w:val="5"/>
          </w:tcPr>
          <w:p>
            <w:pPr>
              <w:jc w:val="right"/>
              <w:ind w:right="430"/>
              <w:spacing w:after="0"/>
              <w:rPr>
                <w:sz w:val="20"/>
                <w:szCs w:val="20"/>
                <w:color w:val="auto"/>
              </w:rPr>
            </w:pPr>
            <w:r>
              <w:rPr>
                <w:rFonts w:ascii="Arial" w:cs="Arial" w:eastAsia="Arial" w:hAnsi="Arial"/>
                <w:sz w:val="18"/>
                <w:szCs w:val="18"/>
                <w:b w:val="1"/>
                <w:bCs w:val="1"/>
                <w:color w:val="auto"/>
              </w:rPr>
              <w:t>Non-U.S. Defined Benefit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2009</w:t>
            </w: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2008</w:t>
            </w: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2007</w:t>
            </w: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2009</w:t>
            </w:r>
          </w:p>
        </w:tc>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2008</w:t>
            </w: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2007</w:t>
            </w: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2009</w:t>
            </w: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2008</w:t>
            </w: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b w:val="1"/>
                <w:bCs w:val="1"/>
                <w:color w:val="auto"/>
              </w:rPr>
              <w:t>49</w:t>
            </w:r>
          </w:p>
        </w:tc>
        <w:tc>
          <w:tcPr>
            <w:tcW w:w="260" w:type="dxa"/>
            <w:vAlign w:val="bottom"/>
          </w:tcPr>
          <w:p>
            <w:pPr>
              <w:spacing w:after="0"/>
              <w:rPr>
                <w:sz w:val="18"/>
                <w:szCs w:val="18"/>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18"/>
                <w:szCs w:val="18"/>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b w:val="1"/>
                <w:bCs w:val="1"/>
                <w:color w:val="auto"/>
              </w:rPr>
              <w:t>26</w:t>
            </w:r>
          </w:p>
        </w:tc>
        <w:tc>
          <w:tcPr>
            <w:tcW w:w="26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rPr>
              <w:t>62</w:t>
            </w:r>
          </w:p>
        </w:tc>
        <w:tc>
          <w:tcPr>
            <w:tcW w:w="22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Expected return on plan</w:t>
            </w:r>
          </w:p>
        </w:tc>
        <w:tc>
          <w:tcPr>
            <w:tcW w:w="16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spacing w:after="0" w:line="201" w:lineRule="exact"/>
              <w:rPr>
                <w:sz w:val="20"/>
                <w:szCs w:val="20"/>
                <w:color w:val="auto"/>
              </w:rPr>
            </w:pPr>
            <w:r>
              <w:rPr>
                <w:rFonts w:ascii="Arial" w:cs="Arial" w:eastAsia="Arial" w:hAnsi="Arial"/>
                <w:sz w:val="18"/>
                <w:szCs w:val="18"/>
                <w:color w:val="auto"/>
              </w:rPr>
              <w:t>Amortization of prior service</w:t>
            </w:r>
          </w:p>
        </w:tc>
        <w:tc>
          <w:tcPr>
            <w:tcW w:w="160" w:type="dxa"/>
            <w:vAlign w:val="bottom"/>
          </w:tcPr>
          <w:p>
            <w:pPr>
              <w:spacing w:after="0"/>
              <w:rPr>
                <w:sz w:val="17"/>
                <w:szCs w:val="17"/>
                <w:color w:val="auto"/>
              </w:rPr>
            </w:pPr>
          </w:p>
        </w:tc>
        <w:tc>
          <w:tcPr>
            <w:tcW w:w="80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1</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2</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cost</w:t>
            </w:r>
          </w:p>
        </w:tc>
        <w:tc>
          <w:tcPr>
            <w:tcW w:w="16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Recognized net actuarial loss</w:t>
            </w: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18</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34</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39</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46</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40</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12</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64</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Settlement charges</w:t>
            </w:r>
          </w:p>
        </w:tc>
        <w:tc>
          <w:tcPr>
            <w:tcW w:w="16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b w:val="1"/>
                <w:bCs w:val="1"/>
                <w:color w:val="auto"/>
              </w:rPr>
              <w:t>13</w:t>
            </w:r>
          </w:p>
        </w:tc>
        <w:tc>
          <w:tcPr>
            <w:tcW w:w="260" w:type="dxa"/>
            <w:vAlign w:val="bottom"/>
          </w:tcPr>
          <w:p>
            <w:pPr>
              <w:spacing w:after="0"/>
              <w:rPr>
                <w:sz w:val="18"/>
                <w:szCs w:val="18"/>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rPr>
              <w:t>15</w:t>
            </w:r>
          </w:p>
        </w:tc>
        <w:tc>
          <w:tcPr>
            <w:tcW w:w="22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w w:val="97"/>
              </w:rPr>
              <w:t>Curtailment charges (credits)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spacing w:after="0" w:line="201" w:lineRule="exact"/>
              <w:rPr>
                <w:sz w:val="20"/>
                <w:szCs w:val="20"/>
                <w:color w:val="auto"/>
              </w:rPr>
            </w:pPr>
            <w:r>
              <w:rPr>
                <w:rFonts w:ascii="Arial" w:cs="Arial" w:eastAsia="Arial" w:hAnsi="Arial"/>
                <w:sz w:val="18"/>
                <w:szCs w:val="18"/>
                <w:color w:val="auto"/>
              </w:rPr>
              <w:t>Special termination benefit</w:t>
            </w:r>
          </w:p>
        </w:tc>
        <w:tc>
          <w:tcPr>
            <w:tcW w:w="160" w:type="dxa"/>
            <w:vAlign w:val="bottom"/>
          </w:tcPr>
          <w:p>
            <w:pPr>
              <w:spacing w:after="0"/>
              <w:rPr>
                <w:sz w:val="17"/>
                <w:szCs w:val="17"/>
                <w:color w:val="auto"/>
              </w:rPr>
            </w:pPr>
          </w:p>
        </w:tc>
        <w:tc>
          <w:tcPr>
            <w:tcW w:w="80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6</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3</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300" w:type="dxa"/>
            <w:vAlign w:val="bottom"/>
            <w:gridSpan w:val="2"/>
          </w:tcPr>
          <w:p>
            <w:pPr>
              <w:spacing w:after="0"/>
              <w:rPr>
                <w:sz w:val="20"/>
                <w:szCs w:val="20"/>
                <w:color w:val="auto"/>
              </w:rPr>
            </w:pPr>
            <w:r>
              <w:rPr>
                <w:rFonts w:ascii="Arial" w:cs="Arial" w:eastAsia="Arial" w:hAnsi="Arial"/>
                <w:sz w:val="18"/>
                <w:szCs w:val="18"/>
                <w:color w:val="auto"/>
              </w:rPr>
              <w:t>charges</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including charges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For the U.S. qualified pension and retiree health care plans, the expected return on plan assets component of net periodic benefit cost is based upon a market-related value of assets. In accordance with U.S. GAAP, the market-related value of assets generally utilizes a smoothing technique whereby certain gains and losses are phased in over a period of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60" w:type="dxa"/>
            <w:vAlign w:val="bottom"/>
            <w:gridSpan w:val="5"/>
          </w:tcPr>
          <w:p>
            <w:pPr>
              <w:jc w:val="right"/>
              <w:spacing w:after="0"/>
              <w:rPr>
                <w:sz w:val="20"/>
                <w:szCs w:val="20"/>
                <w:color w:val="auto"/>
              </w:rPr>
            </w:pPr>
            <w:r>
              <w:rPr>
                <w:rFonts w:ascii="Arial" w:cs="Arial" w:eastAsia="Arial" w:hAnsi="Arial"/>
                <w:sz w:val="14"/>
                <w:szCs w:val="14"/>
                <w:color w:val="auto"/>
              </w:rPr>
              <w:t>TEXAS INSTRUMENTS 2009 ANNUAL REPORT n PAGE 23</w:t>
            </w:r>
          </w:p>
        </w:tc>
        <w:tc>
          <w:tcPr>
            <w:tcW w:w="0" w:type="dxa"/>
            <w:vAlign w:val="bottom"/>
          </w:tcPr>
          <w:p>
            <w:pPr>
              <w:spacing w:after="0"/>
              <w:rPr>
                <w:sz w:val="1"/>
                <w:szCs w:val="1"/>
                <w:color w:val="auto"/>
              </w:rPr>
            </w:pPr>
          </w:p>
        </w:tc>
      </w:tr>
      <w:tr>
        <w:trPr>
          <w:trHeight w:val="417"/>
        </w:trPr>
        <w:tc>
          <w:tcPr>
            <w:tcW w:w="10100" w:type="dxa"/>
            <w:vAlign w:val="bottom"/>
            <w:gridSpan w:val="12"/>
          </w:tcPr>
          <w:p>
            <w:pPr>
              <w:spacing w:after="0"/>
              <w:rPr>
                <w:sz w:val="20"/>
                <w:szCs w:val="20"/>
                <w:color w:val="auto"/>
              </w:rPr>
            </w:pPr>
            <w:r>
              <w:rPr>
                <w:rFonts w:ascii="Arial" w:cs="Arial" w:eastAsia="Arial" w:hAnsi="Arial"/>
                <w:sz w:val="18"/>
                <w:szCs w:val="18"/>
                <w:color w:val="auto"/>
              </w:rPr>
              <w:t>Changes in the benefit obligations and plan assets for the defined benefit and retiree health care benefit plans were as follows:</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U.S. Retiree</w:t>
            </w:r>
          </w:p>
        </w:tc>
        <w:tc>
          <w:tcPr>
            <w:tcW w:w="24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Non-U.S.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0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U.S. Defined Benefit</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Health Care</w:t>
            </w:r>
          </w:p>
        </w:tc>
        <w:tc>
          <w:tcPr>
            <w:tcW w:w="240" w:type="dxa"/>
            <w:vAlign w:val="bottom"/>
          </w:tcPr>
          <w:p>
            <w:pPr>
              <w:spacing w:after="0"/>
              <w:rPr>
                <w:sz w:val="20"/>
                <w:szCs w:val="20"/>
                <w:color w:val="auto"/>
              </w:rPr>
            </w:pPr>
          </w:p>
        </w:tc>
        <w:tc>
          <w:tcPr>
            <w:tcW w:w="244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Defined Benefit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4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5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2009</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2008</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2009</w:t>
            </w: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Change in plan benefit obligation:</w:t>
            </w: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at beginning of year</w:t>
            </w:r>
          </w:p>
        </w:tc>
        <w:tc>
          <w:tcPr>
            <w:tcW w:w="820" w:type="dxa"/>
            <w:vAlign w:val="bottom"/>
            <w:shd w:val="clear" w:color="auto" w:fill="CCEEFF"/>
          </w:tcPr>
          <w:p>
            <w:pPr>
              <w:jc w:val="right"/>
              <w:ind w:right="661"/>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867</w:t>
            </w:r>
          </w:p>
        </w:tc>
        <w:tc>
          <w:tcPr>
            <w:tcW w:w="90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837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449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1,933</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Service cost</w:t>
            </w:r>
          </w:p>
        </w:tc>
        <w:tc>
          <w:tcPr>
            <w:tcW w:w="820" w:type="dxa"/>
            <w:vAlign w:val="bottom"/>
          </w:tcPr>
          <w:p>
            <w:pPr>
              <w:spacing w:after="0"/>
              <w:rPr>
                <w:sz w:val="18"/>
                <w:szCs w:val="18"/>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b w:val="1"/>
                <w:bCs w:val="1"/>
                <w:color w:val="auto"/>
              </w:rPr>
              <w:t>20</w:t>
            </w:r>
          </w:p>
        </w:tc>
        <w:tc>
          <w:tcPr>
            <w:tcW w:w="900" w:type="dxa"/>
            <w:vAlign w:val="bottom"/>
          </w:tcPr>
          <w:p>
            <w:pPr>
              <w:spacing w:after="0"/>
              <w:rPr>
                <w:sz w:val="18"/>
                <w:szCs w:val="18"/>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4</w:t>
            </w: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40</w:t>
            </w:r>
          </w:p>
        </w:tc>
        <w:tc>
          <w:tcPr>
            <w:tcW w:w="3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cost</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49</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26</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62</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Participant contributions</w:t>
            </w:r>
          </w:p>
        </w:tc>
        <w:tc>
          <w:tcPr>
            <w:tcW w:w="820" w:type="dxa"/>
            <w:vAlign w:val="bottom"/>
          </w:tcPr>
          <w:p>
            <w:pPr>
              <w:spacing w:after="0"/>
              <w:rPr>
                <w:sz w:val="18"/>
                <w:szCs w:val="18"/>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spacing w:after="0"/>
              <w:rPr>
                <w:sz w:val="18"/>
                <w:szCs w:val="18"/>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16</w:t>
            </w: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3</w:t>
            </w:r>
          </w:p>
        </w:tc>
        <w:tc>
          <w:tcPr>
            <w:tcW w:w="3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Benefits paid</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Medicare subsidy</w:t>
            </w:r>
          </w:p>
        </w:tc>
        <w:tc>
          <w:tcPr>
            <w:tcW w:w="820" w:type="dxa"/>
            <w:vAlign w:val="bottom"/>
          </w:tcPr>
          <w:p>
            <w:pPr>
              <w:spacing w:after="0"/>
              <w:rPr>
                <w:sz w:val="18"/>
                <w:szCs w:val="18"/>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spacing w:after="0"/>
              <w:rPr>
                <w:sz w:val="18"/>
                <w:szCs w:val="18"/>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4</w:t>
            </w: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Actuarial (gain) loss</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18</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35</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Settlements</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90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3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Curtailments</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Special termination benefits</w:t>
            </w:r>
          </w:p>
        </w:tc>
        <w:tc>
          <w:tcPr>
            <w:tcW w:w="820" w:type="dxa"/>
            <w:vAlign w:val="bottom"/>
          </w:tcPr>
          <w:p>
            <w:pPr>
              <w:spacing w:after="0"/>
              <w:rPr>
                <w:sz w:val="18"/>
                <w:szCs w:val="18"/>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b w:val="1"/>
                <w:bCs w:val="1"/>
                <w:color w:val="auto"/>
              </w:rPr>
              <w:t>6</w:t>
            </w:r>
          </w:p>
        </w:tc>
        <w:tc>
          <w:tcPr>
            <w:tcW w:w="900" w:type="dxa"/>
            <w:vAlign w:val="bottom"/>
          </w:tcPr>
          <w:p>
            <w:pPr>
              <w:spacing w:after="0"/>
              <w:rPr>
                <w:sz w:val="18"/>
                <w:szCs w:val="18"/>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3</w:t>
            </w:r>
          </w:p>
        </w:tc>
        <w:tc>
          <w:tcPr>
            <w:tcW w:w="3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Effects of exchange rate changes</w:t>
            </w: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Benefit obligation at end of year (BO)</w:t>
            </w:r>
          </w:p>
        </w:tc>
        <w:tc>
          <w:tcPr>
            <w:tcW w:w="820" w:type="dxa"/>
            <w:vAlign w:val="bottom"/>
            <w:tcBorders>
              <w:bottom w:val="single" w:sz="8" w:color="auto"/>
            </w:tcBorders>
          </w:tcPr>
          <w:p>
            <w:pPr>
              <w:jc w:val="right"/>
              <w:ind w:right="661"/>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860</w:t>
            </w:r>
          </w:p>
        </w:tc>
        <w:tc>
          <w:tcPr>
            <w:tcW w:w="9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867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472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1,945</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Change in plan assets:</w:t>
            </w: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Fair value of plan assets at beginning of</w:t>
            </w:r>
          </w:p>
        </w:tc>
        <w:tc>
          <w:tcPr>
            <w:tcW w:w="820" w:type="dxa"/>
            <w:vAlign w:val="bottom"/>
            <w:vMerge w:val="restart"/>
            <w:shd w:val="clear" w:color="auto" w:fill="CCEEFF"/>
          </w:tcPr>
          <w:p>
            <w:pPr>
              <w:jc w:val="right"/>
              <w:ind w:right="661"/>
              <w:spacing w:after="0"/>
              <w:rPr>
                <w:sz w:val="20"/>
                <w:szCs w:val="20"/>
                <w:color w:val="auto"/>
              </w:rPr>
            </w:pPr>
            <w:r>
              <w:rPr>
                <w:rFonts w:ascii="Arial" w:cs="Arial" w:eastAsia="Arial" w:hAnsi="Arial"/>
                <w:sz w:val="15"/>
                <w:szCs w:val="15"/>
                <w:b w:val="1"/>
                <w:bCs w:val="1"/>
                <w:color w:val="auto"/>
                <w:w w:val="71"/>
              </w:rPr>
              <w:t>$</w:t>
            </w:r>
          </w:p>
        </w:tc>
        <w:tc>
          <w:tcPr>
            <w:tcW w:w="4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765</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341</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1,513</w:t>
            </w: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year</w:t>
            </w:r>
          </w:p>
        </w:tc>
        <w:tc>
          <w:tcPr>
            <w:tcW w:w="820" w:type="dxa"/>
            <w:vAlign w:val="bottom"/>
            <w:vMerge w:val="continue"/>
            <w:shd w:val="clear" w:color="auto" w:fill="CCEEFF"/>
          </w:tcPr>
          <w:p>
            <w:pPr>
              <w:spacing w:after="0"/>
              <w:rPr>
                <w:sz w:val="20"/>
                <w:szCs w:val="20"/>
                <w:color w:val="auto"/>
              </w:rPr>
            </w:pPr>
          </w:p>
        </w:tc>
        <w:tc>
          <w:tcPr>
            <w:tcW w:w="480" w:type="dxa"/>
            <w:vAlign w:val="bottom"/>
            <w:vMerge w:val="continue"/>
            <w:shd w:val="clear" w:color="auto" w:fill="CCEEFF"/>
          </w:tcPr>
          <w:p>
            <w:pPr>
              <w:spacing w:after="0"/>
              <w:rPr>
                <w:sz w:val="20"/>
                <w:szCs w:val="20"/>
                <w:color w:val="auto"/>
              </w:rPr>
            </w:pPr>
          </w:p>
        </w:tc>
        <w:tc>
          <w:tcPr>
            <w:tcW w:w="90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815</w:t>
            </w:r>
          </w:p>
        </w:tc>
        <w:tc>
          <w:tcPr>
            <w:tcW w:w="22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399</w:t>
            </w:r>
          </w:p>
        </w:tc>
        <w:tc>
          <w:tcPr>
            <w:tcW w:w="24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Actual return on plan assets</w:t>
            </w:r>
          </w:p>
        </w:tc>
        <w:tc>
          <w:tcPr>
            <w:tcW w:w="820" w:type="dxa"/>
            <w:vAlign w:val="bottom"/>
          </w:tcPr>
          <w:p>
            <w:pPr>
              <w:spacing w:after="0"/>
              <w:rPr>
                <w:sz w:val="18"/>
                <w:szCs w:val="18"/>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b w:val="1"/>
                <w:bCs w:val="1"/>
                <w:color w:val="auto"/>
              </w:rPr>
              <w:t>45</w:t>
            </w:r>
          </w:p>
        </w:tc>
        <w:tc>
          <w:tcPr>
            <w:tcW w:w="90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39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197</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Employer contributions (funding of</w:t>
            </w:r>
          </w:p>
        </w:tc>
        <w:tc>
          <w:tcPr>
            <w:tcW w:w="820" w:type="dxa"/>
            <w:vAlign w:val="bottom"/>
            <w:shd w:val="clear" w:color="auto" w:fill="CCEEFF"/>
          </w:tcPr>
          <w:p>
            <w:pPr>
              <w:spacing w:after="0"/>
              <w:rPr>
                <w:sz w:val="17"/>
                <w:szCs w:val="17"/>
                <w:color w:val="auto"/>
              </w:rPr>
            </w:pPr>
          </w:p>
        </w:tc>
        <w:tc>
          <w:tcPr>
            <w:tcW w:w="4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115</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24</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54</w:t>
            </w: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qualified plans)</w:t>
            </w:r>
          </w:p>
        </w:tc>
        <w:tc>
          <w:tcPr>
            <w:tcW w:w="820" w:type="dxa"/>
            <w:vAlign w:val="bottom"/>
            <w:shd w:val="clear" w:color="auto" w:fill="CCEEFF"/>
          </w:tcPr>
          <w:p>
            <w:pPr>
              <w:spacing w:after="0"/>
              <w:rPr>
                <w:sz w:val="20"/>
                <w:szCs w:val="20"/>
                <w:color w:val="auto"/>
              </w:rPr>
            </w:pPr>
          </w:p>
        </w:tc>
        <w:tc>
          <w:tcPr>
            <w:tcW w:w="480" w:type="dxa"/>
            <w:vAlign w:val="bottom"/>
            <w:vMerge w:val="continue"/>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Employer contributions (payments for</w:t>
            </w:r>
          </w:p>
        </w:tc>
        <w:tc>
          <w:tcPr>
            <w:tcW w:w="820" w:type="dxa"/>
            <w:vAlign w:val="bottom"/>
          </w:tcPr>
          <w:p>
            <w:pPr>
              <w:spacing w:after="0"/>
              <w:rPr>
                <w:sz w:val="17"/>
                <w:szCs w:val="17"/>
                <w:color w:val="auto"/>
              </w:rPr>
            </w:pPr>
          </w:p>
        </w:tc>
        <w:tc>
          <w:tcPr>
            <w:tcW w:w="4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7</w:t>
            </w: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non-qualified plans)</w:t>
            </w:r>
          </w:p>
        </w:tc>
        <w:tc>
          <w:tcPr>
            <w:tcW w:w="820" w:type="dxa"/>
            <w:vAlign w:val="bottom"/>
          </w:tcPr>
          <w:p>
            <w:pPr>
              <w:spacing w:after="0"/>
              <w:rPr>
                <w:sz w:val="20"/>
                <w:szCs w:val="20"/>
                <w:color w:val="auto"/>
              </w:rPr>
            </w:pPr>
          </w:p>
        </w:tc>
        <w:tc>
          <w:tcPr>
            <w:tcW w:w="480" w:type="dxa"/>
            <w:vAlign w:val="bottom"/>
            <w:vMerge w:val="continue"/>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Participant contributions</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Benefits paid</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90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Settlements</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Effects of exchange rate changes</w:t>
            </w: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Fair value of plan assets at end of year</w:t>
            </w:r>
          </w:p>
        </w:tc>
        <w:tc>
          <w:tcPr>
            <w:tcW w:w="820" w:type="dxa"/>
            <w:vAlign w:val="bottom"/>
            <w:vMerge w:val="restart"/>
            <w:shd w:val="clear" w:color="auto" w:fill="CCEEFF"/>
          </w:tcPr>
          <w:p>
            <w:pPr>
              <w:jc w:val="right"/>
              <w:ind w:right="661"/>
              <w:spacing w:after="0"/>
              <w:rPr>
                <w:sz w:val="20"/>
                <w:szCs w:val="20"/>
                <w:color w:val="auto"/>
              </w:rPr>
            </w:pPr>
            <w:r>
              <w:rPr>
                <w:rFonts w:ascii="Arial" w:cs="Arial" w:eastAsia="Arial" w:hAnsi="Arial"/>
                <w:sz w:val="15"/>
                <w:szCs w:val="15"/>
                <w:b w:val="1"/>
                <w:bCs w:val="1"/>
                <w:color w:val="auto"/>
                <w:w w:val="71"/>
              </w:rPr>
              <w:t>$</w:t>
            </w:r>
          </w:p>
        </w:tc>
        <w:tc>
          <w:tcPr>
            <w:tcW w:w="4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859</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374</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1,672</w:t>
            </w: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(FVPA)</w:t>
            </w:r>
          </w:p>
        </w:tc>
        <w:tc>
          <w:tcPr>
            <w:tcW w:w="820" w:type="dxa"/>
            <w:vAlign w:val="bottom"/>
            <w:tcBorders>
              <w:bottom w:val="single" w:sz="8" w:color="auto"/>
            </w:tcBorders>
            <w:vMerge w:val="continue"/>
            <w:shd w:val="clear" w:color="auto" w:fill="CCEEFF"/>
          </w:tcPr>
          <w:p>
            <w:pPr>
              <w:spacing w:after="0"/>
              <w:rPr>
                <w:sz w:val="23"/>
                <w:szCs w:val="23"/>
                <w:color w:val="auto"/>
              </w:rPr>
            </w:pPr>
          </w:p>
        </w:tc>
        <w:tc>
          <w:tcPr>
            <w:tcW w:w="480" w:type="dxa"/>
            <w:vAlign w:val="bottom"/>
            <w:tcBorders>
              <w:bottom w:val="single" w:sz="8" w:color="auto"/>
            </w:tcBorders>
            <w:vMerge w:val="continue"/>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765</w:t>
            </w:r>
          </w:p>
        </w:tc>
        <w:tc>
          <w:tcPr>
            <w:tcW w:w="220" w:type="dxa"/>
            <w:vAlign w:val="bottom"/>
            <w:tcBorders>
              <w:bottom w:val="single" w:sz="8" w:color="auto"/>
            </w:tcBorders>
            <w:vMerge w:val="continue"/>
            <w:shd w:val="clear" w:color="auto" w:fill="CCEEFF"/>
          </w:tcPr>
          <w:p>
            <w:pPr>
              <w:spacing w:after="0"/>
              <w:rPr>
                <w:sz w:val="23"/>
                <w:szCs w:val="23"/>
                <w:color w:val="auto"/>
              </w:rPr>
            </w:pPr>
          </w:p>
        </w:tc>
        <w:tc>
          <w:tcPr>
            <w:tcW w:w="1100" w:type="dxa"/>
            <w:vAlign w:val="bottom"/>
            <w:tcBorders>
              <w:bottom w:val="single" w:sz="8" w:color="auto"/>
            </w:tcBorders>
            <w:vMerge w:val="continue"/>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341</w:t>
            </w:r>
          </w:p>
        </w:tc>
        <w:tc>
          <w:tcPr>
            <w:tcW w:w="240" w:type="dxa"/>
            <w:vAlign w:val="bottom"/>
            <w:tcBorders>
              <w:bottom w:val="single" w:sz="8" w:color="auto"/>
            </w:tcBorders>
            <w:vMerge w:val="continue"/>
            <w:shd w:val="clear" w:color="auto" w:fill="CCEEFF"/>
          </w:tcPr>
          <w:p>
            <w:pPr>
              <w:spacing w:after="0"/>
              <w:rPr>
                <w:sz w:val="23"/>
                <w:szCs w:val="23"/>
                <w:color w:val="auto"/>
              </w:rPr>
            </w:pPr>
          </w:p>
        </w:tc>
        <w:tc>
          <w:tcPr>
            <w:tcW w:w="1120" w:type="dxa"/>
            <w:vAlign w:val="bottom"/>
            <w:tcBorders>
              <w:bottom w:val="single" w:sz="8" w:color="auto"/>
            </w:tcBorders>
            <w:vMerge w:val="continue"/>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7"/>
              </w:rPr>
              <w:t>Funded status (FVPA – BO) at end of year</w:t>
            </w:r>
          </w:p>
        </w:tc>
        <w:tc>
          <w:tcPr>
            <w:tcW w:w="820" w:type="dxa"/>
            <w:vAlign w:val="bottom"/>
            <w:tcBorders>
              <w:bottom w:val="single" w:sz="8" w:color="auto"/>
            </w:tcBorders>
          </w:tcPr>
          <w:p>
            <w:pPr>
              <w:jc w:val="right"/>
              <w:ind w:right="661"/>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9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5"/>
              </w:rPr>
              <w:t>(102)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(273)</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
        </w:trPr>
        <w:tc>
          <w:tcPr>
            <w:tcW w:w="3340" w:type="dxa"/>
            <w:vAlign w:val="bottom"/>
            <w:gridSpan w:val="2"/>
          </w:tcPr>
          <w:p>
            <w:pPr>
              <w:spacing w:after="0" w:line="20" w:lineRule="exact"/>
              <w:rPr>
                <w:sz w:val="1"/>
                <w:szCs w:val="1"/>
                <w:color w:val="auto"/>
              </w:rPr>
            </w:pPr>
          </w:p>
        </w:tc>
        <w:tc>
          <w:tcPr>
            <w:tcW w:w="2200" w:type="dxa"/>
            <w:vAlign w:val="bottom"/>
            <w:tcBorders>
              <w:bottom w:val="single" w:sz="8" w:color="auto"/>
            </w:tcBorders>
            <w:gridSpan w:val="3"/>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540" w:type="dxa"/>
            <w:vAlign w:val="bottom"/>
            <w:gridSpan w:val="5"/>
          </w:tcPr>
          <w:p>
            <w:pPr>
              <w:spacing w:after="0"/>
              <w:rPr>
                <w:sz w:val="20"/>
                <w:szCs w:val="20"/>
                <w:color w:val="auto"/>
              </w:rPr>
            </w:pPr>
            <w:r>
              <w:rPr>
                <w:rFonts w:ascii="Arial" w:cs="Arial" w:eastAsia="Arial" w:hAnsi="Arial"/>
                <w:sz w:val="18"/>
                <w:szCs w:val="18"/>
                <w:color w:val="auto"/>
              </w:rPr>
              <w:t>Amounts recognized on the balance sheet as of December 31, 2009:</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Non-U.S.</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0"/>
              </w:rPr>
              <w:t>U.S. Defined</w:t>
            </w:r>
          </w:p>
        </w:tc>
        <w:tc>
          <w:tcPr>
            <w:tcW w:w="16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U.S. Retiree</w:t>
            </w:r>
          </w:p>
        </w:tc>
        <w:tc>
          <w:tcPr>
            <w:tcW w:w="24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Defined</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8"/>
              </w:rPr>
              <w:t>Benefit</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3"/>
              </w:rPr>
              <w:t>Health Care</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8"/>
              </w:rPr>
              <w:t>Benefit</w:t>
            </w: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Overfunded retirement plans</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5"/>
                <w:szCs w:val="15"/>
                <w:b w:val="1"/>
                <w:bCs w:val="1"/>
                <w:color w:val="auto"/>
                <w:w w:val="71"/>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24</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Accrued profit sharing and retirement</w:t>
            </w: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(5)</w:t>
            </w: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Underfunded retirement plans</w:t>
            </w:r>
          </w:p>
        </w:tc>
        <w:tc>
          <w:tcPr>
            <w:tcW w:w="8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(291)</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w w:val="92"/>
              </w:rPr>
              <w:t>Funded status (FVPA – BO) at end of year</w:t>
            </w: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Borders>
              <w:bottom w:val="single" w:sz="8" w:color="auto"/>
            </w:tcBorders>
          </w:tcPr>
          <w:p>
            <w:pPr>
              <w:jc w:val="right"/>
              <w:ind w:right="55"/>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(273)</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(372)</w:t>
            </w:r>
          </w:p>
        </w:tc>
        <w:tc>
          <w:tcPr>
            <w:tcW w:w="0" w:type="dxa"/>
            <w:vAlign w:val="bottom"/>
          </w:tcPr>
          <w:p>
            <w:pPr>
              <w:spacing w:after="0"/>
              <w:rPr>
                <w:sz w:val="1"/>
                <w:szCs w:val="1"/>
                <w:color w:val="auto"/>
              </w:rPr>
            </w:pPr>
          </w:p>
        </w:tc>
      </w:tr>
      <w:tr>
        <w:trPr>
          <w:trHeight w:val="21"/>
        </w:trPr>
        <w:tc>
          <w:tcPr>
            <w:tcW w:w="5540" w:type="dxa"/>
            <w:vAlign w:val="bottom"/>
            <w:gridSpan w:val="5"/>
            <w:vMerge w:val="restart"/>
          </w:tcPr>
          <w:p>
            <w:pPr>
              <w:spacing w:after="0"/>
              <w:rPr>
                <w:sz w:val="20"/>
                <w:szCs w:val="20"/>
                <w:color w:val="auto"/>
              </w:rPr>
            </w:pPr>
            <w:r>
              <w:rPr>
                <w:rFonts w:ascii="Arial" w:cs="Arial" w:eastAsia="Arial" w:hAnsi="Arial"/>
                <w:sz w:val="18"/>
                <w:szCs w:val="18"/>
                <w:color w:val="auto"/>
              </w:rPr>
              <w:t>Amounts recognized on the balance sheet as of December 31, 2008:</w:t>
            </w: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540" w:type="dxa"/>
            <w:vAlign w:val="bottom"/>
            <w:gridSpan w:val="5"/>
            <w:vMerge w:val="continue"/>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Non-U.S.</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0"/>
              </w:rPr>
              <w:t>U.S. Defined</w:t>
            </w:r>
          </w:p>
        </w:tc>
        <w:tc>
          <w:tcPr>
            <w:tcW w:w="16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U.S. Retiree</w:t>
            </w:r>
          </w:p>
        </w:tc>
        <w:tc>
          <w:tcPr>
            <w:tcW w:w="24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Defined</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8"/>
              </w:rPr>
              <w:t>Benefit</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3"/>
              </w:rPr>
              <w:t>Health Care</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8"/>
              </w:rPr>
              <w:t>Benefit</w:t>
            </w: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Overfunded retirement plans</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Accrued profit sharing and retirement</w:t>
            </w: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Underfunded retirement plans</w:t>
            </w:r>
          </w:p>
        </w:tc>
        <w:tc>
          <w:tcPr>
            <w:tcW w:w="8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7"/>
              </w:rPr>
              <w:t>Funded status (FVPA – BO) at end of year</w:t>
            </w: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Borders>
              <w:bottom w:val="single" w:sz="8" w:color="auto"/>
            </w:tcBorders>
          </w:tcPr>
          <w:p>
            <w:pPr>
              <w:jc w:val="right"/>
              <w:ind w:right="5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preceding tables present aggregate information for all plans reported. Accumulated benefit obligations, which represent the benefit obligations excluding the impact of future salary increases, were $817 million and $783 million at year-end 2009 and 2008 for the U.S. defined benefit plans, and $1.79 billion and $1.71 billion at year-end 2009 and 2008 for the non-U.S. defined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82"/>
        </w:trPr>
        <w:tc>
          <w:tcPr>
            <w:tcW w:w="3760" w:type="dxa"/>
            <w:vAlign w:val="bottom"/>
            <w:gridSpan w:val="6"/>
          </w:tcPr>
          <w:p>
            <w:pPr>
              <w:spacing w:after="0"/>
              <w:rPr>
                <w:sz w:val="20"/>
                <w:szCs w:val="20"/>
                <w:color w:val="auto"/>
              </w:rPr>
            </w:pPr>
            <w:r>
              <w:rPr>
                <w:rFonts w:ascii="Arial" w:cs="Arial" w:eastAsia="Arial" w:hAnsi="Arial"/>
                <w:sz w:val="14"/>
                <w:szCs w:val="14"/>
                <w:color w:val="auto"/>
                <w:w w:val="97"/>
              </w:rPr>
              <w:t>TEXAS INSTRUMENTS 2009 ANNUAL REPORT n PAGE 24</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417"/>
        </w:trPr>
        <w:tc>
          <w:tcPr>
            <w:tcW w:w="8300" w:type="dxa"/>
            <w:vAlign w:val="bottom"/>
            <w:gridSpan w:val="14"/>
          </w:tcPr>
          <w:p>
            <w:pPr>
              <w:spacing w:after="0"/>
              <w:rPr>
                <w:sz w:val="20"/>
                <w:szCs w:val="20"/>
                <w:color w:val="auto"/>
              </w:rPr>
            </w:pPr>
            <w:r>
              <w:rPr>
                <w:rFonts w:ascii="Arial" w:cs="Arial" w:eastAsia="Arial" w:hAnsi="Arial"/>
                <w:sz w:val="18"/>
                <w:szCs w:val="18"/>
                <w:color w:val="auto"/>
                <w:w w:val="90"/>
              </w:rPr>
              <w:t>The amounts recorded in AOCI for the years ended December 31, 2009 and 2008, are detailed below by plan type:</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U.S. Retiree</w:t>
            </w:r>
          </w:p>
        </w:tc>
        <w:tc>
          <w:tcPr>
            <w:tcW w:w="260" w:type="dxa"/>
            <w:vAlign w:val="bottom"/>
          </w:tcPr>
          <w:p>
            <w:pPr>
              <w:spacing w:after="0"/>
              <w:rPr>
                <w:sz w:val="24"/>
                <w:szCs w:val="24"/>
                <w:color w:val="auto"/>
              </w:rPr>
            </w:pPr>
          </w:p>
        </w:tc>
        <w:tc>
          <w:tcPr>
            <w:tcW w:w="198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Non-U.S.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w w:val="99"/>
              </w:rPr>
              <w:t>U.S. Defined Benefit</w:t>
            </w:r>
          </w:p>
        </w:tc>
        <w:tc>
          <w:tcPr>
            <w:tcW w:w="200" w:type="dxa"/>
            <w:vAlign w:val="bottom"/>
          </w:tcPr>
          <w:p>
            <w:pPr>
              <w:spacing w:after="0"/>
              <w:rPr>
                <w:sz w:val="18"/>
                <w:szCs w:val="18"/>
                <w:color w:val="auto"/>
              </w:rPr>
            </w:pPr>
          </w:p>
        </w:tc>
        <w:tc>
          <w:tcPr>
            <w:tcW w:w="208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Health Care</w:t>
            </w:r>
          </w:p>
        </w:tc>
        <w:tc>
          <w:tcPr>
            <w:tcW w:w="260" w:type="dxa"/>
            <w:vAlign w:val="bottom"/>
          </w:tcPr>
          <w:p>
            <w:pPr>
              <w:spacing w:after="0"/>
              <w:rPr>
                <w:sz w:val="18"/>
                <w:szCs w:val="18"/>
                <w:color w:val="auto"/>
              </w:rPr>
            </w:pPr>
          </w:p>
        </w:tc>
        <w:tc>
          <w:tcPr>
            <w:tcW w:w="198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Defined Benefit</w:t>
            </w: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Total</w:t>
            </w:r>
          </w:p>
        </w:tc>
        <w:tc>
          <w:tcPr>
            <w:tcW w:w="8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Net</w:t>
            </w:r>
          </w:p>
        </w:tc>
        <w:tc>
          <w:tcPr>
            <w:tcW w:w="260" w:type="dxa"/>
            <w:vAlign w:val="bottom"/>
          </w:tcPr>
          <w:p>
            <w:pPr>
              <w:spacing w:after="0"/>
              <w:rPr>
                <w:sz w:val="18"/>
                <w:szCs w:val="18"/>
                <w:color w:val="auto"/>
              </w:rPr>
            </w:pPr>
          </w:p>
        </w:tc>
        <w:tc>
          <w:tcPr>
            <w:tcW w:w="92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Prior</w:t>
            </w:r>
          </w:p>
        </w:tc>
        <w:tc>
          <w:tcPr>
            <w:tcW w:w="200" w:type="dxa"/>
            <w:vAlign w:val="bottom"/>
          </w:tcPr>
          <w:p>
            <w:pPr>
              <w:spacing w:after="0"/>
              <w:rPr>
                <w:sz w:val="18"/>
                <w:szCs w:val="18"/>
                <w:color w:val="auto"/>
              </w:rPr>
            </w:pPr>
          </w:p>
        </w:tc>
        <w:tc>
          <w:tcPr>
            <w:tcW w:w="960" w:type="dxa"/>
            <w:vAlign w:val="bottom"/>
          </w:tcPr>
          <w:p>
            <w:pPr>
              <w:jc w:val="center"/>
              <w:ind w:right="150"/>
              <w:spacing w:after="0"/>
              <w:rPr>
                <w:sz w:val="20"/>
                <w:szCs w:val="20"/>
                <w:color w:val="auto"/>
              </w:rPr>
            </w:pPr>
            <w:r>
              <w:rPr>
                <w:rFonts w:ascii="Arial" w:cs="Arial" w:eastAsia="Arial" w:hAnsi="Arial"/>
                <w:sz w:val="18"/>
                <w:szCs w:val="18"/>
                <w:b w:val="1"/>
                <w:bCs w:val="1"/>
                <w:color w:val="auto"/>
                <w:w w:val="96"/>
              </w:rPr>
              <w:t>Net</w:t>
            </w:r>
          </w:p>
        </w:tc>
        <w:tc>
          <w:tcPr>
            <w:tcW w:w="220" w:type="dxa"/>
            <w:vAlign w:val="bottom"/>
          </w:tcPr>
          <w:p>
            <w:pPr>
              <w:spacing w:after="0"/>
              <w:rPr>
                <w:sz w:val="18"/>
                <w:szCs w:val="18"/>
                <w:color w:val="auto"/>
              </w:rPr>
            </w:pPr>
          </w:p>
        </w:tc>
        <w:tc>
          <w:tcPr>
            <w:tcW w:w="90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Prior</w:t>
            </w:r>
          </w:p>
        </w:tc>
        <w:tc>
          <w:tcPr>
            <w:tcW w:w="260" w:type="dxa"/>
            <w:vAlign w:val="bottom"/>
          </w:tcPr>
          <w:p>
            <w:pPr>
              <w:spacing w:after="0"/>
              <w:rPr>
                <w:sz w:val="18"/>
                <w:szCs w:val="18"/>
                <w:color w:val="auto"/>
              </w:rPr>
            </w:pPr>
          </w:p>
        </w:tc>
        <w:tc>
          <w:tcPr>
            <w:tcW w:w="860" w:type="dxa"/>
            <w:vAlign w:val="bottom"/>
          </w:tcPr>
          <w:p>
            <w:pPr>
              <w:jc w:val="center"/>
              <w:ind w:right="210"/>
              <w:spacing w:after="0"/>
              <w:rPr>
                <w:sz w:val="20"/>
                <w:szCs w:val="20"/>
                <w:color w:val="auto"/>
              </w:rPr>
            </w:pPr>
            <w:r>
              <w:rPr>
                <w:rFonts w:ascii="Arial" w:cs="Arial" w:eastAsia="Arial" w:hAnsi="Arial"/>
                <w:sz w:val="18"/>
                <w:szCs w:val="18"/>
                <w:b w:val="1"/>
                <w:bCs w:val="1"/>
                <w:color w:val="auto"/>
                <w:w w:val="96"/>
              </w:rPr>
              <w:t>Net</w:t>
            </w:r>
          </w:p>
        </w:tc>
        <w:tc>
          <w:tcPr>
            <w:tcW w:w="220" w:type="dxa"/>
            <w:vAlign w:val="bottom"/>
          </w:tcPr>
          <w:p>
            <w:pPr>
              <w:spacing w:after="0"/>
              <w:rPr>
                <w:sz w:val="18"/>
                <w:szCs w:val="18"/>
                <w:color w:val="auto"/>
              </w:rPr>
            </w:pPr>
          </w:p>
        </w:tc>
        <w:tc>
          <w:tcPr>
            <w:tcW w:w="90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Prior</w:t>
            </w:r>
          </w:p>
        </w:tc>
        <w:tc>
          <w:tcPr>
            <w:tcW w:w="260" w:type="dxa"/>
            <w:vAlign w:val="bottom"/>
          </w:tcPr>
          <w:p>
            <w:pPr>
              <w:spacing w:after="0"/>
              <w:rPr>
                <w:sz w:val="18"/>
                <w:szCs w:val="18"/>
                <w:color w:val="auto"/>
              </w:rPr>
            </w:pPr>
          </w:p>
        </w:tc>
        <w:tc>
          <w:tcPr>
            <w:tcW w:w="860" w:type="dxa"/>
            <w:vAlign w:val="bottom"/>
          </w:tcPr>
          <w:p>
            <w:pPr>
              <w:jc w:val="center"/>
              <w:ind w:right="210"/>
              <w:spacing w:after="0"/>
              <w:rPr>
                <w:sz w:val="20"/>
                <w:szCs w:val="20"/>
                <w:color w:val="auto"/>
              </w:rPr>
            </w:pPr>
            <w:r>
              <w:rPr>
                <w:rFonts w:ascii="Arial" w:cs="Arial" w:eastAsia="Arial" w:hAnsi="Arial"/>
                <w:sz w:val="18"/>
                <w:szCs w:val="18"/>
                <w:b w:val="1"/>
                <w:bCs w:val="1"/>
                <w:color w:val="auto"/>
                <w:w w:val="96"/>
              </w:rPr>
              <w:t>Net</w:t>
            </w:r>
          </w:p>
        </w:tc>
        <w:tc>
          <w:tcPr>
            <w:tcW w:w="220" w:type="dxa"/>
            <w:vAlign w:val="bottom"/>
          </w:tcPr>
          <w:p>
            <w:pPr>
              <w:spacing w:after="0"/>
              <w:rPr>
                <w:sz w:val="18"/>
                <w:szCs w:val="18"/>
                <w:color w:val="auto"/>
              </w:rPr>
            </w:pPr>
          </w:p>
        </w:tc>
        <w:tc>
          <w:tcPr>
            <w:tcW w:w="880" w:type="dxa"/>
            <w:vAlign w:val="bottom"/>
          </w:tcPr>
          <w:p>
            <w:pPr>
              <w:jc w:val="center"/>
              <w:ind w:right="150"/>
              <w:spacing w:after="0"/>
              <w:rPr>
                <w:sz w:val="20"/>
                <w:szCs w:val="20"/>
                <w:color w:val="auto"/>
              </w:rPr>
            </w:pPr>
            <w:r>
              <w:rPr>
                <w:rFonts w:ascii="Arial" w:cs="Arial" w:eastAsia="Arial" w:hAnsi="Arial"/>
                <w:sz w:val="18"/>
                <w:szCs w:val="18"/>
                <w:b w:val="1"/>
                <w:bCs w:val="1"/>
                <w:color w:val="auto"/>
                <w:w w:val="95"/>
              </w:rPr>
              <w:t>Prior</w:t>
            </w: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50"/>
              <w:spacing w:after="0"/>
              <w:rPr>
                <w:sz w:val="20"/>
                <w:szCs w:val="20"/>
                <w:color w:val="auto"/>
              </w:rPr>
            </w:pPr>
            <w:r>
              <w:rPr>
                <w:rFonts w:ascii="Arial" w:cs="Arial" w:eastAsia="Arial" w:hAnsi="Arial"/>
                <w:sz w:val="18"/>
                <w:szCs w:val="18"/>
                <w:b w:val="1"/>
                <w:bCs w:val="1"/>
                <w:color w:val="auto"/>
                <w:w w:val="96"/>
              </w:rPr>
              <w:t>Actuarial</w:t>
            </w:r>
          </w:p>
        </w:tc>
        <w:tc>
          <w:tcPr>
            <w:tcW w:w="260" w:type="dxa"/>
            <w:vAlign w:val="bottom"/>
          </w:tcPr>
          <w:p>
            <w:pPr>
              <w:spacing w:after="0"/>
              <w:rPr>
                <w:sz w:val="18"/>
                <w:szCs w:val="18"/>
                <w:color w:val="auto"/>
              </w:rPr>
            </w:pPr>
          </w:p>
        </w:tc>
        <w:tc>
          <w:tcPr>
            <w:tcW w:w="920" w:type="dxa"/>
            <w:vAlign w:val="bottom"/>
          </w:tcPr>
          <w:p>
            <w:pPr>
              <w:jc w:val="center"/>
              <w:ind w:right="230"/>
              <w:spacing w:after="0"/>
              <w:rPr>
                <w:sz w:val="20"/>
                <w:szCs w:val="20"/>
                <w:color w:val="auto"/>
              </w:rPr>
            </w:pPr>
            <w:r>
              <w:rPr>
                <w:rFonts w:ascii="Arial" w:cs="Arial" w:eastAsia="Arial" w:hAnsi="Arial"/>
                <w:sz w:val="18"/>
                <w:szCs w:val="18"/>
                <w:b w:val="1"/>
                <w:bCs w:val="1"/>
                <w:color w:val="auto"/>
                <w:w w:val="87"/>
              </w:rPr>
              <w:t>Service</w:t>
            </w:r>
          </w:p>
        </w:tc>
        <w:tc>
          <w:tcPr>
            <w:tcW w:w="200" w:type="dxa"/>
            <w:vAlign w:val="bottom"/>
          </w:tcPr>
          <w:p>
            <w:pPr>
              <w:spacing w:after="0"/>
              <w:rPr>
                <w:sz w:val="18"/>
                <w:szCs w:val="18"/>
                <w:color w:val="auto"/>
              </w:rPr>
            </w:pPr>
          </w:p>
        </w:tc>
        <w:tc>
          <w:tcPr>
            <w:tcW w:w="96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Actuarial</w:t>
            </w:r>
          </w:p>
        </w:tc>
        <w:tc>
          <w:tcPr>
            <w:tcW w:w="220" w:type="dxa"/>
            <w:vAlign w:val="bottom"/>
          </w:tcPr>
          <w:p>
            <w:pPr>
              <w:spacing w:after="0"/>
              <w:rPr>
                <w:sz w:val="18"/>
                <w:szCs w:val="18"/>
                <w:color w:val="auto"/>
              </w:rPr>
            </w:pPr>
          </w:p>
        </w:tc>
        <w:tc>
          <w:tcPr>
            <w:tcW w:w="90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Service</w:t>
            </w: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Actuarial</w:t>
            </w:r>
          </w:p>
        </w:tc>
        <w:tc>
          <w:tcPr>
            <w:tcW w:w="220" w:type="dxa"/>
            <w:vAlign w:val="bottom"/>
          </w:tcPr>
          <w:p>
            <w:pPr>
              <w:spacing w:after="0"/>
              <w:rPr>
                <w:sz w:val="18"/>
                <w:szCs w:val="18"/>
                <w:color w:val="auto"/>
              </w:rPr>
            </w:pPr>
          </w:p>
        </w:tc>
        <w:tc>
          <w:tcPr>
            <w:tcW w:w="90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Service</w:t>
            </w: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Actuarial</w:t>
            </w:r>
          </w:p>
        </w:tc>
        <w:tc>
          <w:tcPr>
            <w:tcW w:w="220" w:type="dxa"/>
            <w:vAlign w:val="bottom"/>
          </w:tcPr>
          <w:p>
            <w:pPr>
              <w:spacing w:after="0"/>
              <w:rPr>
                <w:sz w:val="18"/>
                <w:szCs w:val="18"/>
                <w:color w:val="auto"/>
              </w:rPr>
            </w:pPr>
          </w:p>
        </w:tc>
        <w:tc>
          <w:tcPr>
            <w:tcW w:w="88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Service</w:t>
            </w:r>
          </w:p>
        </w:tc>
      </w:tr>
      <w:tr>
        <w:trPr>
          <w:trHeight w:val="241"/>
        </w:trPr>
        <w:tc>
          <w:tcPr>
            <w:tcW w:w="20" w:type="dxa"/>
            <w:vAlign w:val="bottom"/>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0"/>
              </w:rPr>
              <w:t>Loss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4"/>
              </w:rPr>
              <w:t>Cost</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5"/>
              </w:rPr>
              <w:t>Loss</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Cost</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5"/>
              </w:rPr>
              <w:t>Loss</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Cost</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5"/>
              </w:rPr>
              <w:t>Loss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Cost</w:t>
            </w:r>
          </w:p>
        </w:tc>
      </w:tr>
      <w:tr>
        <w:trPr>
          <w:trHeight w:val="202"/>
        </w:trPr>
        <w:tc>
          <w:tcPr>
            <w:tcW w:w="20" w:type="dxa"/>
            <w:vAlign w:val="bottom"/>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AOCI balance, December 31,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2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2008 (net of tax)</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198"/>
        </w:trPr>
        <w:tc>
          <w:tcPr>
            <w:tcW w:w="20" w:type="dxa"/>
            <w:vAlign w:val="bottom"/>
          </w:tcPr>
          <w:p>
            <w:pPr>
              <w:spacing w:after="0"/>
              <w:rPr>
                <w:sz w:val="17"/>
                <w:szCs w:val="17"/>
                <w:color w:val="auto"/>
              </w:rPr>
            </w:pPr>
          </w:p>
        </w:tc>
        <w:tc>
          <w:tcPr>
            <w:tcW w:w="2320" w:type="dxa"/>
            <w:vAlign w:val="bottom"/>
            <w:tcBorders>
              <w:top w:val="single" w:sz="8" w:color="CCEEFF"/>
            </w:tcBorders>
          </w:tcPr>
          <w:p>
            <w:pPr>
              <w:spacing w:after="0" w:line="198" w:lineRule="exact"/>
              <w:rPr>
                <w:sz w:val="20"/>
                <w:szCs w:val="20"/>
                <w:color w:val="auto"/>
              </w:rPr>
            </w:pPr>
            <w:r>
              <w:rPr>
                <w:rFonts w:ascii="Arial" w:cs="Arial" w:eastAsia="Arial" w:hAnsi="Arial"/>
                <w:sz w:val="18"/>
                <w:szCs w:val="18"/>
                <w:b w:val="1"/>
                <w:bCs w:val="1"/>
                <w:color w:val="auto"/>
              </w:rPr>
              <w:t>Changes in AOCI by</w:t>
            </w: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320" w:type="dxa"/>
            <w:vAlign w:val="bottom"/>
          </w:tcPr>
          <w:p>
            <w:pPr>
              <w:ind w:left="160"/>
              <w:spacing w:after="0"/>
              <w:rPr>
                <w:sz w:val="20"/>
                <w:szCs w:val="20"/>
                <w:color w:val="auto"/>
              </w:rPr>
            </w:pPr>
            <w:r>
              <w:rPr>
                <w:rFonts w:ascii="Arial" w:cs="Arial" w:eastAsia="Arial" w:hAnsi="Arial"/>
                <w:sz w:val="18"/>
                <w:szCs w:val="18"/>
                <w:b w:val="1"/>
                <w:bCs w:val="1"/>
                <w:color w:val="auto"/>
              </w:rPr>
              <w:t>category in 2009: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Annual adjustments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r>
      <w:tr>
        <w:trPr>
          <w:trHeight w:val="198"/>
        </w:trPr>
        <w:tc>
          <w:tcPr>
            <w:tcW w:w="20" w:type="dxa"/>
            <w:vAlign w:val="bottom"/>
          </w:tcPr>
          <w:p>
            <w:pPr>
              <w:spacing w:after="0"/>
              <w:rPr>
                <w:sz w:val="17"/>
                <w:szCs w:val="17"/>
                <w:color w:val="auto"/>
              </w:rPr>
            </w:pPr>
          </w:p>
        </w:tc>
        <w:tc>
          <w:tcPr>
            <w:tcW w:w="2320" w:type="dxa"/>
            <w:vAlign w:val="bottom"/>
          </w:tcPr>
          <w:p>
            <w:pPr>
              <w:ind w:left="160"/>
              <w:spacing w:after="0" w:line="198" w:lineRule="exact"/>
              <w:rPr>
                <w:sz w:val="20"/>
                <w:szCs w:val="20"/>
                <w:color w:val="auto"/>
              </w:rPr>
            </w:pPr>
            <w:r>
              <w:rPr>
                <w:rFonts w:ascii="Arial" w:cs="Arial" w:eastAsia="Arial" w:hAnsi="Arial"/>
                <w:sz w:val="18"/>
                <w:szCs w:val="18"/>
                <w:b w:val="1"/>
                <w:bCs w:val="1"/>
                <w:color w:val="auto"/>
              </w:rPr>
              <w:t>Reclassification of</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320" w:type="dxa"/>
            <w:vAlign w:val="bottom"/>
          </w:tcPr>
          <w:p>
            <w:pPr>
              <w:ind w:left="320"/>
              <w:spacing w:after="0"/>
              <w:rPr>
                <w:sz w:val="20"/>
                <w:szCs w:val="20"/>
                <w:color w:val="auto"/>
              </w:rPr>
            </w:pPr>
            <w:r>
              <w:rPr>
                <w:rFonts w:ascii="Arial" w:cs="Arial" w:eastAsia="Arial" w:hAnsi="Arial"/>
                <w:sz w:val="18"/>
                <w:szCs w:val="18"/>
                <w:b w:val="1"/>
                <w:bCs w:val="1"/>
                <w:color w:val="auto"/>
                <w:w w:val="95"/>
              </w:rPr>
              <w:t>recognized transactions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2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12</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(89)</w:t>
            </w:r>
          </w:p>
        </w:tc>
        <w:tc>
          <w:tcPr>
            <w:tcW w:w="2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9</w:t>
            </w:r>
          </w:p>
        </w:tc>
      </w:tr>
      <w:tr>
        <w:trPr>
          <w:trHeight w:val="223"/>
        </w:trPr>
        <w:tc>
          <w:tcPr>
            <w:tcW w:w="20" w:type="dxa"/>
            <w:vAlign w:val="bottom"/>
          </w:tcPr>
          <w:p>
            <w:pPr>
              <w:spacing w:after="0"/>
              <w:rPr>
                <w:sz w:val="19"/>
                <w:szCs w:val="19"/>
                <w:color w:val="auto"/>
              </w:rPr>
            </w:pPr>
          </w:p>
        </w:tc>
        <w:tc>
          <w:tcPr>
            <w:tcW w:w="2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w w:val="95"/>
              </w:rPr>
              <w:t>Less tax (benefit) expense</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52</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65</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r>
      <w:tr>
        <w:trPr>
          <w:trHeight w:val="198"/>
        </w:trPr>
        <w:tc>
          <w:tcPr>
            <w:tcW w:w="20" w:type="dxa"/>
            <w:vAlign w:val="bottom"/>
          </w:tcPr>
          <w:p>
            <w:pPr>
              <w:spacing w:after="0"/>
              <w:rPr>
                <w:sz w:val="17"/>
                <w:szCs w:val="17"/>
                <w:color w:val="auto"/>
              </w:rPr>
            </w:pPr>
          </w:p>
        </w:tc>
        <w:tc>
          <w:tcPr>
            <w:tcW w:w="2320" w:type="dxa"/>
            <w:vAlign w:val="bottom"/>
          </w:tcPr>
          <w:p>
            <w:pPr>
              <w:ind w:left="160"/>
              <w:spacing w:after="0" w:line="198" w:lineRule="exact"/>
              <w:rPr>
                <w:sz w:val="20"/>
                <w:szCs w:val="20"/>
                <w:color w:val="auto"/>
              </w:rPr>
            </w:pPr>
            <w:r>
              <w:rPr>
                <w:rFonts w:ascii="Arial" w:cs="Arial" w:eastAsia="Arial" w:hAnsi="Arial"/>
                <w:sz w:val="18"/>
                <w:szCs w:val="18"/>
                <w:b w:val="1"/>
                <w:bCs w:val="1"/>
                <w:color w:val="auto"/>
              </w:rPr>
              <w:t>Total change to AOCI in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41"/>
        </w:trPr>
        <w:tc>
          <w:tcPr>
            <w:tcW w:w="2340" w:type="dxa"/>
            <w:vAlign w:val="bottom"/>
            <w:gridSpan w:val="2"/>
          </w:tcPr>
          <w:p>
            <w:pPr>
              <w:ind w:left="34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w:t>
            </w:r>
          </w:p>
        </w:tc>
      </w:tr>
      <w:tr>
        <w:trPr>
          <w:trHeight w:val="198"/>
        </w:trPr>
        <w:tc>
          <w:tcPr>
            <w:tcW w:w="20" w:type="dxa"/>
            <w:vAlign w:val="bottom"/>
          </w:tcPr>
          <w:p>
            <w:pPr>
              <w:spacing w:after="0"/>
              <w:rPr>
                <w:sz w:val="17"/>
                <w:szCs w:val="17"/>
                <w:color w:val="auto"/>
              </w:rPr>
            </w:pPr>
          </w:p>
        </w:tc>
        <w:tc>
          <w:tcPr>
            <w:tcW w:w="23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4"/>
              </w:rPr>
              <w:t>AOCI balance, December 31,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75"/>
        </w:trPr>
        <w:tc>
          <w:tcPr>
            <w:tcW w:w="20" w:type="dxa"/>
            <w:vAlign w:val="bottom"/>
          </w:tcPr>
          <w:p>
            <w:pPr>
              <w:spacing w:after="0"/>
              <w:rPr>
                <w:sz w:val="23"/>
                <w:szCs w:val="23"/>
                <w:color w:val="auto"/>
              </w:rPr>
            </w:pPr>
          </w:p>
        </w:tc>
        <w:tc>
          <w:tcPr>
            <w:tcW w:w="2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2009 (net of tax)</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328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615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r>
    </w:tbl>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estimated amounts of net actuarial loss and unrecognized prior service cost included in AOCI as of December 31, 2009, that are expected to be amortized into net periodic benefit cost over the next fiscal year are: $19 million and $1 million for the U.S. defined benefit plans; $12 million and $2 million for the U.S. retiree health care plan; and $29 million and ($3) million for the non-U.S. defined benefit plans.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Information on plan assets</w:t>
      </w:r>
    </w:p>
    <w:p>
      <w:pPr>
        <w:spacing w:after="0" w:line="23"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 xml:space="preserve">In 2008, we adopted the provisions of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for reporting and measuring the plan assets of our defined benefit pension and other postretirement plans at fair value. For the year ended December 31, 2009, we also began providing expanded disclosures, including information about our investment policies and strategies, significant concentrations of risk, and, similar to the disclosures in Note 7, plan assets by category and classification of plan assets by level within the fair value hierarchy.</w:t>
      </w:r>
    </w:p>
    <w:p>
      <w:pPr>
        <w:spacing w:after="0" w:line="2"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The table below sets forth the fair value of our plan assets as of December 31, 2009, using the same three-level hierarchy of fair-value inputs described in Note 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8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3"/>
              </w:rPr>
              <w:t>Fair Value at</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8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90"/>
              </w:rPr>
              <w:t>December 31,</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2009</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Level 2</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b w:val="1"/>
                <w:bCs w:val="1"/>
                <w:color w:val="auto"/>
              </w:rPr>
              <w:t>Assets of U.S. defined benefit plans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181</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181</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U.S. Government agency and Treasury securities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193</w:t>
            </w: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169</w:t>
            </w: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24</w:t>
            </w:r>
          </w:p>
        </w:tc>
        <w:tc>
          <w:tcPr>
            <w:tcW w:w="300" w:type="dxa"/>
            <w:vAlign w:val="bottom"/>
          </w:tcPr>
          <w:p>
            <w:pPr>
              <w:spacing w:after="0"/>
              <w:rPr>
                <w:sz w:val="18"/>
                <w:szCs w:val="18"/>
                <w:color w:val="auto"/>
              </w:rPr>
            </w:pPr>
          </w:p>
        </w:tc>
        <w:tc>
          <w:tcPr>
            <w:tcW w:w="1060" w:type="dxa"/>
            <w:vAlign w:val="bottom"/>
          </w:tcPr>
          <w:p>
            <w:pPr>
              <w:ind w:left="7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bond funds</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242</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242</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U.S. equity funds and option collars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154</w:t>
            </w: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154</w:t>
            </w:r>
          </w:p>
        </w:tc>
        <w:tc>
          <w:tcPr>
            <w:tcW w:w="300" w:type="dxa"/>
            <w:vAlign w:val="bottom"/>
          </w:tcPr>
          <w:p>
            <w:pPr>
              <w:spacing w:after="0"/>
              <w:rPr>
                <w:sz w:val="18"/>
                <w:szCs w:val="18"/>
                <w:color w:val="auto"/>
              </w:rPr>
            </w:pPr>
          </w:p>
        </w:tc>
        <w:tc>
          <w:tcPr>
            <w:tcW w:w="1060" w:type="dxa"/>
            <w:vAlign w:val="bottom"/>
          </w:tcPr>
          <w:p>
            <w:pPr>
              <w:ind w:left="7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 equity funds</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55</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55</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Limited partnerships</w:t>
            </w:r>
          </w:p>
        </w:tc>
        <w:tc>
          <w:tcPr>
            <w:tcW w:w="1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34</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859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656</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 of U.S. retiree health care plan</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Money market funds</w:t>
            </w:r>
          </w:p>
        </w:tc>
        <w:tc>
          <w:tcPr>
            <w:tcW w:w="14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40</w:t>
            </w:r>
          </w:p>
        </w:tc>
        <w:tc>
          <w:tcPr>
            <w:tcW w:w="3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40</w:t>
            </w:r>
          </w:p>
        </w:tc>
        <w:tc>
          <w:tcPr>
            <w:tcW w:w="3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ind w:left="7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bond funds</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142</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142</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U.S. equity funds and option collars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143</w:t>
            </w: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80</w:t>
            </w: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63</w:t>
            </w:r>
          </w:p>
        </w:tc>
        <w:tc>
          <w:tcPr>
            <w:tcW w:w="300" w:type="dxa"/>
            <w:vAlign w:val="bottom"/>
          </w:tcPr>
          <w:p>
            <w:pPr>
              <w:spacing w:after="0"/>
              <w:rPr>
                <w:sz w:val="18"/>
                <w:szCs w:val="18"/>
                <w:color w:val="auto"/>
              </w:rPr>
            </w:pPr>
          </w:p>
        </w:tc>
        <w:tc>
          <w:tcPr>
            <w:tcW w:w="1060" w:type="dxa"/>
            <w:vAlign w:val="bottom"/>
          </w:tcPr>
          <w:p>
            <w:pPr>
              <w:ind w:left="7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International equity funds</w:t>
            </w:r>
          </w:p>
        </w:tc>
        <w:tc>
          <w:tcPr>
            <w:tcW w:w="1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Total</w:t>
            </w:r>
          </w:p>
        </w:tc>
        <w:tc>
          <w:tcPr>
            <w:tcW w:w="14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374</w:t>
            </w:r>
          </w:p>
        </w:tc>
        <w:tc>
          <w:tcPr>
            <w:tcW w:w="3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222</w:t>
            </w:r>
          </w:p>
        </w:tc>
        <w:tc>
          <w:tcPr>
            <w:tcW w:w="3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152</w:t>
            </w:r>
          </w:p>
        </w:tc>
        <w:tc>
          <w:tcPr>
            <w:tcW w:w="3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ind w:left="7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b w:val="1"/>
                <w:bCs w:val="1"/>
                <w:color w:val="auto"/>
              </w:rPr>
              <w:t>Assets of Non-U.S. defined benefit plans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Local market bond funds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647</w:t>
            </w: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647</w:t>
            </w:r>
          </w:p>
        </w:tc>
        <w:tc>
          <w:tcPr>
            <w:tcW w:w="300" w:type="dxa"/>
            <w:vAlign w:val="bottom"/>
          </w:tcPr>
          <w:p>
            <w:pPr>
              <w:spacing w:after="0"/>
              <w:rPr>
                <w:sz w:val="18"/>
                <w:szCs w:val="18"/>
                <w:color w:val="auto"/>
              </w:rPr>
            </w:pPr>
          </w:p>
        </w:tc>
        <w:tc>
          <w:tcPr>
            <w:tcW w:w="1060" w:type="dxa"/>
            <w:vAlign w:val="bottom"/>
          </w:tcPr>
          <w:p>
            <w:pPr>
              <w:ind w:left="7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International/global bond funds</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176</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176</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Local market equity funds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275</w:t>
            </w: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38</w:t>
            </w: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237</w:t>
            </w:r>
          </w:p>
        </w:tc>
        <w:tc>
          <w:tcPr>
            <w:tcW w:w="300" w:type="dxa"/>
            <w:vAlign w:val="bottom"/>
          </w:tcPr>
          <w:p>
            <w:pPr>
              <w:spacing w:after="0"/>
              <w:rPr>
                <w:sz w:val="18"/>
                <w:szCs w:val="18"/>
                <w:color w:val="auto"/>
              </w:rPr>
            </w:pPr>
          </w:p>
        </w:tc>
        <w:tc>
          <w:tcPr>
            <w:tcW w:w="1060" w:type="dxa"/>
            <w:vAlign w:val="bottom"/>
          </w:tcPr>
          <w:p>
            <w:pPr>
              <w:ind w:left="7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International/global equity funds</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496</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496</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Other investments</w:t>
            </w:r>
          </w:p>
        </w:tc>
        <w:tc>
          <w:tcPr>
            <w:tcW w:w="1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75</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49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1,672</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1,585</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rPr>
              <w:t>49</w:t>
            </w:r>
          </w:p>
        </w:tc>
        <w:tc>
          <w:tcPr>
            <w:tcW w:w="0" w:type="dxa"/>
            <w:vAlign w:val="bottom"/>
          </w:tcPr>
          <w:p>
            <w:pPr>
              <w:spacing w:after="0"/>
              <w:rPr>
                <w:sz w:val="1"/>
                <w:szCs w:val="1"/>
                <w:color w:val="auto"/>
              </w:rPr>
            </w:pPr>
          </w:p>
        </w:tc>
      </w:tr>
      <w:tr>
        <w:trPr>
          <w:trHeight w:val="652"/>
        </w:trPr>
        <w:tc>
          <w:tcPr>
            <w:tcW w:w="20" w:type="dxa"/>
            <w:vAlign w:val="bottom"/>
          </w:tcPr>
          <w:p>
            <w:pPr>
              <w:spacing w:after="0"/>
              <w:rPr>
                <w:sz w:val="24"/>
                <w:szCs w:val="24"/>
                <w:color w:val="auto"/>
              </w:rPr>
            </w:pPr>
          </w:p>
        </w:tc>
        <w:tc>
          <w:tcPr>
            <w:tcW w:w="4860" w:type="dxa"/>
            <w:vAlign w:val="bottom"/>
            <w:tcBorders>
              <w:top w:val="single" w:sz="8" w:color="CCEEFF"/>
              <w:bottom w:val="single" w:sz="8" w:color="808080"/>
            </w:tcBorders>
          </w:tcPr>
          <w:p>
            <w:pPr>
              <w:spacing w:after="0"/>
              <w:rPr>
                <w:sz w:val="24"/>
                <w:szCs w:val="24"/>
                <w:color w:val="auto"/>
              </w:rPr>
            </w:pPr>
          </w:p>
        </w:tc>
        <w:tc>
          <w:tcPr>
            <w:tcW w:w="1200" w:type="dxa"/>
            <w:vAlign w:val="bottom"/>
            <w:tcBorders>
              <w:top w:val="single" w:sz="8" w:color="CCEEFF"/>
              <w:bottom w:val="single" w:sz="8" w:color="808080"/>
            </w:tcBorders>
          </w:tcPr>
          <w:p>
            <w:pPr>
              <w:spacing w:after="0"/>
              <w:rPr>
                <w:sz w:val="24"/>
                <w:szCs w:val="24"/>
                <w:color w:val="auto"/>
              </w:rPr>
            </w:pPr>
          </w:p>
        </w:tc>
        <w:tc>
          <w:tcPr>
            <w:tcW w:w="240" w:type="dxa"/>
            <w:vAlign w:val="bottom"/>
            <w:tcBorders>
              <w:top w:val="single" w:sz="8" w:color="auto"/>
              <w:bottom w:val="single" w:sz="8" w:color="808080"/>
            </w:tcBorders>
          </w:tcPr>
          <w:p>
            <w:pPr>
              <w:spacing w:after="0"/>
              <w:rPr>
                <w:sz w:val="24"/>
                <w:szCs w:val="24"/>
                <w:color w:val="auto"/>
              </w:rPr>
            </w:pPr>
          </w:p>
        </w:tc>
        <w:tc>
          <w:tcPr>
            <w:tcW w:w="1040" w:type="dxa"/>
            <w:vAlign w:val="bottom"/>
            <w:tcBorders>
              <w:top w:val="single" w:sz="8" w:color="auto"/>
              <w:bottom w:val="single" w:sz="8" w:color="808080"/>
            </w:tcBorders>
          </w:tcPr>
          <w:p>
            <w:pPr>
              <w:spacing w:after="0"/>
              <w:rPr>
                <w:sz w:val="24"/>
                <w:szCs w:val="24"/>
                <w:color w:val="auto"/>
              </w:rPr>
            </w:pPr>
          </w:p>
        </w:tc>
        <w:tc>
          <w:tcPr>
            <w:tcW w:w="300" w:type="dxa"/>
            <w:vAlign w:val="bottom"/>
            <w:tcBorders>
              <w:top w:val="single" w:sz="8" w:color="auto"/>
              <w:bottom w:val="single" w:sz="8" w:color="808080"/>
            </w:tcBorders>
          </w:tcPr>
          <w:p>
            <w:pPr>
              <w:spacing w:after="0"/>
              <w:rPr>
                <w:sz w:val="24"/>
                <w:szCs w:val="24"/>
                <w:color w:val="auto"/>
              </w:rPr>
            </w:pPr>
          </w:p>
        </w:tc>
        <w:tc>
          <w:tcPr>
            <w:tcW w:w="1060" w:type="dxa"/>
            <w:vAlign w:val="bottom"/>
            <w:tcBorders>
              <w:top w:val="single" w:sz="8" w:color="auto"/>
              <w:bottom w:val="single" w:sz="8" w:color="808080"/>
            </w:tcBorders>
          </w:tcPr>
          <w:p>
            <w:pPr>
              <w:spacing w:after="0"/>
              <w:rPr>
                <w:sz w:val="24"/>
                <w:szCs w:val="24"/>
                <w:color w:val="auto"/>
              </w:rPr>
            </w:pPr>
          </w:p>
        </w:tc>
        <w:tc>
          <w:tcPr>
            <w:tcW w:w="300" w:type="dxa"/>
            <w:vAlign w:val="bottom"/>
            <w:tcBorders>
              <w:top w:val="single" w:sz="8" w:color="auto"/>
              <w:bottom w:val="single" w:sz="8" w:color="808080"/>
            </w:tcBorders>
          </w:tcPr>
          <w:p>
            <w:pPr>
              <w:spacing w:after="0"/>
              <w:rPr>
                <w:sz w:val="24"/>
                <w:szCs w:val="24"/>
                <w:color w:val="auto"/>
              </w:rPr>
            </w:pPr>
          </w:p>
        </w:tc>
        <w:tc>
          <w:tcPr>
            <w:tcW w:w="1040" w:type="dxa"/>
            <w:vAlign w:val="bottom"/>
            <w:tcBorders>
              <w:top w:val="single" w:sz="8" w:color="auto"/>
              <w:bottom w:val="single" w:sz="8" w:color="808080"/>
            </w:tcBorders>
          </w:tcPr>
          <w:p>
            <w:pPr>
              <w:spacing w:after="0"/>
              <w:rPr>
                <w:sz w:val="24"/>
                <w:szCs w:val="24"/>
                <w:color w:val="auto"/>
              </w:rPr>
            </w:pPr>
          </w:p>
        </w:tc>
        <w:tc>
          <w:tcPr>
            <w:tcW w:w="300" w:type="dxa"/>
            <w:vAlign w:val="bottom"/>
            <w:tcBorders>
              <w:top w:val="single" w:sz="8" w:color="auto"/>
              <w:bottom w:val="single" w:sz="8" w:color="808080"/>
            </w:tcBorders>
          </w:tcPr>
          <w:p>
            <w:pPr>
              <w:spacing w:after="0"/>
              <w:rPr>
                <w:sz w:val="24"/>
                <w:szCs w:val="24"/>
                <w:color w:val="auto"/>
              </w:rPr>
            </w:pPr>
          </w:p>
        </w:tc>
        <w:tc>
          <w:tcPr>
            <w:tcW w:w="1060" w:type="dxa"/>
            <w:vAlign w:val="bottom"/>
            <w:tcBorders>
              <w:top w:val="single" w:sz="8" w:color="auto"/>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6500" w:type="dxa"/>
            <w:vAlign w:val="bottom"/>
            <w:gridSpan w:val="5"/>
          </w:tcPr>
          <w:p>
            <w:pPr>
              <w:jc w:val="right"/>
              <w:spacing w:after="0"/>
              <w:rPr>
                <w:sz w:val="20"/>
                <w:szCs w:val="20"/>
                <w:color w:val="auto"/>
              </w:rPr>
            </w:pPr>
            <w:r>
              <w:rPr>
                <w:rFonts w:ascii="Arial" w:cs="Arial" w:eastAsia="Arial" w:hAnsi="Arial"/>
                <w:sz w:val="14"/>
                <w:szCs w:val="14"/>
                <w:color w:val="auto"/>
              </w:rPr>
              <w:t>TEXAS INSTRUMENTS 2009 ANNUAL REPORT n PAGE 25</w:t>
            </w:r>
          </w:p>
        </w:tc>
      </w:tr>
      <w:tr>
        <w:trPr>
          <w:trHeight w:val="417"/>
        </w:trPr>
        <w:tc>
          <w:tcPr>
            <w:tcW w:w="9740" w:type="dxa"/>
            <w:vAlign w:val="bottom"/>
            <w:gridSpan w:val="4"/>
          </w:tcPr>
          <w:p>
            <w:pPr>
              <w:spacing w:after="0"/>
              <w:rPr>
                <w:sz w:val="20"/>
                <w:szCs w:val="20"/>
                <w:color w:val="auto"/>
              </w:rPr>
            </w:pPr>
            <w:r>
              <w:rPr>
                <w:rFonts w:ascii="Arial" w:cs="Arial" w:eastAsia="Arial" w:hAnsi="Arial"/>
                <w:sz w:val="18"/>
                <w:szCs w:val="18"/>
                <w:color w:val="auto"/>
                <w:w w:val="98"/>
              </w:rPr>
              <w:t>The following table summarizes the change in the fair values for Level 3 plan assets for the year ending December 31, 2009:</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30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Level 3 Plan Assets</w:t>
            </w:r>
          </w:p>
        </w:tc>
        <w:tc>
          <w:tcPr>
            <w:tcW w:w="3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920" w:type="dxa"/>
            <w:vAlign w:val="bottom"/>
          </w:tcPr>
          <w:p>
            <w:pPr>
              <w:jc w:val="center"/>
              <w:ind w:left="110"/>
              <w:spacing w:after="0"/>
              <w:rPr>
                <w:sz w:val="20"/>
                <w:szCs w:val="20"/>
                <w:color w:val="auto"/>
              </w:rPr>
            </w:pPr>
            <w:r>
              <w:rPr>
                <w:rFonts w:ascii="Arial" w:cs="Arial" w:eastAsia="Arial" w:hAnsi="Arial"/>
                <w:sz w:val="18"/>
                <w:szCs w:val="18"/>
                <w:b w:val="1"/>
                <w:bCs w:val="1"/>
                <w:color w:val="auto"/>
                <w:w w:val="91"/>
              </w:rPr>
              <w:t>U.S.</w:t>
            </w:r>
          </w:p>
        </w:tc>
        <w:tc>
          <w:tcPr>
            <w:tcW w:w="320" w:type="dxa"/>
            <w:vAlign w:val="bottom"/>
          </w:tcPr>
          <w:p>
            <w:pPr>
              <w:spacing w:after="0"/>
              <w:rPr>
                <w:sz w:val="18"/>
                <w:szCs w:val="18"/>
                <w:color w:val="auto"/>
              </w:rPr>
            </w:pPr>
          </w:p>
        </w:tc>
        <w:tc>
          <w:tcPr>
            <w:tcW w:w="1060" w:type="dxa"/>
            <w:vAlign w:val="bottom"/>
          </w:tcPr>
          <w:p>
            <w:pPr>
              <w:jc w:val="center"/>
              <w:ind w:left="230"/>
              <w:spacing w:after="0"/>
              <w:rPr>
                <w:sz w:val="20"/>
                <w:szCs w:val="20"/>
                <w:color w:val="auto"/>
              </w:rPr>
            </w:pPr>
            <w:r>
              <w:rPr>
                <w:rFonts w:ascii="Arial" w:cs="Arial" w:eastAsia="Arial" w:hAnsi="Arial"/>
                <w:sz w:val="18"/>
                <w:szCs w:val="18"/>
                <w:b w:val="1"/>
                <w:bCs w:val="1"/>
                <w:color w:val="auto"/>
                <w:w w:val="92"/>
              </w:rPr>
              <w:t>Non-U.S.</w:t>
            </w:r>
          </w:p>
        </w:tc>
        <w:tc>
          <w:tcPr>
            <w:tcW w:w="3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920" w:type="dxa"/>
            <w:vAlign w:val="bottom"/>
          </w:tcPr>
          <w:p>
            <w:pPr>
              <w:jc w:val="center"/>
              <w:ind w:left="110"/>
              <w:spacing w:after="0"/>
              <w:rPr>
                <w:sz w:val="20"/>
                <w:szCs w:val="20"/>
                <w:color w:val="auto"/>
              </w:rPr>
            </w:pPr>
            <w:r>
              <w:rPr>
                <w:rFonts w:ascii="Arial" w:cs="Arial" w:eastAsia="Arial" w:hAnsi="Arial"/>
                <w:sz w:val="18"/>
                <w:szCs w:val="18"/>
                <w:b w:val="1"/>
                <w:bCs w:val="1"/>
                <w:color w:val="auto"/>
                <w:w w:val="90"/>
              </w:rPr>
              <w:t>Defined</w:t>
            </w:r>
          </w:p>
        </w:tc>
        <w:tc>
          <w:tcPr>
            <w:tcW w:w="320" w:type="dxa"/>
            <w:vAlign w:val="bottom"/>
          </w:tcPr>
          <w:p>
            <w:pPr>
              <w:spacing w:after="0"/>
              <w:rPr>
                <w:sz w:val="18"/>
                <w:szCs w:val="18"/>
                <w:color w:val="auto"/>
              </w:rPr>
            </w:pPr>
          </w:p>
        </w:tc>
        <w:tc>
          <w:tcPr>
            <w:tcW w:w="1060" w:type="dxa"/>
            <w:vAlign w:val="bottom"/>
          </w:tcPr>
          <w:p>
            <w:pPr>
              <w:jc w:val="center"/>
              <w:ind w:left="210"/>
              <w:spacing w:after="0"/>
              <w:rPr>
                <w:sz w:val="20"/>
                <w:szCs w:val="20"/>
                <w:color w:val="auto"/>
              </w:rPr>
            </w:pPr>
            <w:r>
              <w:rPr>
                <w:rFonts w:ascii="Arial" w:cs="Arial" w:eastAsia="Arial" w:hAnsi="Arial"/>
                <w:sz w:val="18"/>
                <w:szCs w:val="18"/>
                <w:b w:val="1"/>
                <w:bCs w:val="1"/>
                <w:color w:val="auto"/>
                <w:w w:val="90"/>
              </w:rPr>
              <w:t>Defined</w:t>
            </w:r>
          </w:p>
        </w:tc>
        <w:tc>
          <w:tcPr>
            <w:tcW w:w="3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490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88"/>
              </w:rPr>
              <w:t>Benefit</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1"/>
              </w:rPr>
              <w:t>Benefit</w:t>
            </w:r>
          </w:p>
        </w:tc>
        <w:tc>
          <w:tcPr>
            <w:tcW w:w="300" w:type="dxa"/>
            <w:vAlign w:val="bottom"/>
            <w:tcBorders>
              <w:bottom w:val="single" w:sz="8" w:color="auto"/>
            </w:tcBorders>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2008</w:t>
            </w:r>
          </w:p>
        </w:tc>
        <w:tc>
          <w:tcPr>
            <w:tcW w:w="482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28</w:t>
            </w:r>
          </w:p>
        </w:tc>
        <w:tc>
          <w:tcPr>
            <w:tcW w:w="10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56</w:t>
            </w:r>
          </w:p>
        </w:tc>
      </w:tr>
      <w:tr>
        <w:trPr>
          <w:trHeight w:val="216"/>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Arial" w:cs="Arial" w:eastAsia="Arial" w:hAnsi="Arial"/>
                <w:sz w:val="18"/>
                <w:szCs w:val="18"/>
                <w:b w:val="1"/>
                <w:bCs w:val="1"/>
                <w:color w:val="auto"/>
              </w:rPr>
              <w:t>Redemptions</w:t>
            </w:r>
          </w:p>
        </w:tc>
        <w:tc>
          <w:tcPr>
            <w:tcW w:w="3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223"/>
        </w:trPr>
        <w:tc>
          <w:tcPr>
            <w:tcW w:w="20" w:type="dxa"/>
            <w:vAlign w:val="bottom"/>
          </w:tcPr>
          <w:p>
            <w:pPr>
              <w:spacing w:after="0"/>
              <w:rPr>
                <w:sz w:val="19"/>
                <w:szCs w:val="19"/>
                <w:color w:val="auto"/>
              </w:rPr>
            </w:pPr>
          </w:p>
        </w:tc>
        <w:tc>
          <w:tcPr>
            <w:tcW w:w="4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Unrealized gain</w:t>
            </w:r>
          </w:p>
        </w:tc>
        <w:tc>
          <w:tcPr>
            <w:tcW w:w="39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w:t>
            </w:r>
          </w:p>
        </w:tc>
        <w:tc>
          <w:tcPr>
            <w:tcW w:w="10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Balance, December 31, 2009</w:t>
            </w:r>
          </w:p>
        </w:tc>
        <w:tc>
          <w:tcPr>
            <w:tcW w:w="482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34</w:t>
            </w:r>
          </w:p>
        </w:tc>
        <w:tc>
          <w:tcPr>
            <w:tcW w:w="1060" w:type="dxa"/>
            <w:vAlign w:val="bottom"/>
          </w:tcPr>
          <w:p>
            <w:pPr>
              <w:jc w:val="right"/>
              <w:ind w:right="77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49</w:t>
            </w:r>
          </w:p>
        </w:tc>
      </w:tr>
      <w:tr>
        <w:trPr>
          <w:trHeight w:val="21"/>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investments in our major benefit plans largely consist of low-cost, broad-market index funds to mitigate risks of concentration within market sectors. In recent years, our investment policy has shifted toward a closer matching of the interest-rate sensitivity of the plan assets and liabilities. The appropriate mix of equity and bond investments is determined primarily through the use of detailed asset-liability modeling studies that look to balance the impact of changes in the discount rate against the need to provide asset growth to cover future service cost. Most of our plans around the world have added a greater proportion of fixed income securities with return characteristics that are more closely aligned with changes in the liabilities caused by discount rate volatility. For the U.S. plans, we utilize an option collar strategy to reduce the volatility of returns on investments in U.S. equity funds.</w:t>
      </w:r>
    </w:p>
    <w:p>
      <w:pPr>
        <w:spacing w:after="0" w:line="1" w:lineRule="exact"/>
        <w:rPr>
          <w:sz w:val="20"/>
          <w:szCs w:val="20"/>
          <w:color w:val="auto"/>
        </w:rPr>
      </w:pPr>
    </w:p>
    <w:p>
      <w:pPr>
        <w:ind w:right="420" w:firstLine="324"/>
        <w:spacing w:after="0" w:line="290" w:lineRule="auto"/>
        <w:rPr>
          <w:sz w:val="20"/>
          <w:szCs w:val="20"/>
          <w:color w:val="auto"/>
        </w:rPr>
      </w:pPr>
      <w:r>
        <w:rPr>
          <w:rFonts w:ascii="Arial" w:cs="Arial" w:eastAsia="Arial" w:hAnsi="Arial"/>
          <w:sz w:val="17"/>
          <w:szCs w:val="17"/>
          <w:color w:val="auto"/>
        </w:rPr>
        <w:t>The only Level 3 assets in our worldwide benefit plans are certain private equity limited partnerships in our U.S. pension plan and diversified hedge funds in a non-U.S. pension plan. These investments are valued using inputs from the fund managers and internal models.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Assumptions and investment policies</w:t>
            </w:r>
          </w:p>
        </w:tc>
        <w:tc>
          <w:tcPr>
            <w:tcW w:w="1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660" w:type="dxa"/>
            <w:vAlign w:val="bottom"/>
            <w:gridSpan w:val="2"/>
          </w:tcPr>
          <w:p>
            <w:pPr>
              <w:ind w:left="640"/>
              <w:spacing w:after="0"/>
              <w:rPr>
                <w:sz w:val="20"/>
                <w:szCs w:val="20"/>
                <w:color w:val="auto"/>
              </w:rPr>
            </w:pPr>
            <w:r>
              <w:rPr>
                <w:rFonts w:ascii="Arial" w:cs="Arial" w:eastAsia="Arial" w:hAnsi="Arial"/>
                <w:sz w:val="18"/>
                <w:szCs w:val="18"/>
                <w:b w:val="1"/>
                <w:bCs w:val="1"/>
                <w:color w:val="auto"/>
              </w:rPr>
              <w:t>Defined Benefit</w:t>
            </w:r>
          </w:p>
        </w:tc>
        <w:tc>
          <w:tcPr>
            <w:tcW w:w="2660" w:type="dxa"/>
            <w:vAlign w:val="bottom"/>
            <w:gridSpan w:val="2"/>
          </w:tcPr>
          <w:p>
            <w:pPr>
              <w:ind w:left="540"/>
              <w:spacing w:after="0"/>
              <w:rPr>
                <w:sz w:val="20"/>
                <w:szCs w:val="20"/>
                <w:color w:val="auto"/>
              </w:rPr>
            </w:pPr>
            <w:r>
              <w:rPr>
                <w:rFonts w:ascii="Arial" w:cs="Arial" w:eastAsia="Arial" w:hAnsi="Arial"/>
                <w:sz w:val="18"/>
                <w:szCs w:val="18"/>
                <w:b w:val="1"/>
                <w:bCs w:val="1"/>
                <w:color w:val="auto"/>
              </w:rPr>
              <w:t>Retiree Health Care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2009</w:t>
            </w:r>
          </w:p>
        </w:tc>
        <w:tc>
          <w:tcPr>
            <w:tcW w:w="13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2008</w:t>
            </w:r>
          </w:p>
        </w:tc>
        <w:tc>
          <w:tcPr>
            <w:tcW w:w="138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2009</w:t>
            </w:r>
          </w:p>
        </w:tc>
        <w:tc>
          <w:tcPr>
            <w:tcW w:w="128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b w:val="1"/>
                <w:bCs w:val="1"/>
                <w:color w:val="auto"/>
              </w:rPr>
              <w:t>Weighted average assumptions used to determine benefit obligations:</w:t>
            </w: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U.S. discount rate</w:t>
            </w:r>
          </w:p>
        </w:tc>
        <w:tc>
          <w:tcPr>
            <w:tcW w:w="13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6.00%</w:t>
            </w:r>
          </w:p>
        </w:tc>
        <w:tc>
          <w:tcPr>
            <w:tcW w:w="1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6.14%</w:t>
            </w:r>
          </w:p>
        </w:tc>
        <w:tc>
          <w:tcPr>
            <w:tcW w:w="13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5.54%</w:t>
            </w:r>
          </w:p>
        </w:tc>
        <w:tc>
          <w:tcPr>
            <w:tcW w:w="1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Non-U.S. discount rate</w:t>
            </w:r>
          </w:p>
        </w:tc>
        <w:tc>
          <w:tcPr>
            <w:tcW w:w="1320" w:type="dxa"/>
            <w:vAlign w:val="bottom"/>
          </w:tcPr>
          <w:p>
            <w:pPr>
              <w:ind w:left="360"/>
              <w:spacing w:after="0"/>
              <w:rPr>
                <w:sz w:val="20"/>
                <w:szCs w:val="20"/>
                <w:color w:val="auto"/>
              </w:rPr>
            </w:pPr>
            <w:r>
              <w:rPr>
                <w:rFonts w:ascii="Arial" w:cs="Arial" w:eastAsia="Arial" w:hAnsi="Arial"/>
                <w:sz w:val="18"/>
                <w:szCs w:val="18"/>
                <w:b w:val="1"/>
                <w:bCs w:val="1"/>
                <w:color w:val="auto"/>
              </w:rPr>
              <w:t>3.23%</w:t>
            </w:r>
          </w:p>
        </w:tc>
        <w:tc>
          <w:tcPr>
            <w:tcW w:w="1340" w:type="dxa"/>
            <w:vAlign w:val="bottom"/>
          </w:tcPr>
          <w:p>
            <w:pPr>
              <w:ind w:left="440"/>
              <w:spacing w:after="0"/>
              <w:rPr>
                <w:sz w:val="20"/>
                <w:szCs w:val="20"/>
                <w:color w:val="auto"/>
              </w:rPr>
            </w:pPr>
            <w:r>
              <w:rPr>
                <w:rFonts w:ascii="Arial" w:cs="Arial" w:eastAsia="Arial" w:hAnsi="Arial"/>
                <w:sz w:val="18"/>
                <w:szCs w:val="18"/>
                <w:color w:val="auto"/>
              </w:rPr>
              <w:t>3.15%</w:t>
            </w:r>
          </w:p>
        </w:tc>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U.S. average long-term pay progression</w:t>
            </w:r>
          </w:p>
        </w:tc>
        <w:tc>
          <w:tcPr>
            <w:tcW w:w="1320" w:type="dxa"/>
            <w:vAlign w:val="bottom"/>
          </w:tcPr>
          <w:p>
            <w:pPr>
              <w:ind w:left="360"/>
              <w:spacing w:after="0"/>
              <w:rPr>
                <w:sz w:val="20"/>
                <w:szCs w:val="20"/>
                <w:color w:val="auto"/>
              </w:rPr>
            </w:pPr>
            <w:r>
              <w:rPr>
                <w:rFonts w:ascii="Arial" w:cs="Arial" w:eastAsia="Arial" w:hAnsi="Arial"/>
                <w:sz w:val="18"/>
                <w:szCs w:val="18"/>
                <w:b w:val="1"/>
                <w:bCs w:val="1"/>
                <w:color w:val="auto"/>
              </w:rPr>
              <w:t>3.00%</w:t>
            </w:r>
          </w:p>
        </w:tc>
        <w:tc>
          <w:tcPr>
            <w:tcW w:w="1340" w:type="dxa"/>
            <w:vAlign w:val="bottom"/>
          </w:tcPr>
          <w:p>
            <w:pPr>
              <w:ind w:left="440"/>
              <w:spacing w:after="0"/>
              <w:rPr>
                <w:sz w:val="20"/>
                <w:szCs w:val="20"/>
                <w:color w:val="auto"/>
              </w:rPr>
            </w:pPr>
            <w:r>
              <w:rPr>
                <w:rFonts w:ascii="Arial" w:cs="Arial" w:eastAsia="Arial" w:hAnsi="Arial"/>
                <w:sz w:val="18"/>
                <w:szCs w:val="18"/>
                <w:color w:val="auto"/>
              </w:rPr>
              <w:t>3.50%</w:t>
            </w:r>
          </w:p>
        </w:tc>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Non-U.S. average long-term pay progression</w:t>
            </w:r>
          </w:p>
        </w:tc>
        <w:tc>
          <w:tcPr>
            <w:tcW w:w="13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3.06%</w:t>
            </w:r>
          </w:p>
        </w:tc>
        <w:tc>
          <w:tcPr>
            <w:tcW w:w="1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3.12%</w:t>
            </w:r>
          </w:p>
        </w:tc>
        <w:tc>
          <w:tcPr>
            <w:tcW w:w="1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Weighted average assumptions used to determine net periodic benefit cost:</w:t>
            </w: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U.S. discount rate</w:t>
            </w:r>
          </w:p>
        </w:tc>
        <w:tc>
          <w:tcPr>
            <w:tcW w:w="1320" w:type="dxa"/>
            <w:vAlign w:val="bottom"/>
          </w:tcPr>
          <w:p>
            <w:pPr>
              <w:ind w:left="360"/>
              <w:spacing w:after="0"/>
              <w:rPr>
                <w:sz w:val="20"/>
                <w:szCs w:val="20"/>
                <w:color w:val="auto"/>
              </w:rPr>
            </w:pPr>
            <w:r>
              <w:rPr>
                <w:rFonts w:ascii="Arial" w:cs="Arial" w:eastAsia="Arial" w:hAnsi="Arial"/>
                <w:sz w:val="18"/>
                <w:szCs w:val="18"/>
                <w:b w:val="1"/>
                <w:bCs w:val="1"/>
                <w:color w:val="auto"/>
              </w:rPr>
              <w:t>6.05%</w:t>
            </w:r>
          </w:p>
        </w:tc>
        <w:tc>
          <w:tcPr>
            <w:tcW w:w="1340" w:type="dxa"/>
            <w:vAlign w:val="bottom"/>
          </w:tcPr>
          <w:p>
            <w:pPr>
              <w:ind w:left="440"/>
              <w:spacing w:after="0"/>
              <w:rPr>
                <w:sz w:val="20"/>
                <w:szCs w:val="20"/>
                <w:color w:val="auto"/>
              </w:rPr>
            </w:pPr>
            <w:r>
              <w:rPr>
                <w:rFonts w:ascii="Arial" w:cs="Arial" w:eastAsia="Arial" w:hAnsi="Arial"/>
                <w:sz w:val="18"/>
                <w:szCs w:val="18"/>
                <w:color w:val="auto"/>
              </w:rPr>
              <w:t>6.26%</w:t>
            </w:r>
          </w:p>
        </w:tc>
        <w:tc>
          <w:tcPr>
            <w:tcW w:w="1380" w:type="dxa"/>
            <w:vAlign w:val="bottom"/>
          </w:tcPr>
          <w:p>
            <w:pPr>
              <w:ind w:left="440"/>
              <w:spacing w:after="0"/>
              <w:rPr>
                <w:sz w:val="20"/>
                <w:szCs w:val="20"/>
                <w:color w:val="auto"/>
              </w:rPr>
            </w:pPr>
            <w:r>
              <w:rPr>
                <w:rFonts w:ascii="Arial" w:cs="Arial" w:eastAsia="Arial" w:hAnsi="Arial"/>
                <w:sz w:val="18"/>
                <w:szCs w:val="18"/>
                <w:b w:val="1"/>
                <w:bCs w:val="1"/>
                <w:color w:val="auto"/>
              </w:rPr>
              <w:t>6.02%</w:t>
            </w:r>
          </w:p>
        </w:tc>
        <w:tc>
          <w:tcPr>
            <w:tcW w:w="1280" w:type="dxa"/>
            <w:vAlign w:val="bottom"/>
          </w:tcPr>
          <w:p>
            <w:pPr>
              <w:ind w:left="42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Non-U.S. discount rate</w:t>
            </w:r>
          </w:p>
        </w:tc>
        <w:tc>
          <w:tcPr>
            <w:tcW w:w="13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3.35%</w:t>
            </w:r>
          </w:p>
        </w:tc>
        <w:tc>
          <w:tcPr>
            <w:tcW w:w="1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3.51%</w:t>
            </w:r>
          </w:p>
        </w:tc>
        <w:tc>
          <w:tcPr>
            <w:tcW w:w="1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U.S. long-term rate of return on plan assets</w:t>
            </w:r>
          </w:p>
        </w:tc>
        <w:tc>
          <w:tcPr>
            <w:tcW w:w="13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6.50%</w:t>
            </w:r>
          </w:p>
        </w:tc>
        <w:tc>
          <w:tcPr>
            <w:tcW w:w="1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6.50%</w:t>
            </w:r>
          </w:p>
        </w:tc>
        <w:tc>
          <w:tcPr>
            <w:tcW w:w="13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7.00%</w:t>
            </w:r>
          </w:p>
        </w:tc>
        <w:tc>
          <w:tcPr>
            <w:tcW w:w="1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Non-U.S. long-term rate of return on plan assets</w:t>
            </w:r>
          </w:p>
        </w:tc>
        <w:tc>
          <w:tcPr>
            <w:tcW w:w="1320" w:type="dxa"/>
            <w:vAlign w:val="bottom"/>
          </w:tcPr>
          <w:p>
            <w:pPr>
              <w:ind w:left="360"/>
              <w:spacing w:after="0"/>
              <w:rPr>
                <w:sz w:val="20"/>
                <w:szCs w:val="20"/>
                <w:color w:val="auto"/>
              </w:rPr>
            </w:pPr>
            <w:r>
              <w:rPr>
                <w:rFonts w:ascii="Arial" w:cs="Arial" w:eastAsia="Arial" w:hAnsi="Arial"/>
                <w:sz w:val="18"/>
                <w:szCs w:val="18"/>
                <w:b w:val="1"/>
                <w:bCs w:val="1"/>
                <w:color w:val="auto"/>
              </w:rPr>
              <w:t>4.59%</w:t>
            </w:r>
          </w:p>
        </w:tc>
        <w:tc>
          <w:tcPr>
            <w:tcW w:w="1340" w:type="dxa"/>
            <w:vAlign w:val="bottom"/>
          </w:tcPr>
          <w:p>
            <w:pPr>
              <w:ind w:left="440"/>
              <w:spacing w:after="0"/>
              <w:rPr>
                <w:sz w:val="20"/>
                <w:szCs w:val="20"/>
                <w:color w:val="auto"/>
              </w:rPr>
            </w:pPr>
            <w:r>
              <w:rPr>
                <w:rFonts w:ascii="Arial" w:cs="Arial" w:eastAsia="Arial" w:hAnsi="Arial"/>
                <w:sz w:val="18"/>
                <w:szCs w:val="18"/>
                <w:color w:val="auto"/>
              </w:rPr>
              <w:t>4.73%</w:t>
            </w:r>
          </w:p>
        </w:tc>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U.S. average long-term pay progression</w:t>
            </w:r>
          </w:p>
        </w:tc>
        <w:tc>
          <w:tcPr>
            <w:tcW w:w="1320" w:type="dxa"/>
            <w:vAlign w:val="bottom"/>
          </w:tcPr>
          <w:p>
            <w:pPr>
              <w:ind w:left="360"/>
              <w:spacing w:after="0"/>
              <w:rPr>
                <w:sz w:val="20"/>
                <w:szCs w:val="20"/>
                <w:color w:val="auto"/>
              </w:rPr>
            </w:pPr>
            <w:r>
              <w:rPr>
                <w:rFonts w:ascii="Arial" w:cs="Arial" w:eastAsia="Arial" w:hAnsi="Arial"/>
                <w:sz w:val="18"/>
                <w:szCs w:val="18"/>
                <w:b w:val="1"/>
                <w:bCs w:val="1"/>
                <w:color w:val="auto"/>
              </w:rPr>
              <w:t>3.50%</w:t>
            </w:r>
          </w:p>
        </w:tc>
        <w:tc>
          <w:tcPr>
            <w:tcW w:w="1340" w:type="dxa"/>
            <w:vAlign w:val="bottom"/>
          </w:tcPr>
          <w:p>
            <w:pPr>
              <w:ind w:left="440"/>
              <w:spacing w:after="0"/>
              <w:rPr>
                <w:sz w:val="20"/>
                <w:szCs w:val="20"/>
                <w:color w:val="auto"/>
              </w:rPr>
            </w:pPr>
            <w:r>
              <w:rPr>
                <w:rFonts w:ascii="Arial" w:cs="Arial" w:eastAsia="Arial" w:hAnsi="Arial"/>
                <w:sz w:val="18"/>
                <w:szCs w:val="18"/>
                <w:color w:val="auto"/>
              </w:rPr>
              <w:t>3.50%</w:t>
            </w:r>
          </w:p>
        </w:tc>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Non-U.S. average long-term pay progression</w:t>
            </w:r>
          </w:p>
        </w:tc>
        <w:tc>
          <w:tcPr>
            <w:tcW w:w="13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3.12%</w:t>
            </w:r>
          </w:p>
        </w:tc>
        <w:tc>
          <w:tcPr>
            <w:tcW w:w="1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3.43%</w:t>
            </w:r>
          </w:p>
        </w:tc>
        <w:tc>
          <w:tcPr>
            <w:tcW w:w="1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In order to select a discount rate for purposes of valuing the plan obligations, an analysis is performed in which the projected cash flows from significant defined benefit and retiree health care plans are matched with a yield curve based on an appropriate universe of high-quality corporate bonds that are available in each country. In this manner, a present value is developed. The discount rate selected is the single equivalent rate that produces the same present value. This approach produces a discount rate that recognizes each plan’s distinct liability characteristics. Assumptions used for the non-U.S. defined benefit plans reflect the different economic environments within the various countries.</w:t>
      </w:r>
    </w:p>
    <w:p>
      <w:pPr>
        <w:spacing w:after="0" w:line="3" w:lineRule="exact"/>
        <w:rPr>
          <w:sz w:val="20"/>
          <w:szCs w:val="20"/>
          <w:color w:val="auto"/>
        </w:rPr>
      </w:pPr>
    </w:p>
    <w:p>
      <w:pPr>
        <w:ind w:right="360" w:firstLine="324"/>
        <w:spacing w:after="0" w:line="277" w:lineRule="auto"/>
        <w:rPr>
          <w:sz w:val="20"/>
          <w:szCs w:val="20"/>
          <w:color w:val="auto"/>
        </w:rPr>
      </w:pPr>
      <w:r>
        <w:rPr>
          <w:rFonts w:ascii="Arial" w:cs="Arial" w:eastAsia="Arial" w:hAnsi="Arial"/>
          <w:sz w:val="17"/>
          <w:szCs w:val="17"/>
          <w:color w:val="auto"/>
        </w:rPr>
        <w:t>Assumptions for the expected long-term rate of return on plan assets are based on future expectations for returns for each asset class and the effect of periodic target asset allocation rebalancing. We adjust the results for the payment of reasonable expenses of the plan from plan assets. We believe our assumptions are appropriate based on the investment mix and long-term nature of the plans’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82"/>
        </w:trPr>
        <w:tc>
          <w:tcPr>
            <w:tcW w:w="5560" w:type="dxa"/>
            <w:vAlign w:val="bottom"/>
            <w:gridSpan w:val="2"/>
          </w:tcPr>
          <w:p>
            <w:pPr>
              <w:spacing w:after="0"/>
              <w:rPr>
                <w:sz w:val="20"/>
                <w:szCs w:val="20"/>
                <w:color w:val="auto"/>
              </w:rPr>
            </w:pPr>
            <w:r>
              <w:rPr>
                <w:rFonts w:ascii="Arial" w:cs="Arial" w:eastAsia="Arial" w:hAnsi="Arial"/>
                <w:sz w:val="14"/>
                <w:szCs w:val="14"/>
                <w:color w:val="auto"/>
              </w:rPr>
              <w:t>TEXAS INSTRUMENTS 2009 ANNUAL REPORT n PAGE 26</w:t>
            </w:r>
          </w:p>
        </w:tc>
        <w:tc>
          <w:tcPr>
            <w:tcW w:w="3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444"/>
        </w:trPr>
        <w:tc>
          <w:tcPr>
            <w:tcW w:w="8860" w:type="dxa"/>
            <w:vAlign w:val="bottom"/>
            <w:gridSpan w:val="3"/>
          </w:tcPr>
          <w:p>
            <w:pPr>
              <w:spacing w:after="0"/>
              <w:rPr>
                <w:sz w:val="20"/>
                <w:szCs w:val="20"/>
                <w:color w:val="auto"/>
              </w:rPr>
            </w:pPr>
            <w:r>
              <w:rPr>
                <w:rFonts w:ascii="Arial" w:cs="Arial" w:eastAsia="Arial" w:hAnsi="Arial"/>
                <w:sz w:val="18"/>
                <w:szCs w:val="18"/>
                <w:color w:val="auto"/>
                <w:w w:val="91"/>
              </w:rPr>
              <w:t>The table below shows target allocation ranges for the plans that hold a substantial majority of the defined benefit assets.</w:t>
            </w: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1"/>
              </w:rPr>
              <w:t>U.S.</w:t>
            </w: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1"/>
              </w:rPr>
              <w:t>Retiree</w:t>
            </w:r>
          </w:p>
        </w:tc>
        <w:tc>
          <w:tcPr>
            <w:tcW w:w="56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Non-U.S.</w:t>
            </w: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3300" w:type="dxa"/>
            <w:vAlign w:val="bottom"/>
          </w:tcPr>
          <w:p>
            <w:pPr>
              <w:jc w:val="right"/>
              <w:ind w:right="410"/>
              <w:spacing w:after="0"/>
              <w:rPr>
                <w:sz w:val="20"/>
                <w:szCs w:val="20"/>
                <w:color w:val="auto"/>
              </w:rPr>
            </w:pPr>
            <w:r>
              <w:rPr>
                <w:rFonts w:ascii="Arial" w:cs="Arial" w:eastAsia="Arial" w:hAnsi="Arial"/>
                <w:sz w:val="18"/>
                <w:szCs w:val="18"/>
                <w:b w:val="1"/>
                <w:bCs w:val="1"/>
                <w:color w:val="auto"/>
              </w:rPr>
              <w:t>U.S. Defined</w:t>
            </w: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4"/>
              </w:rPr>
              <w:t>Health</w:t>
            </w:r>
          </w:p>
        </w:tc>
        <w:tc>
          <w:tcPr>
            <w:tcW w:w="56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Defined</w:t>
            </w:r>
          </w:p>
        </w:tc>
      </w:tr>
      <w:tr>
        <w:trPr>
          <w:trHeight w:val="241"/>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Asset category</w:t>
            </w:r>
          </w:p>
        </w:tc>
        <w:tc>
          <w:tcPr>
            <w:tcW w:w="3300" w:type="dxa"/>
            <w:vAlign w:val="bottom"/>
          </w:tcPr>
          <w:p>
            <w:pPr>
              <w:jc w:val="right"/>
              <w:ind w:right="610"/>
              <w:spacing w:after="0"/>
              <w:rPr>
                <w:sz w:val="20"/>
                <w:szCs w:val="20"/>
                <w:color w:val="auto"/>
              </w:rPr>
            </w:pPr>
            <w:r>
              <w:rPr>
                <w:rFonts w:ascii="Arial" w:cs="Arial" w:eastAsia="Arial" w:hAnsi="Arial"/>
                <w:sz w:val="18"/>
                <w:szCs w:val="18"/>
                <w:b w:val="1"/>
                <w:bCs w:val="1"/>
                <w:color w:val="auto"/>
              </w:rPr>
              <w:t>Benefit</w:t>
            </w:r>
          </w:p>
        </w:tc>
        <w:tc>
          <w:tcPr>
            <w:tcW w:w="76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Care</w:t>
            </w:r>
          </w:p>
        </w:tc>
        <w:tc>
          <w:tcPr>
            <w:tcW w:w="560" w:type="dxa"/>
            <w:vAlign w:val="bottom"/>
          </w:tcPr>
          <w:p>
            <w:pPr>
              <w:spacing w:after="0"/>
              <w:rPr>
                <w:sz w:val="20"/>
                <w:szCs w:val="20"/>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Benefit</w:t>
            </w:r>
          </w:p>
        </w:tc>
      </w:tr>
      <w:tr>
        <w:trPr>
          <w:trHeight w:val="216"/>
        </w:trPr>
        <w:tc>
          <w:tcPr>
            <w:tcW w:w="20" w:type="dxa"/>
            <w:vAlign w:val="bottom"/>
          </w:tcPr>
          <w:p>
            <w:pPr>
              <w:spacing w:after="0"/>
              <w:rPr>
                <w:sz w:val="18"/>
                <w:szCs w:val="18"/>
                <w:color w:val="auto"/>
              </w:rPr>
            </w:pPr>
          </w:p>
        </w:tc>
        <w:tc>
          <w:tcPr>
            <w:tcW w:w="5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330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35%</w:t>
            </w:r>
          </w:p>
        </w:tc>
        <w:tc>
          <w:tcPr>
            <w:tcW w:w="7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50%</w:t>
            </w:r>
          </w:p>
        </w:tc>
        <w:tc>
          <w:tcPr>
            <w:tcW w:w="12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1"/>
              </w:rPr>
              <w:t>30% – 60%</w:t>
            </w:r>
          </w:p>
        </w:tc>
      </w:tr>
      <w:tr>
        <w:trPr>
          <w:trHeight w:val="230"/>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Fixed income securities and cash equivalents</w:t>
            </w:r>
          </w:p>
        </w:tc>
        <w:tc>
          <w:tcPr>
            <w:tcW w:w="3300" w:type="dxa"/>
            <w:vAlign w:val="bottom"/>
          </w:tcPr>
          <w:p>
            <w:pPr>
              <w:jc w:val="right"/>
              <w:ind w:right="170"/>
              <w:spacing w:after="0"/>
              <w:rPr>
                <w:sz w:val="20"/>
                <w:szCs w:val="20"/>
                <w:color w:val="auto"/>
              </w:rPr>
            </w:pPr>
            <w:r>
              <w:rPr>
                <w:rFonts w:ascii="Arial" w:cs="Arial" w:eastAsia="Arial" w:hAnsi="Arial"/>
                <w:sz w:val="18"/>
                <w:szCs w:val="18"/>
                <w:color w:val="auto"/>
              </w:rPr>
              <w:t>65%</w:t>
            </w:r>
          </w:p>
        </w:tc>
        <w:tc>
          <w:tcPr>
            <w:tcW w:w="760" w:type="dxa"/>
            <w:vAlign w:val="bottom"/>
          </w:tcPr>
          <w:p>
            <w:pPr>
              <w:spacing w:after="0"/>
              <w:rPr>
                <w:sz w:val="20"/>
                <w:szCs w:val="20"/>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color w:val="auto"/>
                <w:w w:val="99"/>
              </w:rPr>
              <w:t>50%</w:t>
            </w:r>
          </w:p>
        </w:tc>
        <w:tc>
          <w:tcPr>
            <w:tcW w:w="1240" w:type="dxa"/>
            <w:vAlign w:val="bottom"/>
          </w:tcPr>
          <w:p>
            <w:pPr>
              <w:ind w:left="380"/>
              <w:spacing w:after="0"/>
              <w:rPr>
                <w:sz w:val="20"/>
                <w:szCs w:val="20"/>
                <w:color w:val="auto"/>
              </w:rPr>
            </w:pPr>
            <w:r>
              <w:rPr>
                <w:rFonts w:ascii="Arial" w:cs="Arial" w:eastAsia="Arial" w:hAnsi="Arial"/>
                <w:sz w:val="18"/>
                <w:szCs w:val="18"/>
                <w:color w:val="auto"/>
                <w:w w:val="91"/>
              </w:rPr>
              <w:t>40% – 70%</w:t>
            </w:r>
          </w:p>
        </w:tc>
      </w:tr>
    </w:tbl>
    <w:p>
      <w:pPr>
        <w:spacing w:after="0" w:line="18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intend to rebalance the plans’ investments when they are not within the target allocation ranges. Additional contributions are invested consistent with the target ranges and may be used to rebalance the portfolio. The investment allocations and individual investments are chosen with regard to the duration of the obligations of each plan. Most of the assets in the retiree health care benefit plan are invested in a series of Voluntary Employee Benefit Association (VEBA) trusts.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asset allocations at December 31,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00" w:type="dxa"/>
            <w:vAlign w:val="bottom"/>
          </w:tcPr>
          <w:p>
            <w:pPr>
              <w:jc w:val="right"/>
              <w:ind w:right="850"/>
              <w:spacing w:after="0"/>
              <w:rPr>
                <w:sz w:val="20"/>
                <w:szCs w:val="20"/>
                <w:color w:val="auto"/>
              </w:rPr>
            </w:pPr>
            <w:r>
              <w:rPr>
                <w:rFonts w:ascii="Arial" w:cs="Arial" w:eastAsia="Arial" w:hAnsi="Arial"/>
                <w:sz w:val="18"/>
                <w:szCs w:val="18"/>
                <w:b w:val="1"/>
                <w:bCs w:val="1"/>
                <w:color w:val="auto"/>
                <w:w w:val="97"/>
              </w:rPr>
              <w:t>Non-U.S.</w:t>
            </w:r>
          </w:p>
        </w:tc>
      </w:tr>
      <w:tr>
        <w:trPr>
          <w:trHeight w:val="234"/>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80" w:type="dxa"/>
            <w:vAlign w:val="bottom"/>
            <w:gridSpan w:val="2"/>
          </w:tcPr>
          <w:p>
            <w:pPr>
              <w:ind w:left="560"/>
              <w:spacing w:after="0"/>
              <w:rPr>
                <w:sz w:val="20"/>
                <w:szCs w:val="20"/>
                <w:color w:val="auto"/>
              </w:rPr>
            </w:pPr>
            <w:r>
              <w:rPr>
                <w:rFonts w:ascii="Arial" w:cs="Arial" w:eastAsia="Arial" w:hAnsi="Arial"/>
                <w:sz w:val="18"/>
                <w:szCs w:val="18"/>
                <w:b w:val="1"/>
                <w:bCs w:val="1"/>
                <w:color w:val="auto"/>
              </w:rPr>
              <w:t>U.S. Defined Benefit</w:t>
            </w:r>
          </w:p>
        </w:tc>
        <w:tc>
          <w:tcPr>
            <w:tcW w:w="2800" w:type="dxa"/>
            <w:vAlign w:val="bottom"/>
            <w:gridSpan w:val="2"/>
          </w:tcPr>
          <w:p>
            <w:pPr>
              <w:ind w:left="440"/>
              <w:spacing w:after="0"/>
              <w:rPr>
                <w:sz w:val="20"/>
                <w:szCs w:val="20"/>
                <w:color w:val="auto"/>
              </w:rPr>
            </w:pPr>
            <w:r>
              <w:rPr>
                <w:rFonts w:ascii="Arial" w:cs="Arial" w:eastAsia="Arial" w:hAnsi="Arial"/>
                <w:sz w:val="18"/>
                <w:szCs w:val="18"/>
                <w:b w:val="1"/>
                <w:bCs w:val="1"/>
                <w:color w:val="auto"/>
              </w:rPr>
              <w:t>U.S. Retiree Health Care</w:t>
            </w:r>
          </w:p>
        </w:tc>
        <w:tc>
          <w:tcPr>
            <w:tcW w:w="260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Defined Benefit</w:t>
            </w:r>
          </w:p>
        </w:tc>
      </w:tr>
      <w:tr>
        <w:trPr>
          <w:trHeight w:val="250"/>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Asset category</w:t>
            </w:r>
          </w:p>
        </w:tc>
        <w:tc>
          <w:tcPr>
            <w:tcW w:w="148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2009</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2008</w:t>
            </w:r>
          </w:p>
        </w:tc>
        <w:tc>
          <w:tcPr>
            <w:tcW w:w="1400" w:type="dxa"/>
            <w:vAlign w:val="bottom"/>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2008</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1700" w:type="dxa"/>
            <w:vAlign w:val="bottom"/>
          </w:tcPr>
          <w:p>
            <w:pPr>
              <w:jc w:val="right"/>
              <w:ind w:right="350"/>
              <w:spacing w:after="0"/>
              <w:rPr>
                <w:sz w:val="20"/>
                <w:szCs w:val="20"/>
                <w:color w:val="auto"/>
              </w:rPr>
            </w:pPr>
            <w:r>
              <w:rPr>
                <w:rFonts w:ascii="Arial" w:cs="Arial" w:eastAsia="Arial" w:hAnsi="Arial"/>
                <w:sz w:val="18"/>
                <w:szCs w:val="18"/>
                <w:b w:val="1"/>
                <w:bCs w:val="1"/>
                <w:color w:val="auto"/>
              </w:rPr>
              <w:t>2008</w:t>
            </w:r>
          </w:p>
        </w:tc>
      </w:tr>
      <w:tr>
        <w:trPr>
          <w:trHeight w:val="216"/>
        </w:trPr>
        <w:tc>
          <w:tcPr>
            <w:tcW w:w="20" w:type="dxa"/>
            <w:vAlign w:val="bottom"/>
          </w:tcPr>
          <w:p>
            <w:pPr>
              <w:spacing w:after="0"/>
              <w:rPr>
                <w:sz w:val="18"/>
                <w:szCs w:val="18"/>
                <w:color w:val="auto"/>
              </w:rPr>
            </w:pPr>
          </w:p>
        </w:tc>
        <w:tc>
          <w:tcPr>
            <w:tcW w:w="3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4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28%</w:t>
            </w: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37%</w:t>
            </w:r>
          </w:p>
        </w:tc>
        <w:tc>
          <w:tcPr>
            <w:tcW w:w="140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51%</w:t>
            </w:r>
          </w:p>
        </w:tc>
        <w:tc>
          <w:tcPr>
            <w:tcW w:w="1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44%</w:t>
            </w: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w:t>
            </w:r>
          </w:p>
        </w:tc>
        <w:tc>
          <w:tcPr>
            <w:tcW w:w="170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39%</w:t>
            </w: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Fixed income securities</w:t>
            </w:r>
          </w:p>
        </w:tc>
        <w:tc>
          <w:tcPr>
            <w:tcW w:w="148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51%</w:t>
            </w: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49%</w:t>
            </w:r>
          </w:p>
        </w:tc>
        <w:tc>
          <w:tcPr>
            <w:tcW w:w="1400" w:type="dxa"/>
            <w:vAlign w:val="bottom"/>
          </w:tcPr>
          <w:p>
            <w:pPr>
              <w:jc w:val="right"/>
              <w:ind w:right="410"/>
              <w:spacing w:after="0"/>
              <w:rPr>
                <w:sz w:val="20"/>
                <w:szCs w:val="20"/>
                <w:color w:val="auto"/>
              </w:rPr>
            </w:pPr>
            <w:r>
              <w:rPr>
                <w:rFonts w:ascii="Arial" w:cs="Arial" w:eastAsia="Arial" w:hAnsi="Arial"/>
                <w:sz w:val="18"/>
                <w:szCs w:val="18"/>
                <w:b w:val="1"/>
                <w:bCs w:val="1"/>
                <w:color w:val="auto"/>
              </w:rPr>
              <w:t>38%</w:t>
            </w: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31%</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50%</w:t>
            </w:r>
          </w:p>
        </w:tc>
        <w:tc>
          <w:tcPr>
            <w:tcW w:w="1700" w:type="dxa"/>
            <w:vAlign w:val="bottom"/>
          </w:tcPr>
          <w:p>
            <w:pPr>
              <w:jc w:val="right"/>
              <w:ind w:right="370"/>
              <w:spacing w:after="0"/>
              <w:rPr>
                <w:sz w:val="20"/>
                <w:szCs w:val="20"/>
                <w:color w:val="auto"/>
              </w:rPr>
            </w:pPr>
            <w:r>
              <w:rPr>
                <w:rFonts w:ascii="Arial" w:cs="Arial" w:eastAsia="Arial" w:hAnsi="Arial"/>
                <w:sz w:val="18"/>
                <w:szCs w:val="18"/>
                <w:color w:val="auto"/>
              </w:rPr>
              <w:t>60%</w:t>
            </w: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48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21%</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w:t>
            </w:r>
          </w:p>
        </w:tc>
        <w:tc>
          <w:tcPr>
            <w:tcW w:w="140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11%</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7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w:t>
            </w:r>
          </w:p>
        </w:tc>
      </w:tr>
    </w:tbl>
    <w:p>
      <w:pPr>
        <w:spacing w:after="0" w:line="22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U.S. defined benefit plan at December 31, 2009, held a higher-than-normal amount of cash in anticipation of future benefit payments associated with the 2009 Voluntary Retirement Program. The majority of this cash will likely be paid out in 2010, and as these payments are made, the plan’s asset allocation will revert towards its target allocation weights. There are no significant restrictions on the amount or nature of investments that may be acquired or held by the plans. None of the plan assets related to the defined benefit pension plans and retiree health care benefit plan are directly invested in TI common stock. As of December 31, 2009, we do not expect to return any of the plans’ assets to TI in the next 12 months.</w:t>
      </w:r>
    </w:p>
    <w:p>
      <w:pPr>
        <w:spacing w:after="0" w:line="3" w:lineRule="exact"/>
        <w:rPr>
          <w:sz w:val="20"/>
          <w:szCs w:val="20"/>
          <w:color w:val="auto"/>
        </w:rPr>
      </w:pPr>
    </w:p>
    <w:p>
      <w:pPr>
        <w:ind w:right="440" w:firstLine="324"/>
        <w:spacing w:after="0" w:line="261" w:lineRule="auto"/>
        <w:rPr>
          <w:sz w:val="20"/>
          <w:szCs w:val="20"/>
          <w:color w:val="auto"/>
        </w:rPr>
      </w:pPr>
      <w:r>
        <w:rPr>
          <w:rFonts w:ascii="Arial" w:cs="Arial" w:eastAsia="Arial" w:hAnsi="Arial"/>
          <w:sz w:val="18"/>
          <w:szCs w:val="18"/>
          <w:color w:val="auto"/>
        </w:rPr>
        <w:t>Contributions to the plans meet or exceed all minimum funding requirements. We expect to contribute to our retirement plans in 2010 as we have in recent years.</w:t>
      </w:r>
    </w:p>
    <w:p>
      <w:pPr>
        <w:spacing w:after="0" w:line="21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shows the benefits we expect to pay to participants from the plans in the next ten years. Most of the payments will be made from plan assets and not company assets.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Non-U.S.</w:t>
            </w: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U.S. Defined</w:t>
            </w:r>
          </w:p>
        </w:tc>
        <w:tc>
          <w:tcPr>
            <w:tcW w:w="20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U.S. Retiree</w:t>
            </w:r>
          </w:p>
        </w:tc>
        <w:tc>
          <w:tcPr>
            <w:tcW w:w="26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b w:val="1"/>
                <w:bCs w:val="1"/>
                <w:color w:val="auto"/>
                <w:w w:val="92"/>
              </w:rPr>
              <w:t>Medicare</w:t>
            </w:r>
          </w:p>
        </w:tc>
        <w:tc>
          <w:tcPr>
            <w:tcW w:w="24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Defined</w:t>
            </w:r>
          </w:p>
        </w:tc>
      </w:tr>
      <w:tr>
        <w:trPr>
          <w:trHeight w:val="241"/>
        </w:trPr>
        <w:tc>
          <w:tcPr>
            <w:tcW w:w="20" w:type="dxa"/>
            <w:vAlign w:val="bottom"/>
          </w:tcPr>
          <w:p>
            <w:pPr>
              <w:spacing w:after="0"/>
              <w:rPr>
                <w:sz w:val="20"/>
                <w:szCs w:val="20"/>
                <w:color w:val="auto"/>
              </w:rPr>
            </w:pPr>
          </w:p>
        </w:tc>
        <w:tc>
          <w:tcPr>
            <w:tcW w:w="48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Benefit</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3"/>
              </w:rPr>
              <w:t>Health Care</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8"/>
              </w:rPr>
              <w:t>Subsidy</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1"/>
              </w:rPr>
              <w:t>Benefit</w:t>
            </w: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2011</w:t>
            </w:r>
          </w:p>
        </w:tc>
        <w:tc>
          <w:tcPr>
            <w:tcW w:w="134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69</w:t>
            </w: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2013</w:t>
            </w:r>
          </w:p>
        </w:tc>
        <w:tc>
          <w:tcPr>
            <w:tcW w:w="134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76</w:t>
            </w: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30"/>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2015–2019</w:t>
            </w:r>
          </w:p>
        </w:tc>
        <w:tc>
          <w:tcPr>
            <w:tcW w:w="134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314</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216</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418</w:t>
            </w:r>
          </w:p>
        </w:tc>
      </w:tr>
      <w:tr>
        <w:trPr>
          <w:trHeight w:val="445"/>
        </w:trPr>
        <w:tc>
          <w:tcPr>
            <w:tcW w:w="7360" w:type="dxa"/>
            <w:vAlign w:val="bottom"/>
            <w:gridSpan w:val="4"/>
          </w:tcPr>
          <w:p>
            <w:pPr>
              <w:spacing w:after="0"/>
              <w:rPr>
                <w:sz w:val="20"/>
                <w:szCs w:val="20"/>
                <w:color w:val="auto"/>
              </w:rPr>
            </w:pPr>
            <w:r>
              <w:rPr>
                <w:rFonts w:ascii="Arial" w:cs="Arial" w:eastAsia="Arial" w:hAnsi="Arial"/>
                <w:sz w:val="18"/>
                <w:szCs w:val="18"/>
                <w:color w:val="auto"/>
                <w:w w:val="97"/>
              </w:rPr>
              <w:t>Assumed health care cost trend rates for the U.S. retiree health care plan at December 31 are:</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w w:val="98"/>
              </w:rPr>
              <w:t>U.S. Retiree Health Care</w:t>
            </w:r>
          </w:p>
        </w:tc>
      </w:tr>
      <w:tr>
        <w:trPr>
          <w:trHeight w:val="250"/>
        </w:trPr>
        <w:tc>
          <w:tcPr>
            <w:tcW w:w="20" w:type="dxa"/>
            <w:vAlign w:val="bottom"/>
          </w:tcPr>
          <w:p>
            <w:pPr>
              <w:spacing w:after="0"/>
              <w:rPr>
                <w:sz w:val="21"/>
                <w:szCs w:val="21"/>
                <w:color w:val="auto"/>
              </w:rPr>
            </w:pPr>
          </w:p>
        </w:tc>
        <w:tc>
          <w:tcPr>
            <w:tcW w:w="48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2009</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2008</w:t>
            </w: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Assumed health care cost trend rate for next year:</w:t>
            </w: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Attributed to less than age 65</w:t>
            </w:r>
          </w:p>
        </w:tc>
        <w:tc>
          <w:tcPr>
            <w:tcW w:w="1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90"/>
              <w:spacing w:after="0"/>
              <w:rPr>
                <w:sz w:val="20"/>
                <w:szCs w:val="20"/>
                <w:color w:val="auto"/>
              </w:rPr>
            </w:pPr>
            <w:r>
              <w:rPr>
                <w:rFonts w:ascii="Arial" w:cs="Arial" w:eastAsia="Arial" w:hAnsi="Arial"/>
                <w:sz w:val="18"/>
                <w:szCs w:val="18"/>
                <w:b w:val="1"/>
                <w:bCs w:val="1"/>
                <w:color w:val="auto"/>
              </w:rPr>
              <w:t>9.0%</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87"/>
              </w:rPr>
              <w:t>8.5%</w:t>
            </w: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Attributed to age 65 or greater</w:t>
            </w: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right="90"/>
              <w:spacing w:after="0"/>
              <w:rPr>
                <w:sz w:val="20"/>
                <w:szCs w:val="20"/>
                <w:color w:val="auto"/>
              </w:rPr>
            </w:pPr>
            <w:r>
              <w:rPr>
                <w:rFonts w:ascii="Arial" w:cs="Arial" w:eastAsia="Arial" w:hAnsi="Arial"/>
                <w:sz w:val="18"/>
                <w:szCs w:val="18"/>
                <w:b w:val="1"/>
                <w:bCs w:val="1"/>
                <w:color w:val="auto"/>
              </w:rPr>
              <w:t>9.0%</w:t>
            </w:r>
          </w:p>
        </w:tc>
        <w:tc>
          <w:tcPr>
            <w:tcW w:w="2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color w:val="auto"/>
                <w:w w:val="87"/>
              </w:rPr>
              <w:t>8.5%</w:t>
            </w: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Ultimate trend rate</w:t>
            </w:r>
          </w:p>
        </w:tc>
        <w:tc>
          <w:tcPr>
            <w:tcW w:w="1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90"/>
              <w:spacing w:after="0"/>
              <w:rPr>
                <w:sz w:val="20"/>
                <w:szCs w:val="20"/>
                <w:color w:val="auto"/>
              </w:rPr>
            </w:pPr>
            <w:r>
              <w:rPr>
                <w:rFonts w:ascii="Arial" w:cs="Arial" w:eastAsia="Arial" w:hAnsi="Arial"/>
                <w:sz w:val="18"/>
                <w:szCs w:val="18"/>
                <w:b w:val="1"/>
                <w:bCs w:val="1"/>
                <w:color w:val="auto"/>
              </w:rPr>
              <w:t>5.0%</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87"/>
              </w:rPr>
              <w:t>5.0%</w:t>
            </w: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Year in which ultimate trend rate is reached:</w:t>
            </w: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Attributed to less than age 65</w:t>
            </w:r>
          </w:p>
        </w:tc>
        <w:tc>
          <w:tcPr>
            <w:tcW w:w="1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110"/>
              <w:spacing w:after="0"/>
              <w:rPr>
                <w:sz w:val="20"/>
                <w:szCs w:val="20"/>
                <w:color w:val="auto"/>
              </w:rPr>
            </w:pPr>
            <w:r>
              <w:rPr>
                <w:rFonts w:ascii="Arial" w:cs="Arial" w:eastAsia="Arial" w:hAnsi="Arial"/>
                <w:sz w:val="18"/>
                <w:szCs w:val="18"/>
                <w:b w:val="1"/>
                <w:bCs w:val="1"/>
                <w:color w:val="auto"/>
                <w:w w:val="89"/>
              </w:rPr>
              <w:t>2016</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89"/>
              </w:rPr>
              <w:t>2016</w:t>
            </w:r>
          </w:p>
        </w:tc>
      </w:tr>
      <w:tr>
        <w:trPr>
          <w:trHeight w:val="234"/>
        </w:trPr>
        <w:tc>
          <w:tcPr>
            <w:tcW w:w="20" w:type="dxa"/>
            <w:vAlign w:val="bottom"/>
          </w:tcPr>
          <w:p>
            <w:pPr>
              <w:spacing w:after="0"/>
              <w:rPr>
                <w:sz w:val="20"/>
                <w:szCs w:val="20"/>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Attributed to age 65 or greater</w:t>
            </w:r>
          </w:p>
        </w:tc>
        <w:tc>
          <w:tcPr>
            <w:tcW w:w="1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2016</w:t>
            </w:r>
          </w:p>
        </w:tc>
        <w:tc>
          <w:tcPr>
            <w:tcW w:w="240" w:type="dxa"/>
            <w:vAlign w:val="bottom"/>
          </w:tcPr>
          <w:p>
            <w:pPr>
              <w:spacing w:after="0"/>
              <w:rPr>
                <w:sz w:val="20"/>
                <w:szCs w:val="20"/>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color w:val="auto"/>
                <w:w w:val="89"/>
              </w:rPr>
              <w:t>2016</w:t>
            </w:r>
          </w:p>
        </w:tc>
      </w:tr>
      <w:tr>
        <w:trPr>
          <w:trHeight w:val="640"/>
        </w:trPr>
        <w:tc>
          <w:tcPr>
            <w:tcW w:w="20" w:type="dxa"/>
            <w:vAlign w:val="bottom"/>
          </w:tcPr>
          <w:p>
            <w:pPr>
              <w:spacing w:after="0"/>
              <w:rPr>
                <w:sz w:val="24"/>
                <w:szCs w:val="24"/>
                <w:color w:val="auto"/>
              </w:rPr>
            </w:pPr>
          </w:p>
        </w:tc>
        <w:tc>
          <w:tcPr>
            <w:tcW w:w="480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83" w:name="page84"/>
    <w:bookmarkEnd w:id="83"/>
    <w:p>
      <w:pPr>
        <w:ind w:left="7680"/>
        <w:spacing w:after="0"/>
        <w:rPr>
          <w:sz w:val="20"/>
          <w:szCs w:val="20"/>
          <w:color w:val="auto"/>
        </w:rPr>
      </w:pPr>
      <w:r>
        <w:rPr>
          <w:rFonts w:ascii="Arial" w:cs="Arial" w:eastAsia="Arial" w:hAnsi="Arial"/>
          <w:sz w:val="13"/>
          <w:szCs w:val="13"/>
          <w:color w:val="auto"/>
        </w:rPr>
        <w:t>TEXAS INSTRUMENTS 2009 ANNUAL REPORT n PAGE 27</w:t>
      </w:r>
    </w:p>
    <w:p>
      <w:pPr>
        <w:spacing w:after="0" w:line="22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Increasing or decreasing health care cost trend rates by one percentage point would have increased or decreased the accumulated postretirement benefit obligation for the U.S. retiree health care plan at December 31, 2009, by $21 million or $19 million and increased or decreased the service cost and interest cost components of 2009 plan expense by $1 million.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arrangements</w:t>
      </w:r>
    </w:p>
    <w:p>
      <w:pPr>
        <w:spacing w:after="0" w:line="23"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We have a deferred compensation plan, which allows U.S. employees whose base salary and management responsibility exceed a certain level to defer receipt of a portion of their cash compensation. Payments under this plan are made based on the participant’s distribution election and plan balance. Participants can earn a return on their deferred compensation based on notional investments in the same investment funds that are offered in our defined contribution plans.</w:t>
      </w:r>
    </w:p>
    <w:p>
      <w:pPr>
        <w:spacing w:after="0" w:line="2" w:lineRule="exact"/>
        <w:rPr>
          <w:sz w:val="20"/>
          <w:szCs w:val="20"/>
          <w:color w:val="auto"/>
        </w:rPr>
      </w:pPr>
    </w:p>
    <w:p>
      <w:pPr>
        <w:jc w:val="both"/>
        <w:ind w:right="80" w:firstLine="324"/>
        <w:spacing w:after="0" w:line="253" w:lineRule="auto"/>
        <w:rPr>
          <w:sz w:val="20"/>
          <w:szCs w:val="20"/>
          <w:color w:val="auto"/>
        </w:rPr>
      </w:pPr>
      <w:r>
        <w:rPr>
          <w:rFonts w:ascii="Arial" w:cs="Arial" w:eastAsia="Arial" w:hAnsi="Arial"/>
          <w:sz w:val="18"/>
          <w:szCs w:val="18"/>
          <w:color w:val="auto"/>
        </w:rPr>
        <w:t>As of December 31, 2009, our liability to participants of the deferred compensation plan was $154 million and is recorded in Deferred credits and other liabilities on our balance sheet. This amount reflects the accumulated participant deferrals and earnings thereon as of that date. No assets are held in trust for the deferred compensation plan and so we remain liable to the participants. To serve as an economic hedge against changes in market values of this liability, we invest in similar mutual funds that are recorded in long-term investments. We record changes in the fair value of the liability and the related investment in SG&amp;A (see Note 7).</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 and lines of credit</w:t>
      </w:r>
    </w:p>
    <w:p>
      <w:pPr>
        <w:spacing w:after="0" w:line="256"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In 2007, we retired $43 million of 8.75% notes at maturity. As of December 31, 2009 and 2008, we had no outstanding debt. We maintain lines of credit to support commercial paper borrowings, if any, and to provide additional liquidity through bank loans. As of December 31, 2009, we had a multi-year revolving credit facility under which a group of banks has committed $1 billion through August 2011, and $920 million thereafter through August 2012. These facilities would carry a variable rate of interest indexed to the London Interbank Offered Rate (LIBOR), if drawn. Our Japan subsidiary also has a revolving credit facility, expiring in November 2010, for an additional $175 million. At December 31, 2009 and 2008, both revolving credit facilities were undrawn, and no commercial paper was outstanding.</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incurred on loans in 2009, 2008 and 2007 was not material.</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u w:val="single" w:color="auto"/>
          <w:color w:val="auto"/>
        </w:rPr>
        <w:t>Operating leases</w:t>
      </w:r>
      <w:r>
        <w:rPr>
          <w:rFonts w:ascii="Arial" w:cs="Arial" w:eastAsia="Arial" w:hAnsi="Arial"/>
          <w:sz w:val="18"/>
          <w:szCs w:val="18"/>
          <w:color w:val="auto"/>
        </w:rPr>
        <w:t>: We conduct certain operations in leased facilities and also lease a portion of our data processing and other equipment. In addition, certain long-term supply agreements to purchase industrial gases are accounted for as operating leases. Lease agreements frequently include purchase and renewal provisions and require us to pay taxes, insurance and maintenance costs. Rental and lease expense incurred was $114 million, $124 million and $123 million in 2009, 2008 and 2007.</w:t>
      </w:r>
    </w:p>
    <w:p>
      <w:pPr>
        <w:spacing w:after="0" w:line="214"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u w:val="single" w:color="auto"/>
          <w:color w:val="auto"/>
        </w:rPr>
        <w:t>Capitalized software licenses</w:t>
      </w:r>
      <w:r>
        <w:rPr>
          <w:rFonts w:ascii="Arial" w:cs="Arial" w:eastAsia="Arial" w:hAnsi="Arial"/>
          <w:sz w:val="18"/>
          <w:szCs w:val="18"/>
          <w:color w:val="auto"/>
        </w:rPr>
        <w:t>: We have licenses for certain internal use electronic design automation software that we account for as capital leases. The related liabilities are apportioned between Accounts payable and Deferred credits and other liabilities on our balance sheets, depending on the contractual timing of the payment.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Purchase commitments</w:t>
      </w:r>
      <w:r>
        <w:rPr>
          <w:rFonts w:ascii="Arial" w:cs="Arial" w:eastAsia="Arial" w:hAnsi="Arial"/>
          <w:sz w:val="18"/>
          <w:szCs w:val="18"/>
          <w:color w:val="auto"/>
        </w:rPr>
        <w:t>: Some of our purchase commitments entered in the ordinary course of business provide for minimum payments.</w:t>
      </w:r>
    </w:p>
    <w:p>
      <w:pPr>
        <w:spacing w:after="0" w:line="25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u w:val="single" w:color="auto"/>
          <w:color w:val="auto"/>
        </w:rPr>
        <w:t>Summary</w:t>
      </w:r>
      <w:r>
        <w:rPr>
          <w:rFonts w:ascii="Arial" w:cs="Arial" w:eastAsia="Arial" w:hAnsi="Arial"/>
          <w:sz w:val="18"/>
          <w:szCs w:val="18"/>
          <w:color w:val="auto"/>
        </w:rPr>
        <w:t>: At December 31, 2009, we had committed to make the following minimum payments under our non-cancellable operating leases, capitalized software licenses and purchase commitments: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Capitalized</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Operating</w:t>
            </w:r>
          </w:p>
        </w:tc>
        <w:tc>
          <w:tcPr>
            <w:tcW w:w="22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Software</w:t>
            </w:r>
          </w:p>
        </w:tc>
        <w:tc>
          <w:tcPr>
            <w:tcW w:w="260" w:type="dxa"/>
            <w:vAlign w:val="bottom"/>
          </w:tcPr>
          <w:p>
            <w:pPr>
              <w:spacing w:after="0"/>
              <w:rPr>
                <w:sz w:val="18"/>
                <w:szCs w:val="18"/>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b w:val="1"/>
                <w:bCs w:val="1"/>
                <w:color w:val="auto"/>
                <w:w w:val="93"/>
              </w:rPr>
              <w:t>Purchase</w:t>
            </w:r>
          </w:p>
        </w:tc>
      </w:tr>
      <w:tr>
        <w:trPr>
          <w:trHeight w:val="241"/>
        </w:trPr>
        <w:tc>
          <w:tcPr>
            <w:tcW w:w="20" w:type="dxa"/>
            <w:vAlign w:val="bottom"/>
          </w:tcPr>
          <w:p>
            <w:pPr>
              <w:spacing w:after="0"/>
              <w:rPr>
                <w:sz w:val="20"/>
                <w:szCs w:val="20"/>
                <w:color w:val="auto"/>
              </w:rPr>
            </w:pPr>
          </w:p>
        </w:tc>
        <w:tc>
          <w:tcPr>
            <w:tcW w:w="408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Leases</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5"/>
              </w:rPr>
              <w:t>Licenses</w:t>
            </w:r>
          </w:p>
        </w:tc>
        <w:tc>
          <w:tcPr>
            <w:tcW w:w="13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w w:val="99"/>
              </w:rPr>
              <w:t>Commitments</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2011</w:t>
            </w:r>
          </w:p>
        </w:tc>
        <w:tc>
          <w:tcPr>
            <w:tcW w:w="34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72</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2013</w:t>
            </w:r>
          </w:p>
        </w:tc>
        <w:tc>
          <w:tcPr>
            <w:tcW w:w="34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30"/>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Thereafter</w:t>
            </w:r>
          </w:p>
        </w:tc>
        <w:tc>
          <w:tcPr>
            <w:tcW w:w="348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w:t>
            </w:r>
          </w:p>
        </w:tc>
      </w:tr>
    </w:tbl>
    <w:p>
      <w:pPr>
        <w:spacing w:after="0" w:line="214"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u w:val="single" w:color="auto"/>
          <w:color w:val="auto"/>
        </w:rPr>
        <w:t>Indemnification guarantees</w:t>
      </w:r>
      <w:r>
        <w:rPr>
          <w:rFonts w:ascii="Arial" w:cs="Arial" w:eastAsia="Arial" w:hAnsi="Arial"/>
          <w:sz w:val="18"/>
          <w:szCs w:val="18"/>
          <w:color w:val="auto"/>
        </w:rPr>
        <w:t>: We routinely sell products with an intellectual property indemnification included in the terms of sale. Historically, we have had only minimal, infrequent losses associated with these indemnities. Consequently, we cannot reasonably estimate or accrue for any future liabilities that may result.</w:t>
      </w:r>
    </w:p>
    <w:p>
      <w:pPr>
        <w:spacing w:after="0" w:line="20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u w:val="single" w:color="auto"/>
          <w:color w:val="auto"/>
        </w:rPr>
        <w:t>Warranty costs/product liabilities</w:t>
      </w:r>
      <w:r>
        <w:rPr>
          <w:rFonts w:ascii="Arial" w:cs="Arial" w:eastAsia="Arial" w:hAnsi="Arial"/>
          <w:sz w:val="18"/>
          <w:szCs w:val="18"/>
          <w:color w:val="auto"/>
        </w:rPr>
        <w:t>: 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 any future claims, we do not believe they will have a material adverse effect on our financial condition, results of operations or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84" w:name="page85"/>
    <w:bookmarkEnd w:id="84"/>
    <w:p>
      <w:pPr>
        <w:spacing w:after="0"/>
        <w:rPr>
          <w:sz w:val="20"/>
          <w:szCs w:val="20"/>
          <w:color w:val="auto"/>
        </w:rPr>
      </w:pPr>
      <w:r>
        <w:rPr>
          <w:rFonts w:ascii="Arial" w:cs="Arial" w:eastAsia="Arial" w:hAnsi="Arial"/>
          <w:sz w:val="14"/>
          <w:szCs w:val="14"/>
          <w:color w:val="auto"/>
        </w:rPr>
        <w:t>TEXAS INSTRUMENTS 2009 ANNUAL REPORT n PAGE 28</w:t>
      </w:r>
    </w:p>
    <w:p>
      <w:pPr>
        <w:spacing w:after="0" w:line="20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Consistent with general industry practice, we enter into formal contracts with certain customers that include negotiated warranty remedies. Typically, under these agreements our warranty for semiconductor products includes: three years coverage; an obligation to repair, replace or refund; and a maximum payment obligation tied to the price paid for our products. In some cases, product claims may exceed the price of our products.</w:t>
      </w:r>
    </w:p>
    <w:p>
      <w:pPr>
        <w:spacing w:after="0" w:line="193"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w:t>
      </w:r>
    </w:p>
    <w:p>
      <w:pPr>
        <w:spacing w:after="0" w:line="17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u w:val="single" w:color="auto"/>
          <w:color w:val="auto"/>
        </w:rPr>
        <w:t>Discontinued operations indemnity</w:t>
      </w:r>
      <w:r>
        <w:rPr>
          <w:rFonts w:ascii="Arial" w:cs="Arial" w:eastAsia="Arial" w:hAnsi="Arial"/>
          <w:sz w:val="16"/>
          <w:szCs w:val="16"/>
          <w:color w:val="auto"/>
        </w:rPr>
        <w:t>: In connection with the sale of the former Sensors &amp; Controls business in 2006, we have agreed to indemnify Sensata for specified litigation matters and certain liabilities, including environmental liabilities. Our indemnification obligations with respect to breaches of representations and warranties and the specified litigation matters are generally subject to a total deductible of $30 million and our maximum potential exposure is limited to $300 million. We have not made any indemnity payments related to this matter and do not expect that any potential payments related to this indemnity obligation would have a material adverse effect on our financial position, results of operations or liquidity in future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are authorized to issue 10,000,000 shares of preferred stock. No preferred stock is currently outstanding.</w:t>
      </w:r>
    </w:p>
    <w:p>
      <w:pPr>
        <w:spacing w:after="0" w:line="23" w:lineRule="exact"/>
        <w:rPr>
          <w:sz w:val="20"/>
          <w:szCs w:val="20"/>
          <w:color w:val="auto"/>
        </w:rPr>
      </w:pPr>
    </w:p>
    <w:p>
      <w:pPr>
        <w:ind w:right="80" w:firstLine="324"/>
        <w:spacing w:after="0" w:line="323" w:lineRule="auto"/>
        <w:rPr>
          <w:sz w:val="20"/>
          <w:szCs w:val="20"/>
          <w:color w:val="auto"/>
        </w:rPr>
      </w:pPr>
      <w:r>
        <w:rPr>
          <w:rFonts w:ascii="Arial" w:cs="Arial" w:eastAsia="Arial" w:hAnsi="Arial"/>
          <w:sz w:val="16"/>
          <w:szCs w:val="16"/>
          <w:color w:val="auto"/>
        </w:rPr>
        <w:t>Treasury shares acquired in connection with the board-authorized stock repurchase program in 2009, 2008 and 2007 were 45,544,800 shares, 77,162,667 shares and 147,645,809 shares. As of December 31, 2009, $2.6 billion of stock repurchase authorizations remain and no expiration date has been specified.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13. Supplemental financial information</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93"/>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 net</w:t>
            </w:r>
          </w:p>
        </w:tc>
        <w:tc>
          <w:tcPr>
            <w:tcW w:w="240" w:type="dxa"/>
            <w:vAlign w:val="bottom"/>
          </w:tcPr>
          <w:p>
            <w:pPr>
              <w:spacing w:after="0"/>
              <w:rPr>
                <w:sz w:val="24"/>
                <w:szCs w:val="24"/>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4"/>
                <w:szCs w:val="24"/>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24"/>
                <w:szCs w:val="24"/>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2007</w:t>
            </w:r>
          </w:p>
        </w:tc>
      </w:tr>
      <w:tr>
        <w:trPr>
          <w:trHeight w:val="216"/>
        </w:trPr>
        <w:tc>
          <w:tcPr>
            <w:tcW w:w="20" w:type="dxa"/>
            <w:vAlign w:val="bottom"/>
          </w:tcPr>
          <w:p>
            <w:pPr>
              <w:spacing w:after="0"/>
              <w:rPr>
                <w:sz w:val="18"/>
                <w:szCs w:val="18"/>
                <w:color w:val="auto"/>
              </w:rPr>
            </w:pPr>
          </w:p>
        </w:tc>
        <w:tc>
          <w:tcPr>
            <w:tcW w:w="7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w:t>
            </w:r>
          </w:p>
        </w:tc>
        <w:tc>
          <w:tcPr>
            <w:tcW w:w="3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76</w:t>
            </w:r>
          </w:p>
        </w:tc>
        <w:tc>
          <w:tcPr>
            <w:tcW w:w="3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(a)</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w:t>
            </w: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44</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r>
    </w:tbl>
    <w:p>
      <w:pPr>
        <w:spacing w:after="0" w:line="229" w:lineRule="exact"/>
        <w:rPr>
          <w:sz w:val="20"/>
          <w:szCs w:val="20"/>
          <w:color w:val="auto"/>
        </w:rPr>
      </w:pPr>
    </w:p>
    <w:p>
      <w:pPr>
        <w:ind w:left="340" w:right="40" w:hanging="332"/>
        <w:spacing w:after="0" w:line="255" w:lineRule="auto"/>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Includes lease income of approximately $20 million per year, primarily from the purchaser of a former business. As of December 31, 2009, the aggregate amount of non-cancellable future lease payments to be received from these leases is $80 million. These leases contain renewal options. Other also includes miscellaneous non-operational items such as: interest income and expense related to non-investment items such as taxes; gains and losses from our equity method investments; realized gains and losses associated with former equity investments; gains and losses related to former businesses; gains and losses from currency exchange rate changes; and gains and losses from our derivative financial instruments (primarily forward foreign currency exchange contracts).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December 31,</w:t>
            </w:r>
          </w:p>
        </w:tc>
      </w:tr>
      <w:tr>
        <w:trPr>
          <w:trHeight w:val="250"/>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Inventories</w:t>
            </w:r>
          </w:p>
        </w:tc>
        <w:tc>
          <w:tcPr>
            <w:tcW w:w="240" w:type="dxa"/>
            <w:vAlign w:val="bottom"/>
          </w:tcPr>
          <w:p>
            <w:pPr>
              <w:spacing w:after="0"/>
              <w:rPr>
                <w:sz w:val="21"/>
                <w:szCs w:val="21"/>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21"/>
                <w:szCs w:val="21"/>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2008</w:t>
            </w:r>
          </w:p>
        </w:tc>
      </w:tr>
      <w:tr>
        <w:trPr>
          <w:trHeight w:val="216"/>
        </w:trPr>
        <w:tc>
          <w:tcPr>
            <w:tcW w:w="20" w:type="dxa"/>
            <w:vAlign w:val="bottom"/>
          </w:tcPr>
          <w:p>
            <w:pPr>
              <w:spacing w:after="0"/>
              <w:rPr>
                <w:sz w:val="18"/>
                <w:szCs w:val="18"/>
                <w:color w:val="auto"/>
              </w:rPr>
            </w:pPr>
          </w:p>
        </w:tc>
        <w:tc>
          <w:tcPr>
            <w:tcW w:w="8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Raw materials and purchased parts</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93</w:t>
            </w: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758</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837</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351</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439</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1,202</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1,375</w:t>
            </w: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Finished goods include inventory placed on consignment of $118 million and $74 million as of December 31, 2009 and 2008, respectively.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3820" w:type="dxa"/>
            <w:vAlign w:val="bottom"/>
            <w:gridSpan w:val="2"/>
            <w:vMerge w:val="restart"/>
          </w:tcPr>
          <w:p>
            <w:pPr>
              <w:ind w:left="2320"/>
              <w:spacing w:after="0"/>
              <w:rPr>
                <w:sz w:val="20"/>
                <w:szCs w:val="20"/>
                <w:color w:val="auto"/>
              </w:rPr>
            </w:pPr>
            <w:r>
              <w:rPr>
                <w:rFonts w:ascii="Arial" w:cs="Arial" w:eastAsia="Arial" w:hAnsi="Arial"/>
                <w:sz w:val="18"/>
                <w:szCs w:val="18"/>
                <w:b w:val="1"/>
                <w:bCs w:val="1"/>
                <w:color w:val="auto"/>
              </w:rPr>
              <w:t>Depreciable</w:t>
            </w:r>
          </w:p>
        </w:tc>
        <w:tc>
          <w:tcPr>
            <w:tcW w:w="236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3820" w:type="dxa"/>
            <w:vAlign w:val="bottom"/>
            <w:gridSpan w:val="2"/>
            <w:vMerge w:val="continue"/>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Property, plant and equipment at cost</w:t>
            </w:r>
          </w:p>
        </w:tc>
        <w:tc>
          <w:tcPr>
            <w:tcW w:w="3820" w:type="dxa"/>
            <w:vAlign w:val="bottom"/>
            <w:gridSpan w:val="2"/>
          </w:tcPr>
          <w:p>
            <w:pPr>
              <w:ind w:left="2580"/>
              <w:spacing w:after="0"/>
              <w:rPr>
                <w:sz w:val="20"/>
                <w:szCs w:val="20"/>
                <w:color w:val="auto"/>
              </w:rPr>
            </w:pPr>
            <w:r>
              <w:rPr>
                <w:rFonts w:ascii="Arial" w:cs="Arial" w:eastAsia="Arial" w:hAnsi="Arial"/>
                <w:sz w:val="18"/>
                <w:szCs w:val="18"/>
                <w:b w:val="1"/>
                <w:bCs w:val="1"/>
                <w:color w:val="auto"/>
              </w:rPr>
              <w:t>Lives</w:t>
            </w: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382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83</w:t>
            </w: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820" w:type="dxa"/>
            <w:vAlign w:val="bottom"/>
            <w:gridSpan w:val="2"/>
          </w:tcPr>
          <w:p>
            <w:pPr>
              <w:ind w:left="2580"/>
              <w:spacing w:after="0"/>
              <w:rPr>
                <w:sz w:val="20"/>
                <w:szCs w:val="20"/>
                <w:color w:val="auto"/>
              </w:rPr>
            </w:pPr>
            <w:r>
              <w:rPr>
                <w:rFonts w:ascii="Arial" w:cs="Arial" w:eastAsia="Arial" w:hAnsi="Arial"/>
                <w:sz w:val="18"/>
                <w:szCs w:val="18"/>
                <w:color w:val="auto"/>
              </w:rPr>
              <w:t>5–40 years</w:t>
            </w: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2,867</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3480" w:type="dxa"/>
            <w:vAlign w:val="bottom"/>
            <w:tcBorders>
              <w:bottom w:val="single" w:sz="8" w:color="CCEEFF"/>
            </w:tcBorders>
            <w:shd w:val="clear" w:color="auto" w:fill="CCEEFF"/>
          </w:tcPr>
          <w:p>
            <w:pPr>
              <w:ind w:left="2580"/>
              <w:spacing w:after="0"/>
              <w:rPr>
                <w:sz w:val="20"/>
                <w:szCs w:val="20"/>
                <w:color w:val="auto"/>
              </w:rPr>
            </w:pPr>
            <w:r>
              <w:rPr>
                <w:rFonts w:ascii="Arial" w:cs="Arial" w:eastAsia="Arial" w:hAnsi="Arial"/>
                <w:sz w:val="18"/>
                <w:szCs w:val="18"/>
                <w:color w:val="auto"/>
                <w:w w:val="98"/>
              </w:rPr>
              <w:t>3–10 years</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3,755</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Total</w:t>
            </w:r>
          </w:p>
        </w:tc>
        <w:tc>
          <w:tcPr>
            <w:tcW w:w="38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6,705</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7,321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2"/>
        </w:trPr>
        <w:tc>
          <w:tcPr>
            <w:tcW w:w="20" w:type="dxa"/>
            <w:vAlign w:val="bottom"/>
          </w:tcPr>
          <w:p>
            <w:pPr>
              <w:spacing w:after="0"/>
              <w:rPr>
                <w:sz w:val="24"/>
                <w:szCs w:val="24"/>
                <w:color w:val="auto"/>
              </w:rPr>
            </w:pPr>
          </w:p>
        </w:tc>
        <w:tc>
          <w:tcPr>
            <w:tcW w:w="5220" w:type="dxa"/>
            <w:vAlign w:val="bottom"/>
            <w:tcBorders>
              <w:bottom w:val="single" w:sz="8" w:color="808080"/>
            </w:tcBorders>
          </w:tcPr>
          <w:p>
            <w:pPr>
              <w:spacing w:after="0"/>
              <w:rPr>
                <w:sz w:val="24"/>
                <w:szCs w:val="24"/>
                <w:color w:val="auto"/>
              </w:rPr>
            </w:pPr>
          </w:p>
        </w:tc>
        <w:tc>
          <w:tcPr>
            <w:tcW w:w="34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5240" w:type="dxa"/>
            <w:vAlign w:val="bottom"/>
            <w:gridSpan w:val="5"/>
          </w:tcPr>
          <w:p>
            <w:pPr>
              <w:jc w:val="right"/>
              <w:spacing w:after="0"/>
              <w:rPr>
                <w:sz w:val="20"/>
                <w:szCs w:val="20"/>
                <w:color w:val="auto"/>
              </w:rPr>
            </w:pPr>
            <w:r>
              <w:rPr>
                <w:rFonts w:ascii="Arial" w:cs="Arial" w:eastAsia="Arial" w:hAnsi="Arial"/>
                <w:sz w:val="14"/>
                <w:szCs w:val="14"/>
                <w:color w:val="auto"/>
              </w:rPr>
              <w:t>TEXAS INSTRUMENTS 2009 ANNUAL REPORT n PAGE 29</w:t>
            </w:r>
          </w:p>
        </w:tc>
      </w:tr>
      <w:tr>
        <w:trPr>
          <w:trHeight w:val="417"/>
        </w:trPr>
        <w:tc>
          <w:tcPr>
            <w:tcW w:w="9060" w:type="dxa"/>
            <w:vAlign w:val="bottom"/>
            <w:gridSpan w:val="4"/>
          </w:tcPr>
          <w:p>
            <w:pPr>
              <w:spacing w:after="0"/>
              <w:rPr>
                <w:sz w:val="20"/>
                <w:szCs w:val="20"/>
                <w:color w:val="auto"/>
              </w:rPr>
            </w:pPr>
            <w:r>
              <w:rPr>
                <w:rFonts w:ascii="Arial" w:cs="Arial" w:eastAsia="Arial" w:hAnsi="Arial"/>
                <w:sz w:val="18"/>
                <w:szCs w:val="18"/>
                <w:color w:val="auto"/>
                <w:w w:val="95"/>
              </w:rPr>
              <w:t>Authorizations for property, plant and equipment expenditures in future years were $414 million at December 31, 2009.</w:t>
            </w: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December 31,</w:t>
            </w:r>
          </w:p>
        </w:tc>
      </w:tr>
      <w:tr>
        <w:trPr>
          <w:trHeight w:val="250"/>
        </w:trPr>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Accrued expenses and other liabilities</w:t>
            </w:r>
          </w:p>
        </w:tc>
        <w:tc>
          <w:tcPr>
            <w:tcW w:w="2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21"/>
                <w:szCs w:val="21"/>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2008</w:t>
            </w:r>
          </w:p>
        </w:tc>
      </w:tr>
      <w:tr>
        <w:trPr>
          <w:trHeight w:val="216"/>
        </w:trPr>
        <w:tc>
          <w:tcPr>
            <w:tcW w:w="20" w:type="dxa"/>
            <w:vAlign w:val="bottom"/>
          </w:tcPr>
          <w:p>
            <w:pPr>
              <w:spacing w:after="0"/>
              <w:rPr>
                <w:sz w:val="18"/>
                <w:szCs w:val="18"/>
                <w:color w:val="auto"/>
              </w:rPr>
            </w:pPr>
          </w:p>
        </w:tc>
        <w:tc>
          <w:tcPr>
            <w:tcW w:w="6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Accrued salaries, wages and vacation pay</w:t>
            </w:r>
          </w:p>
        </w:tc>
        <w:tc>
          <w:tcPr>
            <w:tcW w:w="288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285</w:t>
            </w:r>
          </w:p>
        </w:tc>
        <w:tc>
          <w:tcPr>
            <w:tcW w:w="3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302</w:t>
            </w: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Customer incentive programs and allowances</w:t>
            </w: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118</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135</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Property and other non-income taxes</w:t>
            </w:r>
          </w:p>
        </w:tc>
        <w:tc>
          <w:tcPr>
            <w:tcW w:w="2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89</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Restructuring</w:t>
            </w: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75</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218</w:t>
            </w:r>
          </w:p>
        </w:tc>
      </w:tr>
      <w:tr>
        <w:trPr>
          <w:trHeight w:val="223"/>
        </w:trPr>
        <w:tc>
          <w:tcPr>
            <w:tcW w:w="20" w:type="dxa"/>
            <w:vAlign w:val="bottom"/>
          </w:tcPr>
          <w:p>
            <w:pPr>
              <w:spacing w:after="0"/>
              <w:rPr>
                <w:sz w:val="19"/>
                <w:szCs w:val="19"/>
                <w:color w:val="auto"/>
              </w:rPr>
            </w:pPr>
          </w:p>
        </w:tc>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6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274</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Total</w:t>
            </w:r>
          </w:p>
        </w:tc>
        <w:tc>
          <w:tcPr>
            <w:tcW w:w="2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841</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1,034</w:t>
            </w:r>
          </w:p>
        </w:tc>
      </w:tr>
      <w:tr>
        <w:trPr>
          <w:trHeight w:val="21"/>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360" w:type="dxa"/>
            <w:vAlign w:val="bottom"/>
            <w:tcBorders>
              <w:top w:val="single" w:sz="8" w:color="auto"/>
              <w:bottom w:val="single" w:sz="8" w:color="auto"/>
            </w:tcBorders>
            <w:gridSpan w:val="3"/>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December 31,</w:t>
            </w:r>
          </w:p>
        </w:tc>
      </w:tr>
      <w:tr>
        <w:trPr>
          <w:trHeight w:val="250"/>
        </w:trPr>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Accumulated other comprehensive income (loss), net of taxes</w:t>
            </w:r>
          </w:p>
        </w:tc>
        <w:tc>
          <w:tcPr>
            <w:tcW w:w="2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21"/>
                <w:szCs w:val="21"/>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2008</w:t>
            </w:r>
          </w:p>
        </w:tc>
      </w:tr>
      <w:tr>
        <w:trPr>
          <w:trHeight w:val="216"/>
        </w:trPr>
        <w:tc>
          <w:tcPr>
            <w:tcW w:w="20" w:type="dxa"/>
            <w:vAlign w:val="bottom"/>
          </w:tcPr>
          <w:p>
            <w:pPr>
              <w:spacing w:after="0"/>
              <w:rPr>
                <w:sz w:val="18"/>
                <w:szCs w:val="18"/>
                <w:color w:val="auto"/>
              </w:rPr>
            </w:pPr>
          </w:p>
        </w:tc>
        <w:tc>
          <w:tcPr>
            <w:tcW w:w="6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Unrealized losses on available-for-sale investments</w:t>
            </w:r>
          </w:p>
        </w:tc>
        <w:tc>
          <w:tcPr>
            <w:tcW w:w="288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3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Postretirement benefit plans:</w:t>
            </w: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actuarial loss</w:t>
            </w:r>
          </w:p>
        </w:tc>
        <w:tc>
          <w:tcPr>
            <w:tcW w:w="2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(615)</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r>
      <w:tr>
        <w:trPr>
          <w:trHeight w:val="223"/>
        </w:trPr>
        <w:tc>
          <w:tcPr>
            <w:tcW w:w="20" w:type="dxa"/>
            <w:vAlign w:val="bottom"/>
          </w:tcPr>
          <w:p>
            <w:pPr>
              <w:spacing w:after="0"/>
              <w:rPr>
                <w:sz w:val="19"/>
                <w:szCs w:val="19"/>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Prior service cost</w:t>
            </w:r>
          </w:p>
        </w:tc>
        <w:tc>
          <w:tcPr>
            <w:tcW w:w="2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14</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r>
      <w:tr>
        <w:trPr>
          <w:trHeight w:val="237"/>
        </w:trPr>
        <w:tc>
          <w:tcPr>
            <w:tcW w:w="20" w:type="dxa"/>
            <w:vAlign w:val="bottom"/>
          </w:tcPr>
          <w:p>
            <w:pPr>
              <w:spacing w:after="0"/>
              <w:rPr>
                <w:sz w:val="20"/>
                <w:szCs w:val="20"/>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(621)</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r>
      <w:tr>
        <w:trPr>
          <w:trHeight w:val="20"/>
        </w:trPr>
        <w:tc>
          <w:tcPr>
            <w:tcW w:w="20" w:type="dxa"/>
            <w:vAlign w:val="bottom"/>
          </w:tcPr>
          <w:p>
            <w:pPr>
              <w:spacing w:after="0" w:line="20" w:lineRule="exact"/>
              <w:rPr>
                <w:sz w:val="1"/>
                <w:szCs w:val="1"/>
                <w:color w:val="auto"/>
              </w:rPr>
            </w:pPr>
          </w:p>
        </w:tc>
        <w:tc>
          <w:tcPr>
            <w:tcW w:w="616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and geographic area data</w:t>
      </w:r>
    </w:p>
    <w:p>
      <w:pPr>
        <w:spacing w:after="0" w:line="25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financial reporting structure comprises three reportable segments. These reportable segments, which are established along major product lines having unique design and development requirements, are as follows:</w:t>
      </w:r>
    </w:p>
    <w:p>
      <w:pPr>
        <w:spacing w:after="0" w:line="197"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i w:val="1"/>
          <w:iCs w:val="1"/>
          <w:color w:val="auto"/>
        </w:rPr>
        <w:t xml:space="preserve">Analog </w:t>
      </w:r>
      <w:r>
        <w:rPr>
          <w:rFonts w:ascii="Arial" w:cs="Arial" w:eastAsia="Arial" w:hAnsi="Arial"/>
          <w:sz w:val="16"/>
          <w:szCs w:val="16"/>
          <w:color w:val="auto"/>
        </w:rPr>
        <w:t>– Analog semiconductors change real-world signals – such as sound, temperature, pressure or images – by conditioning them, amplifying them and</w:t>
      </w:r>
      <w:r>
        <w:rPr>
          <w:rFonts w:ascii="Arial" w:cs="Arial" w:eastAsia="Arial" w:hAnsi="Arial"/>
          <w:sz w:val="16"/>
          <w:szCs w:val="16"/>
          <w:i w:val="1"/>
          <w:iCs w:val="1"/>
          <w:color w:val="auto"/>
        </w:rPr>
        <w:t xml:space="preserve"> </w:t>
      </w:r>
      <w:r>
        <w:rPr>
          <w:rFonts w:ascii="Arial" w:cs="Arial" w:eastAsia="Arial" w:hAnsi="Arial"/>
          <w:sz w:val="16"/>
          <w:szCs w:val="16"/>
          <w:color w:val="auto"/>
        </w:rPr>
        <w:t>often converting them to a stream of digital data that can be processed by other semiconductors, such as DSPs. Analog semiconductors are also used to manage power distribution and consumption. Analog includes high-performance analog, high-volume analog &amp; logic and power management products.</w:t>
      </w:r>
    </w:p>
    <w:p>
      <w:pPr>
        <w:spacing w:after="0" w:line="17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i w:val="1"/>
          <w:iCs w:val="1"/>
          <w:color w:val="auto"/>
        </w:rPr>
        <w:t xml:space="preserve">Embedded Processing </w:t>
      </w:r>
      <w:r>
        <w:rPr>
          <w:rFonts w:ascii="Arial" w:cs="Arial" w:eastAsia="Arial" w:hAnsi="Arial"/>
          <w:sz w:val="16"/>
          <w:szCs w:val="16"/>
          <w:color w:val="auto"/>
        </w:rPr>
        <w:t>– Our Embedded Processing products include our DSPs (other than DSPs specific to our Wireless segment) and microcontrollers.</w:t>
      </w:r>
      <w:r>
        <w:rPr>
          <w:rFonts w:ascii="Arial" w:cs="Arial" w:eastAsia="Arial" w:hAnsi="Arial"/>
          <w:sz w:val="16"/>
          <w:szCs w:val="16"/>
          <w:i w:val="1"/>
          <w:iCs w:val="1"/>
          <w:color w:val="auto"/>
        </w:rPr>
        <w:t xml:space="preserve"> </w:t>
      </w:r>
      <w:r>
        <w:rPr>
          <w:rFonts w:ascii="Arial" w:cs="Arial" w:eastAsia="Arial" w:hAnsi="Arial"/>
          <w:sz w:val="16"/>
          <w:szCs w:val="16"/>
          <w:color w:val="auto"/>
        </w:rPr>
        <w:t>DSPs perform mathematical computations almost instantaneously to process or improve digital data. Microcontrollers are designed to control a set of specific tasks for electronic equipment. We make and sell standard, or catalog, Embedded Processing products used in many different applications and custom Embedded Processing products used in specific applications, such as communications infrastructure equipment and automotive.</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Wireless </w:t>
      </w:r>
      <w:r>
        <w:rPr>
          <w:rFonts w:ascii="Arial" w:cs="Arial" w:eastAsia="Arial" w:hAnsi="Arial"/>
          <w:sz w:val="18"/>
          <w:szCs w:val="18"/>
          <w:color w:val="auto"/>
        </w:rPr>
        <w:t>– Cell phones require a modem or “baseband” to connect to the wireless carrier’s network. Many of today’s advanced cell phones, which contain</w:t>
      </w:r>
      <w:r>
        <w:rPr>
          <w:rFonts w:ascii="Arial" w:cs="Arial" w:eastAsia="Arial" w:hAnsi="Arial"/>
          <w:sz w:val="18"/>
          <w:szCs w:val="18"/>
          <w:i w:val="1"/>
          <w:iCs w:val="1"/>
          <w:color w:val="auto"/>
        </w:rPr>
        <w:t xml:space="preserve"> </w:t>
      </w:r>
      <w:r>
        <w:rPr>
          <w:rFonts w:ascii="Arial" w:cs="Arial" w:eastAsia="Arial" w:hAnsi="Arial"/>
          <w:sz w:val="18"/>
          <w:szCs w:val="18"/>
          <w:color w:val="auto"/>
        </w:rPr>
        <w:t>email, media, games and computing capability, also require an applications processor to run the phone’s software and services, and semiconductors to enable connectivity to Bluetooth® devices, WiFi networks or GPS location services. We design, make and sell products to satisfy each of these requirements. Our Wireless portfolio includes both standard products and custom products.</w:t>
      </w:r>
    </w:p>
    <w:p>
      <w:pPr>
        <w:spacing w:after="0" w:line="214"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We also have Other, which includes other operating segments that neither meet the quantitative thresholds for individually reportable segments nor are they aggregated with other operating segments. These operating segments primarily include our smaller semiconductor product lines such as DLP® products (primarily used in projectors to create high-definition images); RISC microprocessors (designed to provide very fast computing and are often implemented in servers); and, custom semiconductors known as ASICs. Other also includes handheld graphing and scientific calculators and royalties received for our patented technology that we license to other electronics companies.</w:t>
      </w:r>
    </w:p>
    <w:p>
      <w:pPr>
        <w:spacing w:after="0" w:line="4" w:lineRule="exact"/>
        <w:rPr>
          <w:sz w:val="20"/>
          <w:szCs w:val="20"/>
          <w:color w:val="auto"/>
        </w:rPr>
      </w:pPr>
    </w:p>
    <w:p>
      <w:pPr>
        <w:ind w:right="40" w:firstLine="324"/>
        <w:spacing w:after="0" w:line="250" w:lineRule="auto"/>
        <w:rPr>
          <w:sz w:val="20"/>
          <w:szCs w:val="20"/>
          <w:color w:val="auto"/>
        </w:rPr>
      </w:pPr>
      <w:r>
        <w:rPr>
          <w:rFonts w:ascii="Arial" w:cs="Arial" w:eastAsia="Arial" w:hAnsi="Arial"/>
          <w:sz w:val="18"/>
          <w:szCs w:val="18"/>
          <w:color w:val="auto"/>
        </w:rPr>
        <w:t>Other may also include certain unallocated income and expenses such as gains and losses on sales of assets; sales tax refunds; and certain litigation costs, settlements or reserves. Except for the few unallocated items just mentioned, we allocate all of our expenses associated with corporate activities to our operating segments based on specific methodologies, such as percentage of operating expenses or headcount.</w:t>
      </w:r>
    </w:p>
    <w:p>
      <w:pPr>
        <w:spacing w:after="0" w:line="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With the exception of goodwill, we do not identify or allocate assets by operating segment, nor does the chief operating decision maker evaluate operating segments using discrete asset information. There was no significant intersegment revenue. The accounting policies of the segments are the same as those described in the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402590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82"/>
        </w:trPr>
        <w:tc>
          <w:tcPr>
            <w:tcW w:w="4220" w:type="dxa"/>
            <w:vAlign w:val="bottom"/>
            <w:gridSpan w:val="3"/>
          </w:tcPr>
          <w:p>
            <w:pPr>
              <w:spacing w:after="0"/>
              <w:rPr>
                <w:sz w:val="20"/>
                <w:szCs w:val="20"/>
                <w:color w:val="auto"/>
              </w:rPr>
            </w:pPr>
            <w:r>
              <w:rPr>
                <w:rFonts w:ascii="Arial" w:cs="Arial" w:eastAsia="Arial" w:hAnsi="Arial"/>
                <w:sz w:val="14"/>
                <w:szCs w:val="14"/>
                <w:color w:val="auto"/>
              </w:rPr>
              <w:t>TEXAS INSTRUMENTS 2009 ANNUAL REPORT n PAGE 30</w:t>
            </w: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77"/>
        </w:trPr>
        <w:tc>
          <w:tcPr>
            <w:tcW w:w="4220" w:type="dxa"/>
            <w:vAlign w:val="bottom"/>
            <w:gridSpan w:val="3"/>
          </w:tcPr>
          <w:p>
            <w:pPr>
              <w:spacing w:after="0"/>
              <w:rPr>
                <w:sz w:val="20"/>
                <w:szCs w:val="20"/>
                <w:color w:val="auto"/>
              </w:rPr>
            </w:pPr>
            <w:r>
              <w:rPr>
                <w:rFonts w:ascii="Arial" w:cs="Arial" w:eastAsia="Arial" w:hAnsi="Arial"/>
                <w:sz w:val="18"/>
                <w:szCs w:val="18"/>
                <w:color w:val="auto"/>
              </w:rPr>
              <w:t>Segment information</w:t>
            </w: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61"/>
        </w:trPr>
        <w:tc>
          <w:tcPr>
            <w:tcW w:w="20" w:type="dxa"/>
            <w:vAlign w:val="bottom"/>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2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Embedded</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41"/>
        </w:trPr>
        <w:tc>
          <w:tcPr>
            <w:tcW w:w="2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Analog</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6"/>
              </w:rPr>
              <w:t>Processing</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7"/>
              </w:rPr>
              <w:t>Wireless</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Other</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Revenue</w:t>
            </w: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jc w:val="right"/>
              <w:ind w:right="910"/>
              <w:spacing w:after="0"/>
              <w:rPr>
                <w:sz w:val="20"/>
                <w:szCs w:val="20"/>
                <w:color w:val="auto"/>
              </w:rPr>
            </w:pPr>
            <w:r>
              <w:rPr>
                <w:rFonts w:ascii="Arial" w:cs="Arial" w:eastAsia="Arial" w:hAnsi="Arial"/>
                <w:sz w:val="18"/>
                <w:szCs w:val="18"/>
                <w:b w:val="1"/>
                <w:bCs w:val="1"/>
                <w:color w:val="auto"/>
              </w:rPr>
              <w:t>2009</w:t>
            </w:r>
          </w:p>
        </w:tc>
        <w:tc>
          <w:tcPr>
            <w:tcW w:w="26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4,270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1,471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2,558</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2,128</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10,427</w:t>
            </w:r>
          </w:p>
        </w:tc>
      </w:tr>
      <w:tr>
        <w:trPr>
          <w:trHeight w:val="216"/>
        </w:trPr>
        <w:tc>
          <w:tcPr>
            <w:tcW w:w="20" w:type="dxa"/>
            <w:vAlign w:val="bottom"/>
          </w:tcPr>
          <w:p>
            <w:pPr>
              <w:spacing w:after="0"/>
              <w:rPr>
                <w:sz w:val="18"/>
                <w:szCs w:val="18"/>
                <w:color w:val="auto"/>
              </w:rPr>
            </w:pPr>
          </w:p>
        </w:tc>
        <w:tc>
          <w:tcPr>
            <w:tcW w:w="1520" w:type="dxa"/>
            <w:vAlign w:val="bottom"/>
          </w:tcPr>
          <w:p>
            <w:pPr>
              <w:jc w:val="right"/>
              <w:ind w:right="910"/>
              <w:spacing w:after="0"/>
              <w:rPr>
                <w:sz w:val="20"/>
                <w:szCs w:val="20"/>
                <w:color w:val="auto"/>
              </w:rPr>
            </w:pPr>
            <w:r>
              <w:rPr>
                <w:rFonts w:ascii="Arial" w:cs="Arial" w:eastAsia="Arial" w:hAnsi="Arial"/>
                <w:sz w:val="18"/>
                <w:szCs w:val="18"/>
                <w:color w:val="auto"/>
              </w:rPr>
              <w:t>2008</w:t>
            </w:r>
          </w:p>
        </w:tc>
        <w:tc>
          <w:tcPr>
            <w:tcW w:w="2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4,857</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1,631</w:t>
            </w: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3,383</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2,630</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12,501</w:t>
            </w: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2007</w:t>
            </w:r>
          </w:p>
        </w:tc>
        <w:tc>
          <w:tcPr>
            <w:tcW w:w="2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4,927</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1,588</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4,195</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3,125</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13,835</w:t>
            </w: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Operating profit</w:t>
            </w: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jc w:val="right"/>
              <w:ind w:right="910"/>
              <w:spacing w:after="0"/>
              <w:rPr>
                <w:sz w:val="20"/>
                <w:szCs w:val="20"/>
                <w:color w:val="auto"/>
              </w:rPr>
            </w:pPr>
            <w:r>
              <w:rPr>
                <w:rFonts w:ascii="Arial" w:cs="Arial" w:eastAsia="Arial" w:hAnsi="Arial"/>
                <w:sz w:val="18"/>
                <w:szCs w:val="18"/>
                <w:b w:val="1"/>
                <w:bCs w:val="1"/>
                <w:color w:val="auto"/>
              </w:rPr>
              <w:t>2009</w:t>
            </w:r>
          </w:p>
        </w:tc>
        <w:tc>
          <w:tcPr>
            <w:tcW w:w="26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753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332</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712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1,991</w:t>
            </w:r>
          </w:p>
        </w:tc>
      </w:tr>
      <w:tr>
        <w:trPr>
          <w:trHeight w:val="216"/>
        </w:trPr>
        <w:tc>
          <w:tcPr>
            <w:tcW w:w="20" w:type="dxa"/>
            <w:vAlign w:val="bottom"/>
          </w:tcPr>
          <w:p>
            <w:pPr>
              <w:spacing w:after="0"/>
              <w:rPr>
                <w:sz w:val="18"/>
                <w:szCs w:val="18"/>
                <w:color w:val="auto"/>
              </w:rPr>
            </w:pPr>
          </w:p>
        </w:tc>
        <w:tc>
          <w:tcPr>
            <w:tcW w:w="1520" w:type="dxa"/>
            <w:vAlign w:val="bottom"/>
          </w:tcPr>
          <w:p>
            <w:pPr>
              <w:jc w:val="right"/>
              <w:ind w:right="910"/>
              <w:spacing w:after="0"/>
              <w:rPr>
                <w:sz w:val="20"/>
                <w:szCs w:val="20"/>
                <w:color w:val="auto"/>
              </w:rPr>
            </w:pPr>
            <w:r>
              <w:rPr>
                <w:rFonts w:ascii="Arial" w:cs="Arial" w:eastAsia="Arial" w:hAnsi="Arial"/>
                <w:sz w:val="18"/>
                <w:szCs w:val="18"/>
                <w:color w:val="auto"/>
              </w:rPr>
              <w:t>2008</w:t>
            </w:r>
          </w:p>
        </w:tc>
        <w:tc>
          <w:tcPr>
            <w:tcW w:w="2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1,050</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268</w:t>
            </w: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347</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772</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2,437</w:t>
            </w: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2007</w:t>
            </w:r>
          </w:p>
        </w:tc>
        <w:tc>
          <w:tcPr>
            <w:tcW w:w="2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1,548</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763</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896</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3,497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for restructuring expenses impacting segment results.</w:t>
      </w:r>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geographic area data includes revenue, based on product shipment destination and royalty payor location, and property, plant and equipment based on physical location: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gridSpan w:val="3"/>
          </w:tcPr>
          <w:p>
            <w:pPr>
              <w:spacing w:after="0"/>
              <w:rPr>
                <w:sz w:val="20"/>
                <w:szCs w:val="20"/>
                <w:color w:val="auto"/>
              </w:rPr>
            </w:pPr>
            <w:r>
              <w:rPr>
                <w:rFonts w:ascii="Arial" w:cs="Arial" w:eastAsia="Arial" w:hAnsi="Arial"/>
                <w:sz w:val="18"/>
                <w:szCs w:val="18"/>
                <w:color w:val="auto"/>
              </w:rPr>
              <w:t>Geographic area information</w:t>
            </w: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87"/>
        </w:trPr>
        <w:tc>
          <w:tcPr>
            <w:tcW w:w="20" w:type="dxa"/>
            <w:vAlign w:val="bottom"/>
          </w:tcPr>
          <w:p>
            <w:pPr>
              <w:spacing w:after="0"/>
              <w:rPr>
                <w:sz w:val="24"/>
                <w:szCs w:val="24"/>
                <w:color w:val="auto"/>
              </w:rPr>
            </w:pPr>
          </w:p>
        </w:tc>
        <w:tc>
          <w:tcPr>
            <w:tcW w:w="2060" w:type="dxa"/>
            <w:vAlign w:val="bottom"/>
            <w:tcBorders>
              <w:top w:val="single" w:sz="8" w:color="auto"/>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U.S.</w:t>
            </w:r>
          </w:p>
        </w:tc>
        <w:tc>
          <w:tcPr>
            <w:tcW w:w="5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Asia</w:t>
            </w: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Europe</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Japan</w:t>
            </w:r>
          </w:p>
        </w:tc>
        <w:tc>
          <w:tcPr>
            <w:tcW w:w="13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Rest of World</w:t>
            </w: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16"/>
        </w:trPr>
        <w:tc>
          <w:tcPr>
            <w:tcW w:w="20" w:type="dxa"/>
            <w:vAlign w:val="bottom"/>
          </w:tcPr>
          <w:p>
            <w:pPr>
              <w:spacing w:after="0"/>
              <w:rPr>
                <w:sz w:val="18"/>
                <w:szCs w:val="18"/>
                <w:color w:val="auto"/>
              </w:rPr>
            </w:pPr>
          </w:p>
        </w:tc>
        <w:tc>
          <w:tcPr>
            <w:tcW w:w="3020" w:type="dxa"/>
            <w:vAlign w:val="bottom"/>
            <w:gridSpan w:val="2"/>
          </w:tcPr>
          <w:p>
            <w:pPr>
              <w:jc w:val="center"/>
              <w:ind w:right="2380"/>
              <w:spacing w:after="0"/>
              <w:rPr>
                <w:sz w:val="20"/>
                <w:szCs w:val="20"/>
                <w:color w:val="auto"/>
              </w:rPr>
            </w:pPr>
            <w:r>
              <w:rPr>
                <w:rFonts w:ascii="Arial" w:cs="Arial" w:eastAsia="Arial" w:hAnsi="Arial"/>
                <w:sz w:val="18"/>
                <w:szCs w:val="18"/>
                <w:b w:val="1"/>
                <w:bCs w:val="1"/>
                <w:color w:val="auto"/>
                <w:w w:val="85"/>
              </w:rPr>
              <w:t>Revenue</w:t>
            </w: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jc w:val="center"/>
              <w:ind w:right="1290"/>
              <w:spacing w:after="0"/>
              <w:rPr>
                <w:sz w:val="20"/>
                <w:szCs w:val="20"/>
                <w:color w:val="auto"/>
              </w:rPr>
            </w:pPr>
            <w:r>
              <w:rPr>
                <w:rFonts w:ascii="Arial" w:cs="Arial" w:eastAsia="Arial" w:hAnsi="Arial"/>
                <w:sz w:val="18"/>
                <w:szCs w:val="18"/>
                <w:b w:val="1"/>
                <w:bCs w:val="1"/>
                <w:color w:val="auto"/>
                <w:w w:val="89"/>
              </w:rPr>
              <w:t>2009</w:t>
            </w:r>
          </w:p>
        </w:tc>
        <w:tc>
          <w:tcPr>
            <w:tcW w:w="9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8"/>
              </w:rPr>
              <w:t>1,140</w:t>
            </w:r>
          </w:p>
        </w:tc>
        <w:tc>
          <w:tcPr>
            <w:tcW w:w="86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8"/>
              </w:rPr>
              <w:t>6,575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1,408</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976</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328</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10,427</w:t>
            </w:r>
          </w:p>
        </w:tc>
      </w:tr>
      <w:tr>
        <w:trPr>
          <w:trHeight w:val="216"/>
        </w:trPr>
        <w:tc>
          <w:tcPr>
            <w:tcW w:w="20" w:type="dxa"/>
            <w:vAlign w:val="bottom"/>
          </w:tcPr>
          <w:p>
            <w:pPr>
              <w:spacing w:after="0"/>
              <w:rPr>
                <w:sz w:val="18"/>
                <w:szCs w:val="18"/>
                <w:color w:val="auto"/>
              </w:rPr>
            </w:pPr>
          </w:p>
        </w:tc>
        <w:tc>
          <w:tcPr>
            <w:tcW w:w="2060" w:type="dxa"/>
            <w:vAlign w:val="bottom"/>
          </w:tcPr>
          <w:p>
            <w:pPr>
              <w:jc w:val="center"/>
              <w:ind w:right="1290"/>
              <w:spacing w:after="0"/>
              <w:rPr>
                <w:sz w:val="20"/>
                <w:szCs w:val="20"/>
                <w:color w:val="auto"/>
              </w:rPr>
            </w:pPr>
            <w:r>
              <w:rPr>
                <w:rFonts w:ascii="Arial" w:cs="Arial" w:eastAsia="Arial" w:hAnsi="Arial"/>
                <w:sz w:val="18"/>
                <w:szCs w:val="18"/>
                <w:color w:val="auto"/>
                <w:w w:val="89"/>
              </w:rPr>
              <w:t>2008</w:t>
            </w: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1,551</w:t>
            </w:r>
          </w:p>
        </w:tc>
        <w:tc>
          <w:tcPr>
            <w:tcW w:w="86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7,387</w:t>
            </w: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1,875</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1,268</w:t>
            </w:r>
          </w:p>
        </w:tc>
        <w:tc>
          <w:tcPr>
            <w:tcW w:w="60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420</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12,501</w:t>
            </w: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jc w:val="center"/>
              <w:ind w:right="1290"/>
              <w:spacing w:after="0"/>
              <w:rPr>
                <w:sz w:val="20"/>
                <w:szCs w:val="20"/>
                <w:color w:val="auto"/>
              </w:rPr>
            </w:pPr>
            <w:r>
              <w:rPr>
                <w:rFonts w:ascii="Arial" w:cs="Arial" w:eastAsia="Arial" w:hAnsi="Arial"/>
                <w:sz w:val="18"/>
                <w:szCs w:val="18"/>
                <w:color w:val="auto"/>
                <w:w w:val="89"/>
              </w:rPr>
              <w:t>2007</w:t>
            </w:r>
          </w:p>
        </w:tc>
        <w:tc>
          <w:tcPr>
            <w:tcW w:w="9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1,758</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8,013</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2,258</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1,423</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383</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13,835</w:t>
            </w:r>
          </w:p>
        </w:tc>
      </w:tr>
      <w:tr>
        <w:trPr>
          <w:trHeight w:val="216"/>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jc w:val="center"/>
              <w:ind w:right="1290"/>
              <w:spacing w:after="0"/>
              <w:rPr>
                <w:sz w:val="20"/>
                <w:szCs w:val="20"/>
                <w:color w:val="auto"/>
              </w:rPr>
            </w:pPr>
            <w:r>
              <w:rPr>
                <w:rFonts w:ascii="Arial" w:cs="Arial" w:eastAsia="Arial" w:hAnsi="Arial"/>
                <w:sz w:val="18"/>
                <w:szCs w:val="18"/>
                <w:b w:val="1"/>
                <w:bCs w:val="1"/>
                <w:color w:val="auto"/>
                <w:w w:val="89"/>
              </w:rPr>
              <w:t>2009</w:t>
            </w:r>
          </w:p>
        </w:tc>
        <w:tc>
          <w:tcPr>
            <w:tcW w:w="9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8"/>
              </w:rPr>
              <w:t>1,727</w:t>
            </w:r>
          </w:p>
        </w:tc>
        <w:tc>
          <w:tcPr>
            <w:tcW w:w="86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8"/>
              </w:rPr>
              <w:t>1,013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161</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244</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3,158</w:t>
            </w:r>
          </w:p>
        </w:tc>
      </w:tr>
      <w:tr>
        <w:trPr>
          <w:trHeight w:val="216"/>
        </w:trPr>
        <w:tc>
          <w:tcPr>
            <w:tcW w:w="20" w:type="dxa"/>
            <w:vAlign w:val="bottom"/>
          </w:tcPr>
          <w:p>
            <w:pPr>
              <w:spacing w:after="0"/>
              <w:rPr>
                <w:sz w:val="18"/>
                <w:szCs w:val="18"/>
                <w:color w:val="auto"/>
              </w:rPr>
            </w:pPr>
          </w:p>
        </w:tc>
        <w:tc>
          <w:tcPr>
            <w:tcW w:w="2060" w:type="dxa"/>
            <w:vAlign w:val="bottom"/>
          </w:tcPr>
          <w:p>
            <w:pPr>
              <w:jc w:val="center"/>
              <w:ind w:right="1290"/>
              <w:spacing w:after="0"/>
              <w:rPr>
                <w:sz w:val="20"/>
                <w:szCs w:val="20"/>
                <w:color w:val="auto"/>
              </w:rPr>
            </w:pPr>
            <w:r>
              <w:rPr>
                <w:rFonts w:ascii="Arial" w:cs="Arial" w:eastAsia="Arial" w:hAnsi="Arial"/>
                <w:sz w:val="18"/>
                <w:szCs w:val="18"/>
                <w:color w:val="auto"/>
                <w:w w:val="89"/>
              </w:rPr>
              <w:t>2008</w:t>
            </w: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1,785</w:t>
            </w:r>
          </w:p>
        </w:tc>
        <w:tc>
          <w:tcPr>
            <w:tcW w:w="86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988</w:t>
            </w: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200</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314</w:t>
            </w:r>
          </w:p>
        </w:tc>
        <w:tc>
          <w:tcPr>
            <w:tcW w:w="60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3,304</w:t>
            </w: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jc w:val="center"/>
              <w:ind w:right="1290"/>
              <w:spacing w:after="0"/>
              <w:rPr>
                <w:sz w:val="20"/>
                <w:szCs w:val="20"/>
                <w:color w:val="auto"/>
              </w:rPr>
            </w:pPr>
            <w:r>
              <w:rPr>
                <w:rFonts w:ascii="Arial" w:cs="Arial" w:eastAsia="Arial" w:hAnsi="Arial"/>
                <w:sz w:val="18"/>
                <w:szCs w:val="18"/>
                <w:color w:val="auto"/>
                <w:w w:val="89"/>
              </w:rPr>
              <w:t>2007</w:t>
            </w:r>
          </w:p>
        </w:tc>
        <w:tc>
          <w:tcPr>
            <w:tcW w:w="9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2,188</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965</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190</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3,609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Major customer</w:t>
      </w:r>
    </w:p>
    <w:p>
      <w:pPr>
        <w:spacing w:after="0" w:line="2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Direct sales to the Nokia group of companies were 21 percent of our revenue in 2009, 18 percent of our revenue in 2008 and 16 percent of our revenue in 2007; if indirect sales such as to contract manufacturers are included, Nokia accounted for 21 percent, 20 percent and 19 percent of our 2009, 2008 and 2007 revenue. Revenue from sales to Nokia is reflected primarily in our Wireless segment.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have evaluated subsequent events through the issuance of these financial statements, which occurred on February 23,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4"/>
          <w:szCs w:val="14"/>
          <w:color w:val="auto"/>
        </w:rPr>
        <w:t>TEXAS INSTRUMENTS 2009 ANNUAL REPORT n PAGE 31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3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audited the accompanying consolidated balance sheets of Texas Instruments Incorporated and subsidiaries (the Company) as of December 31, 2009 and 2008, and the related consolidated statements of income, comprehensive income, stockholders’ equity, and cash flows for each of the three years in the period ended December 31, 2009. These financial statements are the responsibility of the Company’s management. Our responsibility is to express an opinion on these financial statements based on our audits.</w:t>
      </w:r>
    </w:p>
    <w:p>
      <w:pPr>
        <w:spacing w:after="0" w:line="21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Texas Instruments Incorporated and subsidiaries at December 31, 2009 and 2008, and the consolidated results of their operations and their cash flows for each of the three years in the period ended December 31, 2009, in conformity with U.S. generally accepted accounting principles.</w:t>
      </w:r>
    </w:p>
    <w:p>
      <w:pPr>
        <w:spacing w:after="0" w:line="208"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Company’s internal control over financial reporting as of December 31, 2009, based on criteria established in Internal Control-Integrated Framework issued by the Committee of Sponsoring Organizations of the Treadway Commission and our report dated February 23, 2010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119380</wp:posOffset>
            </wp:positionV>
            <wp:extent cx="1715135" cy="4457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1513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88" w:name="page89"/>
    <w:bookmarkEnd w:id="88"/>
    <w:p>
      <w:pPr>
        <w:spacing w:after="0"/>
        <w:rPr>
          <w:sz w:val="20"/>
          <w:szCs w:val="20"/>
          <w:color w:val="auto"/>
        </w:rPr>
      </w:pPr>
      <w:r>
        <w:rPr>
          <w:rFonts w:ascii="Arial" w:cs="Arial" w:eastAsia="Arial" w:hAnsi="Arial"/>
          <w:sz w:val="14"/>
          <w:szCs w:val="14"/>
          <w:color w:val="auto"/>
        </w:rPr>
        <w:t>TEXAS INSTRUMENTS 2009 ANNUAL REPORT n PAGE 32</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by management on internal control over financial reporting</w:t>
      </w:r>
    </w:p>
    <w:p>
      <w:pPr>
        <w:spacing w:after="0" w:line="256"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management of TI is responsible for establishing and maintaining effective internal control over financial reporting. TI’s internal control system was designed to provide reasonable assurance regarding the reliability of financial reporting and the preparation and fair presentation of financial statements issued for external purposes in accordance with generally accepted accounting principles.</w:t>
      </w:r>
    </w:p>
    <w:p>
      <w:pPr>
        <w:spacing w:after="0" w:line="20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All internal control systems, no matter how well designed, have inherent limitations and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TI management assessed the effectiveness of internal control over financial reporting as of December 31, 2009. In making this assessment, we used the criteria set forth by the Committee of Sponsoring Organizations of the Treadway Commission (the COSO criteria)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r>
        <w:rPr>
          <w:rFonts w:ascii="Arial" w:cs="Arial" w:eastAsia="Arial" w:hAnsi="Arial"/>
          <w:sz w:val="18"/>
          <w:szCs w:val="18"/>
          <w:color w:val="auto"/>
        </w:rPr>
        <w:t>. Based on our assessment we believe that, as of December 31, 2009, our internal control over financial reporting is effective based on the COSO</w:t>
      </w:r>
      <w:r>
        <w:rPr>
          <w:rFonts w:ascii="Arial" w:cs="Arial" w:eastAsia="Arial" w:hAnsi="Arial"/>
          <w:sz w:val="18"/>
          <w:szCs w:val="18"/>
          <w:i w:val="1"/>
          <w:iCs w:val="1"/>
          <w:color w:val="auto"/>
        </w:rPr>
        <w:t xml:space="preserve"> </w:t>
      </w:r>
      <w:r>
        <w:rPr>
          <w:rFonts w:ascii="Arial" w:cs="Arial" w:eastAsia="Arial" w:hAnsi="Arial"/>
          <w:sz w:val="18"/>
          <w:szCs w:val="18"/>
          <w:color w:val="auto"/>
        </w:rPr>
        <w:t>criteria.</w:t>
      </w:r>
    </w:p>
    <w:p>
      <w:pPr>
        <w:spacing w:after="0" w:line="21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TI’s independent registered public accounting firm, Ernst &amp; Young LLP, has issued an audit report on the effectiveness of our internal control over financial reporting, which immediately follows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12" w:right="359" w:bottom="1440" w:gutter="0" w:footer="0" w:header="0"/>
        </w:sectPr>
      </w:pPr>
    </w:p>
    <w:bookmarkStart w:id="89" w:name="page90"/>
    <w:bookmarkEnd w:id="89"/>
    <w:p>
      <w:pPr>
        <w:jc w:val="right"/>
        <w:spacing w:after="0"/>
        <w:rPr>
          <w:sz w:val="20"/>
          <w:szCs w:val="20"/>
          <w:color w:val="auto"/>
        </w:rPr>
      </w:pPr>
      <w:r>
        <w:rPr>
          <w:rFonts w:ascii="Arial" w:cs="Arial" w:eastAsia="Arial" w:hAnsi="Arial"/>
          <w:sz w:val="14"/>
          <w:szCs w:val="14"/>
          <w:color w:val="auto"/>
        </w:rPr>
        <w:t>TEXAS INSTRUMENTS 2009 ANNUAL REPORT n PAGE 33</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3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have audited Texas Instruments Incorporated’s internal control over financial reporting as of December 31, 2009, based on criteria established in Internal Control-Integrated Framework issued by the Committee of Sponsoring Organizations of the Treadway Commission (the COSO criteria). Texas Instruments Incorporated’s management is responsible for maintaining effective internal control over financial reporting, and for its assessment of the effectiveness of internal control over financial reporting included in the accompanying Report By Management On Internal Control Over Financial Reporting. Our responsibility is to express an opinion on the company’s internal control over financial reporting based on our audit.</w:t>
      </w:r>
    </w:p>
    <w:p>
      <w:pPr>
        <w:spacing w:after="0" w:line="200" w:lineRule="exact"/>
        <w:rPr>
          <w:sz w:val="20"/>
          <w:szCs w:val="20"/>
          <w:color w:val="auto"/>
        </w:rPr>
      </w:pPr>
    </w:p>
    <w:p>
      <w:pPr>
        <w:jc w:val="both"/>
        <w:ind w:right="12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our opinion, Texas Instruments Incorporated maintained, in all material respects, effective internal control over financial reporting as of December 31, 2009, based on the COSO criteria.</w:t>
      </w:r>
    </w:p>
    <w:p>
      <w:pPr>
        <w:spacing w:after="0" w:line="19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Texas Instruments Incorporated and subsidiaries as of December 31, 2009 and 2008, and the related consolidated statements of income, comprehensive income, stockholders’ equity, and cash flows for each of the three years in the period ended December 31, 2009 and our report dated February 23, 2010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144780</wp:posOffset>
            </wp:positionV>
            <wp:extent cx="1715135" cy="4457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71513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82"/>
        </w:trPr>
        <w:tc>
          <w:tcPr>
            <w:tcW w:w="4600" w:type="dxa"/>
            <w:vAlign w:val="bottom"/>
            <w:gridSpan w:val="2"/>
          </w:tcPr>
          <w:p>
            <w:pPr>
              <w:spacing w:after="0"/>
              <w:rPr>
                <w:sz w:val="20"/>
                <w:szCs w:val="20"/>
                <w:color w:val="auto"/>
              </w:rPr>
            </w:pPr>
            <w:r>
              <w:rPr>
                <w:rFonts w:ascii="Arial" w:cs="Arial" w:eastAsia="Arial" w:hAnsi="Arial"/>
                <w:sz w:val="14"/>
                <w:szCs w:val="14"/>
                <w:color w:val="auto"/>
              </w:rPr>
              <w:t>TEXAS INSTRUMENTS 2009 ANNUAL REPORT n PAGE 34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4"/>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0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Summary of selected financial data</w:t>
            </w: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2008</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2"/>
              </w:rPr>
              <w:t>2006 (a)</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2005 (b)</w:t>
            </w:r>
          </w:p>
        </w:tc>
        <w:tc>
          <w:tcPr>
            <w:tcW w:w="0" w:type="dxa"/>
            <w:vAlign w:val="bottom"/>
          </w:tcPr>
          <w:p>
            <w:pPr>
              <w:spacing w:after="0"/>
              <w:rPr>
                <w:sz w:val="1"/>
                <w:szCs w:val="1"/>
                <w:color w:val="auto"/>
              </w:rPr>
            </w:pPr>
          </w:p>
        </w:tc>
      </w:tr>
      <w:tr>
        <w:trPr>
          <w:trHeight w:val="234"/>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w w:val="93"/>
              </w:rPr>
              <w:t>[Millions of dollars, except share and per-share amounts]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10,427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12,501</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13,835</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14,255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Operating costs and expenses (c)</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8,436</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10,064</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10,338</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10,888</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1,991</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2,437</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3,497</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3,367</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26</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195</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258</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2,481</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3,692</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3,625</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547</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561</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1,051</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987</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1,470</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1,920</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2,641</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2,638</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8"/>
              </w:rPr>
              <w:t>Income from discontinued operations, net of income taxes</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1,703</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1,470</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1,920</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2,657</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4,341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5"/>
              </w:rPr>
              <w:t>Basic income from continuing operations per common share</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1.16</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Diluted income from continuing operations per common share</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1.15</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Dividends declared per common share</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0.45</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0.41</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0.30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0.13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0.105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Average common and dilutive potential common shares</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1,268,533</w:t>
            </w: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outstanding during year, in thousands</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vMerge w:val="continue"/>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1,321,250</w:t>
            </w:r>
          </w:p>
        </w:tc>
        <w:tc>
          <w:tcPr>
            <w:tcW w:w="3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1,444,163</w:t>
            </w:r>
          </w:p>
        </w:tc>
        <w:tc>
          <w:tcPr>
            <w:tcW w:w="3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1,558,208</w:t>
            </w: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1,667,654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Includes a change in depreciation method beginning January 1, 2006.</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Includes the impact of adopting ASC 718, </w:t>
      </w:r>
      <w:r>
        <w:rPr>
          <w:rFonts w:ascii="Arial" w:cs="Arial" w:eastAsia="Arial" w:hAnsi="Arial"/>
          <w:sz w:val="18"/>
          <w:szCs w:val="18"/>
          <w:i w:val="1"/>
          <w:iCs w:val="1"/>
          <w:color w:val="auto"/>
        </w:rPr>
        <w:t>Stock Compensation</w:t>
      </w:r>
      <w:r>
        <w:rPr>
          <w:rFonts w:ascii="Arial" w:cs="Arial" w:eastAsia="Arial" w:hAnsi="Arial"/>
          <w:sz w:val="18"/>
          <w:szCs w:val="18"/>
          <w:color w:val="auto"/>
        </w:rPr>
        <w:t>, effective July 1, 2005.</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Includes restructuring expense of $212 million, $254 million and $52 million in 2009, 2008 and 2007.</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5"/>
              </w:rPr>
              <w:t>December 31,</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2009</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2008</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2007</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2006</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4,527</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4,893</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5,776</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3,158</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3,304</w:t>
            </w:r>
          </w:p>
        </w:tc>
        <w:tc>
          <w:tcPr>
            <w:tcW w:w="3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3,609</w:t>
            </w: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3,950</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12,119</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11,923</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12,667</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13,930</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Long-term debt</w:t>
            </w:r>
          </w:p>
        </w:tc>
        <w:tc>
          <w:tcPr>
            <w:tcW w:w="10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9,722</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9,326</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9,975</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11,360</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Employees</w:t>
            </w:r>
          </w:p>
        </w:tc>
        <w:tc>
          <w:tcPr>
            <w:tcW w:w="10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26,584</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29,537</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30,175</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30,986</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30,068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Stockholders of record</w:t>
            </w:r>
          </w:p>
        </w:tc>
        <w:tc>
          <w:tcPr>
            <w:tcW w:w="108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24,190</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25,107</w:t>
            </w:r>
          </w:p>
        </w:tc>
        <w:tc>
          <w:tcPr>
            <w:tcW w:w="34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26,037</w:t>
            </w:r>
          </w:p>
        </w:tc>
        <w:tc>
          <w:tcPr>
            <w:tcW w:w="3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27,976</w:t>
            </w: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29,848</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6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Years Ended December 31,</w:t>
            </w: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2009</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2007</w:t>
            </w:r>
          </w:p>
        </w:tc>
        <w:tc>
          <w:tcPr>
            <w:tcW w:w="3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2006</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2,643</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4,407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2,456</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Capital expenditures</w:t>
            </w:r>
          </w:p>
        </w:tc>
        <w:tc>
          <w:tcPr>
            <w:tcW w:w="10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753</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763</w:t>
            </w:r>
          </w:p>
        </w:tc>
        <w:tc>
          <w:tcPr>
            <w:tcW w:w="3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686</w:t>
            </w:r>
          </w:p>
        </w:tc>
        <w:tc>
          <w:tcPr>
            <w:tcW w:w="3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1,272</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0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567</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425</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Stock repurchases</w:t>
            </w:r>
          </w:p>
        </w:tc>
        <w:tc>
          <w:tcPr>
            <w:tcW w:w="108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954</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2,122</w:t>
            </w:r>
          </w:p>
        </w:tc>
        <w:tc>
          <w:tcPr>
            <w:tcW w:w="34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4,886</w:t>
            </w:r>
          </w:p>
        </w:tc>
        <w:tc>
          <w:tcPr>
            <w:tcW w:w="3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5,302</w:t>
            </w: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4,151</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 and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4"/>
          <w:szCs w:val="14"/>
          <w:color w:val="auto"/>
        </w:rPr>
        <w:t>TEXAS INSTRUMENTS 2009 ANNUAL REPORT n PAGE 35</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56"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following should be read in conjunction with the Financial Statements and the related Notes that appear elsewhere in this document. All dollar amounts in the tables in this discussion are stated in millions of U.S. dollars, except per-share amounts. All amounts in this discussion reference continuing operations unless otherwise noted.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We design and make semiconductors that we sell to electronics designers and manufacturers all over the world. We began operations in 1930. We are incorporated in Delaware, headquartered in Dallas, Texas, and have design, manufacturing or sales operations in more than 30 countries. We have four segments: Analog, Embedded Processing, Wireless and Other. We expect Analog and Embedded Processing to be our primary growth engines in the years ahead, and we therefore focus our resources on these segments.</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were the world’s fourth largest semiconductor company in 2009 as measured by revenue, according to preliminary estimates from an external source.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sell calculators and related products.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information</w:t>
      </w:r>
    </w:p>
    <w:p>
      <w:pPr>
        <w:spacing w:after="0" w:line="23"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Semiconductors are electronic components that serve as the building blocks inside modern electronic systems and equipment. Semiconductors come in two basic forms: individual transistors and integrated circuits (generally known as “chips”) that combine multiple transistors on a single piece of material to form a complete electronic circuit. Our semiconductors are used to accomplish many different things, such as converting and amplifying signals, interfacing with other devices, managing and distributing power, processing data, canceling noise and improving signal resolution. Our portfolio includes products that are integral to almost all electronic equipment.</w:t>
      </w:r>
    </w:p>
    <w:p>
      <w:pPr>
        <w:spacing w:after="0" w:line="2" w:lineRule="exact"/>
        <w:rPr>
          <w:sz w:val="20"/>
          <w:szCs w:val="20"/>
          <w:color w:val="auto"/>
        </w:rPr>
      </w:pPr>
    </w:p>
    <w:p>
      <w:pPr>
        <w:jc w:val="both"/>
        <w:ind w:right="200" w:firstLine="324"/>
        <w:spacing w:after="0" w:line="250" w:lineRule="auto"/>
        <w:rPr>
          <w:sz w:val="20"/>
          <w:szCs w:val="20"/>
          <w:color w:val="auto"/>
        </w:rPr>
      </w:pPr>
      <w:r>
        <w:rPr>
          <w:rFonts w:ascii="Arial" w:cs="Arial" w:eastAsia="Arial" w:hAnsi="Arial"/>
          <w:sz w:val="18"/>
          <w:szCs w:val="18"/>
          <w:color w:val="auto"/>
        </w:rPr>
        <w:t>We sell custom and standard semiconductor products. Custom products are designed for a specific customer for a specific application, are sold only to that customer and are typically sold directly to the customer. The life cycles of custom products are generally determined by end-equipment upgrade cycles and can be as short as 12 to 24 months. Standard products are designed for use by many customers and/or many applications and are generally sold through both distribution and direct channels. They include both proprietary and commodity products. The life cycles of standard products are generally longer than for custom products.</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information regarding each segment’s products follows.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w:t>
      </w:r>
    </w:p>
    <w:p>
      <w:pPr>
        <w:spacing w:after="0" w:line="23"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Analog semiconductors change real-world signals – such as sound, temperature, pressure or images – by conditioning them, amplifying them and often converting them to a stream of digital data that can be processed by other semiconductors, such as digital signal processors (DSPs). Analog semiconductors are also used to manage power distribution and consumption. Sales to our Analog segment’s nearly 80,000 customers generated about 40 percent of our revenue in 2009. According to external sources, the worldwide market for analog semiconductors was about $32 billion in 2009. Our Analog segment’s revenue in 2009 was $4.3 billion, or about 13 percent of this market, the leading position. We believe that we are well-positioned to increase our market share over time.</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Analog product lines are: high-performance analog, high-volume analog &amp; logic and power management.</w:t>
      </w:r>
    </w:p>
    <w:p>
      <w:pPr>
        <w:spacing w:after="0" w:line="9" w:lineRule="exact"/>
        <w:rPr>
          <w:sz w:val="20"/>
          <w:szCs w:val="20"/>
          <w:color w:val="auto"/>
        </w:rPr>
      </w:pPr>
    </w:p>
    <w:p>
      <w:pPr>
        <w:ind w:right="40" w:firstLine="324"/>
        <w:spacing w:after="0" w:line="250" w:lineRule="auto"/>
        <w:rPr>
          <w:sz w:val="20"/>
          <w:szCs w:val="20"/>
          <w:color w:val="auto"/>
        </w:rPr>
      </w:pPr>
      <w:r>
        <w:rPr>
          <w:rFonts w:ascii="Arial" w:cs="Arial" w:eastAsia="Arial" w:hAnsi="Arial"/>
          <w:sz w:val="18"/>
          <w:szCs w:val="18"/>
          <w:color w:val="auto"/>
        </w:rPr>
        <w:t>High-performance analog products: These include standard analog semiconductors, such as amplifiers, data converters and interface semiconductors (our portfolio includes more than 15,000 products), that we market to many different customers who use them in manufacturing a wide range of products sold in many end markets, including the industrial, communications, computing and consumer electronics markets. High-performance analog products generally have long life cycles, often more than 10 years.</w:t>
      </w:r>
    </w:p>
    <w:p>
      <w:pPr>
        <w:spacing w:after="0" w:line="2" w:lineRule="exact"/>
        <w:rPr>
          <w:sz w:val="20"/>
          <w:szCs w:val="20"/>
          <w:color w:val="auto"/>
        </w:rPr>
      </w:pPr>
    </w:p>
    <w:p>
      <w:pPr>
        <w:jc w:val="both"/>
        <w:ind w:right="20" w:firstLine="324"/>
        <w:spacing w:after="0" w:line="250" w:lineRule="auto"/>
        <w:rPr>
          <w:sz w:val="20"/>
          <w:szCs w:val="20"/>
          <w:color w:val="auto"/>
        </w:rPr>
      </w:pPr>
      <w:r>
        <w:rPr>
          <w:rFonts w:ascii="Arial" w:cs="Arial" w:eastAsia="Arial" w:hAnsi="Arial"/>
          <w:sz w:val="18"/>
          <w:szCs w:val="18"/>
          <w:color w:val="auto"/>
        </w:rPr>
        <w:t>High-volume analog &amp; logic products: High-volume analog includes products for specific applications, including custom products. The life cycles of our high-volume analog products are generally shorter than those of our high-performance analog products. End markets for high-volume analog products include communications, automotive, computing and many consumer electronics products. Logic and standard linear includes commodity products marketed to many different customers for many different applications.</w:t>
      </w:r>
    </w:p>
    <w:p>
      <w:pPr>
        <w:spacing w:after="0" w:line="2" w:lineRule="exact"/>
        <w:rPr>
          <w:sz w:val="20"/>
          <w:szCs w:val="20"/>
          <w:color w:val="auto"/>
        </w:rPr>
      </w:pPr>
    </w:p>
    <w:p>
      <w:pPr>
        <w:jc w:val="both"/>
        <w:ind w:right="380" w:firstLine="324"/>
        <w:spacing w:after="0" w:line="254" w:lineRule="auto"/>
        <w:rPr>
          <w:sz w:val="20"/>
          <w:szCs w:val="20"/>
          <w:color w:val="auto"/>
        </w:rPr>
      </w:pPr>
      <w:r>
        <w:rPr>
          <w:rFonts w:ascii="Arial" w:cs="Arial" w:eastAsia="Arial" w:hAnsi="Arial"/>
          <w:sz w:val="18"/>
          <w:szCs w:val="18"/>
          <w:color w:val="auto"/>
        </w:rPr>
        <w:t>Power management products: These include both standard and custom semiconductors that help customers manage power in any type of electronic system. We design and manufacture power management semiconductors for both portable devices (battery-powered devices, such as handheld consumer electronics, laptop computers and cordless power tools) and line-powered systems (products that require an external electrical source, such as computers, digital TVs, wireless base stations and high-voltage industrial equipment).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w:t>
      </w:r>
    </w:p>
    <w:p>
      <w:pPr>
        <w:spacing w:after="0" w:line="23"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Our Embedded Processing products include our DSPs (other than DSPs specific to our Wireless segment) and microcontrollers. DSPs perform mathematical computations almost instantaneously to process or improve digital data. Microcontrollers are designed to control a set of specific tasks for electronic equipment. Sales of Embedded Processing products generated about 15 percent of our revenue in 2009. The worldwide market for embedded processors was about $14 billion in 2009. According to external sources, we have about 11 percent share in this fragmented market, and we believe we are well-positioned to increase our market share over time.</w:t>
      </w:r>
    </w:p>
    <w:p>
      <w:pPr>
        <w:spacing w:after="0" w:line="2" w:lineRule="exact"/>
        <w:rPr>
          <w:sz w:val="20"/>
          <w:szCs w:val="20"/>
          <w:color w:val="auto"/>
        </w:rPr>
      </w:pPr>
    </w:p>
    <w:p>
      <w:pPr>
        <w:ind w:right="60" w:firstLine="324"/>
        <w:spacing w:after="0" w:line="295" w:lineRule="auto"/>
        <w:rPr>
          <w:sz w:val="20"/>
          <w:szCs w:val="20"/>
          <w:color w:val="auto"/>
        </w:rPr>
      </w:pPr>
      <w:r>
        <w:rPr>
          <w:rFonts w:ascii="Arial" w:cs="Arial" w:eastAsia="Arial" w:hAnsi="Arial"/>
          <w:sz w:val="16"/>
          <w:szCs w:val="16"/>
          <w:color w:val="auto"/>
        </w:rPr>
        <w:t>An important characteristic of our Embedded Processing products is that our customers often invest their own research and development (R&amp;D) to write software that operates on our products. This investment tends to increase the length of our customer relationships because customers prefer to re-use software from one product generation to the next. We make and sell standard, or catalog, Embedded Processing products used in many different applications and custom Embedded Processing products used in specific applications, such as communications infrastructure equipment and automotive.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92" w:name="page93"/>
    <w:bookmarkEnd w:id="92"/>
    <w:p>
      <w:pPr>
        <w:spacing w:after="0"/>
        <w:rPr>
          <w:sz w:val="20"/>
          <w:szCs w:val="20"/>
          <w:color w:val="auto"/>
        </w:rPr>
      </w:pPr>
      <w:r>
        <w:rPr>
          <w:rFonts w:ascii="Arial" w:cs="Arial" w:eastAsia="Arial" w:hAnsi="Arial"/>
          <w:sz w:val="14"/>
          <w:szCs w:val="14"/>
          <w:color w:val="auto"/>
        </w:rPr>
        <w:t>TEXAS INSTRUMENTS 2009 ANNUAL REPORT n PAGE 36</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Wireless</w:t>
      </w:r>
    </w:p>
    <w:p>
      <w:pPr>
        <w:spacing w:after="0" w:line="23"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Cell phones require a modem or “baseband” to connect to the wireless carrier’s network. Many of today’s advanced cell phones, which contain email, media, games and computing capability, also require an applications processor to run the phone’s software and services, and semiconductors to enable connectivity to Bluetooth</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devices, WiFi networks or GPS location services. We design, make and sell products to satisfy each of these requirements. Wireless products are typically sold in high volumes, and our Wireless portfolio includes both standard products and custom products. Sales of Wireless products generated about 25 percent of our revenue in 2009, and a significant portion of our Wireless sales were to a single customer.</w:t>
      </w:r>
    </w:p>
    <w:p>
      <w:pPr>
        <w:spacing w:after="0" w:line="1" w:lineRule="exact"/>
        <w:rPr>
          <w:sz w:val="20"/>
          <w:szCs w:val="20"/>
          <w:color w:val="auto"/>
        </w:rPr>
      </w:pPr>
    </w:p>
    <w:p>
      <w:pPr>
        <w:ind w:right="340" w:firstLine="324"/>
        <w:spacing w:after="0" w:line="267" w:lineRule="auto"/>
        <w:rPr>
          <w:sz w:val="20"/>
          <w:szCs w:val="20"/>
          <w:color w:val="auto"/>
        </w:rPr>
      </w:pPr>
      <w:r>
        <w:rPr>
          <w:rFonts w:ascii="Arial" w:cs="Arial" w:eastAsia="Arial" w:hAnsi="Arial"/>
          <w:sz w:val="16"/>
          <w:szCs w:val="16"/>
          <w:color w:val="auto"/>
        </w:rPr>
        <w:t>Our Wireless segment has shifted focus from baseband chips, a market with shrinking competitive barriers and slowing growth rates, to applications processors and connectivity products, markets we expect will grow faster than the baseband market. Consistent with this shift in market focus, we are concentrating our Wireless investments on our OMAP</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applications processors and connectivity products and have discontinued further development of standard baseband products. While we continue to sell custom baseband products, we have discontinued essentially all custom baseband investment. We expect substantially all of our baseband revenue, which was $1.73 billion in 2009, to cease by the end of 2012.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3"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color w:val="auto"/>
        </w:rPr>
        <w:t>Our Other segment includes revenue from sales from our smaller semiconductor product lines and of our handheld graphing and scientific calculators, as well as royalties received for our patented technology that we license to other electronics companies. The semiconductor products in our Other segment include DLP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(primarily used in projectors to create high-definition images), reduced-instruction set computing (RISC) microprocessors (designed to provide very fast computing and often implemented in servers) and custom semiconductors known as application-specific integrated circuits (ASICs). This segment generated about 20 percent of our revenue in 2009.</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w:t>
      </w:r>
    </w:p>
    <w:p>
      <w:pPr>
        <w:spacing w:after="0" w:line="23"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Our inventory practices differ by product, but we generally maintain inventory levels that are consistent with our expectations of customer demand. Because of the longer product life cycles of standard products and their inherently lower risk of obsolescence, we generally carry more of those products than custom products. Additionally, we sometimes maintain standard-product inventory in unfinished wafer form, allowing greater flexibility to meet final package and test configurations.</w:t>
      </w:r>
    </w:p>
    <w:p>
      <w:pPr>
        <w:spacing w:after="0" w:line="2"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As a result of two multi-year trends, in general we expect to carry higher levels of inventory relative to our revenue expectations (commonly viewed by investors as days of inventory) than in past years. First, standard products have become a larger part of our portfolio. Second, we have increased consignment programs for our largest customers and some distributors and, as a result, we now carry more inventory on average than in the past in order to service the needs of these customers.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Manufacturing</w:t>
      </w:r>
    </w:p>
    <w:p>
      <w:pPr>
        <w:spacing w:after="0" w:line="23"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Semiconductor manufacturing begins with a sequence of photo-lithographic and chemical processing steps that fabricate a number of semiconductor devices on a thin silicon wafer. Each device on the wafer is tested and the wafer is cut into pieces called chips. Each chip is assembled into a package that then may be retested. The entire process typically requires between 12 and 18 weeks and takes place in highly specialized facilities.</w:t>
      </w:r>
    </w:p>
    <w:p>
      <w:pPr>
        <w:spacing w:after="0" w:line="1" w:lineRule="exact"/>
        <w:rPr>
          <w:sz w:val="20"/>
          <w:szCs w:val="20"/>
          <w:color w:val="auto"/>
        </w:rPr>
      </w:pPr>
    </w:p>
    <w:p>
      <w:pPr>
        <w:ind w:right="80" w:firstLine="324"/>
        <w:spacing w:after="0" w:line="265" w:lineRule="auto"/>
        <w:rPr>
          <w:sz w:val="20"/>
          <w:szCs w:val="20"/>
          <w:color w:val="auto"/>
        </w:rPr>
      </w:pPr>
      <w:r>
        <w:rPr>
          <w:rFonts w:ascii="Arial" w:cs="Arial" w:eastAsia="Arial" w:hAnsi="Arial"/>
          <w:sz w:val="17"/>
          <w:szCs w:val="17"/>
          <w:color w:val="auto"/>
        </w:rPr>
        <w:t>We own and operate semiconductor manufacturing facilities in North America, Asia and Europe. These include both high-volume wafer fabrication and assembly/test facilities. Our facilities require substantial investment to construct and are largely fixed-cost assets once in operation. Because we own much of our manufacturing capacity, a significant portion of our operating cost is fixed. In general, these fixed costs do not decline with reductions in customer demand or utilization of capacity, potentially hurting our profit margins. Conversely, as product demand rises and factory utilization increases, the fixed costs are spread over increased output, potentially benefiting our profit margins.</w:t>
      </w:r>
    </w:p>
    <w:p>
      <w:pPr>
        <w:spacing w:after="0" w:line="1" w:lineRule="exact"/>
        <w:rPr>
          <w:sz w:val="20"/>
          <w:szCs w:val="20"/>
          <w:color w:val="auto"/>
        </w:rPr>
      </w:pPr>
    </w:p>
    <w:p>
      <w:pPr>
        <w:ind w:firstLine="324"/>
        <w:spacing w:after="0" w:line="281" w:lineRule="auto"/>
        <w:rPr>
          <w:sz w:val="20"/>
          <w:szCs w:val="20"/>
          <w:color w:val="auto"/>
        </w:rPr>
      </w:pPr>
      <w:r>
        <w:rPr>
          <w:rFonts w:ascii="Arial" w:cs="Arial" w:eastAsia="Arial" w:hAnsi="Arial"/>
          <w:sz w:val="16"/>
          <w:szCs w:val="16"/>
          <w:color w:val="auto"/>
        </w:rPr>
        <w:t>The cost and lifespan of the equipment and processes we use to manufacture semiconductors varies by product. Our Analog products and most of our Embedded Processing products can be manufactured using older, less expensive equipment than is needed for manufacturing advanced logic products, such as our Wireless products. Advanced logic wafer manufacturing continually requires new and expensive processes and equipment. In contrast, the processes and equipment required for manufacturing our Analog products and most of our Embedded Processing products do not have this requirement.</w:t>
      </w:r>
    </w:p>
    <w:p>
      <w:pPr>
        <w:spacing w:after="0" w:line="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To supplement our internal wafer fabrication capacity and maximize our responsiveness to customer demand and return on capital expenditures, our wafer manufacturing strategy utilizes the capacity of outside suppliers, commonly known as foundries. Our strategy involves installing internal wafer fabrication capacity to a level we believe will remain fully utilized over the equipment’s useful lifetime and then outsourcing remaining capacity needs to foundries. In 2009, external foundries provided about 55 percent of the fabricated wafers for our advanced logic manufacturing needs. We expect the proportion of our advanced logic wafers provided by foundries will increase over time. We expect to maintain sufficient internal wafer fabrication capacity to meet the vast majority of our analog production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405130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93" w:name="page94"/>
    <w:bookmarkEnd w:id="93"/>
    <w:p>
      <w:pPr>
        <w:ind w:left="7680"/>
        <w:spacing w:after="0"/>
        <w:rPr>
          <w:sz w:val="20"/>
          <w:szCs w:val="20"/>
          <w:color w:val="auto"/>
        </w:rPr>
      </w:pPr>
      <w:r>
        <w:rPr>
          <w:rFonts w:ascii="Arial" w:cs="Arial" w:eastAsia="Arial" w:hAnsi="Arial"/>
          <w:sz w:val="13"/>
          <w:szCs w:val="13"/>
          <w:color w:val="auto"/>
        </w:rPr>
        <w:t>TEXAS INSTRUMENTS 2009 ANNUAL REPORT n PAGE 37</w:t>
      </w:r>
    </w:p>
    <w:p>
      <w:pPr>
        <w:spacing w:after="0" w:line="220"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addition to using foundries to supplement our wafer fabrication capacity, we selectively use subcontractors to supplement our assembly/test capacity. We generally use subcontractors for assembly/test of products that would be less cost-efficient to complete in-house (e.g., relatively low-volume products that are unlikely to keep internal equipment fully utilized), or when demand temporarily exceeds our internal capacity. We believe we often have a cost advantage in maintaining internal assembly/test capacity.</w:t>
      </w:r>
    </w:p>
    <w:p>
      <w:pPr>
        <w:spacing w:after="0" w:line="2" w:lineRule="exact"/>
        <w:rPr>
          <w:sz w:val="20"/>
          <w:szCs w:val="20"/>
          <w:color w:val="auto"/>
        </w:rPr>
      </w:pPr>
    </w:p>
    <w:p>
      <w:pPr>
        <w:ind w:right="380" w:firstLine="324"/>
        <w:spacing w:after="0" w:line="265" w:lineRule="auto"/>
        <w:rPr>
          <w:sz w:val="20"/>
          <w:szCs w:val="20"/>
          <w:color w:val="auto"/>
        </w:rPr>
      </w:pPr>
      <w:r>
        <w:rPr>
          <w:rFonts w:ascii="Arial" w:cs="Arial" w:eastAsia="Arial" w:hAnsi="Arial"/>
          <w:sz w:val="17"/>
          <w:szCs w:val="17"/>
          <w:color w:val="auto"/>
        </w:rPr>
        <w:t>Our internal/external manufacturing strategy reduces the level of our required capital expenditures, and thereby reduces our subsequent levels of depreciation below what it would be if we sourced all manufacturing internally. Consequently, we experience less fluctuation in our profit margins due to changing product demand, and lower cash requirements for expanding and updating our manufacturing capabilities.</w:t>
      </w:r>
    </w:p>
    <w:p>
      <w:pPr>
        <w:spacing w:after="0" w:line="1" w:lineRule="exact"/>
        <w:rPr>
          <w:sz w:val="20"/>
          <w:szCs w:val="20"/>
          <w:color w:val="auto"/>
        </w:rPr>
      </w:pPr>
    </w:p>
    <w:p>
      <w:pPr>
        <w:jc w:val="both"/>
        <w:ind w:right="400" w:firstLine="324"/>
        <w:spacing w:after="0" w:line="255" w:lineRule="auto"/>
        <w:rPr>
          <w:sz w:val="20"/>
          <w:szCs w:val="20"/>
          <w:color w:val="auto"/>
        </w:rPr>
      </w:pPr>
      <w:r>
        <w:rPr>
          <w:rFonts w:ascii="Arial" w:cs="Arial" w:eastAsia="Arial" w:hAnsi="Arial"/>
          <w:sz w:val="18"/>
          <w:szCs w:val="18"/>
          <w:color w:val="auto"/>
        </w:rPr>
        <w:t>In 2009, to expand our existing wafer fabrication capacity, we began installing equipment in the industry’s first 300-millimeter analog wafer factory, located in Richardson, Texas, and are currently qualifying for production. We also opened a new assembly/test facility in the Philippines to significantly increase our assembly/test capacity.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cycle</w:t>
      </w:r>
    </w:p>
    <w:p>
      <w:pPr>
        <w:spacing w:after="0" w:line="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global semiconductor market is characterized by constant, though generally incremental, advances in product designs and manufacturing processes. Semiconductor prices and manufacturing costs tend to decline over time as manufacturing processes and product life cycles mature. Typically, new chips are produced in limited quantities at first and then ramp to high-volume production over time. Consequently, new products tend not to have a significant revenue impact for one or more quarters after their introduction. In the results discussions below, changes in our shipments are caused by changing demand for our products unless otherwise noted.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cycle</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“semiconductor cycle” is an important concept that refers to the ebb and flow of supply. The semiconductor market historically has been characterized by periods of tight supply caused by strengthening demand and/or insufficient manufacturing capacity, followed by periods of surplus inventory caused by weakening demand and/or excess manufacturing capacity. This cycle is affected by the significant time and money required to build and maintain semiconductor manufacturing facilities.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Seasonality</w:t>
      </w:r>
    </w:p>
    <w:p>
      <w:pPr>
        <w:spacing w:after="0" w:line="2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revenue and operating results are subject to some seasonal variation. Our semiconductor sales generally are seasonally weaker in the first quarter than in other quarters, particularly for products sold into cell phones and other consumer electronics devices, which have stronger sales later in the year as manufacturers prepare for the major holiday selling seasons. Calculator revenue is tied to the U.S. back-to-school season and is therefore at its highest in the second and third quarters. Royalty revenue is not always uniform or predictable, in part due to the performance of our licensees and in part due to the timing of new license agreements or the expiration and renewal of existing agreements.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 considerations</w:t>
      </w:r>
    </w:p>
    <w:p>
      <w:pPr>
        <w:spacing w:after="0" w:line="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operate in a number of tax jurisdictions and are subject to several types of taxes including those that are based on income, capital, property and payroll, as well as sales and other transactional taxes. The timing of the final determination of our tax liabilities varies by jurisdiction and taxing authority. As a result, during any particular reporting period, we might reflect in our financial statements one or more tax refunds or assessments, or changes to tax liabilities, involving one or more taxing authorities.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2009 compared with 2008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Our 2009 revenue was $10.43 billion, net income was $1.47 billion and earnings per share (EPS) were $1.15.</w:t>
      </w:r>
    </w:p>
    <w:p>
      <w:pPr>
        <w:spacing w:after="0" w:line="9"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During the year, despite a severe global economic downturn, we increased our focus on our core businesses of Analog and Embedded Processing. In addition, we completed actions that significantly reduced our costs. Our major actions during the year included implementing a voluntary retirement program and an involuntary reduction program, staffing Kilby Labs (a creative research facility in Dallas), acquiring two companies to support our Analog and Embedded Processing objectives and opening an assembly/test site located in the Philippines and the world’s first 300-millimeter analog wafer factory, located in Richardson, Texas, outfitting both with manufacturing equipment purchased in a weak market at extremely attractive prices. Although the downturn was one of the steepest we have experienced, we remained profitable. When market demand returned, our revenue growth surpassed the growth of most of our major competitors, and we achieved record high operating profit margin in the fourth quarter of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388620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82"/>
        </w:trPr>
        <w:tc>
          <w:tcPr>
            <w:tcW w:w="7280" w:type="dxa"/>
            <w:vAlign w:val="bottom"/>
            <w:gridSpan w:val="3"/>
          </w:tcPr>
          <w:p>
            <w:pPr>
              <w:spacing w:after="0"/>
              <w:rPr>
                <w:sz w:val="20"/>
                <w:szCs w:val="20"/>
                <w:color w:val="auto"/>
              </w:rPr>
            </w:pPr>
            <w:r>
              <w:rPr>
                <w:rFonts w:ascii="Arial" w:cs="Arial" w:eastAsia="Arial" w:hAnsi="Arial"/>
                <w:sz w:val="14"/>
                <w:szCs w:val="14"/>
                <w:color w:val="auto"/>
              </w:rPr>
              <w:t>TEXAS INSTRUMENTS 2009 ANNUAL REPORT n PAGE 38</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377"/>
        </w:trPr>
        <w:tc>
          <w:tcPr>
            <w:tcW w:w="7280" w:type="dxa"/>
            <w:vAlign w:val="bottom"/>
            <w:gridSpan w:val="3"/>
          </w:tcPr>
          <w:p>
            <w:pPr>
              <w:spacing w:after="0"/>
              <w:rPr>
                <w:sz w:val="20"/>
                <w:szCs w:val="20"/>
                <w:color w:val="auto"/>
              </w:rPr>
            </w:pPr>
            <w:r>
              <w:rPr>
                <w:rFonts w:ascii="Arial" w:cs="Arial" w:eastAsia="Arial" w:hAnsi="Arial"/>
                <w:sz w:val="18"/>
                <w:szCs w:val="18"/>
                <w:color w:val="auto"/>
              </w:rPr>
              <w:t>Statement of operations – selected items</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61"/>
        </w:trPr>
        <w:tc>
          <w:tcPr>
            <w:tcW w:w="20" w:type="dxa"/>
            <w:vAlign w:val="bottom"/>
          </w:tcPr>
          <w:p>
            <w:pPr>
              <w:spacing w:after="0"/>
              <w:rPr>
                <w:sz w:val="24"/>
                <w:szCs w:val="24"/>
                <w:color w:val="auto"/>
              </w:rPr>
            </w:pPr>
          </w:p>
        </w:tc>
        <w:tc>
          <w:tcPr>
            <w:tcW w:w="2900" w:type="dxa"/>
            <w:vAlign w:val="bottom"/>
            <w:tcBorders>
              <w:top w:val="single" w:sz="8" w:color="auto"/>
            </w:tcBorders>
          </w:tcPr>
          <w:p>
            <w:pPr>
              <w:spacing w:after="0"/>
              <w:rPr>
                <w:sz w:val="24"/>
                <w:szCs w:val="24"/>
                <w:color w:val="auto"/>
              </w:rPr>
            </w:pPr>
          </w:p>
        </w:tc>
        <w:tc>
          <w:tcPr>
            <w:tcW w:w="4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gridSpan w:val="3"/>
          </w:tcPr>
          <w:p>
            <w:pPr>
              <w:jc w:val="center"/>
              <w:ind w:left="830"/>
              <w:spacing w:after="0"/>
              <w:rPr>
                <w:sz w:val="20"/>
                <w:szCs w:val="20"/>
                <w:color w:val="auto"/>
              </w:rPr>
            </w:pPr>
            <w:r>
              <w:rPr>
                <w:rFonts w:ascii="Arial" w:cs="Arial" w:eastAsia="Arial" w:hAnsi="Arial"/>
                <w:sz w:val="18"/>
                <w:szCs w:val="18"/>
                <w:b w:val="1"/>
                <w:bCs w:val="1"/>
                <w:color w:val="auto"/>
                <w:w w:val="90"/>
              </w:rPr>
              <w:t>For the Years Ended</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4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0"/>
              </w:rPr>
              <w:t>December 31,</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2900" w:type="dxa"/>
            <w:vAlign w:val="bottom"/>
            <w:tcBorders>
              <w:bottom w:val="single" w:sz="8" w:color="auto"/>
            </w:tcBorders>
          </w:tcPr>
          <w:p>
            <w:pPr>
              <w:spacing w:after="0"/>
              <w:rPr>
                <w:sz w:val="21"/>
                <w:szCs w:val="21"/>
                <w:color w:val="auto"/>
              </w:rPr>
            </w:pPr>
          </w:p>
        </w:tc>
        <w:tc>
          <w:tcPr>
            <w:tcW w:w="43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2009</w:t>
            </w: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b w:val="1"/>
                <w:bCs w:val="1"/>
                <w:color w:val="auto"/>
                <w:w w:val="89"/>
              </w:rPr>
              <w:t>2008</w:t>
            </w: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2007</w:t>
            </w: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Revenue by segment:</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Analog</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4,270</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4,857</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4,927</w:t>
            </w:r>
          </w:p>
        </w:tc>
      </w:tr>
      <w:tr>
        <w:trPr>
          <w:trHeight w:val="216"/>
        </w:trPr>
        <w:tc>
          <w:tcPr>
            <w:tcW w:w="20" w:type="dxa"/>
            <w:vAlign w:val="bottom"/>
          </w:tcPr>
          <w:p>
            <w:pPr>
              <w:spacing w:after="0"/>
              <w:rPr>
                <w:sz w:val="18"/>
                <w:szCs w:val="18"/>
                <w:color w:val="auto"/>
              </w:rPr>
            </w:pPr>
          </w:p>
        </w:tc>
        <w:tc>
          <w:tcPr>
            <w:tcW w:w="7260" w:type="dxa"/>
            <w:vAlign w:val="bottom"/>
            <w:gridSpan w:val="2"/>
          </w:tcPr>
          <w:p>
            <w:pPr>
              <w:ind w:left="160"/>
              <w:spacing w:after="0"/>
              <w:rPr>
                <w:sz w:val="20"/>
                <w:szCs w:val="20"/>
                <w:color w:val="auto"/>
              </w:rPr>
            </w:pPr>
            <w:r>
              <w:rPr>
                <w:rFonts w:ascii="Arial" w:cs="Arial" w:eastAsia="Arial" w:hAnsi="Arial"/>
                <w:sz w:val="18"/>
                <w:szCs w:val="18"/>
                <w:color w:val="auto"/>
              </w:rPr>
              <w:t>Embedded Processing</w:t>
            </w:r>
          </w:p>
        </w:tc>
        <w:tc>
          <w:tcPr>
            <w:tcW w:w="24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1,471</w:t>
            </w:r>
          </w:p>
        </w:tc>
        <w:tc>
          <w:tcPr>
            <w:tcW w:w="30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1,631</w:t>
            </w:r>
          </w:p>
        </w:tc>
        <w:tc>
          <w:tcPr>
            <w:tcW w:w="26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1,588</w:t>
            </w: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Wireless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2,558</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3,383</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4,195</w:t>
            </w:r>
          </w:p>
        </w:tc>
      </w:tr>
      <w:tr>
        <w:trPr>
          <w:trHeight w:val="223"/>
        </w:trPr>
        <w:tc>
          <w:tcPr>
            <w:tcW w:w="20" w:type="dxa"/>
            <w:vAlign w:val="bottom"/>
          </w:tcPr>
          <w:p>
            <w:pPr>
              <w:spacing w:after="0"/>
              <w:rPr>
                <w:sz w:val="19"/>
                <w:szCs w:val="19"/>
                <w:color w:val="auto"/>
              </w:rPr>
            </w:pPr>
          </w:p>
        </w:tc>
        <w:tc>
          <w:tcPr>
            <w:tcW w:w="726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2,128</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2,630</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3,125</w:t>
            </w: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10,427</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12,501</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13,835</w:t>
            </w:r>
          </w:p>
        </w:tc>
      </w:tr>
      <w:tr>
        <w:trPr>
          <w:trHeight w:val="223"/>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5,428</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6,256</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6,466</w:t>
            </w: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4,999</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6,245</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7,369</w:t>
            </w:r>
          </w:p>
        </w:tc>
      </w:tr>
      <w:tr>
        <w:trPr>
          <w:trHeight w:val="216"/>
        </w:trPr>
        <w:tc>
          <w:tcPr>
            <w:tcW w:w="20" w:type="dxa"/>
            <w:vAlign w:val="bottom"/>
          </w:tcPr>
          <w:p>
            <w:pPr>
              <w:spacing w:after="0"/>
              <w:rPr>
                <w:sz w:val="18"/>
                <w:szCs w:val="18"/>
                <w:color w:val="auto"/>
              </w:rPr>
            </w:pPr>
          </w:p>
        </w:tc>
        <w:tc>
          <w:tcPr>
            <w:tcW w:w="7260" w:type="dxa"/>
            <w:vAlign w:val="bottom"/>
            <w:gridSpan w:val="2"/>
          </w:tcPr>
          <w:p>
            <w:pPr>
              <w:ind w:left="160"/>
              <w:spacing w:after="0"/>
              <w:rPr>
                <w:sz w:val="20"/>
                <w:szCs w:val="20"/>
                <w:color w:val="auto"/>
              </w:rPr>
            </w:pPr>
            <w:r>
              <w:rPr>
                <w:rFonts w:ascii="Arial" w:cs="Arial" w:eastAsia="Arial" w:hAnsi="Arial"/>
                <w:sz w:val="18"/>
                <w:szCs w:val="18"/>
                <w:color w:val="auto"/>
              </w:rPr>
              <w:t>Gross profit % of revenue</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47.9%</w:t>
            </w:r>
          </w:p>
        </w:tc>
        <w:tc>
          <w:tcPr>
            <w:tcW w:w="3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53.3%</w:t>
            </w: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(R&amp;D)</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1,476</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1,940</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2,140</w:t>
            </w:r>
          </w:p>
        </w:tc>
      </w:tr>
      <w:tr>
        <w:trPr>
          <w:trHeight w:val="216"/>
        </w:trPr>
        <w:tc>
          <w:tcPr>
            <w:tcW w:w="20" w:type="dxa"/>
            <w:vAlign w:val="bottom"/>
          </w:tcPr>
          <w:p>
            <w:pPr>
              <w:spacing w:after="0"/>
              <w:rPr>
                <w:sz w:val="18"/>
                <w:szCs w:val="18"/>
                <w:color w:val="auto"/>
              </w:rPr>
            </w:pPr>
          </w:p>
        </w:tc>
        <w:tc>
          <w:tcPr>
            <w:tcW w:w="7260" w:type="dxa"/>
            <w:vAlign w:val="bottom"/>
            <w:gridSpan w:val="2"/>
          </w:tcPr>
          <w:p>
            <w:pPr>
              <w:ind w:left="160"/>
              <w:spacing w:after="0"/>
              <w:rPr>
                <w:sz w:val="20"/>
                <w:szCs w:val="20"/>
                <w:color w:val="auto"/>
              </w:rPr>
            </w:pPr>
            <w:r>
              <w:rPr>
                <w:rFonts w:ascii="Arial" w:cs="Arial" w:eastAsia="Arial" w:hAnsi="Arial"/>
                <w:sz w:val="18"/>
                <w:szCs w:val="18"/>
                <w:color w:val="auto"/>
              </w:rPr>
              <w:t>R&amp;D % of revenue</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14.2%</w:t>
            </w:r>
          </w:p>
        </w:tc>
        <w:tc>
          <w:tcPr>
            <w:tcW w:w="3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15.5%</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(SG&amp;A)</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1,320</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1,614</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1,680</w:t>
            </w:r>
          </w:p>
        </w:tc>
      </w:tr>
      <w:tr>
        <w:trPr>
          <w:trHeight w:val="216"/>
        </w:trPr>
        <w:tc>
          <w:tcPr>
            <w:tcW w:w="20" w:type="dxa"/>
            <w:vAlign w:val="bottom"/>
          </w:tcPr>
          <w:p>
            <w:pPr>
              <w:spacing w:after="0"/>
              <w:rPr>
                <w:sz w:val="18"/>
                <w:szCs w:val="18"/>
                <w:color w:val="auto"/>
              </w:rPr>
            </w:pPr>
          </w:p>
        </w:tc>
        <w:tc>
          <w:tcPr>
            <w:tcW w:w="7260" w:type="dxa"/>
            <w:vAlign w:val="bottom"/>
            <w:gridSpan w:val="2"/>
          </w:tcPr>
          <w:p>
            <w:pPr>
              <w:ind w:left="160"/>
              <w:spacing w:after="0"/>
              <w:rPr>
                <w:sz w:val="20"/>
                <w:szCs w:val="20"/>
                <w:color w:val="auto"/>
              </w:rPr>
            </w:pPr>
            <w:r>
              <w:rPr>
                <w:rFonts w:ascii="Arial" w:cs="Arial" w:eastAsia="Arial" w:hAnsi="Arial"/>
                <w:sz w:val="18"/>
                <w:szCs w:val="18"/>
                <w:color w:val="auto"/>
              </w:rPr>
              <w:t>SG&amp;A % of revenue</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12.6%</w:t>
            </w:r>
          </w:p>
        </w:tc>
        <w:tc>
          <w:tcPr>
            <w:tcW w:w="3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12.9%</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23"/>
        </w:trPr>
        <w:tc>
          <w:tcPr>
            <w:tcW w:w="20" w:type="dxa"/>
            <w:vAlign w:val="bottom"/>
          </w:tcPr>
          <w:p>
            <w:pPr>
              <w:spacing w:after="0"/>
              <w:rPr>
                <w:sz w:val="19"/>
                <w:szCs w:val="19"/>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Restructuring expense</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212</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254</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52</w:t>
            </w: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1,991</w:t>
            </w:r>
          </w:p>
        </w:tc>
        <w:tc>
          <w:tcPr>
            <w:tcW w:w="30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2,437</w:t>
            </w:r>
          </w:p>
        </w:tc>
        <w:tc>
          <w:tcPr>
            <w:tcW w:w="26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3,497</w:t>
            </w: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Operating profit % of revenue</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23"/>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26</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44</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195</w:t>
            </w: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2,481</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3,692</w:t>
            </w:r>
          </w:p>
        </w:tc>
      </w:tr>
      <w:tr>
        <w:trPr>
          <w:trHeight w:val="223"/>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547</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561</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1,051</w:t>
            </w:r>
          </w:p>
        </w:tc>
      </w:tr>
      <w:tr>
        <w:trPr>
          <w:trHeight w:val="257"/>
        </w:trPr>
        <w:tc>
          <w:tcPr>
            <w:tcW w:w="20" w:type="dxa"/>
            <w:vAlign w:val="bottom"/>
          </w:tcPr>
          <w:p>
            <w:pPr>
              <w:spacing w:after="0"/>
              <w:rPr>
                <w:sz w:val="22"/>
                <w:szCs w:val="22"/>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1,470</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1,920</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2,641</w:t>
            </w:r>
          </w:p>
        </w:tc>
      </w:tr>
      <w:tr>
        <w:trPr>
          <w:trHeight w:val="210"/>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Diluted income from continuing operations per common share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1.15</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1.44</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1.82</w:t>
            </w:r>
          </w:p>
        </w:tc>
      </w:tr>
      <w:tr>
        <w:trPr>
          <w:trHeight w:val="21"/>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of 2009 financial results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Revenue in 2009 was $10.43 billion, down $2.07 billion, or 17 percent, from 2008. Revenue for all segments declined compared with the year-ago period.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Growth resumed on a sequential basis in the second quarter of 2009 and on a year-on-year basis in the fourth quarter.</w:t>
      </w:r>
    </w:p>
    <w:p>
      <w:pPr>
        <w:spacing w:after="0" w:line="9" w:lineRule="exact"/>
        <w:rPr>
          <w:sz w:val="20"/>
          <w:szCs w:val="20"/>
          <w:color w:val="auto"/>
        </w:rPr>
      </w:pPr>
    </w:p>
    <w:p>
      <w:pPr>
        <w:ind w:right="220" w:firstLine="324"/>
        <w:spacing w:after="0" w:line="281" w:lineRule="auto"/>
        <w:rPr>
          <w:sz w:val="20"/>
          <w:szCs w:val="20"/>
          <w:color w:val="auto"/>
        </w:rPr>
      </w:pPr>
      <w:r>
        <w:rPr>
          <w:rFonts w:ascii="Arial" w:cs="Arial" w:eastAsia="Arial" w:hAnsi="Arial"/>
          <w:sz w:val="16"/>
          <w:szCs w:val="16"/>
          <w:color w:val="auto"/>
        </w:rPr>
        <w:t>Gross profit was $5.00 billion, a decrease of $1.25 billion, or 20 percent, from 2008. This decline was due to lower revenue. About $160 million of the decline in gross profit resulted from lower factory utilization, with the vast majority of the underutilization expense incurred in the first half of 2009.</w:t>
      </w:r>
    </w:p>
    <w:p>
      <w:pPr>
        <w:spacing w:after="0" w:line="1" w:lineRule="exact"/>
        <w:rPr>
          <w:sz w:val="20"/>
          <w:szCs w:val="20"/>
          <w:color w:val="auto"/>
        </w:rPr>
      </w:pPr>
    </w:p>
    <w:p>
      <w:pPr>
        <w:ind w:right="160" w:firstLine="324"/>
        <w:spacing w:after="0" w:line="250" w:lineRule="auto"/>
        <w:rPr>
          <w:sz w:val="20"/>
          <w:szCs w:val="20"/>
          <w:color w:val="auto"/>
        </w:rPr>
      </w:pPr>
      <w:r>
        <w:rPr>
          <w:rFonts w:ascii="Arial" w:cs="Arial" w:eastAsia="Arial" w:hAnsi="Arial"/>
          <w:sz w:val="18"/>
          <w:szCs w:val="18"/>
          <w:color w:val="auto"/>
        </w:rPr>
        <w:t>Operating expenses were $1.48 billion for R&amp;D and $1.32 billion for SG&amp;A. R&amp;D expense decreased $464 million, or 24 percent, from 2008, with the largest impact in Wireless. SG&amp;A expense decreased $294 million, or 18 percent, from 2008. The operating expense decreases in both comparisons were primarily due to the combination of the effects of our previously-announced employment reductions and, to a lesser extent, our other cost-control efforts throughout the year. For 2010, we expect R&amp;D expense of about $1.5 billion.</w:t>
      </w:r>
    </w:p>
    <w:p>
      <w:pPr>
        <w:spacing w:after="0" w:line="2" w:lineRule="exact"/>
        <w:rPr>
          <w:sz w:val="20"/>
          <w:szCs w:val="20"/>
          <w:color w:val="auto"/>
        </w:rPr>
      </w:pPr>
    </w:p>
    <w:p>
      <w:pPr>
        <w:ind w:right="40" w:firstLine="324"/>
        <w:spacing w:after="0" w:line="250" w:lineRule="auto"/>
        <w:rPr>
          <w:sz w:val="20"/>
          <w:szCs w:val="20"/>
          <w:color w:val="auto"/>
        </w:rPr>
      </w:pPr>
      <w:r>
        <w:rPr>
          <w:rFonts w:ascii="Arial" w:cs="Arial" w:eastAsia="Arial" w:hAnsi="Arial"/>
          <w:sz w:val="18"/>
          <w:szCs w:val="18"/>
          <w:color w:val="auto"/>
        </w:rPr>
        <w:t>Charges for restructuring actions were $212 million compared with $254 million in 2008. The restructuring charges in 2009 consisted of $201 million for severance and benefit costs and $11 million related to impairments of long-lived assets. This compared with restructuring charges in 2008 that consisted of $218 million for severance and benefit costs and $36 million related to impairments of long-lived assets. These actions eliminated about 3,900 jobs and were completed in 2009. See Note 2 to the Financial Statements for additional information.</w:t>
      </w:r>
    </w:p>
    <w:p>
      <w:pPr>
        <w:spacing w:after="0" w:line="2" w:lineRule="exact"/>
        <w:rPr>
          <w:sz w:val="20"/>
          <w:szCs w:val="20"/>
          <w:color w:val="auto"/>
        </w:rPr>
      </w:pPr>
    </w:p>
    <w:p>
      <w:pPr>
        <w:ind w:right="160" w:firstLine="324"/>
        <w:spacing w:after="0" w:line="250" w:lineRule="auto"/>
        <w:rPr>
          <w:sz w:val="20"/>
          <w:szCs w:val="20"/>
          <w:color w:val="auto"/>
        </w:rPr>
      </w:pPr>
      <w:r>
        <w:rPr>
          <w:rFonts w:ascii="Arial" w:cs="Arial" w:eastAsia="Arial" w:hAnsi="Arial"/>
          <w:sz w:val="18"/>
          <w:szCs w:val="18"/>
          <w:color w:val="auto"/>
        </w:rPr>
        <w:t>Operating profit was $1.99 billion, or 19.1 percent of revenue, compared with $2.44 billion, or 19.5 percent of revenue, in 2008. This was an 18 percent decrease due to the decline in revenue and the associated lower gross profit. This decrease more than offset a reduction in operating expenses and lower restructuring charges. Operating profit decreased from 2008 in all segments.</w:t>
      </w:r>
    </w:p>
    <w:p>
      <w:pPr>
        <w:spacing w:after="0" w:line="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Other income (expense) net (OI&amp;E) was $26 million, a decrease of $18 million from 2008 due to lower interest income. The decrease in interest income from a year ago was due to lower interest rates, which more than offset higher average balances of interest-bearing investments. Additionally, we had expenses associated with former businesses in 2008 that did not recur in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402590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95" w:name="page96"/>
    <w:bookmarkEnd w:id="95"/>
    <w:p>
      <w:pPr>
        <w:ind w:left="7680"/>
        <w:spacing w:after="0"/>
        <w:rPr>
          <w:sz w:val="20"/>
          <w:szCs w:val="20"/>
          <w:color w:val="auto"/>
        </w:rPr>
      </w:pPr>
      <w:r>
        <w:rPr>
          <w:rFonts w:ascii="Arial" w:cs="Arial" w:eastAsia="Arial" w:hAnsi="Arial"/>
          <w:sz w:val="13"/>
          <w:szCs w:val="13"/>
          <w:color w:val="auto"/>
        </w:rPr>
        <w:t>TEXAS INSTRUMENTS 2009 ANNUAL REPORT n PAGE 39</w:t>
      </w:r>
    </w:p>
    <w:p>
      <w:pPr>
        <w:spacing w:after="0" w:line="220"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The tax provision was $547 million, compared with $561 million for the prior year. The decrease was primarily due to lower income before income taxes, partially offset by lower discrete tax benefits, and to a lesser extent, a lower federal R&amp;D tax credit. The tax provision for 2009 contained net discrete tax benefits of $7 million. The tax provision for 2008 contained net discrete tax benefits of $122 million, primarily resulting from our decision to indefinitely reinvest the accumulated earnings of a non-U.S. subsidiary. See Note 5 to the Financial Statements for a reconciliation of tax rates to the statutory federal tax rate.</w:t>
      </w:r>
    </w:p>
    <w:p>
      <w:pPr>
        <w:spacing w:after="0" w:line="4" w:lineRule="exact"/>
        <w:rPr>
          <w:sz w:val="20"/>
          <w:szCs w:val="20"/>
          <w:color w:val="auto"/>
        </w:rPr>
      </w:pPr>
    </w:p>
    <w:p>
      <w:pPr>
        <w:ind w:right="100" w:firstLine="324"/>
        <w:spacing w:after="0" w:line="250" w:lineRule="auto"/>
        <w:rPr>
          <w:sz w:val="20"/>
          <w:szCs w:val="20"/>
          <w:color w:val="auto"/>
        </w:rPr>
      </w:pPr>
      <w:r>
        <w:rPr>
          <w:rFonts w:ascii="Arial" w:cs="Arial" w:eastAsia="Arial" w:hAnsi="Arial"/>
          <w:sz w:val="18"/>
          <w:szCs w:val="18"/>
          <w:color w:val="auto"/>
        </w:rPr>
        <w:t>Our annual effective tax rate for 2010 is estimated to be about 31 percent, an increase from 27 percent in 2009 primarily due to higher income before income taxes. The estimated tax rate is based on the current tax law in effect and does not assume reinstatement of the federal R&amp;D tax credit, which expired on December 31, 2009.</w:t>
      </w:r>
    </w:p>
    <w:p>
      <w:pPr>
        <w:spacing w:after="0" w:line="1" w:lineRule="exact"/>
        <w:rPr>
          <w:sz w:val="20"/>
          <w:szCs w:val="20"/>
          <w:color w:val="auto"/>
        </w:rPr>
      </w:pPr>
    </w:p>
    <w:p>
      <w:pPr>
        <w:ind w:right="40" w:firstLine="324"/>
        <w:spacing w:after="0" w:line="250" w:lineRule="auto"/>
        <w:rPr>
          <w:sz w:val="20"/>
          <w:szCs w:val="20"/>
          <w:color w:val="auto"/>
        </w:rPr>
      </w:pPr>
      <w:r>
        <w:rPr>
          <w:rFonts w:ascii="Arial" w:cs="Arial" w:eastAsia="Arial" w:hAnsi="Arial"/>
          <w:sz w:val="18"/>
          <w:szCs w:val="18"/>
          <w:color w:val="auto"/>
        </w:rPr>
        <w:t>Income from continuing operations was $1.47 billion, a decrease of $450 million from 2008. EPS for 2009 was $1.15 per share, compared with $1.44 per share for 2008. See Note 1 for a discussion of the effect of the adoption of a new accounting standard on previously reported EPS. EPS in 2009 benefited $0.05 from a lower number of average shares outstanding as a result of our stock repurchase program.</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Orders were $11.36 billion, which was 4 percent lower than 2008. The decline reflected lower demand for baseband wireless products.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results</w:t>
      </w:r>
    </w:p>
    <w:p>
      <w:pPr>
        <w:spacing w:after="0" w:line="25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 detailed discussion of our segment results appears below. When reviewing each segment’s results, bear in mind that restructuring charges negatively impacted each segment’s operating profit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8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2009</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Analog</w:t>
            </w:r>
          </w:p>
        </w:tc>
        <w:tc>
          <w:tcPr>
            <w:tcW w:w="27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Embedded Processing</w:t>
            </w:r>
          </w:p>
        </w:tc>
        <w:tc>
          <w:tcPr>
            <w:tcW w:w="2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43</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Wireless</w:t>
            </w:r>
          </w:p>
        </w:tc>
        <w:tc>
          <w:tcPr>
            <w:tcW w:w="27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59</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Other</w:t>
            </w:r>
          </w:p>
        </w:tc>
        <w:tc>
          <w:tcPr>
            <w:tcW w:w="2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23</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restructuring</w:t>
            </w:r>
          </w:p>
        </w:tc>
        <w:tc>
          <w:tcPr>
            <w:tcW w:w="27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212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820" w:type="dxa"/>
            <w:vAlign w:val="bottom"/>
            <w:gridSpan w:val="2"/>
          </w:tcPr>
          <w:p>
            <w:pPr>
              <w:spacing w:after="0"/>
              <w:rPr>
                <w:sz w:val="20"/>
                <w:szCs w:val="20"/>
                <w:color w:val="auto"/>
              </w:rPr>
            </w:pPr>
            <w:r>
              <w:rPr>
                <w:rFonts w:ascii="Arial" w:cs="Arial" w:eastAsia="Arial" w:hAnsi="Arial"/>
                <w:sz w:val="18"/>
                <w:szCs w:val="18"/>
                <w:i w:val="1"/>
                <w:iCs w:val="1"/>
                <w:color w:val="auto"/>
              </w:rPr>
              <w:t>Analog</w:t>
            </w:r>
          </w:p>
        </w:tc>
        <w:tc>
          <w:tcPr>
            <w:tcW w:w="2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2009</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2008</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vs.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7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4,270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4,857</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Operating profit</w:t>
            </w:r>
          </w:p>
        </w:tc>
        <w:tc>
          <w:tcPr>
            <w:tcW w:w="270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753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1,050</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profit % of revenue</w:t>
            </w:r>
          </w:p>
        </w:tc>
        <w:tc>
          <w:tcPr>
            <w:tcW w:w="27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Analog revenue declined $587 million, or 12 percent, from 2008 primarily due to lower shipments of high-volume analog &amp; logic products. Also contributing to the decline, but to a lesser extent, was high-performance analog, where although shipments were about flat compared with 2008, revenue fell due to a higher proportion of shipments of lower-priced products. Revenue from power management products was about flat.</w:t>
      </w:r>
    </w:p>
    <w:p>
      <w:pPr>
        <w:ind w:right="60" w:firstLine="324"/>
        <w:spacing w:after="0" w:line="261" w:lineRule="auto"/>
        <w:rPr>
          <w:sz w:val="20"/>
          <w:szCs w:val="20"/>
          <w:color w:val="auto"/>
        </w:rPr>
      </w:pPr>
      <w:r>
        <w:rPr>
          <w:rFonts w:ascii="Arial" w:cs="Arial" w:eastAsia="Arial" w:hAnsi="Arial"/>
          <w:sz w:val="18"/>
          <w:szCs w:val="18"/>
          <w:color w:val="auto"/>
        </w:rPr>
        <w:t>Operating profit was $753 million, or 17.6 percent of revenue. This was a decrease of $297 million from 2008 due to lower revenue and associated lower gross profit, partially offset by lower operating expenses.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gridSpan w:val="2"/>
          </w:tcPr>
          <w:p>
            <w:pPr>
              <w:spacing w:after="0"/>
              <w:rPr>
                <w:sz w:val="20"/>
                <w:szCs w:val="20"/>
                <w:color w:val="auto"/>
              </w:rPr>
            </w:pPr>
            <w:r>
              <w:rPr>
                <w:rFonts w:ascii="Arial" w:cs="Arial" w:eastAsia="Arial" w:hAnsi="Arial"/>
                <w:sz w:val="18"/>
                <w:szCs w:val="18"/>
                <w:i w:val="1"/>
                <w:iCs w:val="1"/>
                <w:color w:val="auto"/>
              </w:rPr>
              <w:t>Embedded Processing</w:t>
            </w:r>
          </w:p>
        </w:tc>
        <w:tc>
          <w:tcPr>
            <w:tcW w:w="2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2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2009</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2008</w:t>
            </w: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vs.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7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1,471</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1,631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Operating profit</w:t>
            </w:r>
          </w:p>
        </w:tc>
        <w:tc>
          <w:tcPr>
            <w:tcW w:w="270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194</w:t>
            </w:r>
          </w:p>
        </w:tc>
        <w:tc>
          <w:tcPr>
            <w:tcW w:w="300" w:type="dxa"/>
            <w:vAlign w:val="bottom"/>
          </w:tcPr>
          <w:p>
            <w:pPr>
              <w:spacing w:after="0"/>
              <w:rPr>
                <w:sz w:val="18"/>
                <w:szCs w:val="18"/>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268</w:t>
            </w: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profit % of revenue</w:t>
            </w:r>
          </w:p>
        </w:tc>
        <w:tc>
          <w:tcPr>
            <w:tcW w:w="27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16.5%</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Embedded Processing revenue declined $160 million, or 10 percent, compared with 2008 primarily due to lower revenue from catalog products. The decline in catalog revenue was primarily due to a higher proportion of shipments of lower-priced products. Lower shipments of products for automotive applications contributed to a lesser extent to the segment’s revenue decline.</w:t>
      </w:r>
    </w:p>
    <w:p>
      <w:pPr>
        <w:ind w:right="500" w:firstLine="324"/>
        <w:spacing w:after="0" w:line="261" w:lineRule="auto"/>
        <w:rPr>
          <w:sz w:val="20"/>
          <w:szCs w:val="20"/>
          <w:color w:val="auto"/>
        </w:rPr>
      </w:pPr>
      <w:r>
        <w:rPr>
          <w:rFonts w:ascii="Arial" w:cs="Arial" w:eastAsia="Arial" w:hAnsi="Arial"/>
          <w:sz w:val="18"/>
          <w:szCs w:val="18"/>
          <w:color w:val="auto"/>
        </w:rPr>
        <w:t>Operating profit was $194 million, or 13.2 percent of revenue. This was a decrease of $74 million, or 28 percent, compared with 2008 due to lower revenue and associated lower gross profit, partially offset by lower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82"/>
        </w:trPr>
        <w:tc>
          <w:tcPr>
            <w:tcW w:w="5520" w:type="dxa"/>
            <w:vAlign w:val="bottom"/>
            <w:gridSpan w:val="2"/>
          </w:tcPr>
          <w:p>
            <w:pPr>
              <w:spacing w:after="0"/>
              <w:rPr>
                <w:sz w:val="20"/>
                <w:szCs w:val="20"/>
                <w:color w:val="auto"/>
              </w:rPr>
            </w:pPr>
            <w:r>
              <w:rPr>
                <w:rFonts w:ascii="Arial" w:cs="Arial" w:eastAsia="Arial" w:hAnsi="Arial"/>
                <w:sz w:val="14"/>
                <w:szCs w:val="14"/>
                <w:color w:val="auto"/>
              </w:rPr>
              <w:t>TEXAS INSTRUMENTS 2009 ANNUAL REPORT n PAGE 40</w:t>
            </w:r>
          </w:p>
        </w:tc>
        <w:tc>
          <w:tcPr>
            <w:tcW w:w="2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444"/>
        </w:trPr>
        <w:tc>
          <w:tcPr>
            <w:tcW w:w="5520" w:type="dxa"/>
            <w:vAlign w:val="bottom"/>
            <w:gridSpan w:val="2"/>
          </w:tcPr>
          <w:p>
            <w:pPr>
              <w:spacing w:after="0"/>
              <w:rPr>
                <w:sz w:val="20"/>
                <w:szCs w:val="20"/>
                <w:color w:val="auto"/>
              </w:rPr>
            </w:pPr>
            <w:r>
              <w:rPr>
                <w:rFonts w:ascii="Arial" w:cs="Arial" w:eastAsia="Arial" w:hAnsi="Arial"/>
                <w:sz w:val="18"/>
                <w:szCs w:val="18"/>
                <w:i w:val="1"/>
                <w:iCs w:val="1"/>
                <w:color w:val="auto"/>
              </w:rPr>
              <w:t>Wireless</w:t>
            </w:r>
          </w:p>
        </w:tc>
        <w:tc>
          <w:tcPr>
            <w:tcW w:w="2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jc w:val="right"/>
              <w:ind w:right="450"/>
              <w:spacing w:after="0"/>
              <w:rPr>
                <w:sz w:val="20"/>
                <w:szCs w:val="20"/>
                <w:color w:val="auto"/>
              </w:rPr>
            </w:pPr>
            <w:r>
              <w:rPr>
                <w:rFonts w:ascii="Arial" w:cs="Arial" w:eastAsia="Arial" w:hAnsi="Arial"/>
                <w:sz w:val="18"/>
                <w:szCs w:val="18"/>
                <w:b w:val="1"/>
                <w:bCs w:val="1"/>
                <w:color w:val="auto"/>
              </w:rPr>
              <w:t>2009</w:t>
            </w:r>
          </w:p>
        </w:tc>
      </w:tr>
      <w:tr>
        <w:trPr>
          <w:trHeight w:val="241"/>
        </w:trPr>
        <w:tc>
          <w:tcPr>
            <w:tcW w:w="20" w:type="dxa"/>
            <w:vAlign w:val="bottom"/>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2009</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2008</w:t>
            </w: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vs. 2008</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2,558</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3,383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Operating profit</w:t>
            </w:r>
          </w:p>
        </w:tc>
        <w:tc>
          <w:tcPr>
            <w:tcW w:w="200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332</w:t>
            </w:r>
          </w:p>
        </w:tc>
        <w:tc>
          <w:tcPr>
            <w:tcW w:w="300" w:type="dxa"/>
            <w:vAlign w:val="bottom"/>
          </w:tcPr>
          <w:p>
            <w:pPr>
              <w:spacing w:after="0"/>
              <w:rPr>
                <w:sz w:val="18"/>
                <w:szCs w:val="18"/>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347</w:t>
            </w: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profit % of revenue</w:t>
            </w:r>
          </w:p>
        </w:tc>
        <w:tc>
          <w:tcPr>
            <w:tcW w:w="20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10.3%</w:t>
            </w:r>
          </w:p>
        </w:tc>
        <w:tc>
          <w:tcPr>
            <w:tcW w:w="122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Wireless revenue declined $825 million, or 24 percent, from 2008 due to lower shipments of baseband products, and to a lesser extent, lower shipments of OMAP applications processors. These decreases more than offset higher shipments of connectivity products. Baseband revenue for 2009 was $1.73 billion, a decrease of $813 million, or 32 percent, from 2008.</w:t>
      </w:r>
    </w:p>
    <w:p>
      <w:pPr>
        <w:ind w:firstLine="324"/>
        <w:spacing w:after="0" w:line="323" w:lineRule="auto"/>
        <w:rPr>
          <w:sz w:val="20"/>
          <w:szCs w:val="20"/>
          <w:color w:val="auto"/>
        </w:rPr>
      </w:pPr>
      <w:r>
        <w:rPr>
          <w:rFonts w:ascii="Arial" w:cs="Arial" w:eastAsia="Arial" w:hAnsi="Arial"/>
          <w:sz w:val="16"/>
          <w:szCs w:val="16"/>
          <w:color w:val="auto"/>
        </w:rPr>
        <w:t>Operating profit was $332 million, or 13.0 percent of revenue. This was a decrease of $15 million, or 4 percent, from 2008 due to lower revenue and associated lower gross profit, partially offset by lower operating and restructuring expenses. As noted above, most of our reductions in R&amp;D were in Wireless.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gridSpan w:val="2"/>
          </w:tcPr>
          <w:p>
            <w:pPr>
              <w:spacing w:after="0"/>
              <w:rPr>
                <w:sz w:val="20"/>
                <w:szCs w:val="20"/>
                <w:color w:val="auto"/>
              </w:rPr>
            </w:pPr>
            <w:r>
              <w:rPr>
                <w:rFonts w:ascii="Arial" w:cs="Arial" w:eastAsia="Arial" w:hAnsi="Arial"/>
                <w:sz w:val="18"/>
                <w:szCs w:val="18"/>
                <w:i w:val="1"/>
                <w:iCs w:val="1"/>
                <w:color w:val="auto"/>
              </w:rPr>
              <w:t>Other</w:t>
            </w:r>
          </w:p>
        </w:tc>
        <w:tc>
          <w:tcPr>
            <w:tcW w:w="2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41"/>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jc w:val="right"/>
              <w:ind w:right="450"/>
              <w:spacing w:after="0"/>
              <w:rPr>
                <w:sz w:val="20"/>
                <w:szCs w:val="20"/>
                <w:color w:val="auto"/>
              </w:rPr>
            </w:pPr>
            <w:r>
              <w:rPr>
                <w:rFonts w:ascii="Arial" w:cs="Arial" w:eastAsia="Arial" w:hAnsi="Arial"/>
                <w:sz w:val="18"/>
                <w:szCs w:val="18"/>
                <w:b w:val="1"/>
                <w:bCs w:val="1"/>
                <w:color w:val="auto"/>
              </w:rPr>
              <w:t>2009</w:t>
            </w:r>
          </w:p>
        </w:tc>
      </w:tr>
      <w:tr>
        <w:trPr>
          <w:trHeight w:val="241"/>
        </w:trPr>
        <w:tc>
          <w:tcPr>
            <w:tcW w:w="20" w:type="dxa"/>
            <w:vAlign w:val="bottom"/>
          </w:tcPr>
          <w:p>
            <w:pPr>
              <w:spacing w:after="0"/>
              <w:rPr>
                <w:sz w:val="20"/>
                <w:szCs w:val="20"/>
                <w:color w:val="auto"/>
              </w:rPr>
            </w:pPr>
          </w:p>
        </w:tc>
        <w:tc>
          <w:tcPr>
            <w:tcW w:w="48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2009</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2008</w:t>
            </w: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vs. 2008</w:t>
            </w: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7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2,128</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2,630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Operating profit</w:t>
            </w:r>
          </w:p>
        </w:tc>
        <w:tc>
          <w:tcPr>
            <w:tcW w:w="270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712</w:t>
            </w:r>
          </w:p>
        </w:tc>
        <w:tc>
          <w:tcPr>
            <w:tcW w:w="300" w:type="dxa"/>
            <w:vAlign w:val="bottom"/>
          </w:tcPr>
          <w:p>
            <w:pPr>
              <w:spacing w:after="0"/>
              <w:rPr>
                <w:sz w:val="18"/>
                <w:szCs w:val="18"/>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772</w:t>
            </w: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profit % of revenue</w:t>
            </w:r>
          </w:p>
        </w:tc>
        <w:tc>
          <w:tcPr>
            <w:tcW w:w="27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33.5%</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29.3%</w:t>
            </w:r>
          </w:p>
        </w:tc>
        <w:tc>
          <w:tcPr>
            <w:tcW w:w="122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Revenue from Other was $2.13 billion in 2009. This was a decline of $502 million, or 19 percent, from 2008 due to a decrease in shipments across a broad range of products, especially RISC microprocessors.</w:t>
      </w:r>
    </w:p>
    <w:p>
      <w:pPr>
        <w:spacing w:after="0" w:line="1"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Operating profit for 2009 from Other was $712 million, or 33.5 percent of revenue. This was a decrease of $60 million, or 8 percent, compared with 2008 due to lower revenue and associated lower gross profit, largely offset by lower operating expenses.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2008 compared with 2007</w:t>
      </w:r>
    </w:p>
    <w:p>
      <w:pPr>
        <w:spacing w:after="0" w:line="23"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The year 2008 was marked by a dramatic decrease in global demand for semiconductors in the second half, a decline that accelerated in the fourth quarter. Given this significant change in the economy, we began to reduce costs and realign our expenses and inventory so that our financial performance would remain solid even in a period of prolonged economic weakness. We focused most of the cost reductions in our non-core product areas and internal support functions.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of 2008 financial results</w:t>
      </w:r>
    </w:p>
    <w:p>
      <w:pPr>
        <w:spacing w:after="0" w:line="23" w:lineRule="exact"/>
        <w:rPr>
          <w:sz w:val="20"/>
          <w:szCs w:val="20"/>
          <w:color w:val="auto"/>
        </w:rPr>
      </w:pPr>
    </w:p>
    <w:p>
      <w:pPr>
        <w:ind w:right="440"/>
        <w:spacing w:after="0" w:line="281" w:lineRule="auto"/>
        <w:rPr>
          <w:sz w:val="20"/>
          <w:szCs w:val="20"/>
          <w:color w:val="auto"/>
        </w:rPr>
      </w:pPr>
      <w:r>
        <w:rPr>
          <w:rFonts w:ascii="Arial" w:cs="Arial" w:eastAsia="Arial" w:hAnsi="Arial"/>
          <w:sz w:val="16"/>
          <w:szCs w:val="16"/>
          <w:color w:val="auto"/>
        </w:rPr>
        <w:t>Revenue was $12.50 billion, down $1.33 billion, or 10 percent, from 2007. As the year progressed and the global economy weakened, the decline in our revenue accelerated and broadened. In the fourth quarter, all segments experienced double-digit declines compared with the year-ago quarter.</w:t>
      </w:r>
    </w:p>
    <w:p>
      <w:pPr>
        <w:spacing w:after="0" w:line="1" w:lineRule="exact"/>
        <w:rPr>
          <w:sz w:val="20"/>
          <w:szCs w:val="20"/>
          <w:color w:val="auto"/>
        </w:rPr>
      </w:pPr>
    </w:p>
    <w:p>
      <w:pPr>
        <w:ind w:right="180" w:firstLine="324"/>
        <w:spacing w:after="0" w:line="250" w:lineRule="auto"/>
        <w:rPr>
          <w:sz w:val="20"/>
          <w:szCs w:val="20"/>
          <w:color w:val="auto"/>
        </w:rPr>
      </w:pPr>
      <w:r>
        <w:rPr>
          <w:rFonts w:ascii="Arial" w:cs="Arial" w:eastAsia="Arial" w:hAnsi="Arial"/>
          <w:sz w:val="18"/>
          <w:szCs w:val="18"/>
          <w:color w:val="auto"/>
        </w:rPr>
        <w:t>Gross profit was $6.24 billion, or 50.0 percent of revenue, down 15 percent from $7.37 billion in 2007. This decline was due to lower revenue and, to a lesser extent, the impact of lower factory utilization resulting from our efforts to reduce inventory. About $140 million of the decline in gross profit resulted from lower factory utilization. The gross profit decline affected all segments. Gross profit in 2007 included a $39 million pre-tax gain on the sale of our broadband digital subscriber line (DSL) customer-premises equipment product line.</w:t>
      </w:r>
    </w:p>
    <w:p>
      <w:pPr>
        <w:spacing w:after="0" w:line="2" w:lineRule="exact"/>
        <w:rPr>
          <w:sz w:val="20"/>
          <w:szCs w:val="20"/>
          <w:color w:val="auto"/>
        </w:rPr>
      </w:pPr>
    </w:p>
    <w:p>
      <w:pPr>
        <w:ind w:right="80" w:firstLine="324"/>
        <w:spacing w:after="0" w:line="250" w:lineRule="auto"/>
        <w:rPr>
          <w:sz w:val="20"/>
          <w:szCs w:val="20"/>
          <w:color w:val="auto"/>
        </w:rPr>
      </w:pPr>
      <w:r>
        <w:rPr>
          <w:rFonts w:ascii="Arial" w:cs="Arial" w:eastAsia="Arial" w:hAnsi="Arial"/>
          <w:sz w:val="18"/>
          <w:szCs w:val="18"/>
          <w:color w:val="auto"/>
        </w:rPr>
        <w:t>Operating expenses were $1.94 billion for R&amp;D and $1.61 billion for SG&amp;A. R&amp;D expense decreased $200 million, or 9 percent, from 2007 due to the combination of expense reductions in Wireless and, to a lesser extent, the benefit from our collaborative work with foundries on advanced logic manufacturing technologies. We previously developed these manufacturing technologies almost exclusively in-house. SG&amp;A expense decreased $66 million, or 4 percent, from 2007 due to the combination of lower compensation-related expenses and lower expenses for consumer advertisements for DLP high-definition television products.</w:t>
      </w:r>
    </w:p>
    <w:p>
      <w:pPr>
        <w:spacing w:after="0" w:line="2"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Restructuring charges of $254 million recognized in the fourth quarter of 2008 included $121 million for a portion of the employment actions described above, $109 million for actions announced in October 2008 to re-focus our Wireless segment and $24 million for asset impairments related to an action announced in 2007 to shut down an older digital factory in connection with our decision to work with foundries on advanced logic manufacturing technology. The restructuring costs recognized consisted of $218 million for severance and benefit costs and $36 million related to impairments of long-lived assets. 2007 restructuring costs relating to the factory shutdown were $52 million, consisting of severance and benefit costs of $31 million and acceleration of depreciation on the factory’s assets of $21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405130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97" w:name="page98"/>
    <w:bookmarkEnd w:id="97"/>
    <w:p>
      <w:pPr>
        <w:ind w:left="7680"/>
        <w:spacing w:after="0"/>
        <w:rPr>
          <w:sz w:val="20"/>
          <w:szCs w:val="20"/>
          <w:color w:val="auto"/>
        </w:rPr>
      </w:pPr>
      <w:r>
        <w:rPr>
          <w:rFonts w:ascii="Arial" w:cs="Arial" w:eastAsia="Arial" w:hAnsi="Arial"/>
          <w:sz w:val="13"/>
          <w:szCs w:val="13"/>
          <w:color w:val="auto"/>
        </w:rPr>
        <w:t>TEXAS INSTRUMENTS 2009 ANNUAL REPORT n PAGE 41</w:t>
      </w:r>
    </w:p>
    <w:p>
      <w:pPr>
        <w:spacing w:after="0" w:line="220"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Operating profit was $2.44 billion, or 19.5 percent of revenue, compared with $3.50 billion, or 25.3 percent of revenue, in 2007. This was a 30 percent decrease due to the decline in revenue and the associated lower gross profit, the impact of underutilized manufacturing assets, and higher restructuring charges. These more than offset a reduction in operating expenses.</w:t>
      </w:r>
    </w:p>
    <w:p>
      <w:pPr>
        <w:ind w:right="460" w:firstLine="324"/>
        <w:spacing w:after="0" w:line="281" w:lineRule="auto"/>
        <w:rPr>
          <w:sz w:val="20"/>
          <w:szCs w:val="20"/>
          <w:color w:val="auto"/>
        </w:rPr>
      </w:pPr>
      <w:r>
        <w:rPr>
          <w:rFonts w:ascii="Arial" w:cs="Arial" w:eastAsia="Arial" w:hAnsi="Arial"/>
          <w:sz w:val="16"/>
          <w:szCs w:val="16"/>
          <w:color w:val="auto"/>
        </w:rPr>
        <w:t>Other income (expense) net (OI&amp;E) was $44 million, a decrease of $151 million from 2007 primarily due to lower interest income. The decrease in interest income from a year ago was primarily due to lower interest rates, and to a lesser extent, lower average interest-bearing investments.</w:t>
      </w:r>
    </w:p>
    <w:p>
      <w:pPr>
        <w:spacing w:after="0" w:line="1" w:lineRule="exact"/>
        <w:rPr>
          <w:sz w:val="20"/>
          <w:szCs w:val="20"/>
          <w:color w:val="auto"/>
        </w:rPr>
      </w:pPr>
    </w:p>
    <w:p>
      <w:pPr>
        <w:ind w:right="20" w:firstLine="324"/>
        <w:spacing w:after="0" w:line="250" w:lineRule="auto"/>
        <w:rPr>
          <w:sz w:val="20"/>
          <w:szCs w:val="20"/>
          <w:color w:val="auto"/>
        </w:rPr>
      </w:pPr>
      <w:r>
        <w:rPr>
          <w:rFonts w:ascii="Arial" w:cs="Arial" w:eastAsia="Arial" w:hAnsi="Arial"/>
          <w:sz w:val="18"/>
          <w:szCs w:val="18"/>
          <w:color w:val="auto"/>
        </w:rPr>
        <w:t>The tax provision was $561 million, compared with $1.05 billion for 2007. The decrease was primarily due to lower income before income taxes. The tax provision for 2008 contained net discrete tax benefits of $122 million, primarily resulting from our decision to indefinitely reinvest the accumulated earnings of a non-U.S. subsidiary. The tax provision for 2007 contained net discrete tax benefits of $28 million.</w:t>
      </w:r>
    </w:p>
    <w:p>
      <w:pPr>
        <w:spacing w:after="0" w:line="1" w:lineRule="exact"/>
        <w:rPr>
          <w:sz w:val="20"/>
          <w:szCs w:val="20"/>
          <w:color w:val="auto"/>
        </w:rPr>
      </w:pPr>
    </w:p>
    <w:p>
      <w:pPr>
        <w:jc w:val="both"/>
        <w:ind w:right="20" w:firstLine="324"/>
        <w:spacing w:after="0" w:line="250" w:lineRule="auto"/>
        <w:rPr>
          <w:sz w:val="20"/>
          <w:szCs w:val="20"/>
          <w:color w:val="auto"/>
        </w:rPr>
      </w:pPr>
      <w:r>
        <w:rPr>
          <w:rFonts w:ascii="Arial" w:cs="Arial" w:eastAsia="Arial" w:hAnsi="Arial"/>
          <w:sz w:val="18"/>
          <w:szCs w:val="18"/>
          <w:color w:val="auto"/>
        </w:rPr>
        <w:t>Income from continuing operations was $1.92 billion, a decrease of $721 million from 2007. EPS for 2008 was $1.44 per share, compared with $1.82 per share for 2007. The impact of restructuring costs reduced EPS by $0.12 per share in 2008 and by $0.02 per share in 2007. EPS in 2008 benefited $0.12 from a lower number of average shares outstanding as a result of our stock repurchase program.</w:t>
      </w:r>
    </w:p>
    <w:p>
      <w:pPr>
        <w:spacing w:after="0" w:line="1"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Orders were $11.86 billion, which was 13 percent lower than 2007. In the fourth quarter of 2008, orders were $1.86 billion, which was 42 percent lower than in the third quarter of 2008. The declines in both periods reflected lower demand over a broad range of our products.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results</w:t>
      </w:r>
    </w:p>
    <w:p>
      <w:pPr>
        <w:spacing w:after="0" w:line="25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 detailed discussion of our segment results appears below. When reviewing each segment’s results, bear in mind that restructuring charges negatively impacted each segment’s operating profit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8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2008</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2007</w:t>
            </w: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Analog</w:t>
            </w:r>
          </w:p>
        </w:tc>
        <w:tc>
          <w:tcPr>
            <w:tcW w:w="27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Embedded Processing</w:t>
            </w:r>
          </w:p>
        </w:tc>
        <w:tc>
          <w:tcPr>
            <w:tcW w:w="2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24</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Wireless</w:t>
            </w:r>
          </w:p>
        </w:tc>
        <w:tc>
          <w:tcPr>
            <w:tcW w:w="27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130</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Other</w:t>
            </w:r>
          </w:p>
        </w:tc>
        <w:tc>
          <w:tcPr>
            <w:tcW w:w="2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40</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r>
      <w:tr>
        <w:trPr>
          <w:trHeight w:val="237"/>
        </w:trPr>
        <w:tc>
          <w:tcPr>
            <w:tcW w:w="20" w:type="dxa"/>
            <w:vAlign w:val="bottom"/>
          </w:tcPr>
          <w:p>
            <w:pPr>
              <w:spacing w:after="0"/>
              <w:rPr>
                <w:sz w:val="20"/>
                <w:szCs w:val="20"/>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restructuring</w:t>
            </w:r>
          </w:p>
        </w:tc>
        <w:tc>
          <w:tcPr>
            <w:tcW w:w="27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254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r>
      <w:tr>
        <w:trPr>
          <w:trHeight w:val="453"/>
        </w:trPr>
        <w:tc>
          <w:tcPr>
            <w:tcW w:w="4820" w:type="dxa"/>
            <w:vAlign w:val="bottom"/>
            <w:gridSpan w:val="2"/>
          </w:tcPr>
          <w:p>
            <w:pPr>
              <w:spacing w:after="0"/>
              <w:rPr>
                <w:sz w:val="20"/>
                <w:szCs w:val="20"/>
                <w:color w:val="auto"/>
              </w:rPr>
            </w:pPr>
            <w:r>
              <w:rPr>
                <w:rFonts w:ascii="Arial" w:cs="Arial" w:eastAsia="Arial" w:hAnsi="Arial"/>
                <w:sz w:val="18"/>
                <w:szCs w:val="18"/>
                <w:i w:val="1"/>
                <w:iCs w:val="1"/>
                <w:color w:val="auto"/>
              </w:rPr>
              <w:t>Analog</w:t>
            </w:r>
          </w:p>
        </w:tc>
        <w:tc>
          <w:tcPr>
            <w:tcW w:w="2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2008</w:t>
            </w:r>
          </w:p>
        </w:tc>
      </w:tr>
      <w:tr>
        <w:trPr>
          <w:trHeight w:val="241"/>
        </w:trPr>
        <w:tc>
          <w:tcPr>
            <w:tcW w:w="20" w:type="dxa"/>
            <w:vAlign w:val="bottom"/>
          </w:tcPr>
          <w:p>
            <w:pPr>
              <w:spacing w:after="0"/>
              <w:rPr>
                <w:sz w:val="20"/>
                <w:szCs w:val="20"/>
                <w:color w:val="auto"/>
              </w:rPr>
            </w:pPr>
          </w:p>
        </w:tc>
        <w:tc>
          <w:tcPr>
            <w:tcW w:w="48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2008</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2007</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vs. 2007</w:t>
            </w: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7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4,857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4,927</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Operating profit</w:t>
            </w:r>
          </w:p>
        </w:tc>
        <w:tc>
          <w:tcPr>
            <w:tcW w:w="270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1,050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1,548</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profit % of revenue</w:t>
            </w:r>
          </w:p>
        </w:tc>
        <w:tc>
          <w:tcPr>
            <w:tcW w:w="27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color w:val="auto"/>
        </w:rPr>
        <w:t>Analog revenue was about even with 2007 as growth in shipments of high-performance analog products was more than offset by a decline in shipments of high-volume analog &amp; logic products.</w:t>
      </w:r>
    </w:p>
    <w:p>
      <w:pPr>
        <w:spacing w:after="0" w:line="1" w:lineRule="exact"/>
        <w:rPr>
          <w:sz w:val="20"/>
          <w:szCs w:val="20"/>
          <w:color w:val="auto"/>
        </w:rPr>
      </w:pPr>
    </w:p>
    <w:p>
      <w:pPr>
        <w:ind w:right="240" w:firstLine="324"/>
        <w:spacing w:after="0" w:line="255" w:lineRule="auto"/>
        <w:rPr>
          <w:sz w:val="20"/>
          <w:szCs w:val="20"/>
          <w:color w:val="auto"/>
        </w:rPr>
      </w:pPr>
      <w:r>
        <w:rPr>
          <w:rFonts w:ascii="Arial" w:cs="Arial" w:eastAsia="Arial" w:hAnsi="Arial"/>
          <w:sz w:val="18"/>
          <w:szCs w:val="18"/>
          <w:color w:val="auto"/>
        </w:rPr>
        <w:t>Operating profit was $1.05 billion, or 21.6 percent of revenue. This was a decrease of $498 million from 2007 due to lower gross profit, and to a lesser extent, higher operating expenses. Higher operating expenses were primarily due to continued investment in R&amp;D and SG&amp;A, reflecting the strategic importance of this segment to our future growth.</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gridSpan w:val="2"/>
          </w:tcPr>
          <w:p>
            <w:pPr>
              <w:spacing w:after="0"/>
              <w:rPr>
                <w:sz w:val="20"/>
                <w:szCs w:val="20"/>
                <w:color w:val="auto"/>
              </w:rPr>
            </w:pPr>
            <w:r>
              <w:rPr>
                <w:rFonts w:ascii="Arial" w:cs="Arial" w:eastAsia="Arial" w:hAnsi="Arial"/>
                <w:sz w:val="18"/>
                <w:szCs w:val="18"/>
                <w:i w:val="1"/>
                <w:iCs w:val="1"/>
                <w:color w:val="auto"/>
              </w:rPr>
              <w:t>Embedded Processing</w:t>
            </w:r>
          </w:p>
        </w:tc>
        <w:tc>
          <w:tcPr>
            <w:tcW w:w="2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41"/>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jc w:val="right"/>
              <w:ind w:right="450"/>
              <w:spacing w:after="0"/>
              <w:rPr>
                <w:sz w:val="20"/>
                <w:szCs w:val="20"/>
                <w:color w:val="auto"/>
              </w:rPr>
            </w:pPr>
            <w:r>
              <w:rPr>
                <w:rFonts w:ascii="Arial" w:cs="Arial" w:eastAsia="Arial" w:hAnsi="Arial"/>
                <w:sz w:val="18"/>
                <w:szCs w:val="18"/>
                <w:b w:val="1"/>
                <w:bCs w:val="1"/>
                <w:color w:val="auto"/>
              </w:rPr>
              <w:t>2008</w:t>
            </w:r>
          </w:p>
        </w:tc>
      </w:tr>
      <w:tr>
        <w:trPr>
          <w:trHeight w:val="241"/>
        </w:trPr>
        <w:tc>
          <w:tcPr>
            <w:tcW w:w="20" w:type="dxa"/>
            <w:vAlign w:val="bottom"/>
          </w:tcPr>
          <w:p>
            <w:pPr>
              <w:spacing w:after="0"/>
              <w:rPr>
                <w:sz w:val="20"/>
                <w:szCs w:val="20"/>
                <w:color w:val="auto"/>
              </w:rPr>
            </w:pPr>
          </w:p>
        </w:tc>
        <w:tc>
          <w:tcPr>
            <w:tcW w:w="48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2008</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2007</w:t>
            </w: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vs. 2007</w:t>
            </w: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7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1,631</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1,588</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Operating profit</w:t>
            </w:r>
          </w:p>
        </w:tc>
        <w:tc>
          <w:tcPr>
            <w:tcW w:w="270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268</w:t>
            </w:r>
          </w:p>
        </w:tc>
        <w:tc>
          <w:tcPr>
            <w:tcW w:w="300" w:type="dxa"/>
            <w:vAlign w:val="bottom"/>
          </w:tcPr>
          <w:p>
            <w:pPr>
              <w:spacing w:after="0"/>
              <w:rPr>
                <w:sz w:val="18"/>
                <w:szCs w:val="18"/>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290</w:t>
            </w:r>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profit % of revenue</w:t>
            </w:r>
          </w:p>
        </w:tc>
        <w:tc>
          <w:tcPr>
            <w:tcW w:w="27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18.3%</w:t>
            </w:r>
          </w:p>
        </w:tc>
        <w:tc>
          <w:tcPr>
            <w:tcW w:w="122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Embedded Processing revenue grew 3 percent compared with 2007 due to increased shipments during the earlier part of 2008, although revenue declined during the fourth quarter. The increase in revenue from 2007 was due to increased shipments of products for communications infrastructure applications, and to a lesser extent, catalog products. These increases more than offset lower revenue from a decline in shipments of products for automotive applications.</w:t>
      </w:r>
    </w:p>
    <w:p>
      <w:pPr>
        <w:ind w:right="560" w:firstLine="324"/>
        <w:spacing w:after="0" w:line="261" w:lineRule="auto"/>
        <w:rPr>
          <w:sz w:val="20"/>
          <w:szCs w:val="20"/>
          <w:color w:val="auto"/>
        </w:rPr>
      </w:pPr>
      <w:r>
        <w:rPr>
          <w:rFonts w:ascii="Arial" w:cs="Arial" w:eastAsia="Arial" w:hAnsi="Arial"/>
          <w:sz w:val="18"/>
          <w:szCs w:val="18"/>
          <w:color w:val="auto"/>
        </w:rPr>
        <w:t>Operating profit was $268 million, or 16.5 percent of revenue. This was a decrease of $22 million compared with 2007 due to higher restructuring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82"/>
        </w:trPr>
        <w:tc>
          <w:tcPr>
            <w:tcW w:w="5520" w:type="dxa"/>
            <w:vAlign w:val="bottom"/>
            <w:gridSpan w:val="2"/>
          </w:tcPr>
          <w:p>
            <w:pPr>
              <w:spacing w:after="0"/>
              <w:rPr>
                <w:sz w:val="20"/>
                <w:szCs w:val="20"/>
                <w:color w:val="auto"/>
              </w:rPr>
            </w:pPr>
            <w:r>
              <w:rPr>
                <w:rFonts w:ascii="Arial" w:cs="Arial" w:eastAsia="Arial" w:hAnsi="Arial"/>
                <w:sz w:val="14"/>
                <w:szCs w:val="14"/>
                <w:color w:val="auto"/>
              </w:rPr>
              <w:t>TEXAS INSTRUMENTS 2009 ANNUAL REPORT n PAGE 42</w:t>
            </w:r>
          </w:p>
        </w:tc>
        <w:tc>
          <w:tcPr>
            <w:tcW w:w="2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444"/>
        </w:trPr>
        <w:tc>
          <w:tcPr>
            <w:tcW w:w="5520" w:type="dxa"/>
            <w:vAlign w:val="bottom"/>
            <w:gridSpan w:val="2"/>
          </w:tcPr>
          <w:p>
            <w:pPr>
              <w:spacing w:after="0"/>
              <w:rPr>
                <w:sz w:val="20"/>
                <w:szCs w:val="20"/>
                <w:color w:val="auto"/>
              </w:rPr>
            </w:pPr>
            <w:r>
              <w:rPr>
                <w:rFonts w:ascii="Arial" w:cs="Arial" w:eastAsia="Arial" w:hAnsi="Arial"/>
                <w:sz w:val="18"/>
                <w:szCs w:val="18"/>
                <w:i w:val="1"/>
                <w:iCs w:val="1"/>
                <w:color w:val="auto"/>
              </w:rPr>
              <w:t>Wireless</w:t>
            </w:r>
          </w:p>
        </w:tc>
        <w:tc>
          <w:tcPr>
            <w:tcW w:w="2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jc w:val="right"/>
              <w:ind w:right="450"/>
              <w:spacing w:after="0"/>
              <w:rPr>
                <w:sz w:val="20"/>
                <w:szCs w:val="20"/>
                <w:color w:val="auto"/>
              </w:rPr>
            </w:pPr>
            <w:r>
              <w:rPr>
                <w:rFonts w:ascii="Arial" w:cs="Arial" w:eastAsia="Arial" w:hAnsi="Arial"/>
                <w:sz w:val="18"/>
                <w:szCs w:val="18"/>
                <w:b w:val="1"/>
                <w:bCs w:val="1"/>
                <w:color w:val="auto"/>
              </w:rPr>
              <w:t>2008</w:t>
            </w:r>
          </w:p>
        </w:tc>
      </w:tr>
      <w:tr>
        <w:trPr>
          <w:trHeight w:val="241"/>
        </w:trPr>
        <w:tc>
          <w:tcPr>
            <w:tcW w:w="20" w:type="dxa"/>
            <w:vAlign w:val="bottom"/>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2008</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2007</w:t>
            </w: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vs. 2007</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3,383</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4,195</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Operating profit</w:t>
            </w:r>
          </w:p>
        </w:tc>
        <w:tc>
          <w:tcPr>
            <w:tcW w:w="200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347</w:t>
            </w:r>
          </w:p>
        </w:tc>
        <w:tc>
          <w:tcPr>
            <w:tcW w:w="300" w:type="dxa"/>
            <w:vAlign w:val="bottom"/>
          </w:tcPr>
          <w:p>
            <w:pPr>
              <w:spacing w:after="0"/>
              <w:rPr>
                <w:sz w:val="18"/>
                <w:szCs w:val="18"/>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763</w:t>
            </w:r>
          </w:p>
        </w:tc>
        <w:tc>
          <w:tcPr>
            <w:tcW w:w="12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profit % of revenue</w:t>
            </w:r>
          </w:p>
        </w:tc>
        <w:tc>
          <w:tcPr>
            <w:tcW w:w="20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18.2%</w:t>
            </w:r>
          </w:p>
        </w:tc>
        <w:tc>
          <w:tcPr>
            <w:tcW w:w="122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Wireless revenue declined $812 million, or 19 percent, from 2007 primarily due to lower shipments of baseband products, and to a lesser extent, lower shipments of OMAP application processors. As announced in December 2006, LM Ericsson Telephone Company added a second supplier of 3G basebands for handset applications, which began to affect our results in the fourth quarter of 2007 and continued to do so in 2008.</w:t>
      </w:r>
    </w:p>
    <w:p>
      <w:pPr>
        <w:ind w:right="220" w:firstLine="324"/>
        <w:spacing w:after="0" w:line="261" w:lineRule="auto"/>
        <w:rPr>
          <w:sz w:val="20"/>
          <w:szCs w:val="20"/>
          <w:color w:val="auto"/>
        </w:rPr>
      </w:pPr>
      <w:r>
        <w:rPr>
          <w:rFonts w:ascii="Arial" w:cs="Arial" w:eastAsia="Arial" w:hAnsi="Arial"/>
          <w:sz w:val="18"/>
          <w:szCs w:val="18"/>
          <w:color w:val="auto"/>
        </w:rPr>
        <w:t>Operating profit was $347 million, or 10.3 percent of revenue. This was a decrease of $416 million from 2007 due to lower gross profit, and to a lesser extent, higher restructuring costs. These decreases were partially offset by lower operating expenses.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gridSpan w:val="2"/>
          </w:tcPr>
          <w:p>
            <w:pPr>
              <w:spacing w:after="0"/>
              <w:rPr>
                <w:sz w:val="20"/>
                <w:szCs w:val="20"/>
                <w:color w:val="auto"/>
              </w:rPr>
            </w:pPr>
            <w:r>
              <w:rPr>
                <w:rFonts w:ascii="Arial" w:cs="Arial" w:eastAsia="Arial" w:hAnsi="Arial"/>
                <w:sz w:val="18"/>
                <w:szCs w:val="18"/>
                <w:i w:val="1"/>
                <w:iCs w:val="1"/>
                <w:color w:val="auto"/>
              </w:rPr>
              <w:t>Other</w:t>
            </w:r>
          </w:p>
        </w:tc>
        <w:tc>
          <w:tcPr>
            <w:tcW w:w="2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2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2008</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2007</w:t>
            </w: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vs. 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7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2,630</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3,125</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Operating profit</w:t>
            </w:r>
          </w:p>
        </w:tc>
        <w:tc>
          <w:tcPr>
            <w:tcW w:w="270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772</w:t>
            </w:r>
          </w:p>
        </w:tc>
        <w:tc>
          <w:tcPr>
            <w:tcW w:w="300" w:type="dxa"/>
            <w:vAlign w:val="bottom"/>
          </w:tcPr>
          <w:p>
            <w:pPr>
              <w:spacing w:after="0"/>
              <w:rPr>
                <w:sz w:val="18"/>
                <w:szCs w:val="18"/>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896</w:t>
            </w: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profit % of revenue</w:t>
            </w:r>
          </w:p>
        </w:tc>
        <w:tc>
          <w:tcPr>
            <w:tcW w:w="27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29.3%</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28.7%</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0"/>
        <w:spacing w:after="0" w:line="291" w:lineRule="auto"/>
        <w:rPr>
          <w:sz w:val="20"/>
          <w:szCs w:val="20"/>
          <w:color w:val="auto"/>
        </w:rPr>
      </w:pPr>
      <w:r>
        <w:rPr>
          <w:rFonts w:ascii="Arial" w:cs="Arial" w:eastAsia="Arial" w:hAnsi="Arial"/>
          <w:sz w:val="16"/>
          <w:szCs w:val="16"/>
          <w:color w:val="auto"/>
        </w:rPr>
        <w:t>Revenue from Other was $2.63 billion in 2008. This was a decline of $495 million, or 16 percent, from 2007 due to, in decreasing order, a decrease in shipments across a broad range of products, the effect of the sale of our DSL customer-premises equipment product line in 2007 and lower royalties.</w:t>
      </w:r>
    </w:p>
    <w:p>
      <w:pPr>
        <w:ind w:right="440" w:firstLine="324"/>
        <w:spacing w:after="0" w:line="261" w:lineRule="auto"/>
        <w:rPr>
          <w:sz w:val="20"/>
          <w:szCs w:val="20"/>
          <w:color w:val="auto"/>
        </w:rPr>
      </w:pPr>
      <w:r>
        <w:rPr>
          <w:rFonts w:ascii="Arial" w:cs="Arial" w:eastAsia="Arial" w:hAnsi="Arial"/>
          <w:sz w:val="18"/>
          <w:szCs w:val="18"/>
          <w:color w:val="auto"/>
        </w:rPr>
        <w:t>Operating profit for 2008 from Other was $772 million, or 29.3 percent of revenue. This was a decrease of $124 million compared with 2007 due to lower revenue.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7" w:lineRule="exact"/>
        <w:rPr>
          <w:sz w:val="20"/>
          <w:szCs w:val="20"/>
          <w:color w:val="auto"/>
        </w:rPr>
      </w:pPr>
    </w:p>
    <w:p>
      <w:pPr>
        <w:ind w:left="340" w:right="140" w:hanging="323"/>
        <w:spacing w:after="0" w:line="281" w:lineRule="auto"/>
        <w:rPr>
          <w:sz w:val="20"/>
          <w:szCs w:val="20"/>
          <w:color w:val="auto"/>
        </w:rPr>
      </w:pPr>
      <w:r>
        <w:rPr>
          <w:rFonts w:ascii="Arial" w:cs="Arial" w:eastAsia="Arial" w:hAnsi="Arial"/>
          <w:sz w:val="16"/>
          <w:szCs w:val="16"/>
          <w:color w:val="auto"/>
        </w:rPr>
        <w:t>At the end of 2009, total cash (cash and cash equivalents plus short-term investments) was $2.92 billion, an increase of $385 million from the end of 2008. Accounts receivable were $1.28 billion at the end of 2009. This was an increase of $364 million compared with the end of 2008. Days sales outstanding</w:t>
      </w:r>
    </w:p>
    <w:p>
      <w:pPr>
        <w:spacing w:after="0" w:line="1"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were 38 at the end of 2009, compared with 33 at the end of 2008. The increase in accounts receivable was the result of higher revenue experienced throughout the fourth quarter of 2009, compared with a sharp decline in revenue in the fourth quarter of 2008, particularly in December.</w:t>
      </w:r>
    </w:p>
    <w:p>
      <w:pPr>
        <w:ind w:right="140" w:firstLine="324"/>
        <w:spacing w:after="0" w:line="290" w:lineRule="auto"/>
        <w:rPr>
          <w:sz w:val="20"/>
          <w:szCs w:val="20"/>
          <w:color w:val="auto"/>
        </w:rPr>
      </w:pPr>
      <w:r>
        <w:rPr>
          <w:rFonts w:ascii="Arial" w:cs="Arial" w:eastAsia="Arial" w:hAnsi="Arial"/>
          <w:sz w:val="17"/>
          <w:szCs w:val="17"/>
          <w:color w:val="auto"/>
        </w:rPr>
        <w:t>Inventory was $1.20 billion at the end of 2009, $173 million lower than a year ago, and days of inventory at the end of 2009 were 76, compared with 89 at the end of 2008. The higher days of inventory at the end of 2008 reflected sharply declining demand due to the global economic downturn.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sources of liquidity are cash flow from operations, cash and cash equivalents, short-term investments and revolving credit facilities.</w:t>
      </w:r>
    </w:p>
    <w:p>
      <w:pPr>
        <w:spacing w:after="0" w:line="9" w:lineRule="exact"/>
        <w:rPr>
          <w:sz w:val="20"/>
          <w:szCs w:val="20"/>
          <w:color w:val="auto"/>
        </w:rPr>
      </w:pPr>
    </w:p>
    <w:p>
      <w:pPr>
        <w:ind w:right="120" w:firstLine="324"/>
        <w:spacing w:after="0" w:line="250" w:lineRule="auto"/>
        <w:rPr>
          <w:sz w:val="20"/>
          <w:szCs w:val="20"/>
          <w:color w:val="auto"/>
        </w:rPr>
      </w:pPr>
      <w:r>
        <w:rPr>
          <w:rFonts w:ascii="Arial" w:cs="Arial" w:eastAsia="Arial" w:hAnsi="Arial"/>
          <w:sz w:val="18"/>
          <w:szCs w:val="18"/>
          <w:color w:val="auto"/>
        </w:rPr>
        <w:t>Our primary source of liquidity is cash flow from operations. Cash flow from operations for 2009 was $2.64 billion, a decrease of $687 million from the prior year due to changes in accounts receivable.</w:t>
      </w:r>
    </w:p>
    <w:p>
      <w:pPr>
        <w:spacing w:after="0" w:line="1" w:lineRule="exact"/>
        <w:rPr>
          <w:sz w:val="20"/>
          <w:szCs w:val="20"/>
          <w:color w:val="auto"/>
        </w:rPr>
      </w:pPr>
    </w:p>
    <w:p>
      <w:pPr>
        <w:ind w:right="20" w:firstLine="324"/>
        <w:spacing w:after="0" w:line="250" w:lineRule="auto"/>
        <w:rPr>
          <w:sz w:val="20"/>
          <w:szCs w:val="20"/>
          <w:color w:val="auto"/>
        </w:rPr>
      </w:pPr>
      <w:r>
        <w:rPr>
          <w:rFonts w:ascii="Arial" w:cs="Arial" w:eastAsia="Arial" w:hAnsi="Arial"/>
          <w:sz w:val="18"/>
          <w:szCs w:val="18"/>
          <w:color w:val="auto"/>
        </w:rPr>
        <w:t>We have $1.18 billion of cash and cash equivalents and $1.74 billion of short-term investments as of December 31, 2009. We have a multi-year $1 billion revolving credit facility, and we have a non-U.S. revolving credit facility of $175 million that expires in November 2010. See Note 10 to the Financial Statements for additional information. As of December 31, 2009, these facilities were not being utilized.</w:t>
      </w:r>
    </w:p>
    <w:p>
      <w:pPr>
        <w:spacing w:after="0" w:line="1" w:lineRule="exact"/>
        <w:rPr>
          <w:sz w:val="20"/>
          <w:szCs w:val="20"/>
          <w:color w:val="auto"/>
        </w:rPr>
      </w:pPr>
    </w:p>
    <w:p>
      <w:pPr>
        <w:ind w:right="840" w:firstLine="324"/>
        <w:spacing w:after="0" w:line="250" w:lineRule="auto"/>
        <w:rPr>
          <w:sz w:val="20"/>
          <w:szCs w:val="20"/>
          <w:color w:val="auto"/>
        </w:rPr>
      </w:pPr>
      <w:r>
        <w:rPr>
          <w:rFonts w:ascii="Arial" w:cs="Arial" w:eastAsia="Arial" w:hAnsi="Arial"/>
          <w:sz w:val="18"/>
          <w:szCs w:val="18"/>
          <w:color w:val="auto"/>
        </w:rPr>
        <w:t>In 2009, investing activities used $1.10 billion in cash, primarily for capital expenditures, and to a lesser extent, acquisitions. For 2009, capital expenditures were $753 million, about even with 2008. We used $155 million for acquisitions in 2009.</w:t>
      </w:r>
    </w:p>
    <w:p>
      <w:pPr>
        <w:spacing w:after="0" w:line="1" w:lineRule="exact"/>
        <w:rPr>
          <w:sz w:val="20"/>
          <w:szCs w:val="20"/>
          <w:color w:val="auto"/>
        </w:rPr>
      </w:pPr>
    </w:p>
    <w:p>
      <w:pPr>
        <w:ind w:right="40" w:firstLine="324"/>
        <w:spacing w:after="0" w:line="250" w:lineRule="auto"/>
        <w:rPr>
          <w:sz w:val="20"/>
          <w:szCs w:val="20"/>
          <w:color w:val="auto"/>
        </w:rPr>
      </w:pPr>
      <w:r>
        <w:rPr>
          <w:rFonts w:ascii="Arial" w:cs="Arial" w:eastAsia="Arial" w:hAnsi="Arial"/>
          <w:sz w:val="18"/>
          <w:szCs w:val="18"/>
          <w:color w:val="auto"/>
        </w:rPr>
        <w:t>For 2009, net cash used in financing activities was $1.41 billion, compared with $2.43 billion in 2008. We used $954 million to repurchase 45 million shares of our common stock in 2009, compared with $2.12 billion used to repurchase 80 million shares of our common stock in 2008. Dividends paid in 2009 of $567 million, compared with $537 million in 2008, reflect the effect of increases in the quarterly dividend rate, partially offset by the lower number of shares outstanding. Employee exercises of TI stock options are also reflected in cash from financing activities. In 2009, these exercises provided cash proceeds of $109 million, compared with $210 million in 2008.</w:t>
      </w:r>
    </w:p>
    <w:p>
      <w:pPr>
        <w:spacing w:after="0" w:line="2" w:lineRule="exact"/>
        <w:rPr>
          <w:sz w:val="20"/>
          <w:szCs w:val="20"/>
          <w:color w:val="auto"/>
        </w:rPr>
      </w:pPr>
    </w:p>
    <w:p>
      <w:pPr>
        <w:ind w:right="400" w:firstLine="324"/>
        <w:spacing w:after="0" w:line="261" w:lineRule="auto"/>
        <w:rPr>
          <w:sz w:val="20"/>
          <w:szCs w:val="20"/>
          <w:color w:val="auto"/>
        </w:rPr>
      </w:pPr>
      <w:r>
        <w:rPr>
          <w:rFonts w:ascii="Arial" w:cs="Arial" w:eastAsia="Arial" w:hAnsi="Arial"/>
          <w:sz w:val="18"/>
          <w:szCs w:val="18"/>
          <w:color w:val="auto"/>
        </w:rPr>
        <w:t>Cumulatively, our board of directors has authorized $20.0 billion in stock repurchases since September 2004. At year-end 2009, $2.6 billion of these authorizations remain.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99" w:name="page100"/>
    <w:bookmarkEnd w:id="99"/>
    <w:p>
      <w:pPr>
        <w:ind w:left="7680"/>
        <w:spacing w:after="0"/>
        <w:rPr>
          <w:sz w:val="20"/>
          <w:szCs w:val="20"/>
          <w:color w:val="auto"/>
        </w:rPr>
      </w:pPr>
      <w:r>
        <w:rPr>
          <w:rFonts w:ascii="Arial" w:cs="Arial" w:eastAsia="Arial" w:hAnsi="Arial"/>
          <w:sz w:val="13"/>
          <w:szCs w:val="13"/>
          <w:color w:val="auto"/>
        </w:rPr>
        <w:t>TEXAS INSTRUMENTS 2009 ANNUAL REPORT n PAGE 43</w:t>
      </w:r>
    </w:p>
    <w:p>
      <w:pPr>
        <w:spacing w:after="0" w:line="22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believe we have the necessary financial resources and operating plans to fund our working capital needs, capital expenditures, dividend payments and other business requirements for at least the next 12 months.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Long-term contractual obligations</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0" w:type="dxa"/>
            <w:vAlign w:val="bottom"/>
            <w:gridSpan w:val="4"/>
          </w:tcPr>
          <w:p>
            <w:pPr>
              <w:jc w:val="right"/>
              <w:spacing w:after="0"/>
              <w:rPr>
                <w:sz w:val="20"/>
                <w:szCs w:val="20"/>
                <w:color w:val="auto"/>
              </w:rPr>
            </w:pPr>
            <w:r>
              <w:rPr>
                <w:rFonts w:ascii="Arial" w:cs="Arial" w:eastAsia="Arial" w:hAnsi="Arial"/>
                <w:sz w:val="18"/>
                <w:szCs w:val="18"/>
                <w:b w:val="1"/>
                <w:bCs w:val="1"/>
                <w:color w:val="auto"/>
              </w:rPr>
              <w:t>Payments Due by Period</w:t>
            </w: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Contractual obligations</w:t>
            </w:r>
          </w:p>
        </w:tc>
        <w:tc>
          <w:tcPr>
            <w:tcW w:w="260" w:type="dxa"/>
            <w:vAlign w:val="bottom"/>
          </w:tcPr>
          <w:p>
            <w:pPr>
              <w:spacing w:after="0"/>
              <w:rPr>
                <w:sz w:val="21"/>
                <w:szCs w:val="21"/>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2011/2012</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2013/2014</w:t>
            </w:r>
          </w:p>
        </w:tc>
        <w:tc>
          <w:tcPr>
            <w:tcW w:w="240" w:type="dxa"/>
            <w:vAlign w:val="bottom"/>
          </w:tcPr>
          <w:p>
            <w:pPr>
              <w:spacing w:after="0"/>
              <w:rPr>
                <w:sz w:val="21"/>
                <w:szCs w:val="21"/>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Thereafter</w:t>
            </w:r>
          </w:p>
        </w:tc>
        <w:tc>
          <w:tcPr>
            <w:tcW w:w="340" w:type="dxa"/>
            <w:vAlign w:val="bottom"/>
          </w:tcPr>
          <w:p>
            <w:pPr>
              <w:spacing w:after="0"/>
              <w:rPr>
                <w:sz w:val="21"/>
                <w:szCs w:val="21"/>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16"/>
        </w:trPr>
        <w:tc>
          <w:tcPr>
            <w:tcW w:w="20" w:type="dxa"/>
            <w:vAlign w:val="bottom"/>
          </w:tcPr>
          <w:p>
            <w:pPr>
              <w:spacing w:after="0"/>
              <w:rPr>
                <w:sz w:val="18"/>
                <w:szCs w:val="18"/>
                <w:color w:val="auto"/>
              </w:rPr>
            </w:pPr>
          </w:p>
        </w:tc>
        <w:tc>
          <w:tcPr>
            <w:tcW w:w="4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lease obligations (a)</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86</w:t>
            </w: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3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3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437</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Software license obligations (b)</w:t>
            </w:r>
          </w:p>
        </w:tc>
        <w:tc>
          <w:tcPr>
            <w:tcW w:w="2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83</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212</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 (c)</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159</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369</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Retirement plans funding (d)</w:t>
            </w:r>
          </w:p>
        </w:tc>
        <w:tc>
          <w:tcPr>
            <w:tcW w:w="2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51</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compensation plan (e)</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 (f).</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394</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463</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198</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1,223</w:t>
            </w: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right="480" w:hanging="332"/>
        <w:spacing w:after="0" w:line="277"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Includes minimum payments for leased facilities and equipment, as well as purchases of industrial gases under contracts accounted for as operating leases.</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Includes payments under license agreements for electronic design automation software.</w:t>
      </w:r>
    </w:p>
    <w:p>
      <w:pPr>
        <w:spacing w:after="0" w:line="252" w:lineRule="exact"/>
        <w:rPr>
          <w:rFonts w:ascii="Arial" w:cs="Arial" w:eastAsia="Arial" w:hAnsi="Arial"/>
          <w:sz w:val="18"/>
          <w:szCs w:val="18"/>
          <w:color w:val="auto"/>
        </w:rPr>
      </w:pPr>
    </w:p>
    <w:p>
      <w:pPr>
        <w:ind w:left="340" w:right="60" w:hanging="332"/>
        <w:spacing w:after="0" w:line="286" w:lineRule="auto"/>
        <w:tabs>
          <w:tab w:leader="none" w:pos="3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Includes contractual arrangements with suppliers where there is a fixed non-cancellable payment schedule or minimum payments due with a reduced delivery schedule. Excluded from the table are cancellable arrangements. However, depending on when certain purchase arrangements may be cancelled, an additional $3 million of cancellation penalties may be required to be paid, which are not reflected in the table.</w:t>
      </w:r>
    </w:p>
    <w:p>
      <w:pPr>
        <w:spacing w:after="0" w:line="192" w:lineRule="exact"/>
        <w:rPr>
          <w:rFonts w:ascii="Arial" w:cs="Arial" w:eastAsia="Arial" w:hAnsi="Arial"/>
          <w:sz w:val="17"/>
          <w:szCs w:val="17"/>
          <w:color w:val="auto"/>
        </w:rPr>
      </w:pPr>
    </w:p>
    <w:p>
      <w:pPr>
        <w:jc w:val="both"/>
        <w:ind w:left="340" w:right="340" w:hanging="332"/>
        <w:spacing w:after="0" w:line="342" w:lineRule="auto"/>
        <w:tabs>
          <w:tab w:leader="none" w:pos="3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Includes the minimum contributions expected to be made during 2010. Funding projections beyond 2010 are not practical to estimate due to the rules affecting tax-deductible contributions and the impact from the plans’ asset performance, interest rates and potential U.S. and international legislation.</w:t>
      </w:r>
    </w:p>
    <w:p>
      <w:pPr>
        <w:spacing w:after="0" w:line="150" w:lineRule="exact"/>
        <w:rPr>
          <w:rFonts w:ascii="Arial" w:cs="Arial" w:eastAsia="Arial" w:hAnsi="Arial"/>
          <w:sz w:val="16"/>
          <w:szCs w:val="16"/>
          <w:color w:val="auto"/>
        </w:rPr>
      </w:pPr>
    </w:p>
    <w:p>
      <w:pPr>
        <w:ind w:left="340" w:hanging="332"/>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Includes an estimate of payments under this plan for the liability that existed at December 31, 2009.</w:t>
      </w:r>
    </w:p>
    <w:p>
      <w:pPr>
        <w:spacing w:after="0" w:line="252" w:lineRule="exact"/>
        <w:rPr>
          <w:rFonts w:ascii="Arial" w:cs="Arial" w:eastAsia="Arial" w:hAnsi="Arial"/>
          <w:sz w:val="18"/>
          <w:szCs w:val="18"/>
          <w:color w:val="auto"/>
        </w:rPr>
      </w:pPr>
    </w:p>
    <w:p>
      <w:pPr>
        <w:ind w:left="340" w:right="640" w:hanging="332"/>
        <w:spacing w:after="0" w:line="277"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Excluded from the table above are $56 million of uncertain tax liabilities. These amounts have been excluded because of the difficulty in making reasonably reliable estimates of the timing of cash settlements with the respective taxing authorities.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7"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In preparing our consolidated financial statements in conformity with accounting principles generally accepted in the United States, we use statistical analyses, estimates and projections that affect the reported amounts and related disclosures and may vary from actual results. We consider the following accounting policies to be both those that are most important to the portrayal of our financial condition and that require the most subjective judgment. If actual results differ significantly from management’s estimates and projections, there could be a significant effect on our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3"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Revenue from sales of our products is recognized upon shipment or delivery, depending upon the terms of the sales order, provided that persuasive evidence of a sales arrangement exists, title and risk of loss have transferred to the customer, the sales amount is fixed or determinable and collection of the revenue is reasonably assured. A portion of our sales is to distributors. We recognize revenue from sales of our products to distributors upon delivery of product to the distributors consistent with the above principles.</w:t>
      </w:r>
    </w:p>
    <w:p>
      <w:pPr>
        <w:spacing w:after="0" w:line="2" w:lineRule="exact"/>
        <w:rPr>
          <w:sz w:val="20"/>
          <w:szCs w:val="20"/>
          <w:color w:val="auto"/>
        </w:rPr>
      </w:pPr>
    </w:p>
    <w:p>
      <w:pPr>
        <w:ind w:right="120" w:firstLine="324"/>
        <w:spacing w:after="0" w:line="265" w:lineRule="auto"/>
        <w:rPr>
          <w:sz w:val="20"/>
          <w:szCs w:val="20"/>
          <w:color w:val="auto"/>
        </w:rPr>
      </w:pPr>
      <w:r>
        <w:rPr>
          <w:rFonts w:ascii="Arial" w:cs="Arial" w:eastAsia="Arial" w:hAnsi="Arial"/>
          <w:sz w:val="17"/>
          <w:szCs w:val="17"/>
          <w:color w:val="auto"/>
        </w:rPr>
        <w:t>We reduce revenue based on estimates of future credits to be granted to customers. Credits include volume-based incentives, other special pricing arrangements and product returns due to quality issues. We also grant discounts to some distributors for prompt payments. Our estimates of future credits are based on historical experience, analysis of product shipments and contractual arrangements with customers and distributors.</w:t>
      </w:r>
    </w:p>
    <w:p>
      <w:pPr>
        <w:spacing w:after="0" w:line="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Distributor revenue is recognized net of allowances, which are management’s estimates based on analysis of historical data, current economic conditions and contractual terms. These allowances recognize the impact of credits granted to distributors under certain programs common in the semiconductor industry whereby distributors receive certain price adjustments to meet individual competitive opportunities, or are allowed to return or scrap a limited amount of product in accordance with contractual terms agreed upon with the distributor, or receive price protection credits when our standard published prices are lowered from the price the distributor paid for product still in its inventory. Historical claims data are maintained for each of the programs, with differences among geographic regions taken into consideration. We continually monitor the actual claimed allowances against our estimates, and we adjust our estimates as appropriate to reflect trends in distributor revenue and inventory levels. Allowances are also adjusted when recent historical data do not represent anticipated future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403225</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color w:val="auto"/>
        </w:rPr>
        <w:t>TEXAS INSTRUMENTS 2009 ANNUAL REPORT n PAGE 44</w:t>
      </w:r>
    </w:p>
    <w:p>
      <w:pPr>
        <w:spacing w:after="0" w:line="208"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In addition, we monitor collectibility of accounts receivable primarily through review of the accounts receivable aging. When collection is at risk, we assess the impact on amounts recorded for bad debts and, if necessary, will record a charge in the period such determination is made.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3" w:lineRule="exact"/>
        <w:rPr>
          <w:sz w:val="20"/>
          <w:szCs w:val="20"/>
          <w:color w:val="auto"/>
        </w:rPr>
      </w:pPr>
    </w:p>
    <w:p>
      <w:pPr>
        <w:ind w:right="520"/>
        <w:spacing w:after="0" w:line="250" w:lineRule="auto"/>
        <w:rPr>
          <w:sz w:val="20"/>
          <w:szCs w:val="20"/>
          <w:color w:val="auto"/>
        </w:rPr>
      </w:pPr>
      <w:r>
        <w:rPr>
          <w:rFonts w:ascii="Arial" w:cs="Arial" w:eastAsia="Arial" w:hAnsi="Arial"/>
          <w:sz w:val="18"/>
          <w:szCs w:val="18"/>
          <w:color w:val="auto"/>
        </w:rPr>
        <w:t>In determining net income for financial statement purposes, we must make certain estimates and judgments in the calculation of tax provisions and the resultant tax liabilities, and in the recoverability of deferred tax assets that arise from temporary differences between the tax and financial statement recognition of revenue and expense.</w:t>
      </w:r>
    </w:p>
    <w:p>
      <w:pPr>
        <w:spacing w:after="0" w:line="1" w:lineRule="exact"/>
        <w:rPr>
          <w:sz w:val="20"/>
          <w:szCs w:val="20"/>
          <w:color w:val="auto"/>
        </w:rPr>
      </w:pPr>
    </w:p>
    <w:p>
      <w:pPr>
        <w:ind w:firstLine="324"/>
        <w:spacing w:after="0" w:line="250" w:lineRule="auto"/>
        <w:rPr>
          <w:sz w:val="20"/>
          <w:szCs w:val="20"/>
          <w:color w:val="auto"/>
        </w:rPr>
      </w:pPr>
      <w:r>
        <w:rPr>
          <w:rFonts w:ascii="Arial" w:cs="Arial" w:eastAsia="Arial" w:hAnsi="Arial"/>
          <w:sz w:val="18"/>
          <w:szCs w:val="18"/>
          <w:color w:val="auto"/>
        </w:rPr>
        <w:t>In the ordinary course of global business, there may be many transactions and calculations where the ultimate tax outcome is uncertain. The calculation of tax liabilities involves dealing with uncertainties in the application of complex tax laws. We recognize potential liabilities for anticipated tax audit issues in the U.S. and other tax jurisdictions based on an estimate of the ultimate resolution of whether, and the extent to which, additional taxes will be due. Although we believe the estimates are reasonable, no assurance can be given that the final outcome of these matters will not be different than what is reflected in the historical income tax provisions and accruals.</w:t>
      </w:r>
    </w:p>
    <w:p>
      <w:pPr>
        <w:spacing w:after="0" w:line="2" w:lineRule="exact"/>
        <w:rPr>
          <w:sz w:val="20"/>
          <w:szCs w:val="20"/>
          <w:color w:val="auto"/>
        </w:rPr>
      </w:pPr>
    </w:p>
    <w:p>
      <w:pPr>
        <w:ind w:firstLine="324"/>
        <w:spacing w:after="0" w:line="250" w:lineRule="auto"/>
        <w:rPr>
          <w:sz w:val="20"/>
          <w:szCs w:val="20"/>
          <w:color w:val="auto"/>
        </w:rPr>
      </w:pPr>
      <w:r>
        <w:rPr>
          <w:rFonts w:ascii="Arial" w:cs="Arial" w:eastAsia="Arial" w:hAnsi="Arial"/>
          <w:sz w:val="18"/>
          <w:szCs w:val="18"/>
          <w:color w:val="auto"/>
        </w:rPr>
        <w:t>As part of our financial process, we must assess the likelihood that our deferred tax assets can be recovered. If recovery is not likely, the provision for taxes must be increased by recording a reserve in the form of a valuation allowance for the deferred tax assets that are estimated not to be ultimately recoverable. In this process, certain relevant criteria are evaluated including the existence of deferred tax liabilities that can be used to absorb deferred tax assets, the taxable income in prior years that can be used to absorb net operating losses and credit carrybacks, and taxable income in future years. Our judgment regarding future taxable income may change due to market conditions, changes in U.S. or international tax laws and other factors. These changes, if any, may require material adjustments to the deferred tax assets and an accompanying reduction or increase in net income in the period when such determinations are made.</w:t>
      </w:r>
    </w:p>
    <w:p>
      <w:pPr>
        <w:spacing w:after="0" w:line="3" w:lineRule="exact"/>
        <w:rPr>
          <w:sz w:val="20"/>
          <w:szCs w:val="20"/>
          <w:color w:val="auto"/>
        </w:rPr>
      </w:pPr>
    </w:p>
    <w:p>
      <w:pPr>
        <w:ind w:right="420" w:firstLine="324"/>
        <w:spacing w:after="0" w:line="261" w:lineRule="auto"/>
        <w:rPr>
          <w:sz w:val="20"/>
          <w:szCs w:val="20"/>
          <w:color w:val="auto"/>
        </w:rPr>
      </w:pPr>
      <w:r>
        <w:rPr>
          <w:rFonts w:ascii="Arial" w:cs="Arial" w:eastAsia="Arial" w:hAnsi="Arial"/>
          <w:sz w:val="18"/>
          <w:szCs w:val="18"/>
          <w:color w:val="auto"/>
        </w:rPr>
        <w:t>In addition to the factors described above, the effective tax rate reflected in forward-looking statements is based on then-current tax law. Significant changes during the year in enacted tax law could affect these estimates.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 valuation allowances</w:t>
      </w:r>
    </w:p>
    <w:p>
      <w:pPr>
        <w:spacing w:after="0" w:line="23"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Inventory is valued net of allowances for unsalable or obsolete raw materials, work-in-process and finished goods. Allowances are determined quarterly by comparing inventory levels of individual materials and parts to historical usage rates, current backlog and estimated future sales and by analyzing the age of inventory, in order to identify specific components of inventory that are judged unlikely to be sold. Allowances are also calculated quarterly for instances where inventoried costs for individual products are in excess of market prices for those products. In addition to this specific identification process, statistical allowances are calculated for remaining inventory based on historical write-offs of inventory for salability and obsolescence reasons. Actual future write-offs of inventory for salability and obsolescence reasons may differ from estimates and calculations used to determine valuation allowances due to changes in customer demand, customer negotiations, technology shifts and other factors.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 intangibles and goodwill</w:t>
      </w:r>
    </w:p>
    <w:p>
      <w:pPr>
        <w:spacing w:after="0" w:line="23"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We review long-lived assets for impairment when certain indicators suggest the carrying amount may not be recoverable. This review process primarily focuses on acquisition-related intangible assets; property, plant and equipment; and software for internal use or embedded in products sold to customers. Factors considered include the under-performance of an asset compared with expectations and shortened useful lives due to planned changes in the use of the assets. Recoverability is determined by comparing the carrying amount of long-lived assets to estimated future undiscounted cash flows. If future undiscounted cash flows are less than the carrying amount of the long-lived assets, an impairment charge would be recognized for the excess of the carrying amount over fair value determined by either a quoted market price, if any, or a value determined by utilizing a discounted cash-flow technique. Additionally, in the case of assets that will continue to be used in future periods, a shortened depreciable life may be utilized if appropriate, resulting in accelerated amortization or depreciation based upon the expected net realizable value of the asset at the date the asset will no longer be utilized. Actual results may vary from estimates due to, among other things, differences in operating results, shorter useful lives of assets and lower market values for excess assets. Additionally, we review goodwill for impairment annually, or more frequently if certain impairment indicators arise such as significant changes in business climate, operating performance or competition, or upon the disposition of a significant portion of a reporting unit. This review compares the fair value for each reporting unit containing goodwill to its carrying value.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Valuation of auction-rate securities</w:t>
      </w:r>
    </w:p>
    <w:p>
      <w:pPr>
        <w:spacing w:after="0" w:line="2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fair value of our auction-rate securities is estimated using a discounted cash flow (DCF) model that requires inputs that are supported by little or no market activity and reflect significant management judgment. Assumptions used in preparing the DCF model include estimates for the amount and timing of future interest and principal payments and the rate of return required by investors to own these securities in the current environment. In making these assumptions, we consider relevant factors including: the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401955</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2" w:right="279" w:bottom="1440" w:gutter="0" w:footer="0" w:header="0"/>
        </w:sectPr>
      </w:pPr>
    </w:p>
    <w:bookmarkStart w:id="101" w:name="page102"/>
    <w:bookmarkEnd w:id="101"/>
    <w:p>
      <w:pPr>
        <w:ind w:left="7680"/>
        <w:spacing w:after="0"/>
        <w:rPr>
          <w:sz w:val="20"/>
          <w:szCs w:val="20"/>
          <w:color w:val="auto"/>
        </w:rPr>
      </w:pPr>
      <w:r>
        <w:rPr>
          <w:rFonts w:ascii="Arial" w:cs="Arial" w:eastAsia="Arial" w:hAnsi="Arial"/>
          <w:sz w:val="13"/>
          <w:szCs w:val="13"/>
          <w:color w:val="auto"/>
        </w:rPr>
        <w:t>TEXAS INSTRUMENTS 2009 ANNUAL REPORT n PAGE 45</w:t>
      </w:r>
    </w:p>
    <w:p>
      <w:pPr>
        <w:spacing w:after="0" w:line="22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each security that defines the interest rate paid to investors in the event of a failed auction; forward projections of the interest rate benchmarks specified in such formulas; the likely timing of principal repayments; the probability of full repayment considering the guarantees by the U.S. Department of Education of the underlying student loans, guarantees by other third parties, and additional credit enhancements provided through other means; and, publicly available pricing data for recently traded student loan asset-backed securities that are not subject to auctions. Our estimate of the rate of return required by investors to own these securities also considers the current reduced liquidity for auction-rate securities. See Note 7 to the Financial Statements for details of fair-value measurements.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standards</w:t>
      </w:r>
    </w:p>
    <w:p>
      <w:pPr>
        <w:spacing w:after="0" w:line="2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See Changes in Accounting Standards in Note 1 to the Financial Statements for a discussion of new accounting and reporting standards that have not yet been adopted.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2009, we had no significant off-balance sheet arrangements as defined in Item 303(a)(4)(ii) of SEC Regulation S-K.</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See Note 11 to the Financial Statements for a discussion of our commitments and contingencies.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exchange risk</w:t>
      </w:r>
    </w:p>
    <w:p>
      <w:pPr>
        <w:spacing w:after="0" w:line="23"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The U.S. dollar is the functional currency for financial reporting. We use forward currency exchange contracts to reduce the earnings impact exchange rate fluctuations may have on our non-U.S. dollar net balance sheet exposures. For example, at year-end 2009, we had forward currency exchange contracts outstanding with a notional value of $465 million to hedge net balance sheet exposures (including $220 million to sell Japanese yen, $37 million to sell euros and $49 million to buy Taiwan dollars). Similar hedging activities existed at year-end 2008.</w:t>
      </w:r>
    </w:p>
    <w:p>
      <w:pPr>
        <w:spacing w:after="0" w:line="2"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Because most of the aggregate non-U.S. dollar balance sheet exposure is hedged by these forward currency exchange contracts, based on year-end 2009 balances and currency exchange rates, a hypothetical 10 percent plus or minus fluctuation in non-U.S. currency exchange rates would result in a pre-tax currency exchange gain or loss of approximately $2 million.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risk</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As of December 31, 2009 and 2008, we had no debt. Therefore, our primary exposure to changes in interest rates is limited to the effects on the fair values of our investments in cash equivalents and short-term investments. The effect of changes in interest rates on the fair value of our cash equivalents and short-term investments has not been material during 2009 or 2008 due to the primarily short-term duration of our investments. A hypothetical increase or decrease of 100 basis points in the applicable interest rates associated with these investments as of year-end 2009 would have resulted in a decrease of approximately $10 million and an increase of approximately $5 million in the fair value of these securities, respectively (in the instance of falling rates, the hypothetical change in value assumes that no interest rate on any individual security could drop below zero). Because the coupon rates applicable to our auction-rate securities reset every 7, 28 or 35 days to maximum rates indexed to short-term interest rate benchmarks defined for each security, a change in the general level of interest rates is not expected to cause a significant change in the fair value of our long-term investments in those securities. While an increase in interest rates reduces the fair value of the investment portfolio, we will not recognize the losses in other income (expense) net unless the individual securities are sold prior to recovery or the impairment is determined to be other-than-temporary.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risk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Long-term investments at year-end 2009 include the following:</w:t>
      </w:r>
    </w:p>
    <w:p>
      <w:pPr>
        <w:spacing w:after="0" w:line="238" w:lineRule="exact"/>
        <w:rPr>
          <w:sz w:val="20"/>
          <w:szCs w:val="20"/>
          <w:color w:val="auto"/>
        </w:rPr>
      </w:pPr>
    </w:p>
    <w:p>
      <w:pPr>
        <w:ind w:left="500" w:right="200" w:hanging="168"/>
        <w:spacing w:after="0" w:line="258" w:lineRule="auto"/>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Investments in mutual funds – includes mutual funds that were selected to generate returns that offset changes in certain liabilities related to deferred compensation arrangements. The mutual funds hold a variety of debt and equity investments.</w:t>
      </w:r>
    </w:p>
    <w:p>
      <w:pPr>
        <w:spacing w:after="0" w:line="1" w:lineRule="exact"/>
        <w:rPr>
          <w:rFonts w:ascii="Arial" w:cs="Arial" w:eastAsia="Arial" w:hAnsi="Arial"/>
          <w:sz w:val="18"/>
          <w:szCs w:val="18"/>
          <w:color w:val="auto"/>
        </w:rPr>
      </w:pPr>
    </w:p>
    <w:p>
      <w:pPr>
        <w:ind w:left="500" w:hanging="168"/>
        <w:spacing w:after="0"/>
        <w:tabs>
          <w:tab w:leader="none" w:pos="5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Investments in venture capital funds – includes investments in limited partnerships (accounted for under either the equity or cost method).</w:t>
      </w:r>
    </w:p>
    <w:p>
      <w:pPr>
        <w:spacing w:after="0" w:line="20" w:lineRule="exact"/>
        <w:rPr>
          <w:rFonts w:ascii="Arial" w:cs="Arial" w:eastAsia="Arial" w:hAnsi="Arial"/>
          <w:sz w:val="17"/>
          <w:szCs w:val="17"/>
          <w:color w:val="auto"/>
        </w:rPr>
      </w:pPr>
    </w:p>
    <w:p>
      <w:pPr>
        <w:ind w:left="500" w:hanging="168"/>
        <w:spacing w:after="0"/>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Equity investments – includes non-marketable (non-publicly traded) equity securities.</w:t>
      </w:r>
    </w:p>
    <w:p>
      <w:pPr>
        <w:spacing w:after="0" w:line="238"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Investments in mutual funds are stated at fair value. Changes in prices of the mutual fund investments are expected to offset related changes in deferred compensation liabilities such that a 10 percent increase or decrease in the investments’ fair values would not materially affect operating results. Non-marketable equity securities and some venture capital funds are stated at cost. Impairments deemed to be other-than-temporary are expensed in net income. Investments in the remaining venture capital funds are stated using the equity method. See Note 7 to the Financial Statements for details of equity and other long-term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color w:val="auto"/>
        </w:rPr>
        <w:t>TEXAS INSTRUMENTS 2009 ANNUAL REPORT n PAGE 46</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Quarterly financial data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[Millions of dollars, except per-share amounts]</w:t>
            </w:r>
          </w:p>
        </w:tc>
        <w:tc>
          <w:tcPr>
            <w:tcW w:w="10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gridSpan w:val="2"/>
            <w:vMerge w:val="restart"/>
          </w:tcPr>
          <w:p>
            <w:pPr>
              <w:jc w:val="right"/>
              <w:ind w:right="70"/>
              <w:spacing w:after="0"/>
              <w:rPr>
                <w:sz w:val="20"/>
                <w:szCs w:val="20"/>
                <w:color w:val="auto"/>
              </w:rPr>
            </w:pPr>
            <w:r>
              <w:rPr>
                <w:rFonts w:ascii="Arial" w:cs="Arial" w:eastAsia="Arial" w:hAnsi="Arial"/>
                <w:sz w:val="18"/>
                <w:szCs w:val="18"/>
                <w:b w:val="1"/>
                <w:bCs w:val="1"/>
                <w:color w:val="auto"/>
              </w:rPr>
              <w:t>Quarter</w:t>
            </w:r>
          </w:p>
        </w:tc>
        <w:tc>
          <w:tcPr>
            <w:tcW w:w="9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2009</w:t>
            </w: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570"/>
              <w:spacing w:after="0"/>
              <w:rPr>
                <w:sz w:val="20"/>
                <w:szCs w:val="20"/>
                <w:color w:val="auto"/>
              </w:rPr>
            </w:pPr>
            <w:r>
              <w:rPr>
                <w:rFonts w:ascii="Arial" w:cs="Arial" w:eastAsia="Arial" w:hAnsi="Arial"/>
                <w:sz w:val="18"/>
                <w:szCs w:val="18"/>
                <w:b w:val="1"/>
                <w:bCs w:val="1"/>
                <w:color w:val="auto"/>
              </w:rPr>
              <w:t>1st</w:t>
            </w:r>
          </w:p>
        </w:tc>
        <w:tc>
          <w:tcPr>
            <w:tcW w:w="340" w:type="dxa"/>
            <w:vAlign w:val="bottom"/>
          </w:tcPr>
          <w:p>
            <w:pPr>
              <w:spacing w:after="0"/>
              <w:rPr>
                <w:sz w:val="20"/>
                <w:szCs w:val="20"/>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b w:val="1"/>
                <w:bCs w:val="1"/>
                <w:color w:val="auto"/>
              </w:rPr>
              <w:t>2nd</w:t>
            </w:r>
          </w:p>
        </w:tc>
        <w:tc>
          <w:tcPr>
            <w:tcW w:w="380" w:type="dxa"/>
            <w:vAlign w:val="bottom"/>
          </w:tcPr>
          <w:p>
            <w:pPr>
              <w:spacing w:after="0"/>
              <w:rPr>
                <w:sz w:val="20"/>
                <w:szCs w:val="20"/>
                <w:color w:val="auto"/>
              </w:rPr>
            </w:pPr>
          </w:p>
        </w:tc>
        <w:tc>
          <w:tcPr>
            <w:tcW w:w="960" w:type="dxa"/>
            <w:vAlign w:val="bottom"/>
          </w:tcPr>
          <w:p>
            <w:pPr>
              <w:jc w:val="right"/>
              <w:ind w:right="490"/>
              <w:spacing w:after="0"/>
              <w:rPr>
                <w:sz w:val="20"/>
                <w:szCs w:val="20"/>
                <w:color w:val="auto"/>
              </w:rPr>
            </w:pPr>
            <w:r>
              <w:rPr>
                <w:rFonts w:ascii="Arial" w:cs="Arial" w:eastAsia="Arial" w:hAnsi="Arial"/>
                <w:sz w:val="18"/>
                <w:szCs w:val="18"/>
                <w:b w:val="1"/>
                <w:bCs w:val="1"/>
                <w:color w:val="auto"/>
              </w:rPr>
              <w:t>3rd</w:t>
            </w:r>
          </w:p>
        </w:tc>
        <w:tc>
          <w:tcPr>
            <w:tcW w:w="360" w:type="dxa"/>
            <w:vAlign w:val="bottom"/>
          </w:tcPr>
          <w:p>
            <w:pPr>
              <w:spacing w:after="0"/>
              <w:rPr>
                <w:sz w:val="20"/>
                <w:szCs w:val="20"/>
                <w:color w:val="auto"/>
              </w:rPr>
            </w:pPr>
          </w:p>
        </w:tc>
        <w:tc>
          <w:tcPr>
            <w:tcW w:w="1000" w:type="dxa"/>
            <w:vAlign w:val="bottom"/>
          </w:tcPr>
          <w:p>
            <w:pPr>
              <w:jc w:val="right"/>
              <w:ind w:right="510"/>
              <w:spacing w:after="0"/>
              <w:rPr>
                <w:sz w:val="20"/>
                <w:szCs w:val="20"/>
                <w:color w:val="auto"/>
              </w:rPr>
            </w:pPr>
            <w:r>
              <w:rPr>
                <w:rFonts w:ascii="Arial" w:cs="Arial" w:eastAsia="Arial" w:hAnsi="Arial"/>
                <w:sz w:val="18"/>
                <w:szCs w:val="18"/>
                <w:b w:val="1"/>
                <w:bCs w:val="1"/>
                <w:color w:val="auto"/>
              </w:rPr>
              <w:t>4th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30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2,086</w:t>
            </w:r>
          </w:p>
        </w:tc>
        <w:tc>
          <w:tcPr>
            <w:tcW w:w="3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2,457</w:t>
            </w:r>
          </w:p>
        </w:tc>
        <w:tc>
          <w:tcPr>
            <w:tcW w:w="3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2,880</w:t>
            </w: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806</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1,124</w:t>
            </w:r>
          </w:p>
        </w:tc>
        <w:tc>
          <w:tcPr>
            <w:tcW w:w="3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1,481</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1,589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profit</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343</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763</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17</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260</w:t>
            </w:r>
          </w:p>
        </w:tc>
        <w:tc>
          <w:tcPr>
            <w:tcW w:w="38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538</w:t>
            </w:r>
          </w:p>
        </w:tc>
        <w:tc>
          <w:tcPr>
            <w:tcW w:w="36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655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b w:val="1"/>
                <w:bCs w:val="1"/>
                <w:color w:val="auto"/>
              </w:rPr>
              <w:t>Basic earnings per common share</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0.01</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0.20</w:t>
            </w:r>
          </w:p>
        </w:tc>
        <w:tc>
          <w:tcPr>
            <w:tcW w:w="38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0.42</w:t>
            </w:r>
          </w:p>
        </w:tc>
        <w:tc>
          <w:tcPr>
            <w:tcW w:w="36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0.52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Diluted earnings per common share</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0.01</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0.20</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0.42</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0.52</w:t>
            </w: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5000" w:type="dxa"/>
            <w:vAlign w:val="bottom"/>
            <w:tcBorders>
              <w:top w:val="single" w:sz="8" w:color="CCEEFF"/>
            </w:tcBorders>
          </w:tcPr>
          <w:p>
            <w:pPr>
              <w:spacing w:after="0"/>
              <w:rPr>
                <w:sz w:val="24"/>
                <w:szCs w:val="24"/>
                <w:color w:val="auto"/>
              </w:rPr>
            </w:pPr>
          </w:p>
        </w:tc>
        <w:tc>
          <w:tcPr>
            <w:tcW w:w="106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Quarter</w:t>
            </w:r>
          </w:p>
        </w:tc>
        <w:tc>
          <w:tcPr>
            <w:tcW w:w="9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2008</w:t>
            </w: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510"/>
              <w:spacing w:after="0"/>
              <w:rPr>
                <w:sz w:val="20"/>
                <w:szCs w:val="20"/>
                <w:color w:val="auto"/>
              </w:rPr>
            </w:pPr>
            <w:r>
              <w:rPr>
                <w:rFonts w:ascii="Arial" w:cs="Arial" w:eastAsia="Arial" w:hAnsi="Arial"/>
                <w:sz w:val="18"/>
                <w:szCs w:val="18"/>
                <w:b w:val="1"/>
                <w:bCs w:val="1"/>
                <w:color w:val="auto"/>
              </w:rPr>
              <w:t>1st</w:t>
            </w:r>
          </w:p>
        </w:tc>
        <w:tc>
          <w:tcPr>
            <w:tcW w:w="34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b w:val="1"/>
                <w:bCs w:val="1"/>
                <w:color w:val="auto"/>
              </w:rPr>
              <w:t>2nd</w:t>
            </w:r>
          </w:p>
        </w:tc>
        <w:tc>
          <w:tcPr>
            <w:tcW w:w="380" w:type="dxa"/>
            <w:vAlign w:val="bottom"/>
          </w:tcPr>
          <w:p>
            <w:pPr>
              <w:spacing w:after="0"/>
              <w:rPr>
                <w:sz w:val="20"/>
                <w:szCs w:val="20"/>
                <w:color w:val="auto"/>
              </w:rPr>
            </w:pPr>
          </w:p>
        </w:tc>
        <w:tc>
          <w:tcPr>
            <w:tcW w:w="960" w:type="dxa"/>
            <w:vAlign w:val="bottom"/>
          </w:tcPr>
          <w:p>
            <w:pPr>
              <w:jc w:val="right"/>
              <w:ind w:right="450"/>
              <w:spacing w:after="0"/>
              <w:rPr>
                <w:sz w:val="20"/>
                <w:szCs w:val="20"/>
                <w:color w:val="auto"/>
              </w:rPr>
            </w:pPr>
            <w:r>
              <w:rPr>
                <w:rFonts w:ascii="Arial" w:cs="Arial" w:eastAsia="Arial" w:hAnsi="Arial"/>
                <w:sz w:val="18"/>
                <w:szCs w:val="18"/>
                <w:b w:val="1"/>
                <w:bCs w:val="1"/>
                <w:color w:val="auto"/>
              </w:rPr>
              <w:t>3rd</w:t>
            </w:r>
          </w:p>
        </w:tc>
        <w:tc>
          <w:tcPr>
            <w:tcW w:w="36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4th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30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3,272</w:t>
            </w:r>
          </w:p>
        </w:tc>
        <w:tc>
          <w:tcPr>
            <w:tcW w:w="3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3,351</w:t>
            </w:r>
          </w:p>
        </w:tc>
        <w:tc>
          <w:tcPr>
            <w:tcW w:w="3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3,387</w:t>
            </w: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Gross profit</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1,756</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1,749</w:t>
            </w:r>
          </w:p>
        </w:tc>
        <w:tc>
          <w:tcPr>
            <w:tcW w:w="3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1,643</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807</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833</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746</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662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588</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563</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Basic earnings per common share</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0.50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0.44</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0.43</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earnings per common share</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0.49</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0.44</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0.43</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020" w:type="dxa"/>
            <w:vAlign w:val="bottom"/>
            <w:gridSpan w:val="2"/>
          </w:tcPr>
          <w:p>
            <w:pPr>
              <w:spacing w:after="0"/>
              <w:rPr>
                <w:sz w:val="20"/>
                <w:szCs w:val="20"/>
                <w:color w:val="auto"/>
              </w:rPr>
            </w:pPr>
            <w:r>
              <w:rPr>
                <w:rFonts w:ascii="Arial" w:cs="Arial" w:eastAsia="Arial" w:hAnsi="Arial"/>
                <w:sz w:val="18"/>
                <w:szCs w:val="18"/>
                <w:color w:val="auto"/>
              </w:rPr>
              <w:t>Included in the results above were the following items:</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Quarter</w:t>
            </w: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2009</w:t>
            </w: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510"/>
              <w:spacing w:after="0"/>
              <w:rPr>
                <w:sz w:val="20"/>
                <w:szCs w:val="20"/>
                <w:color w:val="auto"/>
              </w:rPr>
            </w:pPr>
            <w:r>
              <w:rPr>
                <w:rFonts w:ascii="Arial" w:cs="Arial" w:eastAsia="Arial" w:hAnsi="Arial"/>
                <w:sz w:val="18"/>
                <w:szCs w:val="18"/>
                <w:b w:val="1"/>
                <w:bCs w:val="1"/>
                <w:color w:val="auto"/>
              </w:rPr>
              <w:t>1st</w:t>
            </w:r>
          </w:p>
        </w:tc>
        <w:tc>
          <w:tcPr>
            <w:tcW w:w="34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b w:val="1"/>
                <w:bCs w:val="1"/>
                <w:color w:val="auto"/>
              </w:rPr>
              <w:t>2nd</w:t>
            </w:r>
          </w:p>
        </w:tc>
        <w:tc>
          <w:tcPr>
            <w:tcW w:w="380" w:type="dxa"/>
            <w:vAlign w:val="bottom"/>
          </w:tcPr>
          <w:p>
            <w:pPr>
              <w:spacing w:after="0"/>
              <w:rPr>
                <w:sz w:val="20"/>
                <w:szCs w:val="20"/>
                <w:color w:val="auto"/>
              </w:rPr>
            </w:pPr>
          </w:p>
        </w:tc>
        <w:tc>
          <w:tcPr>
            <w:tcW w:w="960" w:type="dxa"/>
            <w:vAlign w:val="bottom"/>
          </w:tcPr>
          <w:p>
            <w:pPr>
              <w:jc w:val="right"/>
              <w:ind w:right="450"/>
              <w:spacing w:after="0"/>
              <w:rPr>
                <w:sz w:val="20"/>
                <w:szCs w:val="20"/>
                <w:color w:val="auto"/>
              </w:rPr>
            </w:pPr>
            <w:r>
              <w:rPr>
                <w:rFonts w:ascii="Arial" w:cs="Arial" w:eastAsia="Arial" w:hAnsi="Arial"/>
                <w:sz w:val="18"/>
                <w:szCs w:val="18"/>
                <w:b w:val="1"/>
                <w:bCs w:val="1"/>
                <w:color w:val="auto"/>
              </w:rPr>
              <w:t>3rd</w:t>
            </w:r>
          </w:p>
        </w:tc>
        <w:tc>
          <w:tcPr>
            <w:tcW w:w="36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4th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Restructuring expense (a)</w:t>
            </w:r>
          </w:p>
        </w:tc>
        <w:tc>
          <w:tcPr>
            <w:tcW w:w="130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105</w:t>
            </w:r>
          </w:p>
        </w:tc>
        <w:tc>
          <w:tcPr>
            <w:tcW w:w="3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85</w:t>
            </w:r>
          </w:p>
        </w:tc>
        <w:tc>
          <w:tcPr>
            <w:tcW w:w="3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w:t>
            </w: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466"/>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2008</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ind w:right="510"/>
              <w:spacing w:after="0"/>
              <w:rPr>
                <w:sz w:val="20"/>
                <w:szCs w:val="20"/>
                <w:color w:val="auto"/>
              </w:rPr>
            </w:pPr>
            <w:r>
              <w:rPr>
                <w:rFonts w:ascii="Arial" w:cs="Arial" w:eastAsia="Arial" w:hAnsi="Arial"/>
                <w:sz w:val="18"/>
                <w:szCs w:val="18"/>
                <w:b w:val="1"/>
                <w:bCs w:val="1"/>
                <w:color w:val="auto"/>
              </w:rPr>
              <w:t>1st</w:t>
            </w:r>
          </w:p>
        </w:tc>
        <w:tc>
          <w:tcPr>
            <w:tcW w:w="340" w:type="dxa"/>
            <w:vAlign w:val="bottom"/>
          </w:tcPr>
          <w:p>
            <w:pPr>
              <w:spacing w:after="0"/>
              <w:rPr>
                <w:sz w:val="24"/>
                <w:szCs w:val="24"/>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b w:val="1"/>
                <w:bCs w:val="1"/>
                <w:color w:val="auto"/>
              </w:rPr>
              <w:t>2nd</w:t>
            </w:r>
          </w:p>
        </w:tc>
        <w:tc>
          <w:tcPr>
            <w:tcW w:w="380" w:type="dxa"/>
            <w:vAlign w:val="bottom"/>
          </w:tcPr>
          <w:p>
            <w:pPr>
              <w:spacing w:after="0"/>
              <w:rPr>
                <w:sz w:val="24"/>
                <w:szCs w:val="24"/>
                <w:color w:val="auto"/>
              </w:rPr>
            </w:pPr>
          </w:p>
        </w:tc>
        <w:tc>
          <w:tcPr>
            <w:tcW w:w="960" w:type="dxa"/>
            <w:vAlign w:val="bottom"/>
          </w:tcPr>
          <w:p>
            <w:pPr>
              <w:jc w:val="right"/>
              <w:ind w:right="450"/>
              <w:spacing w:after="0"/>
              <w:rPr>
                <w:sz w:val="20"/>
                <w:szCs w:val="20"/>
                <w:color w:val="auto"/>
              </w:rPr>
            </w:pPr>
            <w:r>
              <w:rPr>
                <w:rFonts w:ascii="Arial" w:cs="Arial" w:eastAsia="Arial" w:hAnsi="Arial"/>
                <w:sz w:val="18"/>
                <w:szCs w:val="18"/>
                <w:b w:val="1"/>
                <w:bCs w:val="1"/>
                <w:color w:val="auto"/>
              </w:rPr>
              <w:t>3rd</w:t>
            </w:r>
          </w:p>
        </w:tc>
        <w:tc>
          <w:tcPr>
            <w:tcW w:w="360" w:type="dxa"/>
            <w:vAlign w:val="bottom"/>
          </w:tcPr>
          <w:p>
            <w:pPr>
              <w:spacing w:after="0"/>
              <w:rPr>
                <w:sz w:val="24"/>
                <w:szCs w:val="24"/>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4th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Restructuring expense (a)</w:t>
            </w:r>
          </w:p>
        </w:tc>
        <w:tc>
          <w:tcPr>
            <w:tcW w:w="130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Federal research tax credit benefit (b)</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40" w:hanging="332"/>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See Note 2 to the Financial Statements for additional information.</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U.S. federal research tax credit was reinstated in October 2008 and was retroactive to the beginning of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03" w:name="page104"/>
    <w:bookmarkEnd w:id="103"/>
    <w:p>
      <w:pPr>
        <w:ind w:left="7680"/>
        <w:spacing w:after="0"/>
        <w:rPr>
          <w:sz w:val="20"/>
          <w:szCs w:val="20"/>
          <w:color w:val="auto"/>
        </w:rPr>
      </w:pPr>
      <w:r>
        <w:rPr>
          <w:rFonts w:ascii="Arial" w:cs="Arial" w:eastAsia="Arial" w:hAnsi="Arial"/>
          <w:sz w:val="13"/>
          <w:szCs w:val="13"/>
          <w:color w:val="auto"/>
        </w:rPr>
        <w:t>TEXAS INSTRUMENTS 2009 ANNUAL REPORT n PAGE 47</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Common stock prices and dividends</w:t>
      </w:r>
    </w:p>
    <w:p>
      <w:pPr>
        <w:spacing w:after="0" w:line="25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TI common stock is listed on the New York Stock Exchange and traded principally in that market. The table below shows the high and low closing prices of TI common stock as reported by Bloomberg L.P. and the dividends paid per common share for each quarter during the past two years.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Quarter</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1st</w:t>
            </w:r>
          </w:p>
        </w:tc>
        <w:tc>
          <w:tcPr>
            <w:tcW w:w="5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2nd</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3rd</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4th</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Stock prices:</w:t>
            </w:r>
          </w:p>
        </w:tc>
        <w:tc>
          <w:tcPr>
            <w:tcW w:w="3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2009 High</w:t>
            </w:r>
          </w:p>
        </w:tc>
        <w:tc>
          <w:tcPr>
            <w:tcW w:w="3180" w:type="dxa"/>
            <w:vAlign w:val="bottom"/>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3"/>
              </w:rPr>
              <w:t>17.63</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21.85</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25.35</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600"/>
              <w:spacing w:after="0"/>
              <w:rPr>
                <w:sz w:val="20"/>
                <w:szCs w:val="20"/>
                <w:color w:val="auto"/>
              </w:rPr>
            </w:pPr>
            <w:r>
              <w:rPr>
                <w:rFonts w:ascii="Arial" w:cs="Arial" w:eastAsia="Arial" w:hAnsi="Arial"/>
                <w:sz w:val="18"/>
                <w:szCs w:val="18"/>
                <w:b w:val="1"/>
                <w:bCs w:val="1"/>
                <w:color w:val="auto"/>
              </w:rPr>
              <w:t>Low</w:t>
            </w:r>
          </w:p>
        </w:tc>
        <w:tc>
          <w:tcPr>
            <w:tcW w:w="318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13.70</w:t>
            </w:r>
          </w:p>
        </w:tc>
        <w:tc>
          <w:tcPr>
            <w:tcW w:w="3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16.00</w:t>
            </w:r>
          </w:p>
        </w:tc>
        <w:tc>
          <w:tcPr>
            <w:tcW w:w="4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2008 High</w:t>
            </w:r>
          </w:p>
        </w:tc>
        <w:tc>
          <w:tcPr>
            <w:tcW w:w="31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33.24</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33.00</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29.30</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560"/>
              <w:spacing w:after="0"/>
              <w:rPr>
                <w:sz w:val="20"/>
                <w:szCs w:val="20"/>
                <w:color w:val="auto"/>
              </w:rPr>
            </w:pPr>
            <w:r>
              <w:rPr>
                <w:rFonts w:ascii="Arial" w:cs="Arial" w:eastAsia="Arial" w:hAnsi="Arial"/>
                <w:sz w:val="18"/>
                <w:szCs w:val="18"/>
                <w:color w:val="auto"/>
              </w:rPr>
              <w:t>Low</w:t>
            </w:r>
          </w:p>
        </w:tc>
        <w:tc>
          <w:tcPr>
            <w:tcW w:w="318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27.51</w:t>
            </w:r>
          </w:p>
        </w:tc>
        <w:tc>
          <w:tcPr>
            <w:tcW w:w="3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28.01</w:t>
            </w:r>
          </w:p>
        </w:tc>
        <w:tc>
          <w:tcPr>
            <w:tcW w:w="4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21.30</w:t>
            </w:r>
          </w:p>
        </w:tc>
        <w:tc>
          <w:tcPr>
            <w:tcW w:w="3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Dividends paid:</w:t>
            </w:r>
          </w:p>
        </w:tc>
        <w:tc>
          <w:tcPr>
            <w:tcW w:w="3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2009</w:t>
            </w:r>
          </w:p>
        </w:tc>
        <w:tc>
          <w:tcPr>
            <w:tcW w:w="3180" w:type="dxa"/>
            <w:vAlign w:val="bottom"/>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0.11</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0.11</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0.11</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ind w:left="160"/>
              <w:spacing w:after="0"/>
              <w:rPr>
                <w:sz w:val="20"/>
                <w:szCs w:val="20"/>
                <w:color w:val="auto"/>
              </w:rPr>
            </w:pPr>
            <w:r>
              <w:rPr>
                <w:rFonts w:ascii="Arial" w:cs="Arial" w:eastAsia="Arial" w:hAnsi="Arial"/>
                <w:sz w:val="18"/>
                <w:szCs w:val="18"/>
                <w:color w:val="auto"/>
              </w:rPr>
              <w:t>2008</w:t>
            </w:r>
          </w:p>
        </w:tc>
        <w:tc>
          <w:tcPr>
            <w:tcW w:w="318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0.10</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0"/>
        </w:trPr>
        <w:tc>
          <w:tcPr>
            <w:tcW w:w="20" w:type="dxa"/>
            <w:vAlign w:val="bottom"/>
          </w:tcPr>
          <w:p>
            <w:pPr>
              <w:spacing w:after="0"/>
              <w:rPr>
                <w:sz w:val="24"/>
                <w:szCs w:val="24"/>
                <w:color w:val="auto"/>
              </w:rPr>
            </w:pPr>
          </w:p>
        </w:tc>
        <w:tc>
          <w:tcPr>
            <w:tcW w:w="3600" w:type="dxa"/>
            <w:vAlign w:val="bottom"/>
            <w:tcBorders>
              <w:bottom w:val="single" w:sz="8" w:color="808080"/>
            </w:tcBorders>
          </w:tcPr>
          <w:p>
            <w:pPr>
              <w:spacing w:after="0"/>
              <w:rPr>
                <w:sz w:val="24"/>
                <w:szCs w:val="24"/>
                <w:color w:val="auto"/>
              </w:rPr>
            </w:pPr>
          </w:p>
        </w:tc>
        <w:tc>
          <w:tcPr>
            <w:tcW w:w="31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12" w:right="219" w:bottom="1440" w:gutter="0" w:footer="0" w:header="0"/>
        </w:sectPr>
      </w:pPr>
    </w:p>
    <w:bookmarkStart w:id="104" w:name="page105"/>
    <w:bookmarkEnd w:id="104"/>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3619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u w:val="single" w:color="auto"/>
          <w:color w:val="auto"/>
        </w:rPr>
        <w:t>Exhibit 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INCORPORATED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LIST OF SUBSIDIARIES OF THE REGISTRANT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gridSpan w:val="3"/>
          </w:tcPr>
          <w:p>
            <w:pPr>
              <w:spacing w:after="0"/>
              <w:rPr>
                <w:sz w:val="20"/>
                <w:szCs w:val="20"/>
                <w:color w:val="auto"/>
              </w:rPr>
            </w:pPr>
            <w:r>
              <w:rPr>
                <w:rFonts w:ascii="Arial" w:cs="Arial" w:eastAsia="Arial" w:hAnsi="Arial"/>
                <w:sz w:val="18"/>
                <w:szCs w:val="18"/>
                <w:color w:val="auto"/>
              </w:rPr>
              <w:t>The following are current subsidiaries of the Registrant.</w:t>
            </w:r>
          </w:p>
        </w:tc>
        <w:tc>
          <w:tcPr>
            <w:tcW w:w="1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9140" w:type="dxa"/>
            <w:vAlign w:val="bottom"/>
            <w:gridSpan w:val="3"/>
          </w:tcPr>
          <w:p>
            <w:pPr>
              <w:spacing w:after="0"/>
              <w:rPr>
                <w:sz w:val="20"/>
                <w:szCs w:val="20"/>
                <w:color w:val="auto"/>
              </w:rPr>
            </w:pPr>
            <w:r>
              <w:rPr>
                <w:rFonts w:ascii="Arial" w:cs="Arial" w:eastAsia="Arial" w:hAnsi="Arial"/>
                <w:sz w:val="18"/>
                <w:szCs w:val="18"/>
                <w:b w:val="1"/>
                <w:bCs w:val="1"/>
                <w:color w:val="auto"/>
              </w:rPr>
              <w:t>Subsidiary and Name Under Which Business is Done</w:t>
            </w:r>
          </w:p>
        </w:tc>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Where Organized</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060" w:type="dxa"/>
            <w:vAlign w:val="bottom"/>
            <w:tcBorders>
              <w:top w:val="single" w:sz="8" w:color="auto"/>
            </w:tcBorders>
          </w:tcPr>
          <w:p>
            <w:pPr>
              <w:spacing w:after="0"/>
              <w:rPr>
                <w:sz w:val="20"/>
                <w:szCs w:val="20"/>
                <w:color w:val="auto"/>
              </w:rPr>
            </w:pPr>
          </w:p>
        </w:tc>
        <w:tc>
          <w:tcPr>
            <w:tcW w:w="506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Benchmarq Microelectronics Corporation of South Korea</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Burr-Brown Europe Limited</w:t>
            </w:r>
          </w:p>
        </w:tc>
        <w:tc>
          <w:tcPr>
            <w:tcW w:w="228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Burr-Brown International Holding Corporation</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Butterfly Communications Inc.</w:t>
            </w:r>
          </w:p>
        </w:tc>
        <w:tc>
          <w:tcPr>
            <w:tcW w:w="228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Integrated Circuit Designs, Inc.</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Maryland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Luminary Micro Asia Limited</w:t>
            </w:r>
          </w:p>
        </w:tc>
        <w:tc>
          <w:tcPr>
            <w:tcW w:w="2280" w:type="dxa"/>
            <w:vAlign w:val="bottom"/>
            <w:gridSpan w:val="2"/>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Luminary Micro Europe Limited</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Luminary Micro India Private Limited</w:t>
            </w:r>
          </w:p>
        </w:tc>
        <w:tc>
          <w:tcPr>
            <w:tcW w:w="2280" w:type="dxa"/>
            <w:vAlign w:val="bottom"/>
            <w:gridSpan w:val="2"/>
          </w:tcPr>
          <w:p>
            <w:pPr>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Telogy Networks, Inc.</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Texas Instruments Asia Limited</w:t>
            </w:r>
          </w:p>
        </w:tc>
        <w:tc>
          <w:tcPr>
            <w:tcW w:w="228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Texas Instruments Austin Incorporated</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Texas Instruments Australia Pty Limited</w:t>
            </w:r>
          </w:p>
        </w:tc>
        <w:tc>
          <w:tcPr>
            <w:tcW w:w="2280" w:type="dxa"/>
            <w:vAlign w:val="bottom"/>
            <w:gridSpan w:val="2"/>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Texas Instruments Belgium S.A.</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Belgium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Texas Instruments Berlin GmbH</w:t>
            </w:r>
          </w:p>
        </w:tc>
        <w:tc>
          <w:tcPr>
            <w:tcW w:w="228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Texas Instruments Business Expansion GmbH</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Texas Instruments Canada Limited</w:t>
            </w:r>
          </w:p>
        </w:tc>
        <w:tc>
          <w:tcPr>
            <w:tcW w:w="2280" w:type="dxa"/>
            <w:vAlign w:val="bottom"/>
            <w:gridSpan w:val="2"/>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Texas Instruments China Incorporated</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Texas Instruments China Trading Limited</w:t>
            </w:r>
          </w:p>
        </w:tc>
        <w:tc>
          <w:tcPr>
            <w:tcW w:w="2280" w:type="dxa"/>
            <w:vAlign w:val="bottom"/>
            <w:gridSpan w:val="2"/>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Texas Instruments (Cork) Limited</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Texas Instruments CZ, s.r.o.</w:t>
            </w:r>
          </w:p>
        </w:tc>
        <w:tc>
          <w:tcPr>
            <w:tcW w:w="2280" w:type="dxa"/>
            <w:vAlign w:val="bottom"/>
            <w:gridSpan w:val="2"/>
          </w:tcPr>
          <w:p>
            <w:pPr>
              <w:spacing w:after="0"/>
              <w:rPr>
                <w:sz w:val="20"/>
                <w:szCs w:val="20"/>
                <w:color w:val="auto"/>
              </w:rPr>
            </w:pPr>
            <w:r>
              <w:rPr>
                <w:rFonts w:ascii="Arial" w:cs="Arial" w:eastAsia="Arial" w:hAnsi="Arial"/>
                <w:sz w:val="18"/>
                <w:szCs w:val="18"/>
                <w:color w:val="auto"/>
              </w:rPr>
              <w:t>Czech Republic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Texas Instruments de Mexico, S. de R.L. de C.V.</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Texas Instruments Denmark A/S</w:t>
            </w:r>
          </w:p>
        </w:tc>
        <w:tc>
          <w:tcPr>
            <w:tcW w:w="2280" w:type="dxa"/>
            <w:vAlign w:val="bottom"/>
            <w:gridSpan w:val="2"/>
          </w:tcPr>
          <w:p>
            <w:pPr>
              <w:spacing w:after="0"/>
              <w:rPr>
                <w:sz w:val="20"/>
                <w:szCs w:val="20"/>
                <w:color w:val="auto"/>
              </w:rPr>
            </w:pPr>
            <w:r>
              <w:rPr>
                <w:rFonts w:ascii="Arial" w:cs="Arial" w:eastAsia="Arial" w:hAnsi="Arial"/>
                <w:sz w:val="18"/>
                <w:szCs w:val="18"/>
                <w:color w:val="auto"/>
              </w:rPr>
              <w:t>Denmark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Texas Instruments Deutschland GmbH</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Texas Instruments Espana, S.A.</w:t>
            </w:r>
          </w:p>
        </w:tc>
        <w:tc>
          <w:tcPr>
            <w:tcW w:w="2280" w:type="dxa"/>
            <w:vAlign w:val="bottom"/>
            <w:gridSpan w:val="2"/>
          </w:tcPr>
          <w:p>
            <w:pPr>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Texas Instruments Foreign Sales Corporation</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Barbados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Texas Instruments France S.A.</w:t>
            </w:r>
          </w:p>
        </w:tc>
        <w:tc>
          <w:tcPr>
            <w:tcW w:w="2280" w:type="dxa"/>
            <w:vAlign w:val="bottom"/>
            <w:gridSpan w:val="2"/>
          </w:tcPr>
          <w:p>
            <w:pPr>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Texas Instruments Gesellschaft m.b.H.</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Austria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Texas Instruments Holland B.V.</w:t>
            </w:r>
          </w:p>
        </w:tc>
        <w:tc>
          <w:tcPr>
            <w:tcW w:w="2280" w:type="dxa"/>
            <w:vAlign w:val="bottom"/>
            <w:gridSpan w:val="2"/>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Texas Instruments Hong Kong Limited</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Texas Instruments (India) Private Limited</w:t>
            </w:r>
          </w:p>
        </w:tc>
        <w:tc>
          <w:tcPr>
            <w:tcW w:w="2280" w:type="dxa"/>
            <w:vAlign w:val="bottom"/>
            <w:gridSpan w:val="2"/>
          </w:tcPr>
          <w:p>
            <w:pPr>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Texas Instruments International Capital Corporation</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Texas Instruments International Holding Company S.à R.L.</w:t>
            </w:r>
          </w:p>
        </w:tc>
        <w:tc>
          <w:tcPr>
            <w:tcW w:w="2280" w:type="dxa"/>
            <w:vAlign w:val="bottom"/>
            <w:gridSpan w:val="2"/>
          </w:tcPr>
          <w:p>
            <w:pPr>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Texas Instruments International Management Company S.à R.L.</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Texas Instruments International (Overseas) Limited</w:t>
            </w:r>
          </w:p>
        </w:tc>
        <w:tc>
          <w:tcPr>
            <w:tcW w:w="228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Texas Instruments International Trade Corporation</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Texas Instruments International (U.S.A.) Inc.</w:t>
            </w:r>
          </w:p>
        </w:tc>
        <w:tc>
          <w:tcPr>
            <w:tcW w:w="228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Texas Instruments (Ireland) Limited</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Texas Instruments Israel Ltd.</w:t>
            </w:r>
          </w:p>
        </w:tc>
        <w:tc>
          <w:tcPr>
            <w:tcW w:w="2280" w:type="dxa"/>
            <w:vAlign w:val="bottom"/>
            <w:gridSpan w:val="2"/>
          </w:tcPr>
          <w:p>
            <w:pPr>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Texas Instruments Israel Medical (2009) Ltd.</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Texas Instruments Israel Trading (2003) Ltd.</w:t>
            </w:r>
          </w:p>
        </w:tc>
        <w:tc>
          <w:tcPr>
            <w:tcW w:w="2280" w:type="dxa"/>
            <w:vAlign w:val="bottom"/>
            <w:gridSpan w:val="2"/>
          </w:tcPr>
          <w:p>
            <w:pPr>
              <w:spacing w:after="0"/>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Texas Instruments Japan Limited</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Texas Instruments Korea Limited</w:t>
            </w:r>
          </w:p>
        </w:tc>
        <w:tc>
          <w:tcPr>
            <w:tcW w:w="2280" w:type="dxa"/>
            <w:vAlign w:val="bottom"/>
            <w:gridSpan w:val="2"/>
          </w:tcPr>
          <w:p>
            <w:pPr>
              <w:spacing w:after="0"/>
              <w:rPr>
                <w:sz w:val="20"/>
                <w:szCs w:val="20"/>
                <w:color w:val="auto"/>
              </w:rPr>
            </w:pPr>
            <w:r>
              <w:rPr>
                <w:rFonts w:ascii="Arial" w:cs="Arial" w:eastAsia="Arial" w:hAnsi="Arial"/>
                <w:sz w:val="18"/>
                <w:szCs w:val="18"/>
                <w:color w:val="auto"/>
              </w:rPr>
              <w:t>Korea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Texas Instruments Lehigh Valley Incorporated</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Texas Instruments Limited</w:t>
            </w:r>
          </w:p>
        </w:tc>
        <w:tc>
          <w:tcPr>
            <w:tcW w:w="228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Texas Instruments Low Power Wireless San Diego LLC</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Texas Instruments Malaysia Sdn. Bhd.</w:t>
            </w:r>
          </w:p>
        </w:tc>
        <w:tc>
          <w:tcPr>
            <w:tcW w:w="2280" w:type="dxa"/>
            <w:vAlign w:val="bottom"/>
            <w:gridSpan w:val="2"/>
          </w:tcPr>
          <w:p>
            <w:pPr>
              <w:spacing w:after="0"/>
              <w:rPr>
                <w:sz w:val="20"/>
                <w:szCs w:val="20"/>
                <w:color w:val="auto"/>
              </w:rPr>
            </w:pPr>
            <w:r>
              <w:rPr>
                <w:rFonts w:ascii="Arial" w:cs="Arial" w:eastAsia="Arial" w:hAnsi="Arial"/>
                <w:sz w:val="18"/>
                <w:szCs w:val="18"/>
                <w:color w:val="auto"/>
              </w:rPr>
              <w:t>Malaysia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Texas Instruments Marketing &amp; Finance GmbH &amp; Co. KG</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Texas Instruments Melbourne Incorporated</w:t>
            </w:r>
          </w:p>
        </w:tc>
        <w:tc>
          <w:tcPr>
            <w:tcW w:w="2280" w:type="dxa"/>
            <w:vAlign w:val="bottom"/>
            <w:gridSpan w:val="2"/>
          </w:tcPr>
          <w:p>
            <w:pPr>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Texas Instruments Northern Virginia Incorporated</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Texas Instruments Norway AS</w:t>
            </w:r>
          </w:p>
        </w:tc>
        <w:tc>
          <w:tcPr>
            <w:tcW w:w="2280" w:type="dxa"/>
            <w:vAlign w:val="bottom"/>
            <w:gridSpan w:val="2"/>
          </w:tcPr>
          <w:p>
            <w:pPr>
              <w:spacing w:after="0"/>
              <w:rPr>
                <w:sz w:val="20"/>
                <w:szCs w:val="20"/>
                <w:color w:val="auto"/>
              </w:rPr>
            </w:pPr>
            <w:r>
              <w:rPr>
                <w:rFonts w:ascii="Arial" w:cs="Arial" w:eastAsia="Arial" w:hAnsi="Arial"/>
                <w:sz w:val="18"/>
                <w:szCs w:val="18"/>
                <w:color w:val="auto"/>
              </w:rPr>
              <w:t>Norway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Texas Instruments Oy</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Finland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Texas Instruments Palo Alto Incorporated</w:t>
            </w:r>
          </w:p>
        </w:tc>
        <w:tc>
          <w:tcPr>
            <w:tcW w:w="2280" w:type="dxa"/>
            <w:vAlign w:val="bottom"/>
            <w:gridSpan w:val="2"/>
          </w:tcPr>
          <w:p>
            <w:pPr>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Texas Instruments (Philippines) LLC</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Texas Instruments Richardson LLC</w:t>
            </w:r>
          </w:p>
        </w:tc>
        <w:tc>
          <w:tcPr>
            <w:tcW w:w="228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Texas Instruments Santa Rosa Incorporated</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Texas Instruments Semiconductor Technologies (Shanghai) Co., Ltd.</w:t>
            </w:r>
          </w:p>
        </w:tc>
        <w:tc>
          <w:tcPr>
            <w:tcW w:w="2280" w:type="dxa"/>
            <w:vAlign w:val="bottom"/>
            <w:gridSpan w:val="2"/>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Texas Instruments Semiconductores e Tecnologias Ltda.</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Texas Instruments (Shanghai) Co., Ltd.</w:t>
            </w:r>
          </w:p>
        </w:tc>
        <w:tc>
          <w:tcPr>
            <w:tcW w:w="2280" w:type="dxa"/>
            <w:vAlign w:val="bottom"/>
            <w:gridSpan w:val="2"/>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Texas Instruments Singapore (Pte) Limited</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Texas Instruments Sunnyvale Incorporated</w:t>
            </w:r>
          </w:p>
        </w:tc>
        <w:tc>
          <w:tcPr>
            <w:tcW w:w="228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Texas Instruments Taiwan Limited</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Taiwan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Texas Instruments Trade &amp; Investment Company S.A.</w:t>
            </w:r>
          </w:p>
        </w:tc>
        <w:tc>
          <w:tcPr>
            <w:tcW w:w="2280" w:type="dxa"/>
            <w:vAlign w:val="bottom"/>
            <w:gridSpan w:val="2"/>
          </w:tcPr>
          <w:p>
            <w:pPr>
              <w:spacing w:after="0"/>
              <w:rPr>
                <w:sz w:val="20"/>
                <w:szCs w:val="20"/>
                <w:color w:val="auto"/>
              </w:rPr>
            </w:pPr>
            <w:r>
              <w:rPr>
                <w:rFonts w:ascii="Arial" w:cs="Arial" w:eastAsia="Arial" w:hAnsi="Arial"/>
                <w:sz w:val="18"/>
                <w:szCs w:val="18"/>
                <w:color w:val="auto"/>
              </w:rPr>
              <w:t>Panama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Texas Instruments Tucson Corporation</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TI Europe Limited</w:t>
            </w:r>
          </w:p>
        </w:tc>
        <w:tc>
          <w:tcPr>
            <w:tcW w:w="228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 (Philippines), Inc.</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Philippines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spacing w:after="0"/>
              <w:rPr>
                <w:sz w:val="20"/>
                <w:szCs w:val="20"/>
                <w:color w:val="auto"/>
              </w:rPr>
            </w:pPr>
            <w:r>
              <w:rPr>
                <w:rFonts w:ascii="Arial" w:cs="Arial" w:eastAsia="Arial" w:hAnsi="Arial"/>
                <w:sz w:val="18"/>
                <w:szCs w:val="18"/>
                <w:color w:val="auto"/>
              </w:rPr>
              <w:t>Unitrode Corporation</w:t>
            </w:r>
          </w:p>
        </w:tc>
        <w:tc>
          <w:tcPr>
            <w:tcW w:w="2280" w:type="dxa"/>
            <w:vAlign w:val="bottom"/>
            <w:gridSpan w:val="2"/>
          </w:tcPr>
          <w:p>
            <w:pPr>
              <w:spacing w:after="0"/>
              <w:rPr>
                <w:sz w:val="20"/>
                <w:szCs w:val="20"/>
                <w:color w:val="auto"/>
              </w:rPr>
            </w:pPr>
            <w:r>
              <w:rPr>
                <w:rFonts w:ascii="Arial" w:cs="Arial" w:eastAsia="Arial" w:hAnsi="Arial"/>
                <w:sz w:val="18"/>
                <w:szCs w:val="18"/>
                <w:color w:val="auto"/>
              </w:rPr>
              <w:t>Maryland</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060" w:type="dxa"/>
            <w:vAlign w:val="bottom"/>
            <w:shd w:val="clear" w:color="auto" w:fill="CCEEFF"/>
          </w:tcPr>
          <w:p>
            <w:pPr>
              <w:spacing w:after="0"/>
              <w:rPr>
                <w:sz w:val="9"/>
                <w:szCs w:val="9"/>
                <w:color w:val="auto"/>
              </w:rPr>
            </w:pPr>
          </w:p>
        </w:tc>
        <w:tc>
          <w:tcPr>
            <w:tcW w:w="506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287" w:right="239" w:bottom="0" w:gutter="0" w:footer="0" w:header="0"/>
        </w:sectPr>
      </w:pPr>
    </w:p>
    <w:bookmarkStart w:id="105" w:name="page106"/>
    <w:bookmarkEnd w:id="105"/>
    <w:p>
      <w:pPr>
        <w:spacing w:after="0"/>
        <w:tabs>
          <w:tab w:leader="none" w:pos="9120" w:val="left"/>
        </w:tabs>
        <w:rPr>
          <w:sz w:val="20"/>
          <w:szCs w:val="20"/>
          <w:color w:val="auto"/>
        </w:rPr>
      </w:pPr>
      <w:r>
        <w:rPr>
          <w:rFonts w:ascii="Arial" w:cs="Arial" w:eastAsia="Arial" w:hAnsi="Arial"/>
          <w:sz w:val="18"/>
          <w:szCs w:val="18"/>
          <w:color w:val="auto"/>
        </w:rPr>
        <w:t>Unitrode-Maine</w:t>
      </w:r>
      <w:r>
        <w:rPr>
          <w:sz w:val="20"/>
          <w:szCs w:val="20"/>
          <w:color w:val="auto"/>
        </w:rPr>
        <w:tab/>
      </w:r>
      <w:r>
        <w:rPr>
          <w:rFonts w:ascii="Arial" w:cs="Arial" w:eastAsia="Arial" w:hAnsi="Arial"/>
          <w:sz w:val="16"/>
          <w:szCs w:val="16"/>
          <w:color w:val="auto"/>
        </w:rPr>
        <w:t>Maine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23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5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consent to the incorporation by reference in this Annual Report on Form 10-K of Texas Instruments Incorporated of our reports dated February 23, 2010, with respect to the consolidated financial statements of Texas Instruments Incorporated and the effectiveness of internal control over financial reporting of Texas Instruments Incorporated, included in the 2009 Annual Report to Stockholders of Texas Instruments Incorporated.</w:t>
      </w:r>
    </w:p>
    <w:p>
      <w:pPr>
        <w:spacing w:after="0" w:line="19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also consent to the incorporation by reference in the following registration statements, and in the related prospectuses thereto, of our reports dated February 23, 2010, with respect to the consolidated financial statements of Texas Instruments Incorporated, and the effectiveness of internal control over financial reporting of Texas Instruments Incorporated, incorporated by reference in this Annual Report on Form 10-K for the year ended December 31, 2009: Registration Statements (Forms S-8) No. 33-42172, No. 33-54615, No. 33-61154, No. 333-07127 (as amended), No. 333-41913, No. 333-41919, No. 333-31321 (as amended), No. 333-31323, No. 333-48389, No. 333-44662, No. 333-107759, No. 333-107760, No. 333-107761, and No. 333-127021; Registration Statement (Forms S-3) No. 333-141048; and Registration Statements (Forms S-4) No. 333-89433 (as amended), No. 333-87199, No. 333-80157 (as amended), and No. 333-41030 (as amended).</w:t>
      </w:r>
    </w:p>
    <w:p>
      <w:pPr>
        <w:spacing w:after="0" w:line="200" w:lineRule="exact"/>
        <w:rPr>
          <w:sz w:val="20"/>
          <w:szCs w:val="20"/>
          <w:color w:val="auto"/>
        </w:rPr>
      </w:pPr>
    </w:p>
    <w:p>
      <w:pPr>
        <w:spacing w:after="0" w:line="25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14605</wp:posOffset>
            </wp:positionV>
            <wp:extent cx="216979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6"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67575"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31(a)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252" w:lineRule="exact"/>
        <w:rPr>
          <w:sz w:val="20"/>
          <w:szCs w:val="20"/>
          <w:color w:val="auto"/>
        </w:rPr>
      </w:pPr>
    </w:p>
    <w:p>
      <w:pPr>
        <w:ind w:left="500" w:hanging="492"/>
        <w:spacing w:after="0"/>
        <w:tabs>
          <w:tab w:leader="none" w:pos="5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report on Form 10-K of Texas Instruments Incorporated;</w:t>
      </w:r>
    </w:p>
    <w:p>
      <w:pPr>
        <w:spacing w:after="0" w:line="225" w:lineRule="exact"/>
        <w:rPr>
          <w:rFonts w:ascii="Arial" w:cs="Arial" w:eastAsia="Arial" w:hAnsi="Arial"/>
          <w:sz w:val="18"/>
          <w:szCs w:val="18"/>
          <w:color w:val="auto"/>
        </w:rPr>
      </w:pPr>
    </w:p>
    <w:p>
      <w:pPr>
        <w:jc w:val="both"/>
        <w:ind w:left="500" w:right="460" w:hanging="492"/>
        <w:spacing w:after="0" w:line="264" w:lineRule="auto"/>
        <w:tabs>
          <w:tab w:leader="none" w:pos="5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00" w:right="420" w:hanging="492"/>
        <w:spacing w:after="0" w:line="308" w:lineRule="auto"/>
        <w:tabs>
          <w:tab w:leader="none" w:pos="5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460" w:hanging="492"/>
        <w:spacing w:after="0" w:line="264" w:lineRule="auto"/>
        <w:tabs>
          <w:tab w:leader="none" w:pos="5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500" w:firstLine="480"/>
        <w:spacing w:after="0" w:line="264" w:lineRule="auto"/>
        <w:tabs>
          <w:tab w:leader="none" w:pos="1231"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500" w:right="360" w:firstLine="480"/>
        <w:spacing w:after="0" w:line="264" w:lineRule="auto"/>
        <w:tabs>
          <w:tab w:leader="none" w:pos="1241"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500" w:right="500" w:firstLine="480"/>
        <w:spacing w:after="0" w:line="342" w:lineRule="auto"/>
        <w:tabs>
          <w:tab w:leader="none" w:pos="1231" w:val="left"/>
        </w:tabs>
        <w:numPr>
          <w:ilvl w:val="1"/>
          <w:numId w:val="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500" w:right="460" w:firstLine="480"/>
        <w:spacing w:after="0" w:line="264" w:lineRule="auto"/>
        <w:tabs>
          <w:tab w:leader="none" w:pos="1241"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500" w:right="700" w:firstLine="480"/>
        <w:spacing w:after="0" w:line="308" w:lineRule="auto"/>
        <w:tabs>
          <w:tab w:leader="none" w:pos="1231" w:val="left"/>
        </w:tabs>
        <w:numPr>
          <w:ilvl w:val="1"/>
          <w:numId w:val="8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500" w:right="380" w:firstLine="480"/>
        <w:spacing w:after="0" w:line="277" w:lineRule="auto"/>
        <w:tabs>
          <w:tab w:leader="none" w:pos="1241"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2010</w:t>
      </w:r>
    </w:p>
    <w:p>
      <w:pPr>
        <w:spacing w:after="0" w:line="200" w:lineRule="exact"/>
        <w:rPr>
          <w:sz w:val="20"/>
          <w:szCs w:val="20"/>
          <w:color w:val="auto"/>
        </w:rPr>
      </w:pPr>
    </w:p>
    <w:p>
      <w:pPr>
        <w:spacing w:after="0" w:line="291"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b w:val="1"/>
          <w:bCs w:val="1"/>
          <w:color w:val="auto"/>
        </w:rPr>
        <w:t>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17145</wp:posOffset>
            </wp:positionV>
            <wp:extent cx="216979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6" w:lineRule="exact"/>
        <w:rPr>
          <w:sz w:val="20"/>
          <w:szCs w:val="20"/>
          <w:color w:val="auto"/>
        </w:rPr>
      </w:pPr>
    </w:p>
    <w:p>
      <w:pPr>
        <w:ind w:left="8860"/>
        <w:spacing w:after="0"/>
        <w:rPr>
          <w:sz w:val="20"/>
          <w:szCs w:val="20"/>
          <w:color w:val="auto"/>
        </w:rPr>
      </w:pPr>
      <w:r>
        <w:rPr>
          <w:rFonts w:ascii="Arial" w:cs="Arial" w:eastAsia="Arial" w:hAnsi="Arial"/>
          <w:sz w:val="18"/>
          <w:szCs w:val="18"/>
          <w:b w:val="1"/>
          <w:bCs w:val="1"/>
          <w:color w:val="auto"/>
        </w:rPr>
        <w:t>Richard K. Templeton</w:t>
      </w:r>
    </w:p>
    <w:p>
      <w:pPr>
        <w:spacing w:after="0" w:line="27" w:lineRule="exact"/>
        <w:rPr>
          <w:sz w:val="20"/>
          <w:szCs w:val="20"/>
          <w:color w:val="auto"/>
        </w:rPr>
      </w:pPr>
    </w:p>
    <w:p>
      <w:pPr>
        <w:jc w:val="center"/>
        <w:ind w:left="8000"/>
        <w:spacing w:after="0"/>
        <w:rPr>
          <w:sz w:val="20"/>
          <w:szCs w:val="20"/>
          <w:color w:val="auto"/>
        </w:rPr>
      </w:pPr>
      <w:r>
        <w:rPr>
          <w:rFonts w:ascii="Arial" w:cs="Arial" w:eastAsia="Arial" w:hAnsi="Arial"/>
          <w:sz w:val="18"/>
          <w:szCs w:val="18"/>
          <w:b w:val="1"/>
          <w:bCs w:val="1"/>
          <w:color w:val="auto"/>
        </w:rPr>
        <w:t>Chairman, President and</w:t>
      </w:r>
    </w:p>
    <w:p>
      <w:pPr>
        <w:spacing w:after="0" w:line="9" w:lineRule="exact"/>
        <w:rPr>
          <w:sz w:val="20"/>
          <w:szCs w:val="20"/>
          <w:color w:val="auto"/>
        </w:rPr>
      </w:pPr>
    </w:p>
    <w:p>
      <w:pPr>
        <w:jc w:val="center"/>
        <w:ind w:left="800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67575"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31(b)</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Kevin P. March, certify that:</w:t>
      </w:r>
    </w:p>
    <w:p>
      <w:pPr>
        <w:spacing w:after="0" w:line="252" w:lineRule="exact"/>
        <w:rPr>
          <w:sz w:val="20"/>
          <w:szCs w:val="20"/>
          <w:color w:val="auto"/>
        </w:rPr>
      </w:pPr>
    </w:p>
    <w:p>
      <w:pPr>
        <w:ind w:left="500" w:hanging="492"/>
        <w:spacing w:after="0"/>
        <w:tabs>
          <w:tab w:leader="none" w:pos="5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report on Form 10-K of Texas Instruments Incorporated;</w:t>
      </w:r>
    </w:p>
    <w:p>
      <w:pPr>
        <w:spacing w:after="0" w:line="252" w:lineRule="exact"/>
        <w:rPr>
          <w:rFonts w:ascii="Arial" w:cs="Arial" w:eastAsia="Arial" w:hAnsi="Arial"/>
          <w:sz w:val="18"/>
          <w:szCs w:val="18"/>
          <w:color w:val="auto"/>
        </w:rPr>
      </w:pPr>
    </w:p>
    <w:p>
      <w:pPr>
        <w:jc w:val="both"/>
        <w:ind w:left="500" w:right="460" w:hanging="492"/>
        <w:spacing w:after="0" w:line="264" w:lineRule="auto"/>
        <w:tabs>
          <w:tab w:leader="none" w:pos="5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right="420" w:hanging="492"/>
        <w:spacing w:after="0" w:line="308" w:lineRule="auto"/>
        <w:tabs>
          <w:tab w:leader="none" w:pos="5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00" w:right="20" w:hanging="492"/>
        <w:spacing w:after="0" w:line="264" w:lineRule="auto"/>
        <w:tabs>
          <w:tab w:leader="none" w:pos="5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500" w:firstLine="480"/>
        <w:spacing w:after="0" w:line="264" w:lineRule="auto"/>
        <w:tabs>
          <w:tab w:leader="none" w:pos="1231"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500" w:right="360" w:firstLine="480"/>
        <w:spacing w:after="0" w:line="264" w:lineRule="auto"/>
        <w:tabs>
          <w:tab w:leader="none" w:pos="1241"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500" w:right="500" w:firstLine="480"/>
        <w:spacing w:after="0" w:line="342" w:lineRule="auto"/>
        <w:tabs>
          <w:tab w:leader="none" w:pos="1231" w:val="left"/>
        </w:tabs>
        <w:numPr>
          <w:ilvl w:val="1"/>
          <w:numId w:val="8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500" w:right="460" w:firstLine="480"/>
        <w:spacing w:after="0" w:line="264" w:lineRule="auto"/>
        <w:tabs>
          <w:tab w:leader="none" w:pos="1241"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500" w:right="700" w:firstLine="480"/>
        <w:spacing w:after="0" w:line="308" w:lineRule="auto"/>
        <w:tabs>
          <w:tab w:leader="none" w:pos="1231" w:val="left"/>
        </w:tabs>
        <w:numPr>
          <w:ilvl w:val="1"/>
          <w:numId w:val="8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500" w:right="380" w:firstLine="480"/>
        <w:spacing w:after="0" w:line="277" w:lineRule="auto"/>
        <w:tabs>
          <w:tab w:leader="none" w:pos="1241"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2010</w:t>
      </w:r>
    </w:p>
    <w:p>
      <w:pPr>
        <w:spacing w:after="0" w:line="200" w:lineRule="exact"/>
        <w:rPr>
          <w:sz w:val="20"/>
          <w:szCs w:val="20"/>
          <w:color w:val="auto"/>
        </w:rPr>
      </w:pPr>
    </w:p>
    <w:p>
      <w:pPr>
        <w:spacing w:after="0" w:line="291" w:lineRule="exact"/>
        <w:rPr>
          <w:sz w:val="20"/>
          <w:szCs w:val="20"/>
          <w:color w:val="auto"/>
        </w:rPr>
      </w:pPr>
    </w:p>
    <w:p>
      <w:pPr>
        <w:ind w:left="9000"/>
        <w:spacing w:after="0"/>
        <w:rPr>
          <w:sz w:val="20"/>
          <w:szCs w:val="20"/>
          <w:color w:val="auto"/>
        </w:rPr>
      </w:pPr>
      <w:r>
        <w:rPr>
          <w:rFonts w:ascii="Arial" w:cs="Arial" w:eastAsia="Arial" w:hAnsi="Arial"/>
          <w:sz w:val="18"/>
          <w:szCs w:val="18"/>
          <w:b w:val="1"/>
          <w:bCs w:val="1"/>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17145</wp:posOffset>
            </wp:positionV>
            <wp:extent cx="216979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6" w:lineRule="exact"/>
        <w:rPr>
          <w:sz w:val="20"/>
          <w:szCs w:val="20"/>
          <w:color w:val="auto"/>
        </w:rPr>
      </w:pPr>
    </w:p>
    <w:p>
      <w:pPr>
        <w:ind w:left="9100"/>
        <w:spacing w:after="0"/>
        <w:rPr>
          <w:sz w:val="20"/>
          <w:szCs w:val="20"/>
          <w:color w:val="auto"/>
        </w:rPr>
      </w:pPr>
      <w:r>
        <w:rPr>
          <w:rFonts w:ascii="Arial" w:cs="Arial" w:eastAsia="Arial" w:hAnsi="Arial"/>
          <w:sz w:val="18"/>
          <w:szCs w:val="18"/>
          <w:b w:val="1"/>
          <w:bCs w:val="1"/>
          <w:color w:val="auto"/>
        </w:rPr>
        <w:t>Kevin P. March</w:t>
      </w:r>
    </w:p>
    <w:p>
      <w:pPr>
        <w:spacing w:after="0" w:line="27" w:lineRule="exact"/>
        <w:rPr>
          <w:sz w:val="20"/>
          <w:szCs w:val="20"/>
          <w:color w:val="auto"/>
        </w:rPr>
      </w:pPr>
    </w:p>
    <w:p>
      <w:pPr>
        <w:jc w:val="center"/>
        <w:ind w:left="8000"/>
        <w:spacing w:after="0"/>
        <w:rPr>
          <w:sz w:val="20"/>
          <w:szCs w:val="20"/>
          <w:color w:val="auto"/>
        </w:rPr>
      </w:pPr>
      <w:r>
        <w:rPr>
          <w:rFonts w:ascii="Arial" w:cs="Arial" w:eastAsia="Arial" w:hAnsi="Arial"/>
          <w:sz w:val="18"/>
          <w:szCs w:val="18"/>
          <w:b w:val="1"/>
          <w:bCs w:val="1"/>
          <w:color w:val="auto"/>
        </w:rPr>
        <w:t>Senior Vice President and</w:t>
      </w:r>
    </w:p>
    <w:p>
      <w:pPr>
        <w:spacing w:after="0" w:line="9" w:lineRule="exact"/>
        <w:rPr>
          <w:sz w:val="20"/>
          <w:szCs w:val="20"/>
          <w:color w:val="auto"/>
        </w:rPr>
      </w:pPr>
    </w:p>
    <w:p>
      <w:pPr>
        <w:jc w:val="center"/>
        <w:ind w:left="80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67575"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32(a)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8"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Richard K. Templeton, President and Chief Executive Officer of Texas Instruments Incorporated (the “Company”), hereby certifies that, to his knowledge:</w:t>
      </w:r>
    </w:p>
    <w:p>
      <w:pPr>
        <w:spacing w:after="0" w:line="174" w:lineRule="exact"/>
        <w:rPr>
          <w:sz w:val="20"/>
          <w:szCs w:val="20"/>
          <w:color w:val="auto"/>
        </w:rPr>
      </w:pPr>
    </w:p>
    <w:p>
      <w:pPr>
        <w:ind w:right="60" w:firstLine="494"/>
        <w:spacing w:after="0" w:line="342" w:lineRule="auto"/>
        <w:tabs>
          <w:tab w:leader="none" w:pos="701"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2009, as filed with the Securities and Exchange Commission on the date hereof (the “Report”) fully complies with the requirements of Section 13(a) or 15(d) of the Securities Exchange Act of 1934; and</w:t>
      </w:r>
    </w:p>
    <w:p>
      <w:pPr>
        <w:spacing w:after="0" w:line="150" w:lineRule="exact"/>
        <w:rPr>
          <w:rFonts w:ascii="Arial" w:cs="Arial" w:eastAsia="Arial" w:hAnsi="Arial"/>
          <w:sz w:val="16"/>
          <w:szCs w:val="16"/>
          <w:color w:val="auto"/>
        </w:rPr>
      </w:pPr>
    </w:p>
    <w:p>
      <w:pPr>
        <w:ind w:right="280" w:firstLine="494"/>
        <w:spacing w:after="0" w:line="559" w:lineRule="auto"/>
        <w:tabs>
          <w:tab w:leader="none" w:pos="751"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February 23, 2010</w:t>
      </w:r>
    </w:p>
    <w:p>
      <w:pPr>
        <w:spacing w:after="0" w:line="193"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b w:val="1"/>
          <w:bCs w:val="1"/>
          <w:color w:val="auto"/>
        </w:rPr>
        <w:t>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17145</wp:posOffset>
            </wp:positionV>
            <wp:extent cx="216979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6" w:lineRule="exact"/>
        <w:rPr>
          <w:sz w:val="20"/>
          <w:szCs w:val="20"/>
          <w:color w:val="auto"/>
        </w:rPr>
      </w:pPr>
    </w:p>
    <w:p>
      <w:pPr>
        <w:ind w:left="8860"/>
        <w:spacing w:after="0"/>
        <w:rPr>
          <w:sz w:val="20"/>
          <w:szCs w:val="20"/>
          <w:color w:val="auto"/>
        </w:rPr>
      </w:pPr>
      <w:r>
        <w:rPr>
          <w:rFonts w:ascii="Arial" w:cs="Arial" w:eastAsia="Arial" w:hAnsi="Arial"/>
          <w:sz w:val="18"/>
          <w:szCs w:val="18"/>
          <w:b w:val="1"/>
          <w:bCs w:val="1"/>
          <w:color w:val="auto"/>
        </w:rPr>
        <w:t>Richard K. Templeton</w:t>
      </w:r>
    </w:p>
    <w:p>
      <w:pPr>
        <w:spacing w:after="0" w:line="27" w:lineRule="exact"/>
        <w:rPr>
          <w:sz w:val="20"/>
          <w:szCs w:val="20"/>
          <w:color w:val="auto"/>
        </w:rPr>
      </w:pPr>
    </w:p>
    <w:p>
      <w:pPr>
        <w:jc w:val="center"/>
        <w:ind w:left="8000"/>
        <w:spacing w:after="0"/>
        <w:rPr>
          <w:sz w:val="20"/>
          <w:szCs w:val="20"/>
          <w:color w:val="auto"/>
        </w:rPr>
      </w:pPr>
      <w:r>
        <w:rPr>
          <w:rFonts w:ascii="Arial" w:cs="Arial" w:eastAsia="Arial" w:hAnsi="Arial"/>
          <w:sz w:val="18"/>
          <w:szCs w:val="18"/>
          <w:b w:val="1"/>
          <w:bCs w:val="1"/>
          <w:color w:val="auto"/>
        </w:rPr>
        <w:t>Chairman, President and</w:t>
      </w:r>
    </w:p>
    <w:p>
      <w:pPr>
        <w:spacing w:after="0" w:line="9" w:lineRule="exact"/>
        <w:rPr>
          <w:sz w:val="20"/>
          <w:szCs w:val="20"/>
          <w:color w:val="auto"/>
        </w:rPr>
      </w:pPr>
    </w:p>
    <w:p>
      <w:pPr>
        <w:jc w:val="center"/>
        <w:ind w:left="800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67575"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32(b)</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Kevin P. March, Senior Vice President and Chief Financial Officer of Texas Instruments Incorporated (the “Company”), hereby certifies that, to his knowledge:</w:t>
      </w:r>
    </w:p>
    <w:p>
      <w:pPr>
        <w:spacing w:after="0" w:line="174" w:lineRule="exact"/>
        <w:rPr>
          <w:sz w:val="20"/>
          <w:szCs w:val="20"/>
          <w:color w:val="auto"/>
        </w:rPr>
      </w:pPr>
    </w:p>
    <w:p>
      <w:pPr>
        <w:ind w:right="60" w:firstLine="494"/>
        <w:spacing w:after="0" w:line="342" w:lineRule="auto"/>
        <w:tabs>
          <w:tab w:leader="none" w:pos="701"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2009, as filed with the Securities and Exchange Commission on the date hereof (the “Report”) fully complies with the requirements of Section 13(a) or 15(d) of the Securities Exchange Act of 1934; and</w:t>
      </w:r>
    </w:p>
    <w:p>
      <w:pPr>
        <w:spacing w:after="0" w:line="150" w:lineRule="exact"/>
        <w:rPr>
          <w:rFonts w:ascii="Arial" w:cs="Arial" w:eastAsia="Arial" w:hAnsi="Arial"/>
          <w:sz w:val="16"/>
          <w:szCs w:val="16"/>
          <w:color w:val="auto"/>
        </w:rPr>
      </w:pPr>
    </w:p>
    <w:p>
      <w:pPr>
        <w:ind w:right="280" w:firstLine="494"/>
        <w:spacing w:after="0" w:line="559" w:lineRule="auto"/>
        <w:tabs>
          <w:tab w:leader="none" w:pos="751"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February 23, 2010</w:t>
      </w:r>
    </w:p>
    <w:p>
      <w:pPr>
        <w:spacing w:after="0" w:line="193" w:lineRule="exact"/>
        <w:rPr>
          <w:sz w:val="20"/>
          <w:szCs w:val="20"/>
          <w:color w:val="auto"/>
        </w:rPr>
      </w:pPr>
    </w:p>
    <w:p>
      <w:pPr>
        <w:ind w:left="900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b w:val="1"/>
          <w:bCs w:val="1"/>
          <w:color w:val="auto"/>
        </w:rPr>
        <w:t>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17145</wp:posOffset>
            </wp:positionV>
            <wp:extent cx="216979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6" w:lineRule="exact"/>
        <w:rPr>
          <w:sz w:val="20"/>
          <w:szCs w:val="20"/>
          <w:color w:val="auto"/>
        </w:rPr>
      </w:pPr>
    </w:p>
    <w:p>
      <w:pPr>
        <w:ind w:left="9100"/>
        <w:spacing w:after="0"/>
        <w:rPr>
          <w:sz w:val="20"/>
          <w:szCs w:val="20"/>
          <w:color w:val="auto"/>
        </w:rPr>
      </w:pPr>
      <w:r>
        <w:rPr>
          <w:rFonts w:ascii="Arial" w:cs="Arial" w:eastAsia="Arial" w:hAnsi="Arial"/>
          <w:sz w:val="18"/>
          <w:szCs w:val="18"/>
          <w:b w:val="1"/>
          <w:bCs w:val="1"/>
          <w:color w:val="auto"/>
        </w:rPr>
        <w:t>Kevin P. March</w:t>
      </w:r>
    </w:p>
    <w:p>
      <w:pPr>
        <w:spacing w:after="0" w:line="27" w:lineRule="exact"/>
        <w:rPr>
          <w:sz w:val="20"/>
          <w:szCs w:val="20"/>
          <w:color w:val="auto"/>
        </w:rPr>
      </w:pPr>
    </w:p>
    <w:p>
      <w:pPr>
        <w:jc w:val="center"/>
        <w:ind w:left="8000"/>
        <w:spacing w:after="0"/>
        <w:rPr>
          <w:sz w:val="20"/>
          <w:szCs w:val="20"/>
          <w:color w:val="auto"/>
        </w:rPr>
      </w:pPr>
      <w:r>
        <w:rPr>
          <w:rFonts w:ascii="Arial" w:cs="Arial" w:eastAsia="Arial" w:hAnsi="Arial"/>
          <w:sz w:val="18"/>
          <w:szCs w:val="18"/>
          <w:b w:val="1"/>
          <w:bCs w:val="1"/>
          <w:color w:val="auto"/>
        </w:rPr>
        <w:t>Senior Vice President and</w:t>
      </w:r>
    </w:p>
    <w:p>
      <w:pPr>
        <w:spacing w:after="0" w:line="9" w:lineRule="exact"/>
        <w:rPr>
          <w:sz w:val="20"/>
          <w:szCs w:val="20"/>
          <w:color w:val="auto"/>
        </w:rPr>
      </w:pPr>
    </w:p>
    <w:p>
      <w:pPr>
        <w:jc w:val="center"/>
        <w:ind w:left="80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67575"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28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x"/>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1)"/>
      <w:numFmt w:val="decimal"/>
      <w:start w:val="1"/>
    </w:lvl>
  </w:abstractNum>
  <w:abstractNum w:abstractNumId="3">
    <w:nsid w:val="7A6D8D3C"/>
    <w:multiLevelType w:val="hybridMultilevel"/>
    <w:lvl w:ilvl="0">
      <w:lvlJc w:val="left"/>
      <w:lvlText w:val="(%1)"/>
      <w:numFmt w:val="decimal"/>
      <w:start w:val="1"/>
    </w:lvl>
  </w:abstractNum>
  <w:abstractNum w:abstractNumId="4">
    <w:nsid w:val="4B588F54"/>
    <w:multiLevelType w:val="hybridMultilevel"/>
    <w:lvl w:ilvl="0">
      <w:lvlJc w:val="left"/>
      <w:lvlText w:val="(%1)"/>
      <w:numFmt w:val="decimal"/>
      <w:start w:val="1"/>
    </w:lvl>
    <w:lvl w:ilvl="1">
      <w:lvlJc w:val="left"/>
      <w:lvlText w:val="Ÿ"/>
      <w:numFmt w:val="bullet"/>
      <w:start w:val="1"/>
    </w:lvl>
  </w:abstractNum>
  <w:abstractNum w:abstractNumId="5">
    <w:nsid w:val="542289EC"/>
    <w:multiLevelType w:val="hybridMultilevel"/>
    <w:lvl w:ilvl="0">
      <w:lvlJc w:val="left"/>
      <w:lvlText w:val="(%1)"/>
      <w:numFmt w:val="lowerLetter"/>
      <w:start w:val="1"/>
    </w:lvl>
  </w:abstractNum>
  <w:abstractNum w:abstractNumId="6">
    <w:nsid w:val="6DE91B18"/>
    <w:multiLevelType w:val="hybridMultilevel"/>
    <w:lvl w:ilvl="0">
      <w:lvlJc w:val="left"/>
      <w:lvlText w:val="%1"/>
      <w:numFmt w:val="decimal"/>
      <w:start w:val="13"/>
    </w:lvl>
  </w:abstractNum>
  <w:abstractNum w:abstractNumId="7">
    <w:nsid w:val="38437FDB"/>
    <w:multiLevelType w:val="hybridMultilevel"/>
    <w:lvl w:ilvl="0">
      <w:lvlJc w:val="left"/>
      <w:lvlText w:val="%1"/>
      <w:numFmt w:val="decimal"/>
      <w:start w:val="21"/>
    </w:lvl>
  </w:abstractNum>
  <w:abstractNum w:abstractNumId="8">
    <w:nsid w:val="7644A45C"/>
    <w:multiLevelType w:val="hybridMultilevel"/>
    <w:lvl w:ilvl="0">
      <w:lvlJc w:val="left"/>
      <w:lvlText w:val="%1"/>
      <w:numFmt w:val="decimal"/>
      <w:start w:val="23"/>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1."/>
      <w:numFmt w:val="decimal"/>
      <w:start w:val="1"/>
    </w:lvl>
  </w:abstractNum>
  <w:abstractNum w:abstractNumId="12">
    <w:nsid w:val="749ABB43"/>
    <w:multiLevelType w:val="hybridMultilevel"/>
    <w:lvl w:ilvl="0">
      <w:lvlJc w:val="left"/>
      <w:lvlText w:val="(%1)"/>
      <w:numFmt w:val="lowerRoman"/>
      <w:start w:val="1"/>
    </w:lvl>
  </w:abstractNum>
  <w:abstractNum w:abstractNumId="13">
    <w:nsid w:val="3DC240FB"/>
    <w:multiLevelType w:val="hybridMultilevel"/>
    <w:lvl w:ilvl="0">
      <w:lvlJc w:val="left"/>
      <w:lvlText w:val="(%1)"/>
      <w:numFmt w:val="lowerRoman"/>
      <w:start w:val="4"/>
    </w:lvl>
    <w:lvl w:ilvl="1">
      <w:lvlJc w:val="left"/>
      <w:lvlText w:val="(%2)"/>
      <w:numFmt w:val="lowerLetter"/>
      <w:start w:val="1"/>
    </w:lvl>
  </w:abstractNum>
  <w:abstractNum w:abstractNumId="14">
    <w:nsid w:val="1BA026FA"/>
    <w:multiLevelType w:val="hybridMultilevel"/>
    <w:lvl w:ilvl="0">
      <w:lvlJc w:val="left"/>
      <w:lvlText w:val="%1."/>
      <w:numFmt w:val="decimal"/>
      <w:start w:val="2"/>
    </w:lvl>
  </w:abstractNum>
  <w:abstractNum w:abstractNumId="15">
    <w:nsid w:val="79A1DEAA"/>
    <w:multiLevelType w:val="hybridMultilevel"/>
    <w:lvl w:ilvl="0">
      <w:lvlJc w:val="left"/>
      <w:lvlText w:val="%1."/>
      <w:numFmt w:val="decimal"/>
      <w:start w:val="3"/>
    </w:lvl>
  </w:abstractNum>
  <w:abstractNum w:abstractNumId="16">
    <w:nsid w:val="75C6C33A"/>
    <w:multiLevelType w:val="hybridMultilevel"/>
    <w:lvl w:ilvl="0">
      <w:lvlJc w:val="left"/>
      <w:lvlText w:val="%1."/>
      <w:numFmt w:val="decimal"/>
      <w:start w:val="4"/>
    </w:lvl>
  </w:abstractNum>
  <w:abstractNum w:abstractNumId="17">
    <w:nsid w:val="12E685FB"/>
    <w:multiLevelType w:val="hybridMultilevel"/>
    <w:lvl w:ilvl="0">
      <w:lvlJc w:val="left"/>
      <w:lvlText w:val="%1."/>
      <w:numFmt w:val="decimal"/>
      <w:start w:val="5"/>
    </w:lvl>
  </w:abstractNum>
  <w:abstractNum w:abstractNumId="18">
    <w:nsid w:val="70C6A529"/>
    <w:multiLevelType w:val="hybridMultilevel"/>
    <w:lvl w:ilvl="0">
      <w:lvlJc w:val="left"/>
      <w:lvlText w:val="(%1)"/>
      <w:numFmt w:val="lowerLetter"/>
      <w:start w:val="9"/>
    </w:lvl>
    <w:lvl w:ilvl="1">
      <w:lvlJc w:val="left"/>
      <w:lvlText w:val="(%2)"/>
      <w:numFmt w:val="lowerLetter"/>
      <w:start w:val="1"/>
    </w:lvl>
  </w:abstractNum>
  <w:abstractNum w:abstractNumId="19">
    <w:nsid w:val="520EEDD1"/>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20">
    <w:nsid w:val="374A3FE6"/>
    <w:multiLevelType w:val="hybridMultilevel"/>
    <w:lvl w:ilvl="0">
      <w:lvlJc w:val="left"/>
      <w:lvlText w:val="(%1)"/>
      <w:numFmt w:val="lowerLetter"/>
      <w:start w:val="2"/>
    </w:lvl>
  </w:abstractNum>
  <w:abstractNum w:abstractNumId="21">
    <w:nsid w:val="4F4EF005"/>
    <w:multiLevelType w:val="hybridMultilevel"/>
    <w:lvl w:ilvl="0">
      <w:lvlJc w:val="left"/>
      <w:lvlText w:val="%1."/>
      <w:numFmt w:val="decimal"/>
      <w:start w:val="6"/>
    </w:lvl>
  </w:abstractNum>
  <w:abstractNum w:abstractNumId="22">
    <w:nsid w:val="23F9C13C"/>
    <w:multiLevelType w:val="hybridMultilevel"/>
    <w:lvl w:ilvl="0">
      <w:lvlJc w:val="left"/>
      <w:lvlText w:val="%1."/>
      <w:numFmt w:val="decimal"/>
      <w:start w:val="7"/>
    </w:lvl>
    <w:lvl w:ilvl="1">
      <w:lvlJc w:val="left"/>
      <w:lvlText w:val="(%2)"/>
      <w:numFmt w:val="lowerRoman"/>
      <w:start w:val="3"/>
    </w:lvl>
    <w:lvl w:ilvl="2">
      <w:lvlJc w:val="left"/>
      <w:lvlText w:val="-"/>
      <w:numFmt w:val="bullet"/>
      <w:start w:val="1"/>
    </w:lvl>
  </w:abstractNum>
  <w:abstractNum w:abstractNumId="23">
    <w:nsid w:val="649BB77C"/>
    <w:multiLevelType w:val="hybridMultilevel"/>
    <w:lvl w:ilvl="0">
      <w:lvlJc w:val="left"/>
      <w:lvlText w:val="(%1)"/>
      <w:numFmt w:val="lowerLetter"/>
      <w:start w:val="2"/>
    </w:lvl>
  </w:abstractNum>
  <w:abstractNum w:abstractNumId="24">
    <w:nsid w:val="275AC794"/>
    <w:multiLevelType w:val="hybridMultilevel"/>
    <w:lvl w:ilvl="0">
      <w:lvlJc w:val="left"/>
      <w:lvlText w:val="%1."/>
      <w:numFmt w:val="decimal"/>
      <w:start w:val="1"/>
    </w:lvl>
  </w:abstractNum>
  <w:abstractNum w:abstractNumId="25">
    <w:nsid w:val="39386575"/>
    <w:multiLevelType w:val="hybridMultilevel"/>
    <w:lvl w:ilvl="0">
      <w:lvlJc w:val="left"/>
      <w:lvlText w:val="(%1)"/>
      <w:numFmt w:val="lowerLetter"/>
      <w:start w:val="1"/>
    </w:lvl>
  </w:abstractNum>
  <w:abstractNum w:abstractNumId="26">
    <w:nsid w:val="1CF10FD8"/>
    <w:multiLevelType w:val="hybridMultilevel"/>
    <w:lvl w:ilvl="0">
      <w:lvlJc w:val="left"/>
      <w:lvlText w:val="(%1)"/>
      <w:numFmt w:val="lowerLetter"/>
      <w:start w:val="2"/>
    </w:lvl>
    <w:lvl w:ilvl="1">
      <w:lvlJc w:val="left"/>
      <w:lvlText w:val="(%2)"/>
      <w:numFmt w:val="lowerRoman"/>
      <w:start w:val="1"/>
    </w:lvl>
  </w:abstractNum>
  <w:abstractNum w:abstractNumId="27">
    <w:nsid w:val="180115B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28">
    <w:nsid w:val="235BA86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9">
    <w:nsid w:val="47398C8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0">
    <w:nsid w:val="354FE9F9"/>
    <w:multiLevelType w:val="hybridMultilevel"/>
    <w:lvl w:ilvl="0">
      <w:lvlJc w:val="left"/>
      <w:lvlText w:val="%1."/>
      <w:numFmt w:val="decimal"/>
      <w:start w:val="6"/>
    </w:lvl>
    <w:lvl w:ilvl="1">
      <w:lvlJc w:val="left"/>
      <w:lvlText w:val="(%2)"/>
      <w:numFmt w:val="lowerLetter"/>
      <w:start w:val="1"/>
    </w:lvl>
  </w:abstractNum>
  <w:abstractNum w:abstractNumId="31">
    <w:nsid w:val="15B5AF5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2">
    <w:nsid w:val="741226B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3">
    <w:nsid w:val="D34B6A8"/>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4">
    <w:nsid w:val="10233C99"/>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35">
    <w:nsid w:val="3F6AB60F"/>
    <w:multiLevelType w:val="hybridMultilevel"/>
    <w:lvl w:ilvl="0">
      <w:lvlJc w:val="left"/>
      <w:lvlText w:val="%1."/>
      <w:numFmt w:val="decimal"/>
      <w:start w:val="1"/>
    </w:lvl>
    <w:lvl w:ilvl="1">
      <w:lvlJc w:val="left"/>
      <w:lvlText w:val="(%2)"/>
      <w:numFmt w:val="lowerLetter"/>
      <w:start w:val="1"/>
    </w:lvl>
  </w:abstractNum>
  <w:abstractNum w:abstractNumId="36">
    <w:nsid w:val="61574095"/>
    <w:multiLevelType w:val="hybridMultilevel"/>
    <w:lvl w:ilvl="0">
      <w:lvlJc w:val="left"/>
      <w:lvlText w:val="%1"/>
      <w:numFmt w:val="decimal"/>
      <w:start w:val="1"/>
    </w:lvl>
    <w:lvl w:ilvl="1">
      <w:lvlJc w:val="left"/>
      <w:lvlText w:val="(%2)"/>
      <w:numFmt w:val="lowerLetter"/>
      <w:start w:val="3"/>
    </w:lvl>
  </w:abstractNum>
  <w:abstractNum w:abstractNumId="37">
    <w:nsid w:val="7E0C57B1"/>
    <w:multiLevelType w:val="hybridMultilevel"/>
    <w:lvl w:ilvl="0">
      <w:lvlJc w:val="left"/>
      <w:lvlText w:val="%1."/>
      <w:numFmt w:val="decimal"/>
      <w:start w:val="3"/>
    </w:lvl>
    <w:lvl w:ilvl="1">
      <w:lvlJc w:val="left"/>
      <w:lvlText w:val="%2"/>
      <w:numFmt w:val="lowerLetter"/>
      <w:start w:val="1"/>
    </w:lvl>
  </w:abstractNum>
  <w:abstractNum w:abstractNumId="38">
    <w:nsid w:val="77AE35EB"/>
    <w:multiLevelType w:val="hybridMultilevel"/>
    <w:lvl w:ilvl="0">
      <w:lvlJc w:val="left"/>
      <w:lvlText w:val="%1."/>
      <w:numFmt w:val="decimal"/>
      <w:start w:val="6"/>
    </w:lvl>
    <w:lvl w:ilvl="1">
      <w:lvlJc w:val="left"/>
      <w:lvlText w:val="(%2)"/>
      <w:numFmt w:val="lowerLetter"/>
      <w:start w:val="1"/>
    </w:lvl>
  </w:abstractNum>
  <w:abstractNum w:abstractNumId="39">
    <w:nsid w:val="579BE4F1"/>
    <w:multiLevelType w:val="hybridMultilevel"/>
    <w:lvl w:ilvl="0">
      <w:lvlJc w:val="left"/>
      <w:lvlText w:val="%1"/>
      <w:numFmt w:val="decimal"/>
      <w:start w:val="1"/>
    </w:lvl>
    <w:lvl w:ilvl="1">
      <w:lvlJc w:val="left"/>
      <w:lvlText w:val="(%2)"/>
      <w:numFmt w:val="lowerLetter"/>
      <w:start w:val="4"/>
    </w:lvl>
  </w:abstractNum>
  <w:abstractNum w:abstractNumId="40">
    <w:nsid w:val="310C50B3"/>
    <w:multiLevelType w:val="hybridMultilevel"/>
    <w:lvl w:ilvl="0">
      <w:lvlJc w:val="left"/>
      <w:lvlText w:val="%1."/>
      <w:numFmt w:val="decimal"/>
      <w:start w:val="10"/>
    </w:lvl>
    <w:lvl w:ilvl="1">
      <w:lvlJc w:val="left"/>
      <w:lvlText w:val="%2"/>
      <w:numFmt w:val="lowerLetter"/>
      <w:start w:val="1"/>
    </w:lvl>
  </w:abstractNum>
  <w:abstractNum w:abstractNumId="41">
    <w:nsid w:val="5FF87E05"/>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42">
    <w:nsid w:val="2F305DEF"/>
    <w:multiLevelType w:val="hybridMultilevel"/>
    <w:lvl w:ilvl="0">
      <w:lvlJc w:val="left"/>
      <w:lvlText w:val="%1"/>
      <w:numFmt w:val="decimal"/>
      <w:start w:val="1"/>
    </w:lvl>
    <w:lvl w:ilvl="1">
      <w:lvlJc w:val="left"/>
      <w:lvlText w:val="(%2)"/>
      <w:numFmt w:val="lowerLetter"/>
      <w:start w:val="6"/>
    </w:lvl>
  </w:abstractNum>
  <w:abstractNum w:abstractNumId="43">
    <w:nsid w:val="25A70BF7"/>
    <w:multiLevelType w:val="hybridMultilevel"/>
    <w:lvl w:ilvl="0">
      <w:lvlJc w:val="left"/>
      <w:lvlText w:val="%1."/>
      <w:numFmt w:val="decimal"/>
      <w:start w:val="13"/>
    </w:lvl>
    <w:lvl w:ilvl="1">
      <w:lvlJc w:val="left"/>
      <w:lvlText w:val="%2"/>
      <w:numFmt w:val="lowerLetter"/>
      <w:start w:val="1"/>
    </w:lvl>
  </w:abstractNum>
  <w:abstractNum w:abstractNumId="44">
    <w:nsid w:val="1DBABF00"/>
    <w:multiLevelType w:val="hybridMultilevel"/>
    <w:lvl w:ilvl="0">
      <w:lvlJc w:val="left"/>
      <w:lvlText w:val="(%1)"/>
      <w:numFmt w:val="lowerLetter"/>
      <w:start w:val="1"/>
    </w:lvl>
    <w:lvl w:ilvl="1">
      <w:lvlJc w:val="left"/>
      <w:lvlText w:val="(%2)"/>
      <w:numFmt w:val="lowerRoman"/>
      <w:start w:val="1"/>
    </w:lvl>
  </w:abstractNum>
  <w:abstractNum w:abstractNumId="45">
    <w:nsid w:val="4AD084E9"/>
    <w:multiLevelType w:val="hybridMultilevel"/>
    <w:lvl w:ilvl="0">
      <w:lvlJc w:val="left"/>
      <w:lvlText w:val="(%1)"/>
      <w:numFmt w:val="lowerRoman"/>
      <w:start w:val="2"/>
    </w:lvl>
    <w:lvl w:ilvl="1">
      <w:lvlJc w:val="left"/>
      <w:lvlText w:val="(%2)"/>
      <w:numFmt w:val="upperLetter"/>
      <w:start w:val="1"/>
    </w:lvl>
  </w:abstractNum>
  <w:abstractNum w:abstractNumId="46">
    <w:nsid w:val="1F48EAA1"/>
    <w:multiLevelType w:val="hybridMultilevel"/>
    <w:lvl w:ilvl="0">
      <w:lvlJc w:val="left"/>
      <w:lvlText w:val="%1"/>
      <w:numFmt w:val="lowerLetter"/>
      <w:start w:val="1"/>
    </w:lvl>
    <w:lvl w:ilvl="1">
      <w:lvlJc w:val="left"/>
      <w:lvlText w:val="(%2)"/>
      <w:numFmt w:val="upperLetter"/>
      <w:start w:val="4"/>
    </w:lvl>
    <w:lvl w:ilvl="2">
      <w:lvlJc w:val="left"/>
      <w:lvlText w:val="(%3)"/>
      <w:numFmt w:val="decimal"/>
      <w:start w:val="1"/>
    </w:lvl>
  </w:abstractNum>
  <w:abstractNum w:abstractNumId="47">
    <w:nsid w:val="1381823A"/>
    <w:multiLevelType w:val="hybridMultilevel"/>
    <w:lvl w:ilvl="0">
      <w:lvlJc w:val="left"/>
      <w:lvlText w:val="(%1)"/>
      <w:numFmt w:val="lowerLetter"/>
      <w:start w:val="8"/>
    </w:lvl>
    <w:lvl w:ilvl="1">
      <w:lvlJc w:val="left"/>
      <w:lvlText w:val="%2"/>
      <w:numFmt w:val="upperLetter"/>
      <w:start w:val="1"/>
    </w:lvl>
    <w:lvl w:ilvl="2">
      <w:lvlJc w:val="left"/>
      <w:lvlText w:val="%3"/>
      <w:numFmt w:val="decimal"/>
      <w:start w:val="1"/>
    </w:lvl>
  </w:abstractNum>
  <w:abstractNum w:abstractNumId="48">
    <w:nsid w:val="5DB70AE5"/>
    <w:multiLevelType w:val="hybridMultilevel"/>
    <w:lvl w:ilvl="0">
      <w:lvlJc w:val="left"/>
      <w:lvlText w:val="(%1)"/>
      <w:numFmt w:val="lowerLetter"/>
      <w:start w:val="16"/>
    </w:lvl>
    <w:lvl w:ilvl="1">
      <w:lvlJc w:val="left"/>
      <w:lvlText w:val="(%2)"/>
      <w:numFmt w:val="lowerRoman"/>
      <w:start w:val="1"/>
    </w:lvl>
  </w:abstractNum>
  <w:abstractNum w:abstractNumId="49">
    <w:nsid w:val="100F8FCA"/>
    <w:multiLevelType w:val="hybridMultilevel"/>
    <w:lvl w:ilvl="0">
      <w:lvlJc w:val="left"/>
      <w:lvlText w:val="%1"/>
      <w:numFmt w:val="lowerLetter"/>
      <w:start w:val="1"/>
    </w:lvl>
    <w:lvl w:ilvl="1">
      <w:lvlJc w:val="left"/>
      <w:lvlText w:val="(%2)"/>
      <w:numFmt w:val="lowerRoman"/>
      <w:start w:val="2"/>
    </w:lvl>
  </w:abstractNum>
  <w:abstractNum w:abstractNumId="50">
    <w:nsid w:val="6590700B"/>
    <w:multiLevelType w:val="hybridMultilevel"/>
    <w:lvl w:ilvl="0">
      <w:lvlJc w:val="left"/>
      <w:lvlText w:val="(%1)"/>
      <w:numFmt w:val="lowerLetter"/>
      <w:start w:val="25"/>
    </w:lvl>
    <w:lvl w:ilvl="1">
      <w:lvlJc w:val="left"/>
      <w:lvlText w:val="(%2)"/>
      <w:numFmt w:val="lowerRoman"/>
      <w:start w:val="1"/>
    </w:lvl>
  </w:abstractNum>
  <w:abstractNum w:abstractNumId="51">
    <w:nsid w:val="15014ACB"/>
    <w:multiLevelType w:val="hybridMultilevel"/>
    <w:lvl w:ilvl="0">
      <w:lvlJc w:val="left"/>
      <w:lvlText w:val="(%1)"/>
      <w:numFmt w:val="lowerLetter"/>
      <w:start w:val="27"/>
    </w:lvl>
  </w:abstractNum>
  <w:abstractNum w:abstractNumId="52">
    <w:nsid w:val="5F5E7FD0"/>
    <w:multiLevelType w:val="hybridMultilevel"/>
    <w:lvl w:ilvl="0">
      <w:lvlJc w:val="left"/>
      <w:lvlText w:val="(%1)"/>
      <w:numFmt w:val="lowerLetter"/>
      <w:start w:val="29"/>
    </w:lvl>
  </w:abstractNum>
  <w:abstractNum w:abstractNumId="53">
    <w:nsid w:val="98A3148"/>
    <w:multiLevelType w:val="hybridMultilevel"/>
    <w:lvl w:ilvl="0">
      <w:lvlJc w:val="left"/>
      <w:lvlText w:val="(%1)"/>
      <w:numFmt w:val="lowerLetter"/>
      <w:start w:val="1"/>
    </w:lvl>
    <w:lvl w:ilvl="1">
      <w:lvlJc w:val="left"/>
      <w:lvlText w:val="(%2)"/>
      <w:numFmt w:val="lowerLetter"/>
      <w:start w:val="35"/>
    </w:lvl>
  </w:abstractNum>
  <w:abstractNum w:abstractNumId="54">
    <w:nsid w:val="799D0247"/>
    <w:multiLevelType w:val="hybridMultilevel"/>
    <w:lvl w:ilvl="0">
      <w:lvlJc w:val="left"/>
      <w:lvlText w:val="(%1)"/>
      <w:numFmt w:val="lowerLetter"/>
      <w:start w:val="4"/>
    </w:lvl>
  </w:abstractNum>
  <w:abstractNum w:abstractNumId="55">
    <w:nsid w:val="6B94764"/>
    <w:multiLevelType w:val="hybridMultilevel"/>
    <w:lvl w:ilvl="0">
      <w:lvlJc w:val="left"/>
      <w:lvlText w:val="(%1)"/>
      <w:numFmt w:val="lowerLetter"/>
      <w:start w:val="1"/>
    </w:lvl>
  </w:abstractNum>
  <w:abstractNum w:abstractNumId="56">
    <w:nsid w:val="42C296BD"/>
    <w:multiLevelType w:val="hybridMultilevel"/>
    <w:lvl w:ilvl="0">
      <w:lvlJc w:val="left"/>
      <w:lvlText w:val="(%1)"/>
      <w:numFmt w:val="lowerLetter"/>
      <w:start w:val="4"/>
    </w:lvl>
    <w:lvl w:ilvl="1">
      <w:lvlJc w:val="left"/>
      <w:lvlText w:val="(%2)"/>
      <w:numFmt w:val="lowerRoman"/>
      <w:start w:val="1"/>
    </w:lvl>
  </w:abstractNum>
  <w:abstractNum w:abstractNumId="57">
    <w:nsid w:val="168E121F"/>
    <w:multiLevelType w:val="hybridMultilevel"/>
    <w:lvl w:ilvl="0">
      <w:lvlJc w:val="left"/>
      <w:lvlText w:val="(%1)"/>
      <w:numFmt w:val="lowerLetter"/>
      <w:start w:val="1"/>
    </w:lvl>
  </w:abstractNum>
  <w:abstractNum w:abstractNumId="58">
    <w:nsid w:val="1EBA5D2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9">
    <w:nsid w:val="661E3F1E"/>
    <w:multiLevelType w:val="hybridMultilevel"/>
    <w:lvl w:ilvl="0">
      <w:lvlJc w:val="left"/>
      <w:lvlText w:val="%1"/>
      <w:numFmt w:val="lowerLetter"/>
      <w:start w:val="1"/>
    </w:lvl>
    <w:lvl w:ilvl="1">
      <w:lvlJc w:val="left"/>
      <w:lvlText w:val="(%2)"/>
      <w:numFmt w:val="lowerRoman"/>
      <w:start w:val="4"/>
    </w:lvl>
  </w:abstractNum>
  <w:abstractNum w:abstractNumId="60">
    <w:nsid w:val="5DC79EA8"/>
    <w:multiLevelType w:val="hybridMultilevel"/>
    <w:lvl w:ilvl="0">
      <w:lvlJc w:val="left"/>
      <w:lvlText w:val="(%1)"/>
      <w:numFmt w:val="lowerLetter"/>
      <w:start w:val="5"/>
    </w:lvl>
    <w:lvl w:ilvl="1">
      <w:lvlJc w:val="left"/>
      <w:lvlText w:val="%2"/>
      <w:numFmt w:val="lowerRoman"/>
      <w:start w:val="1"/>
    </w:lvl>
  </w:abstractNum>
  <w:abstractNum w:abstractNumId="61">
    <w:nsid w:val="540A471C"/>
    <w:multiLevelType w:val="hybridMultilevel"/>
    <w:lvl w:ilvl="0">
      <w:lvlJc w:val="left"/>
      <w:lvlText w:val="(%1)"/>
      <w:numFmt w:val="lowerLetter"/>
      <w:start w:val="1"/>
    </w:lvl>
  </w:abstractNum>
  <w:abstractNum w:abstractNumId="62">
    <w:nsid w:val="7BD3EE7B"/>
    <w:multiLevelType w:val="hybridMultilevel"/>
    <w:lvl w:ilvl="0">
      <w:lvlJc w:val="left"/>
      <w:lvlText w:val="(%1)"/>
      <w:numFmt w:val="lowerLetter"/>
      <w:start w:val="1"/>
    </w:lvl>
  </w:abstractNum>
  <w:abstractNum w:abstractNumId="63">
    <w:nsid w:val="51D9C56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4">
    <w:nsid w:val="613EFDC5"/>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65">
    <w:nsid w:val="BF72B14"/>
    <w:multiLevelType w:val="hybridMultilevel"/>
    <w:lvl w:ilvl="0">
      <w:lvlJc w:val="left"/>
      <w:lvlText w:val="(%1)"/>
      <w:numFmt w:val="lowerLetter"/>
      <w:start w:val="6"/>
    </w:lvl>
    <w:lvl w:ilvl="1">
      <w:lvlJc w:val="left"/>
      <w:lvlText w:val="(%2)"/>
      <w:numFmt w:val="lowerRoman"/>
      <w:start w:val="1"/>
    </w:lvl>
  </w:abstractNum>
  <w:abstractNum w:abstractNumId="66">
    <w:nsid w:val="11447B73"/>
    <w:multiLevelType w:val="hybridMultilevel"/>
    <w:lvl w:ilvl="0">
      <w:lvlJc w:val="left"/>
      <w:lvlText w:val="(%1)"/>
      <w:numFmt w:val="lowerRoman"/>
      <w:start w:val="3"/>
    </w:lvl>
  </w:abstractNum>
  <w:abstractNum w:abstractNumId="67">
    <w:nsid w:val="42963E5A"/>
    <w:multiLevelType w:val="hybridMultilevel"/>
    <w:lvl w:ilvl="0">
      <w:lvlJc w:val="left"/>
      <w:lvlText w:val="(%1)"/>
      <w:numFmt w:val="lowerLetter"/>
      <w:start w:val="9"/>
    </w:lvl>
  </w:abstractNum>
  <w:abstractNum w:abstractNumId="68">
    <w:nsid w:val="A0382C5"/>
    <w:multiLevelType w:val="hybridMultilevel"/>
    <w:lvl w:ilvl="0">
      <w:lvlJc w:val="left"/>
      <w:lvlText w:val="(%1)"/>
      <w:numFmt w:val="lowerLetter"/>
      <w:start w:val="11"/>
    </w:lvl>
  </w:abstractNum>
  <w:abstractNum w:abstractNumId="69">
    <w:nsid w:val="8F2B15E"/>
    <w:multiLevelType w:val="hybridMultilevel"/>
    <w:lvl w:ilvl="0">
      <w:lvlJc w:val="left"/>
      <w:lvlText w:val="(%1)"/>
      <w:numFmt w:val="lowerLetter"/>
      <w:start w:val="1"/>
    </w:lvl>
  </w:abstractNum>
  <w:abstractNum w:abstractNumId="70">
    <w:nsid w:val="1A32234B"/>
    <w:multiLevelType w:val="hybridMultilevel"/>
    <w:lvl w:ilvl="0">
      <w:lvlJc w:val="left"/>
      <w:lvlText w:val="(%1)"/>
      <w:numFmt w:val="lowerLetter"/>
      <w:start w:val="2"/>
    </w:lvl>
  </w:abstractNum>
  <w:abstractNum w:abstractNumId="71">
    <w:nsid w:val="3B0FD379"/>
    <w:multiLevelType w:val="hybridMultilevel"/>
    <w:lvl w:ilvl="0">
      <w:lvlJc w:val="left"/>
      <w:lvlText w:val="(%1)"/>
      <w:numFmt w:val="lowerLetter"/>
      <w:start w:val="1"/>
    </w:lvl>
  </w:abstractNum>
  <w:abstractNum w:abstractNumId="72">
    <w:nsid w:val="68EB2F63"/>
    <w:multiLevelType w:val="hybridMultilevel"/>
    <w:lvl w:ilvl="0">
      <w:lvlJc w:val="left"/>
      <w:lvlText w:val="(%1)"/>
      <w:numFmt w:val="lowerLetter"/>
      <w:start w:val="7"/>
    </w:lvl>
  </w:abstractNum>
  <w:abstractNum w:abstractNumId="73">
    <w:nsid w:val="4962813B"/>
    <w:multiLevelType w:val="hybridMultilevel"/>
    <w:lvl w:ilvl="0">
      <w:lvlJc w:val="left"/>
      <w:lvlText w:val="•"/>
      <w:numFmt w:val="bullet"/>
      <w:start w:val="1"/>
    </w:lvl>
  </w:abstractNum>
  <w:abstractNum w:abstractNumId="74">
    <w:nsid w:val="60B6DF70"/>
    <w:multiLevelType w:val="hybridMultilevel"/>
    <w:lvl w:ilvl="0">
      <w:lvlJc w:val="left"/>
      <w:lvlText w:val="•"/>
      <w:numFmt w:val="bullet"/>
      <w:start w:val="1"/>
    </w:lvl>
  </w:abstractNum>
  <w:abstractNum w:abstractNumId="75">
    <w:nsid w:val="6A5EE64"/>
    <w:multiLevelType w:val="hybridMultilevel"/>
    <w:lvl w:ilvl="0">
      <w:lvlJc w:val="left"/>
      <w:lvlText w:val="(%1)"/>
      <w:numFmt w:val="lowerLetter"/>
      <w:start w:val="1"/>
    </w:lvl>
  </w:abstractNum>
  <w:abstractNum w:abstractNumId="76">
    <w:nsid w:val="14330624"/>
    <w:multiLevelType w:val="hybridMultilevel"/>
    <w:lvl w:ilvl="0">
      <w:lvlJc w:val="left"/>
      <w:lvlText w:val="(%1)"/>
      <w:numFmt w:val="lowerLetter"/>
      <w:start w:val="1"/>
    </w:lvl>
  </w:abstractNum>
  <w:abstractNum w:abstractNumId="77">
    <w:nsid w:val="7FFFCA11"/>
    <w:multiLevelType w:val="hybridMultilevel"/>
    <w:lvl w:ilvl="0">
      <w:lvlJc w:val="left"/>
      <w:lvlText w:val="(%1)"/>
      <w:numFmt w:val="lowerLetter"/>
      <w:start w:val="1"/>
    </w:lvl>
  </w:abstractNum>
  <w:abstractNum w:abstractNumId="78">
    <w:nsid w:val="1A27709E"/>
    <w:multiLevelType w:val="hybridMultilevel"/>
    <w:lvl w:ilvl="0">
      <w:lvlJc w:val="left"/>
      <w:lvlText w:val="(%1)"/>
      <w:numFmt w:val="lowerLetter"/>
      <w:start w:val="1"/>
    </w:lvl>
  </w:abstractNum>
  <w:abstractNum w:abstractNumId="79">
    <w:nsid w:val="71EA1109"/>
    <w:multiLevelType w:val="hybridMultilevel"/>
    <w:lvl w:ilvl="0">
      <w:lvlJc w:val="left"/>
      <w:lvlText w:val="(%1)"/>
      <w:numFmt w:val="lowerLetter"/>
      <w:start w:val="1"/>
    </w:lvl>
  </w:abstractNum>
  <w:abstractNum w:abstractNumId="80">
    <w:nsid w:val="100F59DC"/>
    <w:multiLevelType w:val="hybridMultilevel"/>
    <w:lvl w:ilvl="0">
      <w:lvlJc w:val="left"/>
      <w:lvlText w:val="(%1)"/>
      <w:numFmt w:val="lowerLetter"/>
      <w:start w:val="1"/>
    </w:lvl>
  </w:abstractNum>
  <w:abstractNum w:abstractNumId="81">
    <w:nsid w:val="7FB7E0AA"/>
    <w:multiLevelType w:val="hybridMultilevel"/>
    <w:lvl w:ilvl="0">
      <w:lvlJc w:val="left"/>
      <w:lvlText w:val="•"/>
      <w:numFmt w:val="bullet"/>
      <w:start w:val="1"/>
    </w:lvl>
  </w:abstractNum>
  <w:abstractNum w:abstractNumId="82">
    <w:nsid w:val="6EB5BD4"/>
    <w:multiLevelType w:val="hybridMultilevel"/>
    <w:lvl w:ilvl="0">
      <w:lvlJc w:val="left"/>
      <w:lvlText w:val="(%1)"/>
      <w:numFmt w:val="lowerLetter"/>
      <w:start w:val="1"/>
    </w:lvl>
  </w:abstractNum>
  <w:abstractNum w:abstractNumId="83">
    <w:nsid w:val="6F6DD9AC"/>
    <w:multiLevelType w:val="hybridMultilevel"/>
    <w:lvl w:ilvl="0">
      <w:lvlJc w:val="left"/>
      <w:lvlText w:val="%1."/>
      <w:numFmt w:val="decimal"/>
      <w:start w:val="1"/>
    </w:lvl>
    <w:lvl w:ilvl="1">
      <w:lvlJc w:val="left"/>
      <w:lvlText w:val="(%2)"/>
      <w:numFmt w:val="lowerLetter"/>
      <w:start w:val="1"/>
    </w:lvl>
  </w:abstractNum>
  <w:abstractNum w:abstractNumId="84">
    <w:nsid w:val="94211F2"/>
    <w:multiLevelType w:val="hybridMultilevel"/>
    <w:lvl w:ilvl="0">
      <w:lvlJc w:val="left"/>
      <w:lvlText w:val="%1."/>
      <w:numFmt w:val="decimal"/>
      <w:start w:val="1"/>
    </w:lvl>
    <w:lvl w:ilvl="1">
      <w:lvlJc w:val="left"/>
      <w:lvlText w:val="(%2)"/>
      <w:numFmt w:val="lowerLetter"/>
      <w:start w:val="1"/>
    </w:lvl>
  </w:abstractNum>
  <w:abstractNum w:abstractNumId="85">
    <w:nsid w:val="885E1B"/>
    <w:multiLevelType w:val="hybridMultilevel"/>
    <w:lvl w:ilvl="0">
      <w:lvlJc w:val="left"/>
      <w:lvlText w:val="(%1)"/>
      <w:numFmt w:val="lowerRoman"/>
      <w:start w:val="1"/>
    </w:lvl>
  </w:abstractNum>
  <w:abstractNum w:abstractNumId="86">
    <w:nsid w:val="7627211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2019-12-10T02:20:39Z</dcterms:created>
  <dcterms:modified xsi:type="dcterms:W3CDTF">2019-12-10T02:20:39Z</dcterms:modified>
</cp:coreProperties>
</file>