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5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Registrant's news release dated April 20, 2009, regarding its first quarter 2009 results of operations and financial condition is attached hereto as Exhibit 99 and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April 20, 2009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540" w:right="540" w:hanging="47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540" w:hanging="47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540" w:right="40" w:hanging="47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40" w:hanging="478"/>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540" w:right="480" w:hanging="478"/>
        <w:spacing w:after="0" w:line="261"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more detailed discussion of these factors, see Item 1A, “Risk Factors” in the Company’s most recently filed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April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1Q09</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DALLAS (April 20, 2009) – Texas Instruments Incorporated (TI) (NYSE: TXN) today announced first-quarter revenue of $2.09 billion, net income of $17 million and earnings per share (EPS) of $0.01.</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TI’s revenue and earnings exceeded expectations for the quarter, but the company emphasized caution about the business climate. Chairman, President and CEO Rich Templeton explained, "Demand for our products has begun to stabilize after sharp drops in the past two quarters. Many customers have increased orders for TI products as they have begun to slow down their inventory reductions. However, we remain sensitive to continuing weakness in the global economy, and we have yet to see signs of a broad-based recovery in our business. In this environment, we will keep our operations flexible so that we can respond quickly to any shifts in demand, whether up or down."</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Operational performance in the quarter was good, especially reduction of the company’s inventory. "We reduced our own inventory by $277 million, and at the same time worked with distributors to reduce channel inventory by $132 million. Our inventory reductions are essentially complete, and we expect to moderately increase production levels in our factories during the second quarter," Templeton said.</w:t>
      </w:r>
    </w:p>
    <w:p>
      <w:pPr>
        <w:spacing w:after="0" w:line="20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people are focusing on opportunities for growth in Analog and Embedded Processing. Among highlights in the quarter were the acquisition of CICLON Semiconductor, a specialized supplier of analog chips for power management, and qualification of a new assembly/test factory. Both improve our ability to serve customers."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1Q09 financial summary</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0"/>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w w:val="93"/>
              </w:rPr>
              <w:t>Amounts are in millions of dollars, except per-share amounts.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1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1Q09</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1Q08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vs. 1Q08</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4Q08</w:t>
            </w:r>
          </w:p>
        </w:tc>
        <w:tc>
          <w:tcPr>
            <w:tcW w:w="1140" w:type="dxa"/>
            <w:vAlign w:val="bottom"/>
          </w:tcPr>
          <w:p>
            <w:pPr>
              <w:jc w:val="right"/>
              <w:spacing w:after="0"/>
              <w:rPr>
                <w:sz w:val="20"/>
                <w:szCs w:val="20"/>
                <w:color w:val="auto"/>
              </w:rPr>
            </w:pPr>
            <w:r>
              <w:rPr>
                <w:rFonts w:ascii="Arial" w:cs="Arial" w:eastAsia="Arial" w:hAnsi="Arial"/>
                <w:sz w:val="18"/>
                <w:szCs w:val="18"/>
                <w:color w:val="auto"/>
              </w:rPr>
              <w:t>vs. 4Q08</w:t>
            </w:r>
          </w:p>
        </w:tc>
      </w:tr>
      <w:tr>
        <w:trPr>
          <w:trHeight w:val="27"/>
        </w:trPr>
        <w:tc>
          <w:tcPr>
            <w:tcW w:w="19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2086</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3272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2491</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29" w:lineRule="exact"/>
        <w:rPr>
          <w:sz w:val="20"/>
          <w:szCs w:val="20"/>
          <w:color w:val="auto"/>
        </w:rPr>
      </w:pPr>
    </w:p>
    <w:p>
      <w:pPr>
        <w:ind w:right="1160" w:firstLine="648"/>
        <w:spacing w:after="0" w:line="277" w:lineRule="auto"/>
        <w:rPr>
          <w:sz w:val="20"/>
          <w:szCs w:val="20"/>
          <w:color w:val="auto"/>
        </w:rPr>
      </w:pPr>
      <w:r>
        <w:rPr>
          <w:rFonts w:ascii="Arial" w:cs="Arial" w:eastAsia="Arial" w:hAnsi="Arial"/>
          <w:sz w:val="18"/>
          <w:szCs w:val="18"/>
          <w:color w:val="auto"/>
        </w:rPr>
        <w:t>TI’s revenue declined 36 percent compared with the first quarter of 2008 and declined 16 percent compared with the fourth quarter of 2008. Revenue in all segments declined in both comparisons.</w:t>
      </w:r>
    </w:p>
    <w:p>
      <w:pPr>
        <w:spacing w:after="0" w:line="19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TI’s operating profit declined 99 percent compared with the year-ago quarter and 80 percent compared with the fourth quarter. The decline from a year ago was due to lower revenue in all segments and the associated lower gross profit, as well as the impact of underutilized manufacturing assets and restructuring charges. Collectively, these more than offset lower operating expenses and manufacturing cost reductions. The decline from the prior quarter was due to lower revenue in all segments and the associated lower gross profit, as well as the impact of underutilized manufacturing assets. These more than offset lower restructuring charges, lower operating expenses and manufacturing cost reductions.</w:t>
      </w:r>
    </w:p>
    <w:p>
      <w:pPr>
        <w:spacing w:after="0" w:line="20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Excluding restructuring charges of $105 million, TI’s operating profit was $115 million in the first quarter, or 5.5 percent of revenue, and EPS was $0.07. (See reconciliation table at the end of this release.)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1Q09 segment results</w:t>
            </w:r>
          </w:p>
        </w:tc>
        <w:tc>
          <w:tcPr>
            <w:tcW w:w="4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1Q09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1Q08</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vs. 1Q08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4Q08</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vs. 4Q08</w:t>
            </w: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44"/>
        </w:trPr>
        <w:tc>
          <w:tcPr>
            <w:tcW w:w="1640" w:type="dxa"/>
            <w:vAlign w:val="bottom"/>
            <w:tcBorders>
              <w:top w:val="single" w:sz="8" w:color="auto"/>
            </w:tcBorders>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Analog:</w:t>
            </w: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Operating profit</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product categories in each segment are as follows:</w:t>
      </w:r>
    </w:p>
    <w:p>
      <w:pPr>
        <w:spacing w:after="0" w:line="23" w:lineRule="exact"/>
        <w:rPr>
          <w:sz w:val="20"/>
          <w:szCs w:val="20"/>
          <w:color w:val="auto"/>
        </w:rPr>
      </w:pPr>
    </w:p>
    <w:p>
      <w:pPr>
        <w:ind w:left="660" w:hanging="139"/>
        <w:spacing w:after="0" w:line="250" w:lineRule="auto"/>
        <w:tabs>
          <w:tab w:leader="none" w:pos="66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 high-performance analog (includes data converters, amplifiers and interface products) and power management</w:t>
      </w:r>
    </w:p>
    <w:p>
      <w:pPr>
        <w:ind w:left="660" w:hanging="139"/>
        <w:spacing w:after="0"/>
        <w:tabs>
          <w:tab w:leader="none" w:pos="66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9" w:lineRule="exact"/>
        <w:rPr>
          <w:rFonts w:ascii="Arial" w:cs="Arial" w:eastAsia="Arial" w:hAnsi="Arial"/>
          <w:sz w:val="18"/>
          <w:szCs w:val="18"/>
          <w:i w:val="1"/>
          <w:iCs w:val="1"/>
          <w:color w:val="auto"/>
        </w:rPr>
      </w:pPr>
    </w:p>
    <w:p>
      <w:pPr>
        <w:ind w:left="660" w:hanging="139"/>
        <w:spacing w:after="0"/>
        <w:tabs>
          <w:tab w:leader="none" w:pos="660" w:val="left"/>
        </w:tabs>
        <w:numPr>
          <w:ilvl w:val="1"/>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Wireless: DSPs and analog used in basebands for handsets, OMAP™ applications processors and connectivity products for wireless applications</w:t>
      </w:r>
    </w:p>
    <w:p>
      <w:pPr>
        <w:spacing w:after="0" w:line="32" w:lineRule="exact"/>
        <w:rPr>
          <w:rFonts w:ascii="Arial" w:cs="Arial" w:eastAsia="Arial" w:hAnsi="Arial"/>
          <w:sz w:val="16"/>
          <w:szCs w:val="16"/>
          <w:i w:val="1"/>
          <w:iCs w:val="1"/>
          <w:color w:val="auto"/>
        </w:rPr>
      </w:pPr>
    </w:p>
    <w:p>
      <w:pPr>
        <w:ind w:left="660" w:hanging="139"/>
        <w:spacing w:after="0"/>
        <w:tabs>
          <w:tab w:leader="none" w:pos="66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includes DLP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products, calculators, ASIC products, RISC microprocessors and royalties</w:t>
      </w:r>
    </w:p>
    <w:p>
      <w:pPr>
        <w:spacing w:after="0" w:line="170" w:lineRule="exact"/>
        <w:rPr>
          <w:rFonts w:ascii="Arial" w:cs="Arial" w:eastAsia="Arial" w:hAnsi="Arial"/>
          <w:sz w:val="18"/>
          <w:szCs w:val="18"/>
          <w:i w:val="1"/>
          <w:iCs w:val="1"/>
          <w:color w:val="auto"/>
        </w:rPr>
      </w:pPr>
    </w:p>
    <w:p>
      <w:pPr>
        <w:ind w:left="340" w:hanging="30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decline in Analog revenue from a year ago and from the prior quarter was primarily due to lower high-volume analog &amp; logic revenue. High-performance analog and power management revenue also declined in both comparisons, although by a lesser amount.</w:t>
      </w:r>
    </w:p>
    <w:p>
      <w:pPr>
        <w:sectPr>
          <w:pgSz w:w="11900" w:h="16838" w:orient="portrait"/>
          <w:cols w:equalWidth="0" w:num="1">
            <w:col w:w="11420"/>
          </w:cols>
          <w:pgMar w:left="240" w:top="125" w:right="239" w:bottom="0" w:gutter="0" w:footer="0" w:header="0"/>
        </w:sectPr>
      </w:pPr>
    </w:p>
    <w:bookmarkStart w:id="3" w:name="page4"/>
    <w:bookmarkEnd w:id="3"/>
    <w:p>
      <w:pPr>
        <w:jc w:val="both"/>
        <w:ind w:left="340" w:right="20" w:hanging="30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decline in Embedded Processing revenue from a year ago and from the prior quarter was primarily due to lower catalog product revenue. Revenue from automotive products also declined, although by a lesser amount, while revenue from communications infrastructure products was up in both comparisons.</w:t>
      </w:r>
    </w:p>
    <w:p>
      <w:pPr>
        <w:spacing w:after="0" w:line="208"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revenue declined from a year ago and from the prior quarter primarily due to lower baseband revenue. Revenue from OMAP applications processors also declined in both comparisons, although by a lesser amount. Revenue from connectivity products declined from the prior quarter, although was higher than the year-ago quarter.</w:t>
      </w:r>
    </w:p>
    <w:p>
      <w:pPr>
        <w:spacing w:after="0" w:line="208"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revenue decreased from a year ago primarily due to declines in RISC microprocessors, DLP products, calculators and royalties, while revenue from ASIC products increased. Other revenue decreased from the prior quarter due to declines in DLP products, RISC microprocessors, ASIC products and royalties, while calculator revenue increased.</w:t>
      </w:r>
    </w:p>
    <w:p>
      <w:pPr>
        <w:spacing w:after="0" w:line="208"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Operating profit declined in all segments from a year ago primarily because of lower revenue, as well as restructuring charges. Compared with the prior quarter, operating profit declined in the Analog and Other segments due to lower revenue, although increased in Wireless due to lower restructuring charges.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Restructuring charges were as follows: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7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1Q09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4Q08</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Analog:</w:t>
            </w: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42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Wireless: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1Q09 additional financial information</w:t>
      </w:r>
    </w:p>
    <w:p>
      <w:pPr>
        <w:spacing w:after="0" w:line="256"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were $2.19 billion, down 34 percent from a year ago although up 18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were $43 million in the quarter, a decline from $219 million in the year-ago quarter and $76 million in the prior quarter.</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 used $101 million in the quarter to repurchase 6.6 million shares of its common stock and paid dividends of $141 million.</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plus short-term investments totaled $2.43 billion at the end of the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2009, TI expects:</w:t>
      </w:r>
    </w:p>
    <w:p>
      <w:pPr>
        <w:spacing w:after="0" w:line="252" w:lineRule="exact"/>
        <w:rPr>
          <w:sz w:val="20"/>
          <w:szCs w:val="20"/>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$1.95 – 2.40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per share: $0.01 - 0.15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includes a negative impact of $0.05 per share resulting from about $100 million of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second-quarter outlook on June 8,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2009, TI continues to expect approximately the following:</w:t>
      </w:r>
    </w:p>
    <w:p>
      <w:pPr>
        <w:spacing w:after="0" w:line="252" w:lineRule="exact"/>
        <w:rPr>
          <w:sz w:val="20"/>
          <w:szCs w:val="20"/>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$300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$900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effective tax rate: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540"/>
              <w:spacing w:after="0" w:line="198" w:lineRule="exact"/>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Mar.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6"/>
              </w:rPr>
              <w:t>Dec.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8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2,086</w:t>
            </w:r>
          </w:p>
        </w:tc>
        <w:tc>
          <w:tcPr>
            <w:tcW w:w="28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3,272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198"/>
        </w:trPr>
        <w:tc>
          <w:tcPr>
            <w:tcW w:w="7280" w:type="dxa"/>
            <w:vAlign w:val="bottom"/>
          </w:tcPr>
          <w:p>
            <w:pPr>
              <w:spacing w:after="0" w:line="198"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806</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1,756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1,097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386</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98"/>
        </w:trPr>
        <w:tc>
          <w:tcPr>
            <w:tcW w:w="7280" w:type="dxa"/>
            <w:vAlign w:val="bottom"/>
          </w:tcPr>
          <w:p>
            <w:pPr>
              <w:spacing w:after="0" w:line="198" w:lineRule="exact"/>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807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8"/>
        </w:trPr>
        <w:tc>
          <w:tcPr>
            <w:tcW w:w="7280" w:type="dxa"/>
            <w:vAlign w:val="bottom"/>
          </w:tcPr>
          <w:p>
            <w:pPr>
              <w:spacing w:after="0" w:line="198"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840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280" w:type="dxa"/>
            <w:vAlign w:val="bottom"/>
            <w:vMerge w:val="continue"/>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1,275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
        </w:trPr>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c>
          <w:tcPr>
            <w:tcW w:w="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8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38.6%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8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0.5%</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59"/>
        </w:trPr>
        <w:tc>
          <w:tcPr>
            <w:tcW w:w="7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($20), ($25) and ($30)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676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659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7,030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7,493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7,321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(3,915)</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645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791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color w:val="auto"/>
              </w:rPr>
              <w:t>Underfunded retirement plans</w:t>
            </w:r>
          </w:p>
        </w:tc>
        <w:tc>
          <w:tcPr>
            <w:tcW w:w="1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608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191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2"/>
        </w:trPr>
        <w:tc>
          <w:tcPr>
            <w:tcW w:w="7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w w:val="92"/>
              </w:rPr>
              <w:t>Common stock, $1 par value. Authorized -- 2,400,000,000 shares. Shares issued: March 31, 2009</w:t>
            </w:r>
          </w:p>
        </w:tc>
        <w:tc>
          <w:tcPr>
            <w:tcW w:w="3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40"/>
              <w:spacing w:after="0"/>
              <w:rPr>
                <w:sz w:val="20"/>
                <w:szCs w:val="20"/>
                <w:color w:val="auto"/>
              </w:rPr>
            </w:pPr>
            <w:r>
              <w:rPr>
                <w:rFonts w:ascii="Arial" w:cs="Arial" w:eastAsia="Arial" w:hAnsi="Arial"/>
                <w:sz w:val="18"/>
                <w:szCs w:val="18"/>
                <w:color w:val="auto"/>
              </w:rPr>
              <w:t>-- 1,739,723,261; March 31, 2008 -- 1,739,660,927; Dec. 31, 2008 -- 1,739,718,073</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0"/>
        </w:trPr>
        <w:tc>
          <w:tcPr>
            <w:tcW w:w="7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21,043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20,318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Shares: March 31, 2009 -- 466,270,151; March 31, 2008 -- 416,925,336; Dec. 31, 2008 --</w:t>
            </w:r>
          </w:p>
        </w:tc>
        <w:tc>
          <w:tcPr>
            <w:tcW w:w="340" w:type="dxa"/>
            <w:vAlign w:val="bottom"/>
          </w:tcPr>
          <w:p>
            <w:pPr>
              <w:spacing w:after="0"/>
              <w:rPr>
                <w:sz w:val="18"/>
                <w:szCs w:val="18"/>
                <w:color w:val="auto"/>
              </w:rPr>
            </w:pP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(13,852)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40"/>
              <w:spacing w:after="0"/>
              <w:rPr>
                <w:sz w:val="20"/>
                <w:szCs w:val="20"/>
                <w:color w:val="auto"/>
              </w:rPr>
            </w:pPr>
            <w:r>
              <w:rPr>
                <w:rFonts w:ascii="Arial" w:cs="Arial" w:eastAsia="Arial" w:hAnsi="Arial"/>
                <w:sz w:val="18"/>
                <w:szCs w:val="18"/>
                <w:color w:val="auto"/>
              </w:rPr>
              <w:t>461,822,215</w:t>
            </w:r>
          </w:p>
        </w:tc>
        <w:tc>
          <w:tcPr>
            <w:tcW w:w="3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(741)</w:t>
            </w: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74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480"/>
              <w:spacing w:after="0" w:line="198" w:lineRule="exact"/>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7"/>
                <w:szCs w:val="17"/>
                <w:color w:val="auto"/>
              </w:rPr>
            </w:pPr>
          </w:p>
        </w:tc>
        <w:tc>
          <w:tcPr>
            <w:tcW w:w="11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1"/>
              </w:rPr>
              <w:t>Dec.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18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0"/>
        </w:trPr>
        <w:tc>
          <w:tcPr>
            <w:tcW w:w="74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acquisition-related</w:t>
            </w:r>
          </w:p>
        </w:tc>
        <w:tc>
          <w:tcPr>
            <w:tcW w:w="18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Losses on sale of assets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4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tcPr>
          <w:p>
            <w:pPr>
              <w:spacing w:after="0"/>
              <w:rPr>
                <w:sz w:val="18"/>
                <w:szCs w:val="18"/>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(218)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4"/>
                <w:szCs w:val="24"/>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(220)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of long-term investments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363</w:t>
            </w:r>
          </w:p>
        </w:tc>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(141)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and other common stock transactions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744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220" w:type="dxa"/>
            <w:vAlign w:val="bottom"/>
            <w:gridSpan w:val="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390</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(669)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1,436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8" w:name="page9"/>
    <w:bookmarkEnd w:id="8"/>
    <w:p>
      <w:pPr>
        <w:ind w:right="460"/>
        <w:spacing w:after="0" w:line="277" w:lineRule="auto"/>
        <w:rPr>
          <w:sz w:val="20"/>
          <w:szCs w:val="20"/>
          <w:color w:val="auto"/>
        </w:rPr>
      </w:pPr>
      <w:r>
        <w:rPr>
          <w:rFonts w:ascii="Arial" w:cs="Arial" w:eastAsia="Arial" w:hAnsi="Arial"/>
          <w:sz w:val="18"/>
          <w:szCs w:val="18"/>
          <w:color w:val="auto"/>
        </w:rPr>
        <w:t>The following describes TI’s results excluding the impact of restructuring charges. Management believes this presentation provides investors additional insight into the underlying business conditions and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w:t>
            </w:r>
          </w:p>
        </w:tc>
      </w:tr>
      <w:tr>
        <w:trPr>
          <w:trHeight w:val="216"/>
        </w:trPr>
        <w:tc>
          <w:tcPr>
            <w:tcW w:w="10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7"/>
              </w:rPr>
              <w:t>months ended</w:t>
            </w:r>
          </w:p>
        </w:tc>
      </w:tr>
      <w:tr>
        <w:trPr>
          <w:trHeight w:val="216"/>
        </w:trPr>
        <w:tc>
          <w:tcPr>
            <w:tcW w:w="10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10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100" w:type="dxa"/>
            <w:vAlign w:val="bottom"/>
          </w:tcPr>
          <w:p>
            <w:pPr>
              <w:spacing w:after="0"/>
              <w:rPr>
                <w:sz w:val="20"/>
                <w:szCs w:val="20"/>
                <w:color w:val="auto"/>
              </w:rPr>
            </w:pPr>
            <w:r>
              <w:rPr>
                <w:rFonts w:ascii="Arial" w:cs="Arial" w:eastAsia="Arial" w:hAnsi="Arial"/>
                <w:sz w:val="18"/>
                <w:szCs w:val="18"/>
                <w:color w:val="auto"/>
              </w:rPr>
              <w:t>Operating profit as reported</w:t>
            </w:r>
          </w:p>
        </w:tc>
        <w:tc>
          <w:tcPr>
            <w:tcW w:w="160" w:type="dxa"/>
            <w:vAlign w:val="bottom"/>
            <w:gridSpan w:val="4"/>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100" w:type="dxa"/>
            <w:vAlign w:val="bottom"/>
          </w:tcPr>
          <w:p>
            <w:pPr>
              <w:spacing w:after="0"/>
              <w:rPr>
                <w:sz w:val="20"/>
                <w:szCs w:val="20"/>
                <w:color w:val="auto"/>
              </w:rPr>
            </w:pPr>
            <w:r>
              <w:rPr>
                <w:rFonts w:ascii="Arial" w:cs="Arial" w:eastAsia="Arial" w:hAnsi="Arial"/>
                <w:sz w:val="18"/>
                <w:szCs w:val="18"/>
                <w:color w:val="auto"/>
              </w:rPr>
              <w:t>Pre-tax restructuring charges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Operating profit excluding restructuring charges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10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10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4"/>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Operating profit percentage of revenue excluding restructuring charges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5.5%</w:t>
            </w:r>
          </w:p>
        </w:tc>
      </w:tr>
      <w:tr>
        <w:trPr>
          <w:trHeight w:val="684"/>
        </w:trPr>
        <w:tc>
          <w:tcPr>
            <w:tcW w:w="10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10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months ended</w:t>
            </w:r>
          </w:p>
        </w:tc>
      </w:tr>
      <w:tr>
        <w:trPr>
          <w:trHeight w:val="216"/>
        </w:trPr>
        <w:tc>
          <w:tcPr>
            <w:tcW w:w="10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10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1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gridSpan w:val="4"/>
          </w:tcPr>
          <w:p>
            <w:pPr>
              <w:ind w:left="80"/>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4"/>
                <w:szCs w:val="24"/>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Pre-tax restructuring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8"/>
                <w:szCs w:val="18"/>
                <w:color w:val="auto"/>
              </w:rPr>
            </w:pPr>
          </w:p>
        </w:tc>
      </w:tr>
      <w:tr>
        <w:trPr>
          <w:trHeight w:val="241"/>
        </w:trPr>
        <w:tc>
          <w:tcPr>
            <w:tcW w:w="10100" w:type="dxa"/>
            <w:vAlign w:val="bottom"/>
          </w:tcPr>
          <w:p>
            <w:pPr>
              <w:spacing w:after="0"/>
              <w:rPr>
                <w:sz w:val="20"/>
                <w:szCs w:val="20"/>
                <w:color w:val="auto"/>
              </w:rPr>
            </w:pPr>
            <w:r>
              <w:rPr>
                <w:rFonts w:ascii="Arial" w:cs="Arial" w:eastAsia="Arial" w:hAnsi="Arial"/>
                <w:sz w:val="18"/>
                <w:szCs w:val="18"/>
                <w:color w:val="auto"/>
              </w:rPr>
              <w:t>Tax impact of restructuring charges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(37)</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Net income excluding restructuring charges</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8"/>
                <w:szCs w:val="18"/>
                <w:color w:val="auto"/>
              </w:rPr>
            </w:pPr>
          </w:p>
        </w:tc>
      </w:tr>
      <w:tr>
        <w:trPr>
          <w:trHeight w:val="21"/>
        </w:trPr>
        <w:tc>
          <w:tcPr>
            <w:tcW w:w="10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100" w:type="dxa"/>
            <w:vAlign w:val="bottom"/>
          </w:tcPr>
          <w:p>
            <w:pPr>
              <w:spacing w:after="0"/>
              <w:rPr>
                <w:sz w:val="20"/>
                <w:szCs w:val="20"/>
                <w:color w:val="auto"/>
              </w:rPr>
            </w:pPr>
            <w:r>
              <w:rPr>
                <w:rFonts w:ascii="Arial" w:cs="Arial" w:eastAsia="Arial" w:hAnsi="Arial"/>
                <w:sz w:val="18"/>
                <w:szCs w:val="18"/>
                <w:color w:val="auto"/>
              </w:rPr>
              <w:t>Average diluted shares outstanding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1,277</w:t>
            </w:r>
          </w:p>
        </w:tc>
        <w:tc>
          <w:tcPr>
            <w:tcW w:w="100" w:type="dxa"/>
            <w:vAlign w:val="bottom"/>
          </w:tcPr>
          <w:p>
            <w:pPr>
              <w:spacing w:after="0"/>
              <w:rPr>
                <w:sz w:val="24"/>
                <w:szCs w:val="24"/>
                <w:color w:val="auto"/>
              </w:rPr>
            </w:pPr>
          </w:p>
        </w:tc>
      </w:tr>
      <w:tr>
        <w:trPr>
          <w:trHeight w:val="21"/>
        </w:trPr>
        <w:tc>
          <w:tcPr>
            <w:tcW w:w="10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100" w:type="dxa"/>
            <w:vAlign w:val="bottom"/>
          </w:tcPr>
          <w:p>
            <w:pPr>
              <w:spacing w:after="0"/>
              <w:rPr>
                <w:sz w:val="20"/>
                <w:szCs w:val="20"/>
                <w:color w:val="auto"/>
              </w:rPr>
            </w:pPr>
            <w:r>
              <w:rPr>
                <w:rFonts w:ascii="Arial" w:cs="Arial" w:eastAsia="Arial" w:hAnsi="Arial"/>
                <w:sz w:val="18"/>
                <w:szCs w:val="18"/>
                <w:color w:val="auto"/>
              </w:rPr>
              <w:t>Diluted earnings per share excluding the impact of restructuring charges</w:t>
            </w:r>
          </w:p>
        </w:tc>
        <w:tc>
          <w:tcPr>
            <w:tcW w:w="160" w:type="dxa"/>
            <w:vAlign w:val="bottom"/>
            <w:gridSpan w:val="4"/>
          </w:tcPr>
          <w:p>
            <w:pPr>
              <w:ind w:left="80"/>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4"/>
                <w:szCs w:val="24"/>
                <w:color w:val="auto"/>
              </w:rPr>
            </w:pPr>
          </w:p>
        </w:tc>
      </w:tr>
      <w:tr>
        <w:trPr>
          <w:trHeight w:val="21"/>
        </w:trPr>
        <w:tc>
          <w:tcPr>
            <w:tcW w:w="10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9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spacing w:after="0" w:line="2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500" w:hanging="141"/>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500" w:hanging="141"/>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500" w:hanging="141"/>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ectPr>
          <w:pgSz w:w="11900" w:h="16838" w:orient="portrait"/>
          <w:cols w:equalWidth="0" w:num="1">
            <w:col w:w="11420"/>
          </w:cols>
          <w:pgMar w:left="240" w:top="517" w:right="239" w:bottom="0" w:gutter="0" w:footer="0" w:header="0"/>
        </w:sectPr>
      </w:pPr>
    </w:p>
    <w:bookmarkStart w:id="9" w:name="page10"/>
    <w:bookmarkEnd w:id="9"/>
    <w:p>
      <w:pPr>
        <w:ind w:left="500" w:hanging="141"/>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lvl>
    <w:lvl w:ilvl="1">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Ÿ"/>
      <w:numFmt w:val="bullet"/>
      <w:start w:val="1"/>
    </w:lvl>
  </w:abstractNum>
  <w:abstractNum w:abstractNumId="5">
    <w:nsid w:val="79E2A9E3"/>
    <w:multiLevelType w:val="hybridMultilevel"/>
    <w:lvl w:ilvl="0">
      <w:lvlJc w:val="left"/>
      <w:lvlText w:val="Ÿ"/>
      <w:numFmt w:val="bullet"/>
      <w:start w:val="1"/>
    </w:lvl>
  </w:abstractNum>
  <w:abstractNum w:abstractNumId="6">
    <w:nsid w:val="7545E146"/>
    <w:multiLevelType w:val="hybridMultilevel"/>
    <w:lvl w:ilvl="0">
      <w:lvlJc w:val="left"/>
      <w:lvlText w:val="Ÿ"/>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2019-12-10T03:18:56Z</dcterms:created>
  <dcterms:modified xsi:type="dcterms:W3CDTF">2019-12-10T03:18:56Z</dcterms:modified>
</cp:coreProperties>
</file>