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Registration No. 333-262523</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Issuer Free Writing Prospectus dated May 11, 2023</w:t>
            </w:r>
          </w:p>
        </w:tc>
      </w:tr>
      <w:tr>
        <w:trPr>
          <w:trHeight w:val="230"/>
        </w:trPr>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Relating to Preliminary Prospectus Supplement dated May 11, 2023</w:t>
            </w:r>
          </w:p>
        </w:tc>
      </w:tr>
      <w:tr>
        <w:trPr>
          <w:trHeight w:val="414"/>
        </w:trPr>
        <w:tc>
          <w:tcPr>
            <w:tcW w:w="2800" w:type="dxa"/>
            <w:vAlign w:val="bottom"/>
          </w:tcPr>
          <w:p>
            <w:pPr>
              <w:spacing w:after="0"/>
              <w:rPr>
                <w:sz w:val="24"/>
                <w:szCs w:val="24"/>
                <w:color w:val="auto"/>
              </w:rPr>
            </w:pPr>
          </w:p>
        </w:tc>
        <w:tc>
          <w:tcPr>
            <w:tcW w:w="8220" w:type="dxa"/>
            <w:vAlign w:val="bottom"/>
            <w:gridSpan w:val="3"/>
          </w:tcPr>
          <w:p>
            <w:pPr>
              <w:jc w:val="center"/>
              <w:ind w:right="2710"/>
              <w:spacing w:after="0"/>
              <w:rPr>
                <w:sz w:val="20"/>
                <w:szCs w:val="20"/>
                <w:color w:val="auto"/>
              </w:rPr>
            </w:pPr>
            <w:r>
              <w:rPr>
                <w:rFonts w:ascii="Arial" w:cs="Arial" w:eastAsia="Arial" w:hAnsi="Arial"/>
                <w:sz w:val="18"/>
                <w:szCs w:val="18"/>
                <w:b w:val="1"/>
                <w:bCs w:val="1"/>
                <w:color w:val="auto"/>
                <w:w w:val="96"/>
              </w:rPr>
              <w:t>TEXAS INSTRUMENTS INCORPORATED</w:t>
            </w:r>
          </w:p>
        </w:tc>
      </w:tr>
      <w:tr>
        <w:trPr>
          <w:trHeight w:val="234"/>
        </w:trPr>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0" w:type="dxa"/>
            <w:vAlign w:val="bottom"/>
            <w:gridSpan w:val="2"/>
          </w:tcPr>
          <w:p>
            <w:pPr>
              <w:jc w:val="center"/>
              <w:ind w:right="455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2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w:t>
            </w:r>
            <w:r>
              <w:rPr>
                <w:rFonts w:ascii="Arial" w:cs="Arial" w:eastAsia="Arial" w:hAnsi="Arial"/>
                <w:sz w:val="18"/>
                <w:szCs w:val="18"/>
                <w:u w:val="single" w:color="auto"/>
                <w:color w:val="auto"/>
                <w:w w:val="91"/>
              </w:rPr>
              <w:t>600%</w:t>
            </w:r>
            <w:r>
              <w:rPr>
                <w:rFonts w:ascii="Arial" w:cs="Arial" w:eastAsia="Arial" w:hAnsi="Arial"/>
                <w:sz w:val="18"/>
                <w:szCs w:val="18"/>
                <w:color w:val="auto"/>
                <w:w w:val="91"/>
              </w:rPr>
              <w:t xml:space="preserve"> Notes due 2028</w:t>
            </w:r>
          </w:p>
        </w:tc>
        <w:tc>
          <w:tcPr>
            <w:tcW w:w="4640" w:type="dxa"/>
            <w:vAlign w:val="bottom"/>
          </w:tcPr>
          <w:p>
            <w:pPr>
              <w:spacing w:after="0"/>
              <w:rPr>
                <w:sz w:val="24"/>
                <w:szCs w:val="24"/>
                <w:color w:val="auto"/>
              </w:rPr>
            </w:pPr>
          </w:p>
        </w:tc>
      </w:tr>
      <w:tr>
        <w:trPr>
          <w:trHeight w:val="479"/>
        </w:trPr>
        <w:tc>
          <w:tcPr>
            <w:tcW w:w="2800" w:type="dxa"/>
            <w:vAlign w:val="bottom"/>
          </w:tcPr>
          <w:p>
            <w:pPr>
              <w:spacing w:after="0"/>
              <w:rPr>
                <w:sz w:val="20"/>
                <w:szCs w:val="20"/>
                <w:color w:val="auto"/>
              </w:rPr>
            </w:pPr>
            <w:r>
              <w:rPr>
                <w:rFonts w:ascii="Arial" w:cs="Arial" w:eastAsia="Arial" w:hAnsi="Arial"/>
                <w:sz w:val="18"/>
                <w:szCs w:val="18"/>
                <w:color w:val="auto"/>
              </w:rPr>
              <w:t>Issuer:</w:t>
            </w:r>
          </w:p>
        </w:tc>
        <w:tc>
          <w:tcPr>
            <w:tcW w:w="182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Texas Instruments Incorporated (“TI”)</w:t>
            </w: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Principal Amount:</w:t>
            </w:r>
          </w:p>
        </w:tc>
        <w:tc>
          <w:tcPr>
            <w:tcW w:w="182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$200,000,000 (the “2028 Additional Notes”)</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3"/>
              </w:rPr>
              <w:t>The 2028 Additional Notes offered hereby constitute a further issuance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1"/>
              </w:rPr>
              <w:t>of the 4.600% Notes due 2028 that TI issued prior to the date hereof (the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4"/>
              </w:rPr>
              <w:t>“2028 Existing Notes”) and will be consolidated with, and form a single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1"/>
              </w:rPr>
              <w:t>series with, the 2028 Existing Notes for all purposes under the indenture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9"/>
              </w:rPr>
              <w:t>governing the 2028 Existing Notes, including with respect to voting</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5"/>
              </w:rPr>
              <w:t>(the 2028 Existing Notes, together with the 2028 Additional Notes, the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4"/>
              </w:rPr>
              <w:t>“2028 Notes”). Upon issuance, the 2028 Additional Notes will have the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2"/>
              </w:rPr>
              <w:t>same terms as the 2028 Existing Notes (other than the issue date, price</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to public and interest accrued prior to the issue date of the 2028</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Additional Notes), will be fungible with the 2028 Existing Notes for</w:t>
            </w:r>
          </w:p>
        </w:tc>
      </w:tr>
      <w:tr>
        <w:trPr>
          <w:trHeight w:val="216"/>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89"/>
              </w:rPr>
              <w:t>U.S. federal income tax purposes and will have the same CUSIP and ISIN</w:t>
            </w:r>
          </w:p>
        </w:tc>
      </w:tr>
      <w:tr>
        <w:trPr>
          <w:trHeight w:val="230"/>
        </w:trPr>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numbers as the 2028 Existing Notes.</w:t>
            </w:r>
          </w:p>
        </w:tc>
      </w:tr>
      <w:tr>
        <w:trPr>
          <w:trHeight w:val="338"/>
        </w:trPr>
        <w:tc>
          <w:tcPr>
            <w:tcW w:w="2800" w:type="dxa"/>
            <w:vAlign w:val="bottom"/>
          </w:tcPr>
          <w:p>
            <w:pPr>
              <w:spacing w:after="0"/>
              <w:rPr>
                <w:sz w:val="20"/>
                <w:szCs w:val="20"/>
                <w:color w:val="auto"/>
              </w:rPr>
            </w:pPr>
            <w:r>
              <w:rPr>
                <w:rFonts w:ascii="Arial" w:cs="Arial" w:eastAsia="Arial" w:hAnsi="Arial"/>
                <w:sz w:val="18"/>
                <w:szCs w:val="18"/>
                <w:color w:val="auto"/>
              </w:rPr>
              <w:t>Maturity:</w:t>
            </w:r>
          </w:p>
        </w:tc>
        <w:tc>
          <w:tcPr>
            <w:tcW w:w="182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February 15, 2028</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Coupon:</w:t>
            </w:r>
          </w:p>
        </w:tc>
        <w:tc>
          <w:tcPr>
            <w:tcW w:w="3580" w:type="dxa"/>
            <w:vAlign w:val="bottom"/>
            <w:gridSpan w:val="2"/>
          </w:tcPr>
          <w:p>
            <w:pPr>
              <w:ind w:left="2920"/>
              <w:spacing w:after="0"/>
              <w:rPr>
                <w:sz w:val="20"/>
                <w:szCs w:val="20"/>
                <w:color w:val="auto"/>
              </w:rPr>
            </w:pPr>
            <w:r>
              <w:rPr>
                <w:rFonts w:ascii="Arial" w:cs="Arial" w:eastAsia="Arial" w:hAnsi="Arial"/>
                <w:sz w:val="18"/>
                <w:szCs w:val="18"/>
                <w:color w:val="auto"/>
              </w:rPr>
              <w:t>4.600%</w:t>
            </w:r>
          </w:p>
        </w:tc>
        <w:tc>
          <w:tcPr>
            <w:tcW w:w="4640" w:type="dxa"/>
            <w:vAlign w:val="bottom"/>
          </w:tcPr>
          <w:p>
            <w:pPr>
              <w:spacing w:after="0"/>
              <w:rPr>
                <w:sz w:val="24"/>
                <w:szCs w:val="24"/>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Price to Public:</w:t>
            </w:r>
          </w:p>
        </w:tc>
        <w:tc>
          <w:tcPr>
            <w:tcW w:w="182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102.404% of principal amount, plus accrued interest from (and</w:t>
            </w:r>
          </w:p>
        </w:tc>
      </w:tr>
      <w:tr>
        <w:trPr>
          <w:trHeight w:val="230"/>
        </w:trPr>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8"/>
              </w:rPr>
              <w:t>including) February 15, 2023 to (but excluding) the Settlement Date</w:t>
            </w:r>
          </w:p>
        </w:tc>
      </w:tr>
      <w:tr>
        <w:trPr>
          <w:trHeight w:val="310"/>
        </w:trPr>
        <w:tc>
          <w:tcPr>
            <w:tcW w:w="28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82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3"/>
              </w:rPr>
              <w:t>February 15 and August 15, beginning on August 15, 2023, and on the</w:t>
            </w:r>
          </w:p>
        </w:tc>
      </w:tr>
      <w:tr>
        <w:trPr>
          <w:trHeight w:val="230"/>
        </w:trPr>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maturity date</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Day Count Convention:</w:t>
            </w:r>
          </w:p>
        </w:tc>
        <w:tc>
          <w:tcPr>
            <w:tcW w:w="3580" w:type="dxa"/>
            <w:vAlign w:val="bottom"/>
            <w:gridSpan w:val="2"/>
          </w:tcPr>
          <w:p>
            <w:pPr>
              <w:ind w:left="2920"/>
              <w:spacing w:after="0"/>
              <w:rPr>
                <w:sz w:val="20"/>
                <w:szCs w:val="20"/>
                <w:color w:val="auto"/>
              </w:rPr>
            </w:pPr>
            <w:r>
              <w:rPr>
                <w:rFonts w:ascii="Arial" w:cs="Arial" w:eastAsia="Arial" w:hAnsi="Arial"/>
                <w:sz w:val="18"/>
                <w:szCs w:val="18"/>
                <w:color w:val="auto"/>
              </w:rPr>
              <w:t>30/360</w:t>
            </w:r>
          </w:p>
        </w:tc>
        <w:tc>
          <w:tcPr>
            <w:tcW w:w="4640" w:type="dxa"/>
            <w:vAlign w:val="bottom"/>
          </w:tcPr>
          <w:p>
            <w:pPr>
              <w:spacing w:after="0"/>
              <w:rPr>
                <w:sz w:val="24"/>
                <w:szCs w:val="24"/>
                <w:color w:val="auto"/>
              </w:rPr>
            </w:pPr>
          </w:p>
        </w:tc>
      </w:tr>
      <w:tr>
        <w:trPr>
          <w:trHeight w:val="365"/>
        </w:trPr>
        <w:tc>
          <w:tcPr>
            <w:tcW w:w="2800" w:type="dxa"/>
            <w:vAlign w:val="bottom"/>
          </w:tcPr>
          <w:p>
            <w:pPr>
              <w:spacing w:after="0"/>
              <w:rPr>
                <w:sz w:val="24"/>
                <w:szCs w:val="24"/>
                <w:color w:val="auto"/>
              </w:rPr>
            </w:pPr>
          </w:p>
        </w:tc>
        <w:tc>
          <w:tcPr>
            <w:tcW w:w="3580" w:type="dxa"/>
            <w:vAlign w:val="bottom"/>
            <w:gridSpan w:val="2"/>
          </w:tcPr>
          <w:p>
            <w:pPr>
              <w:jc w:val="center"/>
              <w:ind w:left="1730"/>
              <w:spacing w:after="0"/>
              <w:rPr>
                <w:sz w:val="20"/>
                <w:szCs w:val="20"/>
                <w:color w:val="auto"/>
              </w:rPr>
            </w:pPr>
            <w:r>
              <w:rPr>
                <w:rFonts w:ascii="Arial" w:cs="Arial" w:eastAsia="Arial" w:hAnsi="Arial"/>
                <w:sz w:val="18"/>
                <w:szCs w:val="18"/>
                <w:color w:val="auto"/>
                <w:w w:val="79"/>
              </w:rPr>
              <w:t>1</w:t>
            </w:r>
          </w:p>
        </w:tc>
        <w:tc>
          <w:tcPr>
            <w:tcW w:w="4640" w:type="dxa"/>
            <w:vAlign w:val="bottom"/>
          </w:tcPr>
          <w:p>
            <w:pPr>
              <w:spacing w:after="0"/>
              <w:rPr>
                <w:sz w:val="24"/>
                <w:szCs w:val="24"/>
                <w:color w:val="auto"/>
              </w:rPr>
            </w:pPr>
          </w:p>
        </w:tc>
      </w:tr>
    </w:tbl>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Proceeds (before expenses) to TI:</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ind w:left="260" w:right="160"/>
        <w:spacing w:after="0" w:line="277" w:lineRule="auto"/>
        <w:rPr>
          <w:sz w:val="20"/>
          <w:szCs w:val="20"/>
          <w:color w:val="auto"/>
        </w:rPr>
      </w:pPr>
      <w:r>
        <w:rPr>
          <w:rFonts w:ascii="Arial" w:cs="Arial" w:eastAsia="Arial" w:hAnsi="Arial"/>
          <w:sz w:val="18"/>
          <w:szCs w:val="18"/>
          <w:color w:val="auto"/>
        </w:rPr>
        <w:t>$204,208,000, plus accrued interest from (and including) February 15, 2023 to (but excluding)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-400685</wp:posOffset>
            </wp:positionV>
            <wp:extent cx="717486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3.500% due April 30, 2028</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67 basis points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4.028%</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100-20</w:t>
      </w:r>
      <w:r>
        <w:rPr>
          <w:rFonts w:ascii="Arial" w:cs="Arial" w:eastAsia="Arial" w:hAnsi="Arial"/>
          <w:sz w:val="26"/>
          <w:szCs w:val="26"/>
          <w:color w:val="auto"/>
          <w:vertAlign w:val="superscript"/>
        </w:rPr>
        <w:t>5/8</w:t>
      </w:r>
      <w:r>
        <w:rPr>
          <w:rFonts w:ascii="Arial" w:cs="Arial" w:eastAsia="Arial" w:hAnsi="Arial"/>
          <w:sz w:val="18"/>
          <w:szCs w:val="18"/>
          <w:color w:val="auto"/>
        </w:rPr>
        <w:t>; 3.358%</w:t>
      </w:r>
    </w:p>
    <w:p>
      <w:pPr>
        <w:spacing w:after="0" w:line="41" w:lineRule="exact"/>
        <w:rPr>
          <w:sz w:val="20"/>
          <w:szCs w:val="20"/>
          <w:color w:val="auto"/>
        </w:rPr>
      </w:pPr>
    </w:p>
    <w:p>
      <w:pPr>
        <w:ind w:left="260"/>
        <w:spacing w:after="0" w:line="286" w:lineRule="auto"/>
        <w:rPr>
          <w:sz w:val="20"/>
          <w:szCs w:val="20"/>
          <w:color w:val="auto"/>
        </w:rPr>
      </w:pPr>
      <w:r>
        <w:rPr>
          <w:rFonts w:ascii="Arial" w:cs="Arial" w:eastAsia="Arial" w:hAnsi="Arial"/>
          <w:sz w:val="16"/>
          <w:szCs w:val="16"/>
          <w:color w:val="auto"/>
        </w:rPr>
        <w:t>At any time before January 15, 2028 (one month before the maturity date) at the greater of: (1) (a) the sum of the present values of the remaining scheduled payments of principal and interest thereon discounted to the redemption date (assuming the Notes matured on January 15, 2028) on a semi-annual basis (assuming a 360-day year consisting of twelve 30-day months) at the Treasury Rate plus 12.5 basis points less (b) interest accrued to the date of redemption, and (2) 100% of the principal amount of the Notes to be redeemed, plus, in either case, accrued and unpaid interest thereon to the redemption date.</w:t>
      </w:r>
    </w:p>
    <w:p>
      <w:pPr>
        <w:spacing w:after="0" w:line="63" w:lineRule="exact"/>
        <w:rPr>
          <w:sz w:val="20"/>
          <w:szCs w:val="20"/>
          <w:color w:val="auto"/>
        </w:rPr>
      </w:pPr>
    </w:p>
    <w:p>
      <w:pPr>
        <w:ind w:left="260" w:right="40"/>
        <w:spacing w:after="0" w:line="311" w:lineRule="auto"/>
        <w:rPr>
          <w:sz w:val="20"/>
          <w:szCs w:val="20"/>
          <w:color w:val="auto"/>
        </w:rPr>
      </w:pPr>
      <w:r>
        <w:rPr>
          <w:rFonts w:ascii="Arial" w:cs="Arial" w:eastAsia="Arial" w:hAnsi="Arial"/>
          <w:sz w:val="16"/>
          <w:szCs w:val="16"/>
          <w:color w:val="auto"/>
        </w:rPr>
        <w:t>At any time on or after January 15, 2028 (one month before the maturity date) at 100% of the principal amount of notes being redeemed plus accrued and unpaid interest thereon to the redemption date.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May 18, 2023 (T+5)</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882508 BV5/US882508BV59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740" w:space="720"/>
            <w:col w:w="5540"/>
          </w:cols>
          <w:pgMar w:left="440" w:top="49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w:t>
            </w:r>
            <w:r>
              <w:rPr>
                <w:rFonts w:ascii="Arial" w:cs="Arial" w:eastAsia="Arial" w:hAnsi="Arial"/>
                <w:sz w:val="18"/>
                <w:szCs w:val="18"/>
                <w:u w:val="single" w:color="auto"/>
                <w:color w:val="auto"/>
                <w:w w:val="91"/>
              </w:rPr>
              <w:t>900%</w:t>
            </w:r>
            <w:r>
              <w:rPr>
                <w:rFonts w:ascii="Arial" w:cs="Arial" w:eastAsia="Arial" w:hAnsi="Arial"/>
                <w:sz w:val="18"/>
                <w:szCs w:val="18"/>
                <w:color w:val="auto"/>
                <w:w w:val="91"/>
              </w:rPr>
              <w:t xml:space="preserve"> Notes due 2033</w:t>
            </w:r>
          </w:p>
        </w:tc>
        <w:tc>
          <w:tcPr>
            <w:tcW w:w="4640" w:type="dxa"/>
            <w:vAlign w:val="bottom"/>
          </w:tcPr>
          <w:p>
            <w:pPr>
              <w:spacing w:after="0"/>
              <w:rPr>
                <w:sz w:val="17"/>
                <w:szCs w:val="17"/>
                <w:color w:val="auto"/>
              </w:rPr>
            </w:pPr>
          </w:p>
        </w:tc>
      </w:tr>
      <w:tr>
        <w:trPr>
          <w:trHeight w:val="480"/>
        </w:trPr>
        <w:tc>
          <w:tcPr>
            <w:tcW w:w="3520" w:type="dxa"/>
            <w:vAlign w:val="bottom"/>
          </w:tcPr>
          <w:p>
            <w:pPr>
              <w:spacing w:after="0"/>
              <w:rPr>
                <w:sz w:val="20"/>
                <w:szCs w:val="20"/>
                <w:color w:val="auto"/>
              </w:rPr>
            </w:pPr>
            <w:r>
              <w:rPr>
                <w:rFonts w:ascii="Arial" w:cs="Arial" w:eastAsia="Arial" w:hAnsi="Arial"/>
                <w:sz w:val="18"/>
                <w:szCs w:val="18"/>
                <w:color w:val="auto"/>
              </w:rPr>
              <w:t>Issuer:</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Texas Instruments Incorporated (“TI”)</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Principal Amount:</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$200,000,000 (the “2033 Additional Notes”)</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3"/>
              </w:rPr>
              <w:t>The 2033 Additional Notes offered hereby constitute a further issuance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1"/>
              </w:rPr>
              <w:t>of the 4.900% Notes due 2033 that TI issued prior to the date hereof (the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4"/>
              </w:rPr>
              <w:t>“2033 Existing Notes”) and will be consolidated with, and form a single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1"/>
              </w:rPr>
              <w:t>series with, the 2033 Existing Notes for all purposes under the indenture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9"/>
              </w:rPr>
              <w:t>governing the 2033 Existing Notes, including with respect to voting</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5"/>
              </w:rPr>
              <w:t>(the 2033 Existing Notes, together with the 2033 Additional Notes, the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4"/>
              </w:rPr>
              <w:t>“2033 Notes”). Upon issuance, the 2033 Additional Notes will have the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2"/>
              </w:rPr>
              <w:t>same terms as the 2033 Existing Notes (other than the issue date, price</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to public and interest accrued prior to the issue date of the 2033</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Additional Notes), will be fungible with the 2033 Existing Notes for</w:t>
            </w:r>
          </w:p>
        </w:tc>
      </w:tr>
      <w:tr>
        <w:trPr>
          <w:trHeight w:val="216"/>
        </w:trPr>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89"/>
              </w:rPr>
              <w:t>U.S. federal income tax purposes and will have the same CUSIP and ISIN</w:t>
            </w:r>
          </w:p>
        </w:tc>
      </w:tr>
      <w:tr>
        <w:trPr>
          <w:trHeight w:val="230"/>
        </w:trPr>
        <w:tc>
          <w:tcPr>
            <w:tcW w:w="3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numbers as the 2033 Existing Notes.</w:t>
            </w:r>
          </w:p>
        </w:tc>
      </w:tr>
      <w:tr>
        <w:trPr>
          <w:trHeight w:val="338"/>
        </w:trPr>
        <w:tc>
          <w:tcPr>
            <w:tcW w:w="3520" w:type="dxa"/>
            <w:vAlign w:val="bottom"/>
          </w:tcPr>
          <w:p>
            <w:pPr>
              <w:spacing w:after="0"/>
              <w:rPr>
                <w:sz w:val="20"/>
                <w:szCs w:val="20"/>
                <w:color w:val="auto"/>
              </w:rPr>
            </w:pPr>
            <w:r>
              <w:rPr>
                <w:rFonts w:ascii="Arial" w:cs="Arial" w:eastAsia="Arial" w:hAnsi="Arial"/>
                <w:sz w:val="18"/>
                <w:szCs w:val="18"/>
                <w:color w:val="auto"/>
              </w:rPr>
              <w:t>Maturity:</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March 14, 2033</w:t>
            </w: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Coupon:</w:t>
            </w:r>
          </w:p>
        </w:tc>
        <w:tc>
          <w:tcPr>
            <w:tcW w:w="2860" w:type="dxa"/>
            <w:vAlign w:val="bottom"/>
            <w:gridSpan w:val="2"/>
          </w:tcPr>
          <w:p>
            <w:pPr>
              <w:ind w:left="2200"/>
              <w:spacing w:after="0"/>
              <w:rPr>
                <w:sz w:val="20"/>
                <w:szCs w:val="20"/>
                <w:color w:val="auto"/>
              </w:rPr>
            </w:pPr>
            <w:r>
              <w:rPr>
                <w:rFonts w:ascii="Arial" w:cs="Arial" w:eastAsia="Arial" w:hAnsi="Arial"/>
                <w:sz w:val="18"/>
                <w:szCs w:val="18"/>
                <w:color w:val="auto"/>
              </w:rPr>
              <w:t>4.900%</w:t>
            </w:r>
          </w:p>
        </w:tc>
        <w:tc>
          <w:tcPr>
            <w:tcW w:w="4640" w:type="dxa"/>
            <w:vAlign w:val="bottom"/>
          </w:tcPr>
          <w:p>
            <w:pPr>
              <w:spacing w:after="0"/>
              <w:rPr>
                <w:sz w:val="24"/>
                <w:szCs w:val="24"/>
                <w:color w:val="auto"/>
              </w:rPr>
            </w:pP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Price to Public:</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103.751% of principal amount, plus accrued interest from (and</w:t>
            </w:r>
          </w:p>
        </w:tc>
      </w:tr>
      <w:tr>
        <w:trPr>
          <w:trHeight w:val="230"/>
        </w:trPr>
        <w:tc>
          <w:tcPr>
            <w:tcW w:w="3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including) March 14, 2023 to (but excluding) the Settlement Date</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1"/>
              </w:rPr>
              <w:t>March 14 and September 14, beginning on September 14, 2023, and on</w:t>
            </w:r>
          </w:p>
        </w:tc>
      </w:tr>
      <w:tr>
        <w:trPr>
          <w:trHeight w:val="230"/>
        </w:trPr>
        <w:tc>
          <w:tcPr>
            <w:tcW w:w="3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the maturity date</w:t>
            </w: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Day Count Convention:</w:t>
            </w:r>
          </w:p>
        </w:tc>
        <w:tc>
          <w:tcPr>
            <w:tcW w:w="2860" w:type="dxa"/>
            <w:vAlign w:val="bottom"/>
            <w:gridSpan w:val="2"/>
          </w:tcPr>
          <w:p>
            <w:pPr>
              <w:ind w:left="2200"/>
              <w:spacing w:after="0"/>
              <w:rPr>
                <w:sz w:val="20"/>
                <w:szCs w:val="20"/>
                <w:color w:val="auto"/>
              </w:rPr>
            </w:pPr>
            <w:r>
              <w:rPr>
                <w:rFonts w:ascii="Arial" w:cs="Arial" w:eastAsia="Arial" w:hAnsi="Arial"/>
                <w:sz w:val="18"/>
                <w:szCs w:val="18"/>
                <w:color w:val="auto"/>
              </w:rPr>
              <w:t>30/360</w:t>
            </w:r>
          </w:p>
        </w:tc>
        <w:tc>
          <w:tcPr>
            <w:tcW w:w="4640" w:type="dxa"/>
            <w:vAlign w:val="bottom"/>
          </w:tcPr>
          <w:p>
            <w:pPr>
              <w:spacing w:after="0"/>
              <w:rPr>
                <w:sz w:val="24"/>
                <w:szCs w:val="24"/>
                <w:color w:val="auto"/>
              </w:rPr>
            </w:pP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w w:val="98"/>
              </w:rPr>
              <w:t>$206,802,000, plus accrued interest from (and including) March 14,</w:t>
            </w:r>
          </w:p>
        </w:tc>
      </w:tr>
      <w:tr>
        <w:trPr>
          <w:trHeight w:val="230"/>
        </w:trPr>
        <w:tc>
          <w:tcPr>
            <w:tcW w:w="3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2023 to (but excluding) the Settlement Date</w:t>
            </w: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Benchmark Treasury:</w:t>
            </w:r>
          </w:p>
        </w:tc>
        <w:tc>
          <w:tcPr>
            <w:tcW w:w="1100" w:type="dxa"/>
            <w:vAlign w:val="bottom"/>
          </w:tcPr>
          <w:p>
            <w:pPr>
              <w:spacing w:after="0"/>
              <w:rPr>
                <w:sz w:val="24"/>
                <w:szCs w:val="24"/>
                <w:color w:val="auto"/>
              </w:rPr>
            </w:pPr>
          </w:p>
        </w:tc>
        <w:tc>
          <w:tcPr>
            <w:tcW w:w="6400" w:type="dxa"/>
            <w:vAlign w:val="bottom"/>
            <w:gridSpan w:val="2"/>
          </w:tcPr>
          <w:p>
            <w:pPr>
              <w:ind w:left="1100"/>
              <w:spacing w:after="0"/>
              <w:rPr>
                <w:sz w:val="20"/>
                <w:szCs w:val="20"/>
                <w:color w:val="auto"/>
              </w:rPr>
            </w:pPr>
            <w:r>
              <w:rPr>
                <w:rFonts w:ascii="Arial" w:cs="Arial" w:eastAsia="Arial" w:hAnsi="Arial"/>
                <w:sz w:val="18"/>
                <w:szCs w:val="18"/>
                <w:color w:val="auto"/>
              </w:rPr>
              <w:t>3.500% due February 15, 2033</w:t>
            </w:r>
          </w:p>
        </w:tc>
      </w:tr>
      <w:tr>
        <w:trPr>
          <w:trHeight w:val="364"/>
        </w:trPr>
        <w:tc>
          <w:tcPr>
            <w:tcW w:w="3520" w:type="dxa"/>
            <w:vAlign w:val="bottom"/>
          </w:tcPr>
          <w:p>
            <w:pPr>
              <w:spacing w:after="0"/>
              <w:rPr>
                <w:sz w:val="24"/>
                <w:szCs w:val="24"/>
                <w:color w:val="auto"/>
              </w:rPr>
            </w:pPr>
          </w:p>
        </w:tc>
        <w:tc>
          <w:tcPr>
            <w:tcW w:w="2860" w:type="dxa"/>
            <w:vAlign w:val="bottom"/>
            <w:gridSpan w:val="2"/>
          </w:tcPr>
          <w:p>
            <w:pPr>
              <w:jc w:val="right"/>
              <w:ind w:right="750"/>
              <w:spacing w:after="0"/>
              <w:rPr>
                <w:sz w:val="20"/>
                <w:szCs w:val="20"/>
                <w:color w:val="auto"/>
              </w:rPr>
            </w:pPr>
            <w:r>
              <w:rPr>
                <w:rFonts w:ascii="Arial" w:cs="Arial" w:eastAsia="Arial" w:hAnsi="Arial"/>
                <w:sz w:val="18"/>
                <w:szCs w:val="18"/>
                <w:color w:val="auto"/>
              </w:rPr>
              <w:t>3</w:t>
            </w:r>
          </w:p>
        </w:tc>
        <w:tc>
          <w:tcPr>
            <w:tcW w:w="4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8"/>
          <w:szCs w:val="18"/>
          <w:color w:val="auto"/>
        </w:rPr>
        <w:t>102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-228600</wp:posOffset>
            </wp:positionV>
            <wp:extent cx="717486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9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4.415%</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100-27+; 3.395%</w:t>
      </w:r>
    </w:p>
    <w:p>
      <w:pPr>
        <w:spacing w:after="0" w:line="117" w:lineRule="exact"/>
        <w:rPr>
          <w:sz w:val="20"/>
          <w:szCs w:val="20"/>
          <w:color w:val="auto"/>
        </w:rPr>
      </w:pPr>
    </w:p>
    <w:p>
      <w:pPr>
        <w:ind w:left="1100"/>
        <w:spacing w:after="0" w:line="289" w:lineRule="auto"/>
        <w:rPr>
          <w:sz w:val="20"/>
          <w:szCs w:val="20"/>
          <w:color w:val="auto"/>
        </w:rPr>
      </w:pPr>
      <w:r>
        <w:rPr>
          <w:rFonts w:ascii="Arial" w:cs="Arial" w:eastAsia="Arial" w:hAnsi="Arial"/>
          <w:sz w:val="16"/>
          <w:szCs w:val="16"/>
          <w:color w:val="auto"/>
        </w:rPr>
        <w:t>At any time before December 14, 2032 (three months before the maturity date) at the greater of: (1) (a) the sum of the present values of the remaining scheduled payments of principal and interest thereon discounted to the redemption date (assuming the Notes matured on December 14, 2032)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58" w:lineRule="exact"/>
        <w:rPr>
          <w:sz w:val="20"/>
          <w:szCs w:val="20"/>
          <w:color w:val="auto"/>
        </w:rPr>
      </w:pPr>
    </w:p>
    <w:p>
      <w:pPr>
        <w:ind w:left="1100" w:right="20"/>
        <w:spacing w:after="0" w:line="311" w:lineRule="auto"/>
        <w:rPr>
          <w:sz w:val="20"/>
          <w:szCs w:val="20"/>
          <w:color w:val="auto"/>
        </w:rPr>
      </w:pPr>
      <w:r>
        <w:rPr>
          <w:rFonts w:ascii="Arial" w:cs="Arial" w:eastAsia="Arial" w:hAnsi="Arial"/>
          <w:sz w:val="16"/>
          <w:szCs w:val="16"/>
          <w:color w:val="auto"/>
        </w:rPr>
        <w:t>At any time on or after December 14, 2032 (three months before the maturity date) at 100% of the principal amount of notes being redeemed plus accrued and unpaid interest thereon to the redemption date.</w:t>
      </w:r>
    </w:p>
    <w:p>
      <w:pPr>
        <w:spacing w:after="0" w:line="4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May 18, 2023 (T+5)</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882508CB8/US882508CB86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5.050% Notes due 2063</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$1,200,000,000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May 18, 2063</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900" w:space="720"/>
            <w:col w:w="6380"/>
          </w:cols>
          <w:pgMar w:left="440" w:top="490"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Arial" w:cs="Arial" w:eastAsia="Arial" w:hAnsi="Arial"/>
          <w:sz w:val="18"/>
          <w:szCs w:val="18"/>
          <w:color w:val="auto"/>
        </w:rPr>
        <w:t>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-228600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99.167% of principal amount</w:t>
      </w:r>
    </w:p>
    <w:p>
      <w:pPr>
        <w:spacing w:after="0" w:line="117"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color w:val="auto"/>
        </w:rPr>
        <w:t>May 18 and November 18, beginning on November 18, 2023, and on the maturity date</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$1,182,804,000</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4.000% due November 15, 2052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137 basis points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5.099%</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104-26+; 3.729%</w:t>
      </w:r>
    </w:p>
    <w:p>
      <w:pPr>
        <w:spacing w:after="0" w:line="117" w:lineRule="exact"/>
        <w:rPr>
          <w:sz w:val="20"/>
          <w:szCs w:val="20"/>
          <w:color w:val="auto"/>
        </w:rPr>
      </w:pPr>
    </w:p>
    <w:p>
      <w:pPr>
        <w:ind w:left="260"/>
        <w:spacing w:after="0" w:line="289" w:lineRule="auto"/>
        <w:rPr>
          <w:sz w:val="20"/>
          <w:szCs w:val="20"/>
          <w:color w:val="auto"/>
        </w:rPr>
      </w:pPr>
      <w:r>
        <w:rPr>
          <w:rFonts w:ascii="Arial" w:cs="Arial" w:eastAsia="Arial" w:hAnsi="Arial"/>
          <w:sz w:val="16"/>
          <w:szCs w:val="16"/>
          <w:color w:val="auto"/>
        </w:rPr>
        <w:t>At any time before November 18, 2062 (six months before the maturity date) at the greater of: (1) (a) the sum of the present values of the remaining scheduled payments of principal and interest thereon discounted to the redemption date (assuming the Notes matured on November 18, 2062) on a semi-annual basis (assuming a 360-day year consisting of twelve 30-day months) at the Treasury Rate plus 25 basis points less (b) interest accrued to the date of redemption, and (2) 100% of the principal amount of the Notes to be redeemed, plus, in either case, accrued and unpaid interest thereon to the redemption date.</w:t>
      </w:r>
    </w:p>
    <w:p>
      <w:pPr>
        <w:spacing w:after="0" w:line="58" w:lineRule="exact"/>
        <w:rPr>
          <w:sz w:val="20"/>
          <w:szCs w:val="20"/>
          <w:color w:val="auto"/>
        </w:rPr>
      </w:pPr>
    </w:p>
    <w:p>
      <w:pPr>
        <w:ind w:left="260"/>
        <w:spacing w:after="0" w:line="311" w:lineRule="auto"/>
        <w:rPr>
          <w:sz w:val="20"/>
          <w:szCs w:val="20"/>
          <w:color w:val="auto"/>
        </w:rPr>
      </w:pPr>
      <w:r>
        <w:rPr>
          <w:rFonts w:ascii="Arial" w:cs="Arial" w:eastAsia="Arial" w:hAnsi="Arial"/>
          <w:sz w:val="16"/>
          <w:szCs w:val="16"/>
          <w:color w:val="auto"/>
        </w:rPr>
        <w:t>At any time on or after November 18, 2062 (six months before the maturity date) at 100% of the principal amount of notes being redeemed plus accrued and unpaid interest thereon to the redemption date.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May 18, 2023 (T+5)</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882926AA6/US882926AA67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740" w:space="720"/>
            <w:col w:w="5520"/>
          </w:cols>
          <w:pgMar w:left="440" w:top="490"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Other Information</w:t>
            </w:r>
          </w:p>
        </w:tc>
        <w:tc>
          <w:tcPr>
            <w:tcW w:w="1800" w:type="dxa"/>
            <w:vAlign w:val="bottom"/>
          </w:tcPr>
          <w:p>
            <w:pPr>
              <w:spacing w:after="0"/>
              <w:rPr>
                <w:sz w:val="17"/>
                <w:szCs w:val="17"/>
                <w:color w:val="auto"/>
              </w:rPr>
            </w:pPr>
          </w:p>
        </w:tc>
      </w:tr>
      <w:tr>
        <w:trPr>
          <w:trHeight w:val="344"/>
        </w:trPr>
        <w:tc>
          <w:tcPr>
            <w:tcW w:w="3580" w:type="dxa"/>
            <w:vAlign w:val="bottom"/>
          </w:tcPr>
          <w:p>
            <w:pPr>
              <w:spacing w:after="0"/>
              <w:rPr>
                <w:sz w:val="20"/>
                <w:szCs w:val="20"/>
                <w:color w:val="auto"/>
              </w:rPr>
            </w:pPr>
            <w:r>
              <w:rPr>
                <w:rFonts w:ascii="Arial" w:cs="Arial" w:eastAsia="Arial" w:hAnsi="Arial"/>
                <w:sz w:val="18"/>
                <w:szCs w:val="18"/>
                <w:color w:val="auto"/>
              </w:rPr>
              <w:t>Ratings:*</w:t>
            </w:r>
          </w:p>
        </w:tc>
        <w:tc>
          <w:tcPr>
            <w:tcW w:w="1260" w:type="dxa"/>
            <w:vAlign w:val="bottom"/>
          </w:tcPr>
          <w:p>
            <w:pPr>
              <w:spacing w:after="0"/>
              <w:rPr>
                <w:sz w:val="24"/>
                <w:szCs w:val="24"/>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w w:val="93"/>
              </w:rPr>
              <w:t>Moody’s: Aa3 (stable outlook)</w:t>
            </w:r>
          </w:p>
        </w:tc>
      </w:tr>
      <w:tr>
        <w:trPr>
          <w:trHeight w:val="230"/>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S&amp;P: A+ (stable outlook)</w:t>
            </w:r>
          </w:p>
        </w:tc>
      </w:tr>
      <w:tr>
        <w:trPr>
          <w:trHeight w:val="323"/>
        </w:trPr>
        <w:tc>
          <w:tcPr>
            <w:tcW w:w="35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260" w:type="dxa"/>
            <w:vAlign w:val="bottom"/>
          </w:tcPr>
          <w:p>
            <w:pPr>
              <w:spacing w:after="0"/>
              <w:rPr>
                <w:sz w:val="24"/>
                <w:szCs w:val="24"/>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J.P. Morgan Securities LLC</w:t>
            </w:r>
          </w:p>
        </w:tc>
      </w:tr>
      <w:tr>
        <w:trPr>
          <w:trHeight w:val="216"/>
        </w:trPr>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Morgan Stanley &amp; Co. LLC</w:t>
            </w:r>
          </w:p>
        </w:tc>
      </w:tr>
      <w:tr>
        <w:trPr>
          <w:trHeight w:val="230"/>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w w:val="89"/>
              </w:rPr>
              <w:t>U.S. Bancorp Investments, Inc.</w:t>
            </w:r>
          </w:p>
        </w:tc>
      </w:tr>
      <w:tr>
        <w:trPr>
          <w:trHeight w:val="392"/>
        </w:trPr>
        <w:tc>
          <w:tcPr>
            <w:tcW w:w="3580" w:type="dxa"/>
            <w:vAlign w:val="bottom"/>
          </w:tcPr>
          <w:p>
            <w:pPr>
              <w:spacing w:after="0"/>
              <w:rPr>
                <w:sz w:val="24"/>
                <w:szCs w:val="24"/>
                <w:color w:val="auto"/>
              </w:rPr>
            </w:pPr>
          </w:p>
        </w:tc>
        <w:tc>
          <w:tcPr>
            <w:tcW w:w="2580" w:type="dxa"/>
            <w:vAlign w:val="bottom"/>
            <w:gridSpan w:val="2"/>
          </w:tcPr>
          <w:p>
            <w:pPr>
              <w:jc w:val="right"/>
              <w:ind w:right="530"/>
              <w:spacing w:after="0"/>
              <w:rPr>
                <w:sz w:val="20"/>
                <w:szCs w:val="20"/>
                <w:color w:val="auto"/>
              </w:rPr>
            </w:pPr>
            <w:r>
              <w:rPr>
                <w:rFonts w:ascii="Arial" w:cs="Arial" w:eastAsia="Arial" w:hAnsi="Arial"/>
                <w:sz w:val="18"/>
                <w:szCs w:val="18"/>
                <w:color w:val="auto"/>
              </w:rPr>
              <w:t>6</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47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A securities rating is not a recommendation to buy, sell or hold securities and may be subject to revision or withdrawal at any time.</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May 18, 2023,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jc w:val="both"/>
        <w:ind w:right="40"/>
        <w:spacing w:after="0" w:line="309" w:lineRule="auto"/>
        <w:rPr>
          <w:sz w:val="20"/>
          <w:szCs w:val="20"/>
          <w:color w:val="auto"/>
        </w:rPr>
      </w:pPr>
      <w:r>
        <w:rPr>
          <w:rFonts w:ascii="Arial" w:cs="Arial" w:eastAsia="Arial" w:hAnsi="Arial"/>
          <w:sz w:val="15"/>
          <w:szCs w:val="15"/>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w:t>
      </w:r>
    </w:p>
    <w:p>
      <w:pPr>
        <w:jc w:val="both"/>
        <w:ind w:right="260"/>
        <w:spacing w:after="0" w:line="253" w:lineRule="auto"/>
        <w:rPr>
          <w:sz w:val="20"/>
          <w:szCs w:val="20"/>
          <w:color w:val="auto"/>
        </w:rPr>
      </w:pPr>
      <w:r>
        <w:rPr>
          <w:rFonts w:ascii="Arial" w:cs="Arial" w:eastAsia="Arial" w:hAnsi="Arial"/>
          <w:sz w:val="18"/>
          <w:szCs w:val="18"/>
          <w:b w:val="1"/>
          <w:bCs w:val="1"/>
          <w:color w:val="auto"/>
        </w:rPr>
        <w:t>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834-4533 (collect), Morgan Stanley &amp; Co. LLC at (866) 718-1649 (toll-free) or U.S. Bancorp Investments, Inc. at (877) 558-2607.</w:t>
      </w:r>
    </w:p>
    <w:p>
      <w:pPr>
        <w:spacing w:after="0" w:line="189"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000"/>
      </w:cols>
      <w:pgMar w:left="440" w:top="4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2023-05-11T16:56:58Z</dcterms:created>
  <dcterms:modified xsi:type="dcterms:W3CDTF">2023-05-11T16:56:58Z</dcterms:modified>
</cp:coreProperties>
</file>