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1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192" w:lineRule="exact"/>
        <w:rPr>
          <w:sz w:val="24"/>
          <w:szCs w:val="24"/>
          <w:color w:val="auto"/>
        </w:rPr>
      </w:pPr>
    </w:p>
    <w:p>
      <w:pPr>
        <w:ind w:left="20"/>
        <w:spacing w:after="0"/>
        <w:rPr>
          <w:sz w:val="20"/>
          <w:szCs w:val="20"/>
          <w:color w:val="auto"/>
        </w:rPr>
      </w:pPr>
      <w:r>
        <w:rPr>
          <w:rFonts w:ascii="Arial" w:cs="Arial" w:eastAsia="Arial" w:hAnsi="Arial"/>
          <w:sz w:val="18"/>
          <w:szCs w:val="18"/>
          <w:color w:val="auto"/>
        </w:rPr>
        <w:t>(mark one)</w:t>
      </w:r>
    </w:p>
    <w:p>
      <w:pPr>
        <w:spacing w:after="0" w:line="84" w:lineRule="exact"/>
        <w:rPr>
          <w:sz w:val="24"/>
          <w:szCs w:val="24"/>
          <w:color w:val="auto"/>
        </w:rPr>
      </w:pPr>
    </w:p>
    <w:p>
      <w:pPr>
        <w:ind w:left="4080" w:right="2400" w:hanging="4072"/>
        <w:spacing w:after="0" w:line="441" w:lineRule="auto"/>
        <w:tabs>
          <w:tab w:leader="none" w:pos="444"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 xml:space="preserve">ANNUAL REPORT PURSUANT TO SECTION 13 OR 15(d) OF THE SECURITIES EXCHANGE ACT OF 1934 </w:t>
      </w:r>
      <w:r>
        <w:rPr>
          <w:rFonts w:ascii="Arial" w:cs="Arial" w:eastAsia="Arial" w:hAnsi="Arial"/>
          <w:sz w:val="18"/>
          <w:szCs w:val="18"/>
          <w:color w:val="auto"/>
        </w:rPr>
        <w:t>For the Fiscal Year Ended December 31, 2007</w:t>
      </w:r>
    </w:p>
    <w:p>
      <w:pPr>
        <w:spacing w:after="0" w:line="1" w:lineRule="exact"/>
        <w:rPr>
          <w:rFonts w:ascii="MS PGothic" w:cs="MS PGothic" w:eastAsia="MS PGothic" w:hAnsi="MS PGothic"/>
          <w:sz w:val="18"/>
          <w:szCs w:val="18"/>
          <w:color w:val="auto"/>
          <w:highlight w:val="black"/>
        </w:rPr>
      </w:pPr>
    </w:p>
    <w:p>
      <w:pPr>
        <w:ind w:left="5600"/>
        <w:spacing w:after="0"/>
        <w:rPr>
          <w:rFonts w:ascii="MS PGothic" w:cs="MS PGothic" w:eastAsia="MS PGothic" w:hAnsi="MS PGothic"/>
          <w:sz w:val="18"/>
          <w:szCs w:val="18"/>
          <w:color w:val="auto"/>
          <w:highlight w:val="black"/>
        </w:rPr>
      </w:pPr>
      <w:r>
        <w:rPr>
          <w:rFonts w:ascii="Arial" w:cs="Arial" w:eastAsia="Arial" w:hAnsi="Arial"/>
          <w:sz w:val="18"/>
          <w:szCs w:val="18"/>
          <w:color w:val="auto"/>
        </w:rPr>
        <w:t>OR</w:t>
      </w:r>
    </w:p>
    <w:p>
      <w:pPr>
        <w:spacing w:after="0" w:line="206"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77" w:lineRule="exact"/>
        <w:rPr>
          <w:sz w:val="24"/>
          <w:szCs w:val="24"/>
          <w:color w:val="auto"/>
        </w:rPr>
      </w:pPr>
    </w:p>
    <w:p>
      <w:pPr>
        <w:ind w:left="3680"/>
        <w:spacing w:after="0"/>
        <w:tabs>
          <w:tab w:leader="none" w:pos="668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4"/>
          <w:szCs w:val="14"/>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3663950</wp:posOffset>
            </wp:positionH>
            <wp:positionV relativeFrom="paragraph">
              <wp:posOffset>-13970</wp:posOffset>
            </wp:positionV>
            <wp:extent cx="12573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57300" cy="8890"/>
                    </a:xfrm>
                    <a:prstGeom prst="rect">
                      <a:avLst/>
                    </a:prstGeom>
                    <a:noFill/>
                  </pic:spPr>
                </pic:pic>
              </a:graphicData>
            </a:graphic>
          </wp:anchor>
        </w:drawing>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1-3761</w:t>
      </w:r>
    </w:p>
    <w:p>
      <w:pPr>
        <w:spacing w:after="0" w:line="13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TEXAS INSTRUMENTS INCORPORATED</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75"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5720" w:type="dxa"/>
            <w:vAlign w:val="bottom"/>
          </w:tcPr>
          <w:p>
            <w:pPr>
              <w:jc w:val="center"/>
              <w:spacing w:after="0"/>
              <w:rPr>
                <w:sz w:val="20"/>
                <w:szCs w:val="20"/>
                <w:color w:val="auto"/>
              </w:rPr>
            </w:pPr>
            <w:r>
              <w:rPr>
                <w:rFonts w:ascii="Arial" w:cs="Arial" w:eastAsia="Arial" w:hAnsi="Arial"/>
                <w:sz w:val="18"/>
                <w:szCs w:val="18"/>
                <w:b w:val="1"/>
                <w:bCs w:val="1"/>
                <w:color w:val="auto"/>
                <w:w w:val="88"/>
              </w:rPr>
              <w:t>Delaware</w:t>
            </w:r>
          </w:p>
        </w:tc>
        <w:tc>
          <w:tcPr>
            <w:tcW w:w="5700" w:type="dxa"/>
            <w:vAlign w:val="bottom"/>
            <w:gridSpan w:val="2"/>
          </w:tcPr>
          <w:p>
            <w:pPr>
              <w:jc w:val="center"/>
              <w:ind w:left="132"/>
              <w:spacing w:after="0"/>
              <w:rPr>
                <w:sz w:val="20"/>
                <w:szCs w:val="20"/>
                <w:color w:val="auto"/>
              </w:rPr>
            </w:pPr>
            <w:r>
              <w:rPr>
                <w:rFonts w:ascii="Arial" w:cs="Arial" w:eastAsia="Arial" w:hAnsi="Arial"/>
                <w:sz w:val="18"/>
                <w:szCs w:val="18"/>
                <w:b w:val="1"/>
                <w:bCs w:val="1"/>
                <w:color w:val="auto"/>
                <w:w w:val="87"/>
              </w:rPr>
              <w:t>75-0289970</w:t>
            </w:r>
          </w:p>
        </w:tc>
      </w:tr>
      <w:tr>
        <w:trPr>
          <w:trHeight w:val="174"/>
        </w:trPr>
        <w:tc>
          <w:tcPr>
            <w:tcW w:w="5720" w:type="dxa"/>
            <w:vAlign w:val="bottom"/>
          </w:tcPr>
          <w:p>
            <w:pPr>
              <w:jc w:val="center"/>
              <w:spacing w:after="0"/>
              <w:rPr>
                <w:sz w:val="20"/>
                <w:szCs w:val="20"/>
                <w:color w:val="auto"/>
              </w:rPr>
            </w:pPr>
            <w:r>
              <w:rPr>
                <w:rFonts w:ascii="Arial" w:cs="Arial" w:eastAsia="Arial" w:hAnsi="Arial"/>
                <w:sz w:val="14"/>
                <w:szCs w:val="14"/>
                <w:b w:val="1"/>
                <w:bCs w:val="1"/>
                <w:color w:val="auto"/>
                <w:w w:val="89"/>
              </w:rPr>
              <w:t>(State of Incorporation)</w:t>
            </w:r>
          </w:p>
        </w:tc>
        <w:tc>
          <w:tcPr>
            <w:tcW w:w="240" w:type="dxa"/>
            <w:vAlign w:val="bottom"/>
          </w:tcPr>
          <w:p>
            <w:pPr>
              <w:spacing w:after="0"/>
              <w:rPr>
                <w:sz w:val="15"/>
                <w:szCs w:val="15"/>
                <w:color w:val="auto"/>
              </w:rPr>
            </w:pPr>
          </w:p>
        </w:tc>
        <w:tc>
          <w:tcPr>
            <w:tcW w:w="5460" w:type="dxa"/>
            <w:vAlign w:val="bottom"/>
          </w:tcPr>
          <w:p>
            <w:pPr>
              <w:jc w:val="center"/>
              <w:spacing w:after="0"/>
              <w:rPr>
                <w:sz w:val="20"/>
                <w:szCs w:val="20"/>
                <w:color w:val="auto"/>
              </w:rPr>
            </w:pPr>
            <w:r>
              <w:rPr>
                <w:rFonts w:ascii="Arial" w:cs="Arial" w:eastAsia="Arial" w:hAnsi="Arial"/>
                <w:sz w:val="14"/>
                <w:szCs w:val="14"/>
                <w:b w:val="1"/>
                <w:bCs w:val="1"/>
                <w:color w:val="auto"/>
                <w:w w:val="89"/>
              </w:rPr>
              <w:t>(I.R.S. Employer Identification No.)</w:t>
            </w:r>
          </w:p>
        </w:tc>
      </w:tr>
      <w:tr>
        <w:trPr>
          <w:trHeight w:val="406"/>
        </w:trPr>
        <w:tc>
          <w:tcPr>
            <w:tcW w:w="5720" w:type="dxa"/>
            <w:vAlign w:val="bottom"/>
          </w:tcPr>
          <w:p>
            <w:pPr>
              <w:jc w:val="center"/>
              <w:spacing w:after="0"/>
              <w:rPr>
                <w:sz w:val="20"/>
                <w:szCs w:val="20"/>
                <w:color w:val="auto"/>
              </w:rPr>
            </w:pPr>
            <w:r>
              <w:rPr>
                <w:rFonts w:ascii="Arial" w:cs="Arial" w:eastAsia="Arial" w:hAnsi="Arial"/>
                <w:sz w:val="18"/>
                <w:szCs w:val="18"/>
                <w:b w:val="1"/>
                <w:bCs w:val="1"/>
                <w:color w:val="auto"/>
                <w:w w:val="88"/>
              </w:rPr>
              <w:t>12500 TI Boulevard, P.O. Box 660199, Dallas, Texas</w:t>
            </w:r>
          </w:p>
        </w:tc>
        <w:tc>
          <w:tcPr>
            <w:tcW w:w="5700" w:type="dxa"/>
            <w:vAlign w:val="bottom"/>
            <w:gridSpan w:val="2"/>
          </w:tcPr>
          <w:p>
            <w:pPr>
              <w:jc w:val="center"/>
              <w:ind w:left="132"/>
              <w:spacing w:after="0"/>
              <w:rPr>
                <w:sz w:val="20"/>
                <w:szCs w:val="20"/>
                <w:color w:val="auto"/>
              </w:rPr>
            </w:pPr>
            <w:r>
              <w:rPr>
                <w:rFonts w:ascii="Arial" w:cs="Arial" w:eastAsia="Arial" w:hAnsi="Arial"/>
                <w:sz w:val="18"/>
                <w:szCs w:val="18"/>
                <w:b w:val="1"/>
                <w:bCs w:val="1"/>
                <w:color w:val="auto"/>
                <w:w w:val="87"/>
              </w:rPr>
              <w:t>75266-0199</w:t>
            </w:r>
          </w:p>
        </w:tc>
      </w:tr>
      <w:tr>
        <w:trPr>
          <w:trHeight w:val="174"/>
        </w:trPr>
        <w:tc>
          <w:tcPr>
            <w:tcW w:w="5720" w:type="dxa"/>
            <w:vAlign w:val="bottom"/>
          </w:tcPr>
          <w:p>
            <w:pPr>
              <w:jc w:val="center"/>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240" w:type="dxa"/>
            <w:vAlign w:val="bottom"/>
          </w:tcPr>
          <w:p>
            <w:pPr>
              <w:spacing w:after="0"/>
              <w:rPr>
                <w:sz w:val="15"/>
                <w:szCs w:val="15"/>
                <w:color w:val="auto"/>
              </w:rPr>
            </w:pPr>
          </w:p>
        </w:tc>
        <w:tc>
          <w:tcPr>
            <w:tcW w:w="5460" w:type="dxa"/>
            <w:vAlign w:val="bottom"/>
          </w:tcPr>
          <w:p>
            <w:pPr>
              <w:jc w:val="center"/>
              <w:spacing w:after="0"/>
              <w:rPr>
                <w:sz w:val="20"/>
                <w:szCs w:val="20"/>
                <w:color w:val="auto"/>
              </w:rPr>
            </w:pPr>
            <w:r>
              <w:rPr>
                <w:rFonts w:ascii="Arial" w:cs="Arial" w:eastAsia="Arial" w:hAnsi="Arial"/>
                <w:sz w:val="14"/>
                <w:szCs w:val="14"/>
                <w:b w:val="1"/>
                <w:bCs w:val="1"/>
                <w:color w:val="auto"/>
                <w:w w:val="89"/>
              </w:rPr>
              <w:t>(Zip Code)</w:t>
            </w:r>
          </w:p>
        </w:tc>
      </w:tr>
      <w:tr>
        <w:trPr>
          <w:trHeight w:val="363"/>
        </w:trPr>
        <w:tc>
          <w:tcPr>
            <w:tcW w:w="114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Registrant’s Telephone Number, Including Area Code: 972-995-3773</w:t>
            </w:r>
          </w:p>
        </w:tc>
      </w:tr>
      <w:tr>
        <w:trPr>
          <w:trHeight w:val="378"/>
        </w:trPr>
        <w:tc>
          <w:tcPr>
            <w:tcW w:w="114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Securities registered pursuant to Section 12(b) of the Act:</w:t>
            </w:r>
          </w:p>
        </w:tc>
      </w:tr>
      <w:tr>
        <w:trPr>
          <w:trHeight w:val="366"/>
        </w:trPr>
        <w:tc>
          <w:tcPr>
            <w:tcW w:w="5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Title of each class</w:t>
            </w:r>
          </w:p>
        </w:tc>
        <w:tc>
          <w:tcPr>
            <w:tcW w:w="240" w:type="dxa"/>
            <w:vAlign w:val="bottom"/>
          </w:tcPr>
          <w:p>
            <w:pPr>
              <w:spacing w:after="0"/>
              <w:rPr>
                <w:sz w:val="24"/>
                <w:szCs w:val="24"/>
                <w:color w:val="auto"/>
              </w:rPr>
            </w:pPr>
          </w:p>
        </w:tc>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Name of each exchange on which registered</w:t>
            </w:r>
          </w:p>
        </w:tc>
      </w:tr>
      <w:tr>
        <w:trPr>
          <w:trHeight w:val="216"/>
        </w:trPr>
        <w:tc>
          <w:tcPr>
            <w:tcW w:w="5720" w:type="dxa"/>
            <w:vAlign w:val="bottom"/>
          </w:tcPr>
          <w:p>
            <w:pPr>
              <w:jc w:val="center"/>
              <w:spacing w:after="0"/>
              <w:rPr>
                <w:sz w:val="20"/>
                <w:szCs w:val="20"/>
                <w:color w:val="auto"/>
              </w:rPr>
            </w:pPr>
            <w:r>
              <w:rPr>
                <w:rFonts w:ascii="Arial" w:cs="Arial" w:eastAsia="Arial" w:hAnsi="Arial"/>
                <w:sz w:val="18"/>
                <w:szCs w:val="18"/>
                <w:color w:val="auto"/>
                <w:w w:val="88"/>
              </w:rPr>
              <w:t>Common Stock, par value $1.00</w:t>
            </w:r>
          </w:p>
        </w:tc>
        <w:tc>
          <w:tcPr>
            <w:tcW w:w="240" w:type="dxa"/>
            <w:vAlign w:val="bottom"/>
          </w:tcPr>
          <w:p>
            <w:pPr>
              <w:spacing w:after="0"/>
              <w:rPr>
                <w:sz w:val="18"/>
                <w:szCs w:val="18"/>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89"/>
              </w:rPr>
              <w:t>New York Stock Exchange</w:t>
            </w:r>
          </w:p>
        </w:tc>
      </w:tr>
      <w:tr>
        <w:trPr>
          <w:trHeight w:val="316"/>
        </w:trPr>
        <w:tc>
          <w:tcPr>
            <w:tcW w:w="5720" w:type="dxa"/>
            <w:vAlign w:val="bottom"/>
          </w:tcPr>
          <w:p>
            <w:pPr>
              <w:jc w:val="center"/>
              <w:spacing w:after="0"/>
              <w:rPr>
                <w:sz w:val="20"/>
                <w:szCs w:val="20"/>
                <w:color w:val="auto"/>
              </w:rPr>
            </w:pPr>
            <w:r>
              <w:rPr>
                <w:rFonts w:ascii="Arial" w:cs="Arial" w:eastAsia="Arial" w:hAnsi="Arial"/>
                <w:sz w:val="18"/>
                <w:szCs w:val="18"/>
                <w:color w:val="auto"/>
                <w:w w:val="86"/>
              </w:rPr>
              <w:t>Preferred Stock Purchase Rights</w:t>
            </w:r>
          </w:p>
        </w:tc>
        <w:tc>
          <w:tcPr>
            <w:tcW w:w="240" w:type="dxa"/>
            <w:vAlign w:val="bottom"/>
          </w:tcPr>
          <w:p>
            <w:pPr>
              <w:spacing w:after="0"/>
              <w:rPr>
                <w:sz w:val="24"/>
                <w:szCs w:val="24"/>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89"/>
              </w:rPr>
              <w:t>New York Stock Exchange</w:t>
            </w:r>
          </w:p>
        </w:tc>
      </w:tr>
    </w:tbl>
    <w:p>
      <w:pPr>
        <w:spacing w:after="0" w:line="150" w:lineRule="exact"/>
        <w:rPr>
          <w:sz w:val="24"/>
          <w:szCs w:val="24"/>
          <w:color w:val="auto"/>
        </w:rPr>
      </w:pPr>
    </w:p>
    <w:p>
      <w:pPr>
        <w:ind w:left="3360"/>
        <w:spacing w:after="0"/>
        <w:rPr>
          <w:sz w:val="20"/>
          <w:szCs w:val="20"/>
          <w:color w:val="auto"/>
        </w:rPr>
      </w:pPr>
      <w:r>
        <w:rPr>
          <w:rFonts w:ascii="Arial" w:cs="Arial" w:eastAsia="Arial" w:hAnsi="Arial"/>
          <w:sz w:val="18"/>
          <w:szCs w:val="18"/>
          <w:b w:val="1"/>
          <w:bCs w:val="1"/>
          <w:color w:val="auto"/>
        </w:rPr>
        <w:t xml:space="preserve">Securities registered pursuant to Section 12(g) of the Act: </w:t>
      </w:r>
      <w:r>
        <w:rPr>
          <w:rFonts w:ascii="Arial" w:cs="Arial" w:eastAsia="Arial" w:hAnsi="Arial"/>
          <w:sz w:val="18"/>
          <w:szCs w:val="18"/>
          <w:color w:val="auto"/>
        </w:rPr>
        <w:t>None</w:t>
      </w:r>
    </w:p>
    <w:p>
      <w:pPr>
        <w:spacing w:after="0" w:line="145" w:lineRule="exact"/>
        <w:rPr>
          <w:sz w:val="24"/>
          <w:szCs w:val="24"/>
          <w:color w:val="auto"/>
        </w:rPr>
      </w:pPr>
    </w:p>
    <w:p>
      <w:pPr>
        <w:ind w:left="20"/>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4" w:lineRule="exact"/>
        <w:rPr>
          <w:sz w:val="24"/>
          <w:szCs w:val="24"/>
          <w:color w:val="auto"/>
        </w:rPr>
      </w:pPr>
    </w:p>
    <w:p>
      <w:pPr>
        <w:jc w:val="both"/>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right="120"/>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38" w:lineRule="exact"/>
        <w:rPr>
          <w:sz w:val="24"/>
          <w:szCs w:val="24"/>
          <w:color w:val="auto"/>
        </w:rPr>
      </w:pPr>
    </w:p>
    <w:p>
      <w:pPr>
        <w:ind w:right="280"/>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w:t>
      </w:r>
    </w:p>
    <w:p>
      <w:pPr>
        <w:sectPr>
          <w:pgSz w:w="11900" w:h="16838" w:orient="portrait"/>
          <w:cols w:equalWidth="0" w:num="1">
            <w:col w:w="11420"/>
          </w:cols>
          <w:pgMar w:left="240" w:top="435" w:right="239" w:bottom="1440" w:gutter="0" w:footer="0" w:header="0"/>
        </w:sectPr>
      </w:pPr>
    </w:p>
    <w:p>
      <w:pPr>
        <w:spacing w:after="0" w:line="140" w:lineRule="exact"/>
        <w:rPr>
          <w:sz w:val="24"/>
          <w:szCs w:val="24"/>
          <w:color w:val="auto"/>
        </w:rPr>
      </w:pPr>
    </w:p>
    <w:p>
      <w:pPr>
        <w:ind w:left="1840"/>
        <w:spacing w:after="0" w:line="173" w:lineRule="exact"/>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140" w:lineRule="exact"/>
        <w:rPr>
          <w:sz w:val="24"/>
          <w:szCs w:val="24"/>
          <w:color w:val="auto"/>
        </w:rPr>
      </w:pPr>
    </w:p>
    <w:p>
      <w:pPr>
        <w:sectPr>
          <w:pgSz w:w="11900" w:h="16838" w:orient="portrait"/>
          <w:cols w:equalWidth="0" w:num="2">
            <w:col w:w="5300" w:space="720"/>
            <w:col w:w="5400"/>
          </w:cols>
          <w:pgMar w:left="240" w:top="435" w:right="239" w:bottom="1440" w:gutter="0" w:footer="0" w:header="0"/>
          <w:type w:val="continuous"/>
        </w:sectPr>
      </w:pPr>
    </w:p>
    <w:p>
      <w:pPr>
        <w:ind w:left="1840"/>
        <w:spacing w:after="0" w:line="173" w:lineRule="exact"/>
        <w:rPr>
          <w:sz w:val="20"/>
          <w:szCs w:val="20"/>
          <w:color w:val="auto"/>
        </w:rPr>
      </w:pP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194" w:lineRule="exact"/>
        <w:rPr>
          <w:sz w:val="24"/>
          <w:szCs w:val="24"/>
          <w:color w:val="auto"/>
        </w:rPr>
      </w:pPr>
    </w:p>
    <w:p>
      <w:pPr>
        <w:sectPr>
          <w:pgSz w:w="11900" w:h="16838" w:orient="portrait"/>
          <w:cols w:equalWidth="0" w:num="2">
            <w:col w:w="5300" w:space="720"/>
            <w:col w:w="5400"/>
          </w:cols>
          <w:pgMar w:left="240" w:top="435" w:right="239" w:bottom="1440" w:gutter="0" w:footer="0" w:header="0"/>
          <w:type w:val="continuous"/>
        </w:sectPr>
      </w:pPr>
    </w:p>
    <w:p>
      <w:pPr>
        <w:ind w:left="2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The aggregate market value of voting stock held by non-affiliates of the Registrant was approximately $50,071,417,931 as of June 29, 2007.</w:t>
      </w:r>
    </w:p>
    <w:p>
      <w:pPr>
        <w:spacing w:after="0" w:line="171" w:lineRule="exact"/>
        <w:rPr>
          <w:sz w:val="24"/>
          <w:szCs w:val="24"/>
          <w:color w:val="auto"/>
        </w:rPr>
      </w:pPr>
    </w:p>
    <w:p>
      <w:pPr>
        <w:ind w:left="2620"/>
        <w:spacing w:after="0"/>
        <w:rPr>
          <w:sz w:val="20"/>
          <w:szCs w:val="20"/>
          <w:color w:val="auto"/>
        </w:rPr>
      </w:pPr>
      <w:r>
        <w:rPr>
          <w:rFonts w:ascii="Arial" w:cs="Arial" w:eastAsia="Arial" w:hAnsi="Arial"/>
          <w:sz w:val="18"/>
          <w:szCs w:val="18"/>
          <w:color w:val="auto"/>
        </w:rPr>
        <w:t>1,326,319,251 (Number of shares of common stock outstanding as of January 31, 2008)</w:t>
      </w:r>
    </w:p>
    <w:p>
      <w:pPr>
        <w:spacing w:after="0" w:line="171" w:lineRule="exact"/>
        <w:rPr>
          <w:sz w:val="24"/>
          <w:szCs w:val="24"/>
          <w:color w:val="auto"/>
        </w:rPr>
      </w:pPr>
    </w:p>
    <w:p>
      <w:pPr>
        <w:ind w:right="220"/>
        <w:spacing w:after="0" w:line="268" w:lineRule="auto"/>
        <w:rPr>
          <w:sz w:val="20"/>
          <w:szCs w:val="20"/>
          <w:color w:val="auto"/>
        </w:rPr>
      </w:pPr>
      <w:r>
        <w:rPr>
          <w:rFonts w:ascii="Arial" w:cs="Arial" w:eastAsia="Arial" w:hAnsi="Arial"/>
          <w:sz w:val="18"/>
          <w:szCs w:val="18"/>
          <w:color w:val="auto"/>
        </w:rPr>
        <w:t>Parts I, II and IV hereof incorporate information by reference to the Registrant’s 2007 annual report to stockholders. Part III hereof incorporates information by reference to the Registrant’s proxy statement for the 2008 annual meeting of stockholders.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252095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35" w:right="2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Company Overview</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Texas Instruments Incorporated (TI) is headquartered in Dallas, Texas, and has manufacturing, design or sales operations in more than 25 countries. We had two business segments in 2007: 1) Semiconductor, which accounted for 96 percent of our revenue, and 2) Education Technology, which accounted for 4 percent of our revenue.</w:t>
      </w:r>
    </w:p>
    <w:p>
      <w:pPr>
        <w:spacing w:after="0" w:line="14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Financial information with respect to our business segments and our operations outside the United States is contained in the note to the financial statements captioned “Segment and Geographic Area Data” on pages 39 through 41 of TI’s 2007 annual report to stockholders. It is incorporated herein by reference to such annual report.</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company began operations in 1930 and is incorporated in Delaware.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Semiconductor Segment</w:t>
      </w:r>
    </w:p>
    <w:p>
      <w:pPr>
        <w:spacing w:after="0" w:line="96" w:lineRule="exact"/>
        <w:rPr>
          <w:sz w:val="20"/>
          <w:szCs w:val="20"/>
          <w:color w:val="auto"/>
        </w:rPr>
      </w:pPr>
    </w:p>
    <w:p>
      <w:pPr>
        <w:jc w:val="both"/>
        <w:ind w:right="240"/>
        <w:spacing w:after="0" w:line="306" w:lineRule="auto"/>
        <w:rPr>
          <w:sz w:val="20"/>
          <w:szCs w:val="20"/>
          <w:color w:val="auto"/>
        </w:rPr>
      </w:pPr>
      <w:r>
        <w:rPr>
          <w:rFonts w:ascii="Arial" w:cs="Arial" w:eastAsia="Arial" w:hAnsi="Arial"/>
          <w:sz w:val="16"/>
          <w:szCs w:val="16"/>
          <w:color w:val="auto"/>
        </w:rPr>
        <w:t>Semiconductors are electronic components that serve as the building blocks inside of modern electronic systems and equipment. Semiconductors come in two basic forms: individual transistors and integrated circuits (generally known as “chips”) that combine different transistors on a single piece of material to form a complete electronic circuit. Our Semiconductor segment designs, manufactures and sells integrated circuits.</w:t>
      </w:r>
    </w:p>
    <w:p>
      <w:pPr>
        <w:spacing w:after="0" w:line="107"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The global semiconductor market is characterized by constant, though generally incremental, advances in product designs and manufacturing methods. Typically, new chips are produced in limited quantities at first and then ramp to high-volume production over time. Chip prices and manufacturing costs tend to decline over time as manufacturing methods and product life cycles mature.</w:t>
      </w:r>
    </w:p>
    <w:p>
      <w:pPr>
        <w:spacing w:after="0" w:line="140"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“semiconductor cycle” is an important concept that refers to the ebb and flow of supply and demand. The semiconductor market historically has been characterized by periods of tight supply caused by strong demand and/or insufficient manufacturing capacity, followed by periods of surplus products caused by declining demand and/or excess manufacturing capacity. This cycle is affected by the significant time and money required to build and maintain semiconductor manufacturing facilities.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We were the world’s fourth largest semiconductor company in 2007 as measured by revenue, according to preliminary estimates from an external source.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Historically, our Semiconductor segment averages a significantly higher growth rate than our Education Technology segment.</w:t>
      </w:r>
    </w:p>
    <w:p>
      <w:pPr>
        <w:spacing w:after="0" w:line="165"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The majority of our Semiconductor revenue comes from our core products: analog semiconductors and digital signal processors, or DSPs. These products enhance, and often make possible, a variety of applications that serve the communications, computer, consumer electronics, automotive and industrial markets. We believe that virtually all of today’s electronic equipment requires some form of analog or digital signal processing.</w:t>
      </w:r>
    </w:p>
    <w:p>
      <w:pPr>
        <w:spacing w:after="0" w:line="134" w:lineRule="exact"/>
        <w:rPr>
          <w:sz w:val="20"/>
          <w:szCs w:val="20"/>
          <w:color w:val="auto"/>
        </w:rPr>
      </w:pPr>
    </w:p>
    <w:p>
      <w:pPr>
        <w:ind w:right="440"/>
        <w:spacing w:after="0" w:line="221" w:lineRule="auto"/>
        <w:rPr>
          <w:sz w:val="20"/>
          <w:szCs w:val="20"/>
          <w:color w:val="auto"/>
        </w:rPr>
      </w:pPr>
      <w:r>
        <w:rPr>
          <w:rFonts w:ascii="Arial" w:cs="Arial" w:eastAsia="Arial" w:hAnsi="Arial"/>
          <w:sz w:val="18"/>
          <w:szCs w:val="18"/>
          <w:color w:val="auto"/>
        </w:rPr>
        <w:t>We also design and manufacture other types of semiconductors, such as microcontrollers used in safety-critical automotive applications, DLP</w:t>
      </w:r>
      <w:r>
        <w:rPr>
          <w:rFonts w:ascii="Arial" w:cs="Arial" w:eastAsia="Arial" w:hAnsi="Arial"/>
          <w:sz w:val="22"/>
          <w:szCs w:val="22"/>
          <w:color w:val="auto"/>
          <w:vertAlign w:val="superscript"/>
        </w:rPr>
        <w:t>®</w:t>
      </w:r>
      <w:r>
        <w:rPr>
          <w:rFonts w:ascii="Arial" w:cs="Arial" w:eastAsia="Arial" w:hAnsi="Arial"/>
          <w:sz w:val="18"/>
          <w:szCs w:val="18"/>
          <w:color w:val="auto"/>
        </w:rPr>
        <w:t xml:space="preserve"> products that enable exceptionally clear video, and microprocessors that serve as the brains of high-end computer servers.</w:t>
      </w:r>
    </w:p>
    <w:p>
      <w:pPr>
        <w:spacing w:after="0" w:line="184"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Knowledge about the systems our products go into is becoming increasingly important, because it enables us to differentiate our product offerings for our customers. Where a customer may previously have required multiple chips for a system to operate, we are now integrating the functionality of those multiple chips onto a few or even a single chip because we have both the system-level knowledge and the manufacturing technology to do so. An example is our single-chip cell phone solution, which combines the functionality of many separate chips onto one. The digitization of electronics also requires more high-performance analog functionality. With expertise in both digital signal processing and analog at the system level, we believe we are one of a very few semiconductor companies capable of integrating both technologies onto a single chip.</w:t>
      </w:r>
    </w:p>
    <w:p>
      <w:pPr>
        <w:spacing w:after="0" w:line="120"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auto"/>
        </w:rPr>
        <w:t>In addition, we enable our customers, particularly original design manufacturers (ODMs), to take advantage of our system-level knowledge and thereby speed their time to market by making available to them standard chipsets and reference designs. (An ODM designs and manufactures products for other companies; those other companies then sell the products under their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 w:name="page3"/>
    <w:bookmarkEnd w:id="2"/>
    <w:p>
      <w:pPr>
        <w:ind w:right="2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own brands. A chipset is a group of integrated circuits based principally on our technology that are designed to work together for a specific application and are therefore packaged and sold as a unit. Reference designs are technical blueprints that contain all the essential elements of a system.) Customers using our reference designs, such as cell phone ODMs, may enhance or modify the design as they require. Our ability to deliver integrated solutions and system-level knowledge allows our customers to create more advanced systems and products.</w:t>
      </w:r>
    </w:p>
    <w:p>
      <w:pPr>
        <w:spacing w:after="0" w:line="143" w:lineRule="exact"/>
        <w:rPr>
          <w:sz w:val="20"/>
          <w:szCs w:val="20"/>
          <w:color w:val="auto"/>
        </w:rPr>
      </w:pPr>
    </w:p>
    <w:p>
      <w:pPr>
        <w:ind w:right="200"/>
        <w:spacing w:after="0" w:line="370" w:lineRule="auto"/>
        <w:rPr>
          <w:sz w:val="20"/>
          <w:szCs w:val="20"/>
          <w:color w:val="auto"/>
        </w:rPr>
      </w:pPr>
      <w:r>
        <w:rPr>
          <w:rFonts w:ascii="Arial" w:cs="Arial" w:eastAsia="Arial" w:hAnsi="Arial"/>
          <w:sz w:val="15"/>
          <w:szCs w:val="15"/>
          <w:color w:val="auto"/>
        </w:rPr>
        <w:t>In each of our product categories, we face significant competition. We believe that competitive performance in the semiconductor market depends upon several factors, including the breadth of a company’s product line, technological innovation, quality, reliability, price, customer service, technical support and scale.</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Following is detailed information on each product category:</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Analog</w:t>
      </w:r>
    </w:p>
    <w:p>
      <w:pPr>
        <w:spacing w:after="0" w:line="9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Analog semiconductors connect digital signal processors and other types of logic devices to the outside world, taking real-world signals, such as sound, temperature, pressure and visual images, conditioning them, amplifying them and converting them into digital form and back into real-world signals. They also help manage power distribution and consumption, aspects critical to today’s portable electronic devices.</w:t>
      </w:r>
    </w:p>
    <w:p>
      <w:pPr>
        <w:spacing w:after="0" w:line="14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analog semiconductor market is diverse and complex, and it is one of the largest sectors of the semiconductor industry. According to external sources, we are the world’s largest supplier of analog semiconductors. Analog chips generated about 40 percent of our Semiconductor revenue in 2007, and we expect analog to be the primary growth driver for the company in the years ahead.</w:t>
      </w:r>
    </w:p>
    <w:p>
      <w:pPr>
        <w:spacing w:after="0" w:line="140" w:lineRule="exact"/>
        <w:rPr>
          <w:sz w:val="20"/>
          <w:szCs w:val="20"/>
          <w:color w:val="auto"/>
        </w:rPr>
      </w:pPr>
    </w:p>
    <w:p>
      <w:pPr>
        <w:ind w:right="60"/>
        <w:spacing w:after="0" w:line="335" w:lineRule="auto"/>
        <w:rPr>
          <w:sz w:val="20"/>
          <w:szCs w:val="20"/>
          <w:color w:val="auto"/>
        </w:rPr>
      </w:pPr>
      <w:r>
        <w:rPr>
          <w:rFonts w:ascii="Arial" w:cs="Arial" w:eastAsia="Arial" w:hAnsi="Arial"/>
          <w:sz w:val="15"/>
          <w:szCs w:val="15"/>
          <w:color w:val="auto"/>
        </w:rPr>
        <w:t>Our analog product portfolio includes custom mixed-signal products that are designed to a particular customer’s or application’s specifications. These products account for about 50 percent of our analog revenue. The remainder of our analog revenue comes from standard products that are sold across a range of customers and applications. About 45 percent of our analog revenue is from high-performance standard products and about 5 percent is from commodity standard products.</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Many of our custom and standard products are proprietary and difficult for competitors to imitate. Many standard analog chips tend to have long life spans.</w:t>
      </w:r>
    </w:p>
    <w:p>
      <w:pPr>
        <w:spacing w:after="0" w:line="194"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Our mixed-signal products combine multiple types of analog functionality or analog and digital functions on a single chip. Purchasers of our custom mixed-signal products tend to be very large companies that require high-volume designs for specific applications such as communications, displays, printers and automotive. Entry into this market requires significant up-front investment as well as expertise in both analog and digital functionality. The primary competitive factors in this market include design proficiency, and manufacturing expertise and scale.</w:t>
      </w:r>
    </w:p>
    <w:p>
      <w:pPr>
        <w:spacing w:after="0" w:line="113"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 the standard analog chip sub-category known as high-performance analog, we have a portfolio of about 20,000 products, including data converters, amplifiers, power management devices and interface chips. Our high-performance analog products are used by more than 50,000 customers who incorporate our products into a variety of devices sold both in established markets such as for industrial, communications, computer and consumer devices, and in emerging product markets such as for medical devices. These products are sold primarily through distributors. Prices in this market tend to be stable, with relatively high gross profit margins. The primary competitive factors are a diverse product portfolio to meet wide-ranging customer needs, and manufacturing process technologies that provide differentiated levels of performance. Products with higher levels of performance tend to command a premium price.</w:t>
      </w:r>
    </w:p>
    <w:p>
      <w:pPr>
        <w:spacing w:after="0" w:line="12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other standard analog chips are commodity in nature. We design and manufacture thousands of low-cost, high-volume standard products that are sold primarily through distributors. End applications are very diverse and include portable electronic devices and communications. The primary competitive factors in this market are price and availability. Pricing is strongly influenced by supply and demand.</w:t>
      </w:r>
    </w:p>
    <w:p>
      <w:pPr>
        <w:spacing w:after="0" w:line="140" w:lineRule="exact"/>
        <w:rPr>
          <w:sz w:val="20"/>
          <w:szCs w:val="20"/>
          <w:color w:val="auto"/>
        </w:rPr>
      </w:pPr>
    </w:p>
    <w:p>
      <w:pPr>
        <w:ind w:right="500"/>
        <w:spacing w:after="0" w:line="259" w:lineRule="auto"/>
        <w:rPr>
          <w:sz w:val="20"/>
          <w:szCs w:val="20"/>
          <w:color w:val="auto"/>
        </w:rPr>
      </w:pPr>
      <w:r>
        <w:rPr>
          <w:rFonts w:ascii="Arial" w:cs="Arial" w:eastAsia="Arial" w:hAnsi="Arial"/>
          <w:sz w:val="18"/>
          <w:szCs w:val="18"/>
          <w:color w:val="auto"/>
        </w:rPr>
        <w:t>Overall in the analog market, we compete globally with numerous large and small companies, both broad-based suppliers and niche suppliers. Our primary competitors include Analog Devices, Inc.; Freescale Semiconductor, Inc.; Infineon Technologies AG; Linear Technology Corporation; Maxim Integrated Products, Inc.; National Semiconductor Corporation; NXP B.V.; and STMicroelectronics NV.</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3" w:name="page4"/>
    <w:bookmarkEnd w:id="3"/>
    <w:p>
      <w:pPr>
        <w:ind w:left="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Digital Signal Processors, or DSPs</w:t>
      </w:r>
    </w:p>
    <w:p>
      <w:pPr>
        <w:spacing w:after="0" w:line="9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DSPs use complex algorithms and compression techniques to alter and improve a data stream. DSPs perform these functions instantaneously and power-efficiently. These products are ideal for applications that require precise, real-time processing of real-world analog signals that have been converted into digital form. Their power efficiency is important for battery-powered devices.</w:t>
      </w:r>
    </w:p>
    <w:p>
      <w:pPr>
        <w:spacing w:after="0" w:line="140"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Combining DSP and analog functionality enables a broad range of significant applications. In a cell phone, the process works as follows: 1) the sender’s voice is picked up by an analog sensor in the cell phone’s microphone; 2) an analog-to-digital converter chip changes the analog sound waves of the sender’s voice into a digital code; 3) the DSP compresses these digital signals and removes background noise; and 4) in the listener’s cell phone, the digital code is converted back into the analog sound of the sender’s voice. All this happens in real time.</w:t>
      </w:r>
    </w:p>
    <w:p>
      <w:pPr>
        <w:spacing w:after="0" w:line="143"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We offer programmable DSPs, which, among other benefits, enable manufacturers to differentiate their product designs via software rather than having to design new hardware. According to external sources, we are the world’s largest DSP supplier. DSPs represent about 40 percent of our Semiconductor revenue.</w:t>
      </w:r>
    </w:p>
    <w:p>
      <w:pPr>
        <w:spacing w:after="0" w:line="85"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Our DSP portfolio includes custom, application-specific and standard products. Custom products are designed for specific customers with very high volumes in established markets. Application-specific products are implementations crafted for specific applications such as wireless infrastructure, VoIP (Voice over Internet Protocol) gateways, video image enhancement, medical, digital still cameras and residential gateways, to name a few. Our standard DSP products are sold into a broad range of applications and seed the next generation of signal-processing innovation.</w:t>
      </w:r>
    </w:p>
    <w:p>
      <w:pPr>
        <w:spacing w:after="0" w:line="11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About 80 percent of our DSP revenue comes from the cell phone market. To satisfy diverse customer needs, our portfolio of products for cell phone applications consists of both custom and standard products. These products are typically highly integrated semiconductor devices that allow our customers to differentiate their cell phone products from their competitors’ products through performance, long battery life, features or cost. Also included in our DSP-based wireless portfolio are the widely used OMAP™ processors, which are high-performance processors that enable multimedia applications in cell phones and other electronic devices.</w:t>
      </w:r>
    </w:p>
    <w:p>
      <w:pPr>
        <w:spacing w:after="0" w:line="14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 the DSP market, we compete globally with numerous large and small companies, both broad-based and niche suppliers of DSPs as well as suppliers of other technologies that deliver functionality that competes with DSPs. Primary competitive factors are the ability to design and cost-effectively manufacture products, system-level knowledge about targeted end markets, software expertise and applications support. Our primary competitors in the DSP market are Analog Devices, Inc.; Freescale Semiconductor, Inc.; Infineon Technologies AG; and NXP B.V. Others who offer competing technologies include Broadcom Corp.; Marvell Technology Group, Ltd.; MediaTek Inc.; and QUALCOMM Incorporated.</w:t>
      </w:r>
    </w:p>
    <w:p>
      <w:pPr>
        <w:spacing w:after="0" w:line="116"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Other Semiconductor Products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Our other Semiconductor products, which combined account for about 20 percent of our Semiconductor revenue, include the following: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DLP</w:t>
      </w:r>
      <w:r>
        <w:rPr>
          <w:rFonts w:ascii="Arial" w:cs="Arial" w:eastAsia="Arial" w:hAnsi="Arial"/>
          <w:sz w:val="22"/>
          <w:szCs w:val="22"/>
          <w:i w:val="1"/>
          <w:iCs w:val="1"/>
          <w:color w:val="auto"/>
          <w:vertAlign w:val="superscript"/>
        </w:rPr>
        <w:t>®</w:t>
      </w:r>
      <w:r>
        <w:rPr>
          <w:rFonts w:ascii="Arial" w:cs="Arial" w:eastAsia="Arial" w:hAnsi="Arial"/>
          <w:sz w:val="18"/>
          <w:szCs w:val="18"/>
          <w:i w:val="1"/>
          <w:iCs w:val="1"/>
          <w:color w:val="auto"/>
        </w:rPr>
        <w:t xml:space="preserve"> Products</w:t>
      </w:r>
    </w:p>
    <w:p>
      <w:pPr>
        <w:spacing w:after="0" w:line="7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Our DLP technology is a digital display technology used in projectors and high-definition televisions (HDTVs). Projectors based on this technology are used in businesses, homes, professional venues and increasingly in movie theaters. The technology consists of micro-electromechanical devices that use optical semiconductors to digitally manipulate light. At the center of every DLP product is an array of up to 2.2 million microscopic mirrors. Each mirror tilts back and forth thousands of times each second to create a high resolution, highly reliable, full color image. This technology is used by more than 50 of the world’s top projector and television manufacturers.</w:t>
      </w:r>
    </w:p>
    <w:p>
      <w:pPr>
        <w:spacing w:after="0" w:line="14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Our DLP technology competes against other display technologies such as liquid crystal display- (LCD) based projectors, and flat-screen LCD- and plasma-based HDTVs . The primary competitive elements in this market include picture quality, product form factors, reliability and price.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Reduced Instruction-Set Computing (RISC) Microprocessors</w:t>
      </w:r>
    </w:p>
    <w:p>
      <w:pPr>
        <w:spacing w:after="0" w:line="90" w:lineRule="exact"/>
        <w:rPr>
          <w:sz w:val="20"/>
          <w:szCs w:val="20"/>
          <w:color w:val="auto"/>
        </w:rPr>
      </w:pPr>
    </w:p>
    <w:p>
      <w:pPr>
        <w:ind w:right="460"/>
        <w:spacing w:after="0" w:line="370" w:lineRule="auto"/>
        <w:rPr>
          <w:sz w:val="20"/>
          <w:szCs w:val="20"/>
          <w:color w:val="auto"/>
        </w:rPr>
      </w:pPr>
      <w:r>
        <w:rPr>
          <w:rFonts w:ascii="Arial" w:cs="Arial" w:eastAsia="Arial" w:hAnsi="Arial"/>
          <w:sz w:val="15"/>
          <w:szCs w:val="15"/>
          <w:color w:val="auto"/>
        </w:rPr>
        <w:t>A microprocessor is the central processing unit of a computer system. RISC microprocessors are designed to provide very fast computing, typically for a specialized application such as servers. Our RISC products are primarily 64-bit microprocessors designed by Sun Microsystems, Inc. for use in Sun servers.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Microcontrollers</w:t>
      </w:r>
    </w:p>
    <w:p>
      <w:pPr>
        <w:spacing w:after="0" w:line="9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 microcontroller is a microprocessor designed to control a very specific task for electronic equipment. Key applications for our microcontrollers include personal medical, automotive, utility meters, portable consumer products, industrial applications, motor controls and digital power management. Primary competitive factors in this market include integration of control peripherals for reduced board space and number of components, ultra-low power consumption, an easy-to-use integrated development environment for fast system development and a broad range of microcontroller solutions for upgradeability and flexibility in system design.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Standard Logic</w:t>
      </w:r>
    </w:p>
    <w:p>
      <w:pPr>
        <w:spacing w:after="0" w:line="9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Standard logic devices are chips generally used to manage the interchange and manipulation of signals within a system. A substantial number of our standard logic products are considered commodities, for which price and delivery are the key competitive factors. We sell thousands of different standard logic products, primarily to distributors. End applications include consumer products and communications.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An additional source of revenue for TI is royalties received for our patented technology that we license to other electronics companies.</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Applications for Our Semiconductor Products</w:t>
      </w:r>
    </w:p>
    <w:p>
      <w:pPr>
        <w:spacing w:after="0" w:line="9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table below lists the major end markets that use our Semiconductor products and the approximate percentage of our Semiconductor revenue that the market represents. The chart also lists the most frequent applications and our products used within these key markets.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End Market</w:t>
            </w:r>
          </w:p>
        </w:tc>
        <w:tc>
          <w:tcPr>
            <w:tcW w:w="100" w:type="dxa"/>
            <w:vAlign w:val="bottom"/>
          </w:tcPr>
          <w:p>
            <w:pPr>
              <w:spacing w:after="0"/>
              <w:rPr>
                <w:sz w:val="15"/>
                <w:szCs w:val="15"/>
                <w:color w:val="auto"/>
              </w:rPr>
            </w:pPr>
          </w:p>
        </w:tc>
        <w:tc>
          <w:tcPr>
            <w:tcW w:w="7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Applications</w:t>
            </w:r>
          </w:p>
        </w:tc>
        <w:tc>
          <w:tcPr>
            <w:tcW w:w="100" w:type="dxa"/>
            <w:vAlign w:val="bottom"/>
          </w:tcPr>
          <w:p>
            <w:pPr>
              <w:spacing w:after="0"/>
              <w:rPr>
                <w:sz w:val="15"/>
                <w:szCs w:val="15"/>
                <w:color w:val="auto"/>
              </w:rPr>
            </w:pPr>
          </w:p>
        </w:tc>
        <w:tc>
          <w:tcPr>
            <w:tcW w:w="1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TI Products</w:t>
            </w:r>
          </w:p>
        </w:tc>
      </w:tr>
      <w:tr>
        <w:trPr>
          <w:trHeight w:val="201"/>
        </w:trPr>
        <w:tc>
          <w:tcPr>
            <w:tcW w:w="2400" w:type="dxa"/>
            <w:vAlign w:val="bottom"/>
          </w:tcPr>
          <w:p>
            <w:pPr>
              <w:spacing w:after="0" w:line="201" w:lineRule="exact"/>
              <w:rPr>
                <w:sz w:val="20"/>
                <w:szCs w:val="20"/>
                <w:color w:val="auto"/>
              </w:rPr>
            </w:pPr>
            <w:r>
              <w:rPr>
                <w:rFonts w:ascii="Arial" w:cs="Arial" w:eastAsia="Arial" w:hAnsi="Arial"/>
                <w:sz w:val="18"/>
                <w:szCs w:val="18"/>
                <w:b w:val="1"/>
                <w:bCs w:val="1"/>
                <w:color w:val="auto"/>
              </w:rPr>
              <w:t>Communications</w:t>
            </w:r>
          </w:p>
        </w:tc>
        <w:tc>
          <w:tcPr>
            <w:tcW w:w="100" w:type="dxa"/>
            <w:vAlign w:val="bottom"/>
          </w:tcPr>
          <w:p>
            <w:pPr>
              <w:spacing w:after="0"/>
              <w:rPr>
                <w:sz w:val="17"/>
                <w:szCs w:val="17"/>
                <w:color w:val="auto"/>
              </w:rPr>
            </w:pPr>
          </w:p>
        </w:tc>
        <w:tc>
          <w:tcPr>
            <w:tcW w:w="7420" w:type="dxa"/>
            <w:vAlign w:val="bottom"/>
          </w:tcPr>
          <w:p>
            <w:pPr>
              <w:spacing w:after="0" w:line="201" w:lineRule="exact"/>
              <w:rPr>
                <w:sz w:val="20"/>
                <w:szCs w:val="20"/>
                <w:color w:val="auto"/>
              </w:rPr>
            </w:pPr>
            <w:r>
              <w:rPr>
                <w:rFonts w:ascii="Arial" w:cs="Arial" w:eastAsia="Arial" w:hAnsi="Arial"/>
                <w:sz w:val="18"/>
                <w:szCs w:val="18"/>
                <w:color w:val="auto"/>
              </w:rPr>
              <w:t>Cell phones and infrastructure equipment (wireless)</w:t>
            </w:r>
          </w:p>
        </w:tc>
        <w:tc>
          <w:tcPr>
            <w:tcW w:w="100" w:type="dxa"/>
            <w:vAlign w:val="bottom"/>
          </w:tcPr>
          <w:p>
            <w:pPr>
              <w:spacing w:after="0"/>
              <w:rPr>
                <w:sz w:val="17"/>
                <w:szCs w:val="17"/>
                <w:color w:val="auto"/>
              </w:rPr>
            </w:pPr>
          </w:p>
        </w:tc>
        <w:tc>
          <w:tcPr>
            <w:tcW w:w="1400" w:type="dxa"/>
            <w:vAlign w:val="bottom"/>
          </w:tcPr>
          <w:p>
            <w:pPr>
              <w:spacing w:after="0" w:line="201" w:lineRule="exact"/>
              <w:rPr>
                <w:sz w:val="20"/>
                <w:szCs w:val="20"/>
                <w:color w:val="auto"/>
              </w:rPr>
            </w:pPr>
            <w:r>
              <w:rPr>
                <w:rFonts w:ascii="Arial" w:cs="Arial" w:eastAsia="Arial" w:hAnsi="Arial"/>
                <w:sz w:val="18"/>
                <w:szCs w:val="18"/>
                <w:color w:val="auto"/>
              </w:rPr>
              <w:t>DSP, Analog,</w:t>
            </w: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w w:val="90"/>
              </w:rPr>
              <w:t>(50% of Semiconductor revenue)</w:t>
            </w:r>
          </w:p>
        </w:tc>
        <w:tc>
          <w:tcPr>
            <w:tcW w:w="100" w:type="dxa"/>
            <w:vAlign w:val="bottom"/>
          </w:tcPr>
          <w:p>
            <w:pPr>
              <w:spacing w:after="0"/>
              <w:rPr>
                <w:sz w:val="18"/>
                <w:szCs w:val="18"/>
                <w:color w:val="auto"/>
              </w:rPr>
            </w:pPr>
          </w:p>
        </w:tc>
        <w:tc>
          <w:tcPr>
            <w:tcW w:w="7420" w:type="dxa"/>
            <w:vAlign w:val="bottom"/>
          </w:tcPr>
          <w:p>
            <w:pPr>
              <w:spacing w:after="0" w:line="217" w:lineRule="exact"/>
              <w:rPr>
                <w:sz w:val="20"/>
                <w:szCs w:val="20"/>
                <w:color w:val="auto"/>
              </w:rPr>
            </w:pPr>
            <w:r>
              <w:rPr>
                <w:rFonts w:ascii="Arial" w:cs="Arial" w:eastAsia="Arial" w:hAnsi="Arial"/>
                <w:sz w:val="18"/>
                <w:szCs w:val="18"/>
                <w:color w:val="auto"/>
                <w:w w:val="99"/>
              </w:rPr>
              <w:t>Mobile connectivity solutions (including wireless LAN, global positioning systems, Bluetooth</w:t>
            </w:r>
            <w:r>
              <w:rPr>
                <w:rFonts w:ascii="Arial" w:cs="Arial" w:eastAsia="Arial" w:hAnsi="Arial"/>
                <w:sz w:val="22"/>
                <w:szCs w:val="22"/>
                <w:color w:val="auto"/>
                <w:w w:val="99"/>
                <w:vertAlign w:val="superscript"/>
              </w:rPr>
              <w:t>®</w:t>
            </w: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Logic</w:t>
            </w:r>
          </w:p>
        </w:tc>
      </w:tr>
      <w:tr>
        <w:trPr>
          <w:trHeight w:val="216"/>
        </w:trPr>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Broadband (including high-speed wireless home networking, cable modem)</w:t>
            </w: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w w:val="91"/>
              </w:rPr>
              <w:t>High-frequency radio, telecom accessories (hands-free and voice-enhancement solutions), navigation</w:t>
            </w: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22"/>
        </w:trPr>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systems</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331"/>
        </w:trPr>
        <w:tc>
          <w:tcPr>
            <w:tcW w:w="2400" w:type="dxa"/>
            <w:vAlign w:val="bottom"/>
          </w:tcPr>
          <w:p>
            <w:pPr>
              <w:spacing w:after="0"/>
              <w:rPr>
                <w:sz w:val="20"/>
                <w:szCs w:val="20"/>
                <w:color w:val="auto"/>
              </w:rPr>
            </w:pPr>
            <w:r>
              <w:rPr>
                <w:rFonts w:ascii="Arial" w:cs="Arial" w:eastAsia="Arial" w:hAnsi="Arial"/>
                <w:sz w:val="18"/>
                <w:szCs w:val="18"/>
                <w:b w:val="1"/>
                <w:bCs w:val="1"/>
                <w:color w:val="auto"/>
              </w:rPr>
              <w:t>Computing</w:t>
            </w:r>
          </w:p>
        </w:tc>
        <w:tc>
          <w:tcPr>
            <w:tcW w:w="100" w:type="dxa"/>
            <w:vAlign w:val="bottom"/>
          </w:tcPr>
          <w:p>
            <w:pPr>
              <w:spacing w:after="0"/>
              <w:rPr>
                <w:sz w:val="24"/>
                <w:szCs w:val="24"/>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Printers</w:t>
            </w:r>
          </w:p>
        </w:tc>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Analog, DLP</w:t>
            </w: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w w:val="90"/>
              </w:rPr>
              <w:t>(25% of Semiconductor revenue)</w:t>
            </w:r>
          </w:p>
        </w:tc>
        <w:tc>
          <w:tcPr>
            <w:tcW w:w="10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Hard disk drives</w:t>
            </w:r>
          </w:p>
        </w:tc>
        <w:tc>
          <w:tcPr>
            <w:tcW w:w="10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products,</w:t>
            </w:r>
          </w:p>
        </w:tc>
      </w:tr>
      <w:tr>
        <w:trPr>
          <w:trHeight w:val="216"/>
        </w:trPr>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Monitors and projectors</w:t>
            </w:r>
          </w:p>
        </w:tc>
        <w:tc>
          <w:tcPr>
            <w:tcW w:w="10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Microprocessors,</w:t>
            </w:r>
          </w:p>
        </w:tc>
      </w:tr>
      <w:tr>
        <w:trPr>
          <w:trHeight w:val="222"/>
        </w:trPr>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Notebook and desktop personal computers and servers</w:t>
            </w:r>
          </w:p>
        </w:tc>
        <w:tc>
          <w:tcPr>
            <w:tcW w:w="100" w:type="dxa"/>
            <w:vAlign w:val="bottom"/>
          </w:tcPr>
          <w:p>
            <w:pPr>
              <w:spacing w:after="0"/>
              <w:rPr>
                <w:sz w:val="19"/>
                <w:szCs w:val="19"/>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Logic, DSP</w:t>
            </w:r>
          </w:p>
        </w:tc>
      </w:tr>
      <w:tr>
        <w:trPr>
          <w:trHeight w:val="331"/>
        </w:trPr>
        <w:tc>
          <w:tcPr>
            <w:tcW w:w="2400" w:type="dxa"/>
            <w:vAlign w:val="bottom"/>
          </w:tcPr>
          <w:p>
            <w:pPr>
              <w:spacing w:after="0"/>
              <w:rPr>
                <w:sz w:val="20"/>
                <w:szCs w:val="20"/>
                <w:color w:val="auto"/>
              </w:rPr>
            </w:pPr>
            <w:r>
              <w:rPr>
                <w:rFonts w:ascii="Arial" w:cs="Arial" w:eastAsia="Arial" w:hAnsi="Arial"/>
                <w:sz w:val="18"/>
                <w:szCs w:val="18"/>
                <w:b w:val="1"/>
                <w:bCs w:val="1"/>
                <w:color w:val="auto"/>
              </w:rPr>
              <w:t>Consumer Electronics</w:t>
            </w:r>
          </w:p>
        </w:tc>
        <w:tc>
          <w:tcPr>
            <w:tcW w:w="100" w:type="dxa"/>
            <w:vAlign w:val="bottom"/>
          </w:tcPr>
          <w:p>
            <w:pPr>
              <w:spacing w:after="0"/>
              <w:rPr>
                <w:sz w:val="24"/>
                <w:szCs w:val="24"/>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High-definition televisions</w:t>
            </w:r>
          </w:p>
        </w:tc>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DSP, Analog,</w:t>
            </w: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w w:val="90"/>
              </w:rPr>
              <w:t>(10% of Semiconductor revenue)</w:t>
            </w:r>
          </w:p>
        </w:tc>
        <w:tc>
          <w:tcPr>
            <w:tcW w:w="10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Digital still cameras</w:t>
            </w:r>
          </w:p>
        </w:tc>
        <w:tc>
          <w:tcPr>
            <w:tcW w:w="10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Logic, DLP</w:t>
            </w:r>
          </w:p>
        </w:tc>
      </w:tr>
      <w:tr>
        <w:trPr>
          <w:trHeight w:val="216"/>
        </w:trPr>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Digital audio players</w:t>
            </w:r>
          </w:p>
        </w:tc>
        <w:tc>
          <w:tcPr>
            <w:tcW w:w="10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products</w:t>
            </w:r>
          </w:p>
        </w:tc>
      </w:tr>
      <w:tr>
        <w:trPr>
          <w:trHeight w:val="216"/>
        </w:trPr>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Personal video players</w:t>
            </w: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Car audio (radios and CD players)</w:t>
            </w: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DVD players and recorders</w:t>
            </w: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Home theater systems</w:t>
            </w: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w w:val="92"/>
              </w:rPr>
              <w:t>Medical (biophysical monitoring, digital hearing aids, medical imagery, personal and portable medical</w:t>
            </w: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22"/>
        </w:trPr>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devices)</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331"/>
        </w:trPr>
        <w:tc>
          <w:tcPr>
            <w:tcW w:w="2400" w:type="dxa"/>
            <w:vAlign w:val="bottom"/>
          </w:tcPr>
          <w:p>
            <w:pPr>
              <w:spacing w:after="0"/>
              <w:rPr>
                <w:sz w:val="20"/>
                <w:szCs w:val="20"/>
                <w:color w:val="auto"/>
              </w:rPr>
            </w:pPr>
            <w:r>
              <w:rPr>
                <w:rFonts w:ascii="Arial" w:cs="Arial" w:eastAsia="Arial" w:hAnsi="Arial"/>
                <w:sz w:val="18"/>
                <w:szCs w:val="18"/>
                <w:b w:val="1"/>
                <w:bCs w:val="1"/>
                <w:color w:val="auto"/>
              </w:rPr>
              <w:t>Industrial</w:t>
            </w:r>
          </w:p>
        </w:tc>
        <w:tc>
          <w:tcPr>
            <w:tcW w:w="100" w:type="dxa"/>
            <w:vAlign w:val="bottom"/>
          </w:tcPr>
          <w:p>
            <w:pPr>
              <w:spacing w:after="0"/>
              <w:rPr>
                <w:sz w:val="24"/>
                <w:szCs w:val="24"/>
                <w:color w:val="auto"/>
              </w:rPr>
            </w:pPr>
          </w:p>
        </w:tc>
        <w:tc>
          <w:tcPr>
            <w:tcW w:w="7420" w:type="dxa"/>
            <w:vAlign w:val="bottom"/>
          </w:tcPr>
          <w:p>
            <w:pPr>
              <w:spacing w:after="0"/>
              <w:rPr>
                <w:sz w:val="20"/>
                <w:szCs w:val="20"/>
                <w:color w:val="auto"/>
              </w:rPr>
            </w:pPr>
            <w:r>
              <w:rPr>
                <w:rFonts w:ascii="Arial" w:cs="Arial" w:eastAsia="Arial" w:hAnsi="Arial"/>
                <w:sz w:val="18"/>
                <w:szCs w:val="18"/>
                <w:color w:val="auto"/>
                <w:w w:val="94"/>
              </w:rPr>
              <w:t>Controls (digital power controls (switch mode power supplies, uninterruptible power supply), motor</w:t>
            </w:r>
          </w:p>
        </w:tc>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Analog, Logic,</w:t>
            </w: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w w:val="90"/>
              </w:rPr>
              <w:t>(10% of Semiconductor revenue)</w:t>
            </w:r>
          </w:p>
        </w:tc>
        <w:tc>
          <w:tcPr>
            <w:tcW w:w="10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controls (heating/ventilation/air conditioning, industrial control motor drives, power tools,</w:t>
            </w:r>
          </w:p>
        </w:tc>
        <w:tc>
          <w:tcPr>
            <w:tcW w:w="10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DSP,</w:t>
            </w:r>
          </w:p>
        </w:tc>
      </w:tr>
      <w:tr>
        <w:trPr>
          <w:trHeight w:val="216"/>
        </w:trPr>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printers/copiers))</w:t>
            </w:r>
          </w:p>
        </w:tc>
        <w:tc>
          <w:tcPr>
            <w:tcW w:w="10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Microcontrollers</w:t>
            </w:r>
          </w:p>
        </w:tc>
      </w:tr>
      <w:tr>
        <w:trPr>
          <w:trHeight w:val="216"/>
        </w:trPr>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w w:val="90"/>
              </w:rPr>
              <w:t>Security (biometrics (fingerprint identification and authentication), intelligent sensing (smoke and glass-</w:t>
            </w: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22"/>
        </w:trPr>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breakage detection), video analytics (surveillance))</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331"/>
        </w:trPr>
        <w:tc>
          <w:tcPr>
            <w:tcW w:w="2400" w:type="dxa"/>
            <w:vAlign w:val="bottom"/>
          </w:tcPr>
          <w:p>
            <w:pPr>
              <w:spacing w:after="0"/>
              <w:rPr>
                <w:sz w:val="20"/>
                <w:szCs w:val="20"/>
                <w:color w:val="auto"/>
              </w:rPr>
            </w:pPr>
            <w:r>
              <w:rPr>
                <w:rFonts w:ascii="Arial" w:cs="Arial" w:eastAsia="Arial" w:hAnsi="Arial"/>
                <w:sz w:val="18"/>
                <w:szCs w:val="18"/>
                <w:b w:val="1"/>
                <w:bCs w:val="1"/>
                <w:color w:val="auto"/>
              </w:rPr>
              <w:t>Automotive</w:t>
            </w:r>
          </w:p>
        </w:tc>
        <w:tc>
          <w:tcPr>
            <w:tcW w:w="100" w:type="dxa"/>
            <w:vAlign w:val="bottom"/>
          </w:tcPr>
          <w:p>
            <w:pPr>
              <w:spacing w:after="0"/>
              <w:rPr>
                <w:sz w:val="24"/>
                <w:szCs w:val="24"/>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Body systems</w:t>
            </w:r>
          </w:p>
        </w:tc>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Microcontrollers,</w:t>
            </w: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w w:val="94"/>
              </w:rPr>
              <w:t>(5% of Semiconductor revenue)</w:t>
            </w:r>
          </w:p>
        </w:tc>
        <w:tc>
          <w:tcPr>
            <w:tcW w:w="10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Chassis systems</w:t>
            </w:r>
          </w:p>
        </w:tc>
        <w:tc>
          <w:tcPr>
            <w:tcW w:w="10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Analog, DSP,</w:t>
            </w:r>
          </w:p>
        </w:tc>
      </w:tr>
      <w:tr>
        <w:trPr>
          <w:trHeight w:val="216"/>
        </w:trPr>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Driver information/telemetrics</w:t>
            </w:r>
          </w:p>
        </w:tc>
        <w:tc>
          <w:tcPr>
            <w:tcW w:w="10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Logic</w:t>
            </w:r>
          </w:p>
        </w:tc>
      </w:tr>
      <w:tr>
        <w:trPr>
          <w:trHeight w:val="216"/>
        </w:trPr>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Entertainment</w:t>
            </w: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Powertrain</w:t>
            </w: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Safety systems</w:t>
            </w: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22"/>
        </w:trPr>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Security systems</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r>
    </w:tbl>
    <w:p>
      <w:pPr>
        <w:spacing w:after="0" w:line="169"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Manufacturing</w:t>
      </w:r>
    </w:p>
    <w:p>
      <w:pPr>
        <w:spacing w:after="0" w:line="9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Semiconductor manufacturing begins with the wafer fabrication manufacturing process: a sequence of photo-lithographic and chemical processing steps that fabricate a number of semiconductor devices on a thin silicon wafer. Each device on the wafer is tested and the wafer is cut into pieces called chips. Each chip is assembled into a package that then may be retested. The entire process typically requires between twelve and eighteen weeks and takes place in highly specialized facilities.</w:t>
      </w:r>
    </w:p>
    <w:p>
      <w:pPr>
        <w:sectPr>
          <w:pgSz w:w="11900" w:h="16838" w:orient="portrait"/>
          <w:cols w:equalWidth="0" w:num="1">
            <w:col w:w="11420"/>
          </w:cols>
          <w:pgMar w:left="240" w:top="280" w:right="239" w:bottom="1440" w:gutter="0" w:footer="0" w:header="0"/>
        </w:sectPr>
      </w:pP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280" w:right="239" w:bottom="1440" w:gutter="0" w:footer="0" w:header="0"/>
          <w:type w:val="continuous"/>
        </w:sectPr>
      </w:pPr>
    </w:p>
    <w:bookmarkStart w:id="5" w:name="page6"/>
    <w:bookmarkEnd w:id="5"/>
    <w:p>
      <w:pPr>
        <w:ind w:right="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Digital products require the most advanced and most capital-intensive wafer fabrication manufacturing processes and equipment. Digital products tend to move to more advanced processes and equipment every few years. As a result, maintaining an industry-leadership position in digital manufacturing requires significant capital spending, along with investment in research and development (R&amp;D), in order to develop new manufacturing processes and capabilities.</w:t>
      </w:r>
    </w:p>
    <w:p>
      <w:pPr>
        <w:spacing w:after="0" w:line="10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Analog products typically do not require the same level of advanced wafer fabrication manufacturing processes and equipment as digital products. Although analog products benefit from unique, proprietary manufacturing processes, these processes can be applied using older, less-expensive equipment. Additionally, analog manufacturing processes and equipment remain usable for production for much longer than digital manufacturing processes and equipment. Consequently, for equivalent capacity, the level of capital and R&amp;D spending needed to support analog manufacturing is considerably less than is needed for digital manufacturing.</w:t>
      </w:r>
    </w:p>
    <w:p>
      <w:pPr>
        <w:spacing w:after="0" w:line="143" w:lineRule="exact"/>
        <w:rPr>
          <w:sz w:val="20"/>
          <w:szCs w:val="20"/>
          <w:color w:val="auto"/>
        </w:rPr>
      </w:pPr>
    </w:p>
    <w:p>
      <w:pPr>
        <w:ind w:right="300"/>
        <w:spacing w:after="0" w:line="298" w:lineRule="auto"/>
        <w:rPr>
          <w:sz w:val="20"/>
          <w:szCs w:val="20"/>
          <w:color w:val="auto"/>
        </w:rPr>
      </w:pPr>
      <w:r>
        <w:rPr>
          <w:rFonts w:ascii="Arial" w:cs="Arial" w:eastAsia="Arial" w:hAnsi="Arial"/>
          <w:sz w:val="16"/>
          <w:szCs w:val="16"/>
          <w:color w:val="auto"/>
        </w:rPr>
        <w:t>We have semiconductor manufacturing facilities in North America, Asia and Europe. These facilities include high-volume wafer fabrication plants and assembly/test sites. To support our future manufacturing needs, our environmentally efficient Richardson, Texas wafer fabrication facility (RFAB) is complete and ready for equipment installation, allowing for rapid increases of digital or analog capacity whenever the market demands. In addition, an environmentally efficient assembly/test facility in the Philippines is now under construction, with initial production planned in the second half of 2008.</w:t>
      </w:r>
    </w:p>
    <w:p>
      <w:pPr>
        <w:spacing w:after="0" w:line="11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Our semiconductor manufacturing facilities require substantial investment to construct and are largely fixed-cost assets once operating. Because we own much of our manufacturing capacity, a significant portion of our operating costs are fixed. In general, these costs do not decline when customer demand or our capacity utilization rates drop, potentially hurting our profit margins. Conversely, as product demand rises and factory utilization increases, the fixed costs are spread over increased output, potentially benefiting our profit margins.</w:t>
      </w:r>
    </w:p>
    <w:p>
      <w:pPr>
        <w:spacing w:after="0" w:line="14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To supplement our internal wafer fabrication capacity, maximize our responsiveness to customer demand and minimize our overall capital expenditures, we have implemented a manufacturing strategy that utilizes the capacity of outside suppliers, commonly known as foundries. For advanced digital chips, our strategy involves installing internal wafer fabrication capacity to a level we believe will remain fully utilized over the equipment’s useful lifetime and then outsourcing remaining capacity needs to foundries. Currently, external foundries provide about 25 percent of our total wafers and about 50 percent of the wafers for our advanced digital products. We expect the proportion of our advanced digital wafers provided by foundries will increase over time. Conversely, we expect to install sufficient internal wafer fabrication capacity to meet substantially all our analog production needs.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6" w:name="page7"/>
    <w:bookmarkEnd w:id="6"/>
    <w:p>
      <w:pPr>
        <w:jc w:val="both"/>
        <w:ind w:right="2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addition to using foundries to supplement our wafer fabrication needs, we use subcontractors to supplement our assembly and test needs. We generally use subcontractors for assembly/test of products it would be less cost-efficient to complete in-house (e.g., relatively low-volume products that are unlikely to keep internal equipment fully utilized), or in the event demand temporarily exceeds our internal capacity.</w:t>
      </w:r>
    </w:p>
    <w:p>
      <w:pPr>
        <w:spacing w:after="0" w:line="10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This internal/external manufacturing strategy is designed to reduce the level of our required capital expenditures, and thereby reduce our subsequent levels of depreciation. Expected end results include less fluctuation in our profit margins due to changing product demand, and lower cash requirements for expanding and updating our manufacturing capabilities.</w:t>
      </w:r>
    </w:p>
    <w:p>
      <w:pPr>
        <w:spacing w:after="0" w:line="14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Another element of our manufacturing strategy for digital chips involves working collaboratively with our foundry suppliers to develop future generations of digital wafer fabrication manufacturing process technology. Historically, we have developed these manufacturing processes in-house. In 2007, we transitioned to a collaborative development model with our foundry suppliers. This strategic shift will allow us to better serve customers with cost-effective digital manufacturing process technology from our foundry suppliers, while also increasing the efficiency of our own R&amp;D and capital. We will continue to develop our own analog manufacturing process technologies.</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Inventory</w:t>
      </w:r>
    </w:p>
    <w:p>
      <w:pPr>
        <w:spacing w:after="0" w:line="90" w:lineRule="exact"/>
        <w:rPr>
          <w:sz w:val="20"/>
          <w:szCs w:val="20"/>
          <w:color w:val="auto"/>
        </w:rPr>
      </w:pPr>
    </w:p>
    <w:p>
      <w:pPr>
        <w:ind w:right="100"/>
        <w:spacing w:after="0" w:line="310" w:lineRule="auto"/>
        <w:rPr>
          <w:sz w:val="20"/>
          <w:szCs w:val="20"/>
          <w:color w:val="auto"/>
        </w:rPr>
      </w:pPr>
      <w:r>
        <w:rPr>
          <w:rFonts w:ascii="Arial" w:cs="Arial" w:eastAsia="Arial" w:hAnsi="Arial"/>
          <w:sz w:val="15"/>
          <w:szCs w:val="15"/>
          <w:color w:val="auto"/>
        </w:rPr>
        <w:t>Our inventory practices vary depending on the type of product. For standard products, where the risk of obsolescence is low, we generally carry higher levels of inventory. These products usually have many customers and long life cycles, and are often ordered in small quantities. Standard product inventory is sometimes held in unfinished wafer form, giving us greater flexibility to meet final package and test configurations. Examples of these products are high-performance analog, standard DSPs, and standard microcontrollers. For custom products, where the risk of obsolescence is higher, we carry lower levels of inventory when possible. These products usually have a single customer, are sold in high volumes and have comparatively shorter life cycles. Life cycles of these products are often determined by end-equipment upgrade cycles and can be as short as 12 to 24 months. Examples of these products are digital baseband processors for cell phones and custom application-specific analog and digital products. In addition, our inventory levels have increased over time due to the impact of consignment programs at our largest customers, our distributors’ desire to carry less inventory, and our increased mix of standard products such as high-performance analog.</w:t>
      </w:r>
    </w:p>
    <w:p>
      <w:pPr>
        <w:spacing w:after="0" w:line="10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Design Centers</w:t>
      </w:r>
    </w:p>
    <w:p>
      <w:pPr>
        <w:spacing w:after="0" w:line="90" w:lineRule="exact"/>
        <w:rPr>
          <w:sz w:val="20"/>
          <w:szCs w:val="20"/>
          <w:color w:val="auto"/>
        </w:rPr>
      </w:pPr>
    </w:p>
    <w:p>
      <w:pPr>
        <w:ind w:right="480"/>
        <w:spacing w:after="0" w:line="332" w:lineRule="auto"/>
        <w:rPr>
          <w:sz w:val="20"/>
          <w:szCs w:val="20"/>
          <w:color w:val="auto"/>
        </w:rPr>
      </w:pPr>
      <w:r>
        <w:rPr>
          <w:rFonts w:ascii="Arial" w:cs="Arial" w:eastAsia="Arial" w:hAnsi="Arial"/>
          <w:sz w:val="16"/>
          <w:szCs w:val="16"/>
          <w:color w:val="auto"/>
        </w:rPr>
        <w:t>Our design centers provide design, engineering and product application support as well as after-sales customer service. The design centers are strategically located around the world to take advantage of key technical and engineering talent and proximity to key customers.</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Customers</w:t>
      </w:r>
    </w:p>
    <w:p>
      <w:pPr>
        <w:spacing w:after="0" w:line="90"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Our Semiconductor products are sold to original equipment manufacturers (OEMs), ODMs, contract manufacturers and distributors. (An OEM designs and sells products under its own brand that it manufactures in-house or has manufactured by others.) Our largest single customer in 2007 was an OEM, the Nokia group of companies. Direct sales to Nokia were more than 15 percent of our revenue in 2007 and more than 10 percent of our revenue in 2006.</w:t>
      </w:r>
    </w:p>
    <w:p>
      <w:pPr>
        <w:spacing w:after="0" w:line="10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Sales and Distribution</w:t>
      </w:r>
    </w:p>
    <w:p>
      <w:pPr>
        <w:spacing w:after="0" w:line="9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market and sell our products through a direct sales force, distributors and authorized third-party sales representatives. We have sales or marketing offices in over 25 countries worldwide and have expanded our sales networks in the emerging markets of China, India and Eastern Europe. Distributors located around the world account for about 30 percent of our overall Semiconductor revenue, and a majority of our revenue from many standard products (e.g., high-performance analog, standard DSP and standard logic products). Our distributors maintain an inventory of our products and sell directly to a wide range of customers. They also sell products from our competitors.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Education Technology Segment</w:t>
      </w:r>
    </w:p>
    <w:p>
      <w:pPr>
        <w:spacing w:after="0" w:line="96"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Education Technology is a leading supplier of graphing handheld calculators. This business segment also provides its customers with business and scientific calculators and a wide range of advanced classroom tools and professional development resources to help students and teachers interactively explore math and science. Education Technology relies on third-party manufacturers to build its products. This segment contributed 4 percent of our 2007 revenue.</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280" w:right="299" w:bottom="1440" w:gutter="0" w:footer="0" w:header="0"/>
        </w:sectPr>
      </w:pPr>
    </w:p>
    <w:bookmarkStart w:id="7" w:name="page8"/>
    <w:bookmarkEnd w:id="7"/>
    <w:p>
      <w:pPr>
        <w:ind w:left="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Competition</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Our principal competitors in this business are United States- and Japan-based companies, including Casio Computer Co., Ltd. and Hewlett-Packard Company.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principal competitive factors are an understanding of the education market, technology expertise and price.</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Sales and Distribution</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Education Technology sells its products primarily through retailers and instructional dealers.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Acquisitions, Divestitures and Investments</w:t>
      </w:r>
    </w:p>
    <w:p>
      <w:pPr>
        <w:spacing w:after="0" w:line="96"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color w:val="auto"/>
        </w:rPr>
        <w:t>From time to time we consider acquisitions and divestitures that may strengthen or better focus our business portfolio. We also make investments directly or indirectly in private companies. Investments are focused primarily on next-generation technologies and markets strategic to us.</w:t>
      </w:r>
    </w:p>
    <w:p>
      <w:pPr>
        <w:spacing w:after="0" w:line="85"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In July 2007, we completed the sale of our broadband digital subscriber line (DSL) customer-premises equipment semiconductor product line to Infineon Technologies AG for $61 million.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Backlog</w:t>
      </w:r>
    </w:p>
    <w:p>
      <w:pPr>
        <w:spacing w:after="0" w:line="9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define backlog as of a particular date as firm purchase orders with a customer-requested delivery date within a specified length of time. As customer requirements and industry conditions change, orders may be, under certain circumstances, subject to cancellation or modification of terms such as pricing, quantity or delivery date. Customer order placement practices continually evolve based on customers’ individual business needs and capabilities, as well as industry supply and capacity considerations. Accordingly, we believe that our backlog at any particular date may not be indicative of revenue for any future period. Although we ship a substantial number of orders in the quarter in which they are received, our backlog of orders was $1.50 billion at December 31, 2007, and $1.64 billion at December 31, 2006.</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Raw Materials</w:t>
      </w:r>
    </w:p>
    <w:p>
      <w:pPr>
        <w:spacing w:after="0" w:line="9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purchase materials, parts and supplies from a number of suppliers. In some cases we purchase such items from sole source suppliers. The materials, parts and supplies essential to our business are generally available at present, and we believe that such materials, parts and supplies will be available in the foreseeable future.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Intellectual Property</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own many patents, and have many patent applications pending, in the United States and other countries in fields relating to our business. We have developed a strong, broad-based patent portfolio and continually add patents to that portfolio. We also have agreements with numerous companies involving license rights and anticipate that other license agreements may be negotiated in the future. In general, our license agreements have multi-year terms and may be renewed after renegotiation.</w:t>
      </w:r>
    </w:p>
    <w:p>
      <w:pPr>
        <w:spacing w:after="0" w:line="143" w:lineRule="exact"/>
        <w:rPr>
          <w:sz w:val="20"/>
          <w:szCs w:val="20"/>
          <w:color w:val="auto"/>
        </w:rPr>
      </w:pPr>
    </w:p>
    <w:p>
      <w:pPr>
        <w:jc w:val="both"/>
        <w:ind w:right="320"/>
        <w:spacing w:after="0" w:line="370" w:lineRule="auto"/>
        <w:rPr>
          <w:sz w:val="20"/>
          <w:szCs w:val="20"/>
          <w:color w:val="auto"/>
        </w:rPr>
      </w:pPr>
      <w:r>
        <w:rPr>
          <w:rFonts w:ascii="Arial" w:cs="Arial" w:eastAsia="Arial" w:hAnsi="Arial"/>
          <w:sz w:val="15"/>
          <w:szCs w:val="15"/>
          <w:color w:val="auto"/>
        </w:rPr>
        <w:t>Our Semiconductor patent portfolio is an ongoing contributor to Semiconductor revenue. We do not consider our business materially dependent upon any one patent or patent license, although taken as a whole, our rights and the products made and sold under patents and patent licenses are important to our business.</w:t>
      </w:r>
    </w:p>
    <w:p>
      <w:pPr>
        <w:spacing w:after="0" w:line="6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We often participate in industry initiatives to set technical standards. Our competitors may also participate in the same initiatives. Participation in these initiatives may require us to license our patents to other companies.</w:t>
      </w:r>
    </w:p>
    <w:p>
      <w:pPr>
        <w:spacing w:after="0" w:line="132" w:lineRule="exact"/>
        <w:rPr>
          <w:sz w:val="20"/>
          <w:szCs w:val="20"/>
          <w:color w:val="auto"/>
        </w:rPr>
      </w:pPr>
    </w:p>
    <w:p>
      <w:pPr>
        <w:ind w:right="140"/>
        <w:spacing w:after="0" w:line="304" w:lineRule="auto"/>
        <w:rPr>
          <w:sz w:val="20"/>
          <w:szCs w:val="20"/>
          <w:color w:val="auto"/>
        </w:rPr>
      </w:pPr>
      <w:r>
        <w:rPr>
          <w:rFonts w:ascii="Arial" w:cs="Arial" w:eastAsia="Arial" w:hAnsi="Arial"/>
          <w:sz w:val="18"/>
          <w:szCs w:val="18"/>
          <w:color w:val="auto"/>
        </w:rPr>
        <w:t>We own trademarks that are used in the conduct of our business. These trademarks are valuable assets, the most important of which are “Texas Instruments” and our corporate monogram. Other valuable trademarks include DLP</w:t>
      </w:r>
      <w:r>
        <w:rPr>
          <w:rFonts w:ascii="Arial" w:cs="Arial" w:eastAsia="Arial" w:hAnsi="Arial"/>
          <w:sz w:val="22"/>
          <w:szCs w:val="22"/>
          <w:i w:val="1"/>
          <w:iCs w:val="1"/>
          <w:color w:val="auto"/>
          <w:vertAlign w:val="superscript"/>
        </w:rPr>
        <w:t>®</w:t>
      </w:r>
      <w:r>
        <w:rPr>
          <w:rFonts w:ascii="Arial" w:cs="Arial" w:eastAsia="Arial" w:hAnsi="Arial"/>
          <w:sz w:val="18"/>
          <w:szCs w:val="18"/>
          <w:color w:val="auto"/>
        </w:rPr>
        <w:t xml:space="preserve"> and OMAP</w:t>
      </w:r>
      <w:r>
        <w:rPr>
          <w:rFonts w:ascii="Arial" w:cs="Arial" w:eastAsia="Arial" w:hAnsi="Arial"/>
          <w:sz w:val="22"/>
          <w:szCs w:val="22"/>
          <w:color w:val="auto"/>
          <w:vertAlign w:val="superscript"/>
        </w:rPr>
        <w:t>TM</w:t>
      </w:r>
      <w:r>
        <w:rPr>
          <w:rFonts w:ascii="Arial" w:cs="Arial" w:eastAsia="Arial" w:hAnsi="Arial"/>
          <w:sz w:val="18"/>
          <w:szCs w:val="18"/>
          <w:color w:val="auto"/>
        </w:rPr>
        <w: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Research and Development</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Our primary area of R&amp;D investment is semiconductor products and semiconductor manufacturing technology. We conduct most of our R&amp;D internally.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However, we also closely engage with a wide range of external industry consortia and universities and collaborate with our foundry suppliers.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8" w:name="page9"/>
    <w:bookmarkEnd w:id="8"/>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From time to time we may terminate R&amp;D projects before completion or decide not to manufacture and sell a developed product. We do not expect that all of our R&amp;D projects will result in products that are ultimately released for sale or that our projects will contribute to revenue until at least a few years following completion.</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Our R&amp;D expense was $2.15 billion in 2007, compared with $2.20 billion in 2006 and $1.99 billion in 2005.</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Seasonality</w:t>
      </w:r>
    </w:p>
    <w:p>
      <w:pPr>
        <w:spacing w:after="0" w:line="9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Our revenue and operating results are subject to some seasonal variation. Education Technology experiences its strongest results in the second and third quarters in preparation for the back-to-school season. The Semiconductor segment generally is seasonally weaker in the first quarter than it is in other quarters, particularly for products sold into cell phone and consumer electronics applications that have stronger sales later in the year as manufacturers prepare for the holiday selling season.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Executive Officers of the Registrant</w:t>
      </w:r>
    </w:p>
    <w:p>
      <w:pPr>
        <w:spacing w:after="0" w:line="9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following is an alphabetical list of the names and ages of the executive officers of the company and the positions or offices with the company presently held by each person named:</w:t>
      </w:r>
    </w:p>
    <w:p>
      <w:pPr>
        <w:spacing w:after="0" w:line="168"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2500" w:type="dxa"/>
            <w:vAlign w:val="bottom"/>
          </w:tcPr>
          <w:p>
            <w:pPr>
              <w:spacing w:after="0"/>
              <w:rPr>
                <w:sz w:val="14"/>
                <w:szCs w:val="14"/>
                <w:color w:val="auto"/>
              </w:rPr>
            </w:pPr>
          </w:p>
        </w:tc>
        <w:tc>
          <w:tcPr>
            <w:tcW w:w="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840" w:type="dxa"/>
            <w:vAlign w:val="bottom"/>
          </w:tcPr>
          <w:p>
            <w:pPr>
              <w:spacing w:after="0"/>
              <w:rPr>
                <w:sz w:val="14"/>
                <w:szCs w:val="14"/>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Position</w:t>
            </w:r>
          </w:p>
        </w:tc>
        <w:tc>
          <w:tcPr>
            <w:tcW w:w="3520" w:type="dxa"/>
            <w:vAlign w:val="bottom"/>
          </w:tcPr>
          <w:p>
            <w:pPr>
              <w:spacing w:after="0"/>
              <w:rPr>
                <w:sz w:val="14"/>
                <w:szCs w:val="14"/>
                <w:color w:val="auto"/>
              </w:rPr>
            </w:pPr>
          </w:p>
        </w:tc>
      </w:tr>
      <w:tr>
        <w:trPr>
          <w:trHeight w:val="201"/>
        </w:trPr>
        <w:tc>
          <w:tcPr>
            <w:tcW w:w="2860" w:type="dxa"/>
            <w:vAlign w:val="bottom"/>
            <w:gridSpan w:val="2"/>
          </w:tcPr>
          <w:p>
            <w:pPr>
              <w:spacing w:after="0" w:line="201" w:lineRule="exact"/>
              <w:rPr>
                <w:sz w:val="20"/>
                <w:szCs w:val="20"/>
                <w:color w:val="auto"/>
              </w:rPr>
            </w:pPr>
            <w:r>
              <w:rPr>
                <w:rFonts w:ascii="Arial" w:cs="Arial" w:eastAsia="Arial" w:hAnsi="Arial"/>
                <w:sz w:val="18"/>
                <w:szCs w:val="18"/>
                <w:color w:val="auto"/>
              </w:rPr>
              <w:t>R. Gregory Delagi</w:t>
            </w:r>
          </w:p>
        </w:tc>
        <w:tc>
          <w:tcPr>
            <w:tcW w:w="240" w:type="dxa"/>
            <w:vAlign w:val="bottom"/>
          </w:tcPr>
          <w:p>
            <w:pPr>
              <w:jc w:val="center"/>
              <w:spacing w:after="0" w:line="201" w:lineRule="exact"/>
              <w:rPr>
                <w:sz w:val="20"/>
                <w:szCs w:val="20"/>
                <w:color w:val="auto"/>
              </w:rPr>
            </w:pPr>
            <w:r>
              <w:rPr>
                <w:rFonts w:ascii="Arial" w:cs="Arial" w:eastAsia="Arial" w:hAnsi="Arial"/>
                <w:sz w:val="18"/>
                <w:szCs w:val="18"/>
                <w:color w:val="auto"/>
                <w:w w:val="89"/>
              </w:rPr>
              <w:t>45</w:t>
            </w:r>
          </w:p>
        </w:tc>
        <w:tc>
          <w:tcPr>
            <w:tcW w:w="840" w:type="dxa"/>
            <w:vAlign w:val="bottom"/>
          </w:tcPr>
          <w:p>
            <w:pPr>
              <w:spacing w:after="0"/>
              <w:rPr>
                <w:sz w:val="17"/>
                <w:szCs w:val="17"/>
                <w:color w:val="auto"/>
              </w:rPr>
            </w:pPr>
          </w:p>
        </w:tc>
        <w:tc>
          <w:tcPr>
            <w:tcW w:w="480" w:type="dxa"/>
            <w:vAlign w:val="bottom"/>
          </w:tcPr>
          <w:p>
            <w:pPr>
              <w:spacing w:after="0" w:line="201" w:lineRule="exact"/>
              <w:rPr>
                <w:sz w:val="20"/>
                <w:szCs w:val="20"/>
                <w:color w:val="auto"/>
              </w:rPr>
            </w:pPr>
            <w:r>
              <w:rPr>
                <w:rFonts w:ascii="Arial" w:cs="Arial" w:eastAsia="Arial" w:hAnsi="Arial"/>
                <w:sz w:val="18"/>
                <w:szCs w:val="18"/>
                <w:color w:val="auto"/>
                <w:w w:val="88"/>
              </w:rPr>
              <w:t>Senior</w:t>
            </w:r>
          </w:p>
        </w:tc>
        <w:tc>
          <w:tcPr>
            <w:tcW w:w="3520" w:type="dxa"/>
            <w:vAlign w:val="bottom"/>
          </w:tcPr>
          <w:p>
            <w:pPr>
              <w:ind w:left="20"/>
              <w:spacing w:after="0" w:line="201" w:lineRule="exact"/>
              <w:rPr>
                <w:sz w:val="20"/>
                <w:szCs w:val="20"/>
                <w:color w:val="auto"/>
              </w:rPr>
            </w:pPr>
            <w:r>
              <w:rPr>
                <w:rFonts w:ascii="Arial" w:cs="Arial" w:eastAsia="Arial" w:hAnsi="Arial"/>
                <w:sz w:val="18"/>
                <w:szCs w:val="18"/>
                <w:color w:val="auto"/>
              </w:rPr>
              <w:t>Vice President</w:t>
            </w:r>
          </w:p>
        </w:tc>
      </w:tr>
      <w:tr>
        <w:trPr>
          <w:trHeight w:val="216"/>
        </w:trPr>
        <w:tc>
          <w:tcPr>
            <w:tcW w:w="2860" w:type="dxa"/>
            <w:vAlign w:val="bottom"/>
            <w:gridSpan w:val="2"/>
          </w:tcPr>
          <w:p>
            <w:pPr>
              <w:spacing w:after="0"/>
              <w:rPr>
                <w:sz w:val="20"/>
                <w:szCs w:val="20"/>
                <w:color w:val="auto"/>
              </w:rPr>
            </w:pPr>
            <w:r>
              <w:rPr>
                <w:rFonts w:ascii="Arial" w:cs="Arial" w:eastAsia="Arial" w:hAnsi="Arial"/>
                <w:sz w:val="18"/>
                <w:szCs w:val="18"/>
                <w:color w:val="auto"/>
              </w:rPr>
              <w:t>Thomas J. Engibous</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84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Director; Chairman of the Board</w:t>
            </w:r>
          </w:p>
        </w:tc>
      </w:tr>
      <w:tr>
        <w:trPr>
          <w:trHeight w:val="216"/>
        </w:trPr>
        <w:tc>
          <w:tcPr>
            <w:tcW w:w="2860" w:type="dxa"/>
            <w:vAlign w:val="bottom"/>
            <w:gridSpan w:val="2"/>
          </w:tcPr>
          <w:p>
            <w:pPr>
              <w:spacing w:after="0"/>
              <w:rPr>
                <w:sz w:val="20"/>
                <w:szCs w:val="20"/>
                <w:color w:val="auto"/>
              </w:rPr>
            </w:pPr>
            <w:r>
              <w:rPr>
                <w:rFonts w:ascii="Arial" w:cs="Arial" w:eastAsia="Arial" w:hAnsi="Arial"/>
                <w:sz w:val="18"/>
                <w:szCs w:val="18"/>
                <w:color w:val="auto"/>
              </w:rPr>
              <w:t>Arthur L. George, Jr.</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84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Senior Vice President</w:t>
            </w:r>
          </w:p>
        </w:tc>
      </w:tr>
      <w:tr>
        <w:trPr>
          <w:trHeight w:val="216"/>
        </w:trPr>
        <w:tc>
          <w:tcPr>
            <w:tcW w:w="2860" w:type="dxa"/>
            <w:vAlign w:val="bottom"/>
            <w:gridSpan w:val="2"/>
          </w:tcPr>
          <w:p>
            <w:pPr>
              <w:spacing w:after="0"/>
              <w:rPr>
                <w:sz w:val="20"/>
                <w:szCs w:val="20"/>
                <w:color w:val="auto"/>
              </w:rPr>
            </w:pPr>
            <w:r>
              <w:rPr>
                <w:rFonts w:ascii="Arial" w:cs="Arial" w:eastAsia="Arial" w:hAnsi="Arial"/>
                <w:sz w:val="18"/>
                <w:szCs w:val="18"/>
                <w:color w:val="auto"/>
              </w:rPr>
              <w:t>Michael J. Hames</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84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Senior Vice President</w:t>
            </w:r>
          </w:p>
        </w:tc>
      </w:tr>
      <w:tr>
        <w:trPr>
          <w:trHeight w:val="216"/>
        </w:trPr>
        <w:tc>
          <w:tcPr>
            <w:tcW w:w="2860" w:type="dxa"/>
            <w:vAlign w:val="bottom"/>
            <w:gridSpan w:val="2"/>
          </w:tcPr>
          <w:p>
            <w:pPr>
              <w:spacing w:after="0"/>
              <w:rPr>
                <w:sz w:val="20"/>
                <w:szCs w:val="20"/>
                <w:color w:val="auto"/>
              </w:rPr>
            </w:pPr>
            <w:r>
              <w:rPr>
                <w:rFonts w:ascii="Arial" w:cs="Arial" w:eastAsia="Arial" w:hAnsi="Arial"/>
                <w:sz w:val="18"/>
                <w:szCs w:val="18"/>
                <w:color w:val="auto"/>
              </w:rPr>
              <w:t>David K. Heacock</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84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Senior Vice President</w:t>
            </w:r>
          </w:p>
        </w:tc>
      </w:tr>
      <w:tr>
        <w:trPr>
          <w:trHeight w:val="216"/>
        </w:trPr>
        <w:tc>
          <w:tcPr>
            <w:tcW w:w="2860" w:type="dxa"/>
            <w:vAlign w:val="bottom"/>
            <w:gridSpan w:val="2"/>
          </w:tcPr>
          <w:p>
            <w:pPr>
              <w:spacing w:after="0"/>
              <w:rPr>
                <w:sz w:val="20"/>
                <w:szCs w:val="20"/>
                <w:color w:val="auto"/>
              </w:rPr>
            </w:pPr>
            <w:r>
              <w:rPr>
                <w:rFonts w:ascii="Arial" w:cs="Arial" w:eastAsia="Arial" w:hAnsi="Arial"/>
                <w:sz w:val="18"/>
                <w:szCs w:val="18"/>
                <w:color w:val="auto"/>
              </w:rPr>
              <w:t>Joseph F. Hubach</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84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w w:val="91"/>
              </w:rPr>
              <w:t>Senior Vice President, Secretary and General Counsel</w:t>
            </w:r>
          </w:p>
        </w:tc>
      </w:tr>
      <w:tr>
        <w:trPr>
          <w:trHeight w:val="216"/>
        </w:trPr>
        <w:tc>
          <w:tcPr>
            <w:tcW w:w="2860" w:type="dxa"/>
            <w:vAlign w:val="bottom"/>
            <w:gridSpan w:val="2"/>
          </w:tcPr>
          <w:p>
            <w:pPr>
              <w:spacing w:after="0"/>
              <w:rPr>
                <w:sz w:val="20"/>
                <w:szCs w:val="20"/>
                <w:color w:val="auto"/>
              </w:rPr>
            </w:pPr>
            <w:r>
              <w:rPr>
                <w:rFonts w:ascii="Arial" w:cs="Arial" w:eastAsia="Arial" w:hAnsi="Arial"/>
                <w:sz w:val="18"/>
                <w:szCs w:val="18"/>
                <w:color w:val="auto"/>
              </w:rPr>
              <w:t>Melendy E. Lovett</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84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w w:val="87"/>
              </w:rPr>
              <w:t>Senior Vice President (President, Education Technology)</w:t>
            </w:r>
          </w:p>
        </w:tc>
      </w:tr>
      <w:tr>
        <w:trPr>
          <w:trHeight w:val="216"/>
        </w:trPr>
        <w:tc>
          <w:tcPr>
            <w:tcW w:w="2860" w:type="dxa"/>
            <w:vAlign w:val="bottom"/>
            <w:gridSpan w:val="2"/>
          </w:tcPr>
          <w:p>
            <w:pPr>
              <w:spacing w:after="0"/>
              <w:rPr>
                <w:sz w:val="20"/>
                <w:szCs w:val="20"/>
                <w:color w:val="auto"/>
              </w:rPr>
            </w:pPr>
            <w:r>
              <w:rPr>
                <w:rFonts w:ascii="Arial" w:cs="Arial" w:eastAsia="Arial" w:hAnsi="Arial"/>
                <w:sz w:val="18"/>
                <w:szCs w:val="18"/>
                <w:color w:val="auto"/>
              </w:rPr>
              <w:t>Gregg A. Lowe</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84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Senior Vice President</w:t>
            </w:r>
          </w:p>
        </w:tc>
      </w:tr>
      <w:tr>
        <w:trPr>
          <w:trHeight w:val="216"/>
        </w:trPr>
        <w:tc>
          <w:tcPr>
            <w:tcW w:w="2860" w:type="dxa"/>
            <w:vAlign w:val="bottom"/>
            <w:gridSpan w:val="2"/>
          </w:tcPr>
          <w:p>
            <w:pPr>
              <w:spacing w:after="0"/>
              <w:rPr>
                <w:sz w:val="20"/>
                <w:szCs w:val="20"/>
                <w:color w:val="auto"/>
              </w:rPr>
            </w:pPr>
            <w:r>
              <w:rPr>
                <w:rFonts w:ascii="Arial" w:cs="Arial" w:eastAsia="Arial" w:hAnsi="Arial"/>
                <w:sz w:val="18"/>
                <w:szCs w:val="18"/>
                <w:color w:val="auto"/>
              </w:rPr>
              <w:t>Kevin P. March</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84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Senior Vice President and Chief Financial Officer</w:t>
            </w:r>
          </w:p>
        </w:tc>
      </w:tr>
      <w:tr>
        <w:trPr>
          <w:trHeight w:val="216"/>
        </w:trPr>
        <w:tc>
          <w:tcPr>
            <w:tcW w:w="2860" w:type="dxa"/>
            <w:vAlign w:val="bottom"/>
            <w:gridSpan w:val="2"/>
          </w:tcPr>
          <w:p>
            <w:pPr>
              <w:spacing w:after="0"/>
              <w:rPr>
                <w:sz w:val="20"/>
                <w:szCs w:val="20"/>
                <w:color w:val="auto"/>
              </w:rPr>
            </w:pPr>
            <w:r>
              <w:rPr>
                <w:rFonts w:ascii="Arial" w:cs="Arial" w:eastAsia="Arial" w:hAnsi="Arial"/>
                <w:sz w:val="18"/>
                <w:szCs w:val="18"/>
                <w:color w:val="auto"/>
              </w:rPr>
              <w:t>Kevin J. Ritchie</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84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Senior Vice President</w:t>
            </w:r>
          </w:p>
        </w:tc>
      </w:tr>
      <w:tr>
        <w:trPr>
          <w:trHeight w:val="216"/>
        </w:trPr>
        <w:tc>
          <w:tcPr>
            <w:tcW w:w="2860" w:type="dxa"/>
            <w:vAlign w:val="bottom"/>
            <w:gridSpan w:val="2"/>
          </w:tcPr>
          <w:p>
            <w:pPr>
              <w:spacing w:after="0"/>
              <w:rPr>
                <w:sz w:val="20"/>
                <w:szCs w:val="20"/>
                <w:color w:val="auto"/>
              </w:rPr>
            </w:pPr>
            <w:r>
              <w:rPr>
                <w:rFonts w:ascii="Arial" w:cs="Arial" w:eastAsia="Arial" w:hAnsi="Arial"/>
                <w:sz w:val="18"/>
                <w:szCs w:val="18"/>
                <w:color w:val="auto"/>
              </w:rPr>
              <w:t>Richard K. Templeton</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84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Director; President and Chief Executive Officer</w:t>
            </w:r>
          </w:p>
        </w:tc>
      </w:tr>
      <w:tr>
        <w:trPr>
          <w:trHeight w:val="216"/>
        </w:trPr>
        <w:tc>
          <w:tcPr>
            <w:tcW w:w="2860" w:type="dxa"/>
            <w:vAlign w:val="bottom"/>
            <w:gridSpan w:val="2"/>
          </w:tcPr>
          <w:p>
            <w:pPr>
              <w:spacing w:after="0"/>
              <w:rPr>
                <w:sz w:val="20"/>
                <w:szCs w:val="20"/>
                <w:color w:val="auto"/>
              </w:rPr>
            </w:pPr>
            <w:r>
              <w:rPr>
                <w:rFonts w:ascii="Arial" w:cs="Arial" w:eastAsia="Arial" w:hAnsi="Arial"/>
                <w:sz w:val="18"/>
                <w:szCs w:val="18"/>
                <w:color w:val="auto"/>
              </w:rPr>
              <w:t>John C. Van Scoter</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84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Senior Vice President</w:t>
            </w:r>
          </w:p>
        </w:tc>
      </w:tr>
      <w:tr>
        <w:trPr>
          <w:trHeight w:val="216"/>
        </w:trPr>
        <w:tc>
          <w:tcPr>
            <w:tcW w:w="2860" w:type="dxa"/>
            <w:vAlign w:val="bottom"/>
            <w:gridSpan w:val="2"/>
          </w:tcPr>
          <w:p>
            <w:pPr>
              <w:spacing w:after="0"/>
              <w:rPr>
                <w:sz w:val="20"/>
                <w:szCs w:val="20"/>
                <w:color w:val="auto"/>
              </w:rPr>
            </w:pPr>
            <w:r>
              <w:rPr>
                <w:rFonts w:ascii="Arial" w:cs="Arial" w:eastAsia="Arial" w:hAnsi="Arial"/>
                <w:sz w:val="18"/>
                <w:szCs w:val="18"/>
                <w:color w:val="auto"/>
              </w:rPr>
              <w:t>Teresa L. West</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84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Senior Vice President</w:t>
            </w:r>
          </w:p>
        </w:tc>
      </w:tr>
      <w:tr>
        <w:trPr>
          <w:trHeight w:val="222"/>
        </w:trPr>
        <w:tc>
          <w:tcPr>
            <w:tcW w:w="2860" w:type="dxa"/>
            <w:vAlign w:val="bottom"/>
            <w:gridSpan w:val="2"/>
          </w:tcPr>
          <w:p>
            <w:pPr>
              <w:spacing w:after="0"/>
              <w:rPr>
                <w:sz w:val="20"/>
                <w:szCs w:val="20"/>
                <w:color w:val="auto"/>
              </w:rPr>
            </w:pPr>
            <w:r>
              <w:rPr>
                <w:rFonts w:ascii="Arial" w:cs="Arial" w:eastAsia="Arial" w:hAnsi="Arial"/>
                <w:sz w:val="18"/>
                <w:szCs w:val="18"/>
                <w:color w:val="auto"/>
              </w:rPr>
              <w:t>Darla H. Whitaker</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42</w:t>
            </w:r>
          </w:p>
        </w:tc>
        <w:tc>
          <w:tcPr>
            <w:tcW w:w="840" w:type="dxa"/>
            <w:vAlign w:val="bottom"/>
          </w:tcPr>
          <w:p>
            <w:pPr>
              <w:spacing w:after="0"/>
              <w:rPr>
                <w:sz w:val="19"/>
                <w:szCs w:val="19"/>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Senior Vice President</w:t>
            </w:r>
          </w:p>
        </w:tc>
      </w:tr>
    </w:tbl>
    <w:p>
      <w:pPr>
        <w:spacing w:after="0" w:line="15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term of office of the above-listed officers is from the date of their election until their successor shall have been elected and qualified. As we announced on January 17, 2008, Mr. Engibous will retire immediately after our 2008 stockholders meeting on April 17. All executive officers of the company have been employees of the company for more than five years. Ms. West and Messrs. Engibous, Hames, Hubach, Lowe and Templeton have served as executive officers of the company for more than five years. Mr. March became an executive officer of the company in 2003. Ms. Lovett and Mr. Ritchie became executive officers of the company in 2004. Mr. Van Scoter became an executive officer of the company in 2005. Mr. George and Ms. Whitaker became executive officers of the company in 2006. Messrs. Delagi and Heacock became executive officers of the company in 2007.</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Employees</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At December 31, 2007, we had 30,175 employees.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Available Information</w:t>
      </w:r>
    </w:p>
    <w:p>
      <w:pPr>
        <w:spacing w:after="0" w:line="96" w:lineRule="exact"/>
        <w:rPr>
          <w:sz w:val="20"/>
          <w:szCs w:val="20"/>
          <w:color w:val="auto"/>
        </w:rPr>
      </w:pPr>
    </w:p>
    <w:p>
      <w:pPr>
        <w:spacing w:after="0" w:line="335" w:lineRule="auto"/>
        <w:rPr>
          <w:sz w:val="20"/>
          <w:szCs w:val="20"/>
          <w:color w:val="auto"/>
        </w:rPr>
      </w:pPr>
      <w:r>
        <w:rPr>
          <w:rFonts w:ascii="Arial" w:cs="Arial" w:eastAsia="Arial" w:hAnsi="Arial"/>
          <w:sz w:val="15"/>
          <w:szCs w:val="15"/>
          <w:color w:val="auto"/>
        </w:rPr>
        <w:t>Our Internet address is www.ti.com. Information on our web site is not a part of this report. We make available, free of charge, through our investor relations web site our reports on Forms 10-K, 10-Q and 8-K, and amendments to those reports, as soon as reasonably practicable after they are filed with the SEC. Also available through the TI investor relations web site are reports filed by our directors and executive officers on Forms 3, 4 and 5, and amendments to those reports.</w:t>
      </w:r>
    </w:p>
    <w:p>
      <w:pPr>
        <w:spacing w:after="0" w:line="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80" w:right="279" w:bottom="1440" w:gutter="0" w:footer="0" w:header="0"/>
        </w:sectPr>
      </w:pPr>
    </w:p>
    <w:bookmarkStart w:id="9" w:name="page10"/>
    <w:bookmarkEnd w:id="9"/>
    <w:p>
      <w:pPr>
        <w:ind w:right="48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Available on our web site at www.ti.com/corporategovernance are: (i) our Corporate Governance Guidelines; (ii) charters for the Audit, Compensation, and Governance and Stockholder Relations Committees of our board of directors; (iii) our Code of Business Conduct; and (iv) our Code of Ethics for TI Chief Executive Officer and Senior Financial Officers. Stockholders may request copies of these documents free of charge by writing to Texas Instruments Incorporated, P.O. Box 660199, MS 8657, Dallas, Texas, 75266-0199, Attention: Investor Relations.</w:t>
      </w:r>
    </w:p>
    <w:p>
      <w:pPr>
        <w:spacing w:after="0" w:line="14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right="120"/>
        <w:spacing w:after="0" w:line="314" w:lineRule="auto"/>
        <w:rPr>
          <w:sz w:val="20"/>
          <w:szCs w:val="20"/>
          <w:color w:val="auto"/>
        </w:rPr>
      </w:pPr>
      <w:r>
        <w:rPr>
          <w:rFonts w:ascii="Arial" w:cs="Arial" w:eastAsia="Arial" w:hAnsi="Arial"/>
          <w:sz w:val="15"/>
          <w:szCs w:val="15"/>
          <w:color w:val="auto"/>
        </w:rPr>
        <w:t>You should read the following Risk Factors in conjunction with the factors discussed elsewhere in this and other of our filings with the Securities and Exchange Commission (SEC) and in materials incorporated by reference in these filings. These Risk Factors are intended to highlight certain factors that may affect our financial condition and results of operations and are not meant to be an exhaustive discussion of risks that apply to companies like TI with broad international operations. Like other companies, we are susceptible to macroeconomic downturns in the United States or abroad that may affect the general economic climate and our performance and the performance of our customers. Similarly, the price of our securities is subject to volatility due to fluctuations in general market conditions, differences in our results of operations from estimates and projections generated by the investment community, and other factors beyond our control.</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Cyclicality in the Semiconductor Market May Affect Our Performance.</w:t>
      </w:r>
    </w:p>
    <w:p>
      <w:pPr>
        <w:spacing w:after="0" w:line="9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semiconductor business is our largest business segment and the principal source of our revenue. The semiconductor market historically has been cyclical and subject to significant and often rapid increases and decreases in product demand. These changes could have adverse effects on our results of operations, and on the market price of our securities. In particular, our strategic focus in this business is on the development and marketing of analog integrated circuits and digital signal processors. The results of our operations may be adversely affected in the future if demand for analog integrated circuits or digital signal processors decreases or if these markets or key end-equipment markets such as communications, consumer electronics and computing grow at a significantly slower pace than management expects.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Our Margins May Vary over Time.</w:t>
      </w:r>
    </w:p>
    <w:p>
      <w:pPr>
        <w:spacing w:after="0" w:line="90"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Our profit margins may be adversely affected in the future by a number of factors, including decreases in our shipment volume, reductions in, or obsolescence of our inventory and shifts in our product mix. In addition, the highly competitive market environment in which we operate might adversely affect pricing for our products. Because we own much of our manufacturing capacity, a significant portion of our operating costs are fixed. In general, these costs do not decline with reductions in customer demand or our utilization of our manufacturing capacity, and can adversely affect profit margins as a result.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The Technology Industry Is Characterized by Rapid Technological Change That Requires Us to Develop New Technologies and Products.</w:t>
      </w:r>
    </w:p>
    <w:p>
      <w:pPr>
        <w:spacing w:after="0" w:line="11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Our results of operations depend in part upon our ability to successfully develop, manufacture and market innovative products in a rapidly changing technological environment. We require significant capital to develop new technologies and products to meet changing customer demands that, in turn, may result in shortened product life cycles. Moreover, expenditures for technology and product development are generally made before the commercial viability for such developments can be assured. As a result, there can be no assurance that we will successfully develop and market these new products. There also is no assurance that the products we do develop and market will be well received by customers, nor that we will realize a return on the capital expended to develop such products.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We Face Substantial Competition That Requires Us to Respond Rapidly to Product Development and Pricing Pressures.</w:t>
      </w:r>
    </w:p>
    <w:p>
      <w:pPr>
        <w:spacing w:after="0" w:line="90"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We face intense technological and pricing competition in the markets in which we operate. We expect the level of this competition will increase in the future from large, established semiconductor and related product companies, as well as from smaller companies serving niche markets. Certain of our competitors possess sufficient financial, technical and management resources to develop and market products that may compete favorably against our products. The price and product development pressures that result from competition may lead to reduced profit margins and lost business opportunities in the event that we are unable to match the price declines or cost efficiencies, or technological, product, applications support, software or manufacturing advancements of our competitors.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10" w:name="page11"/>
    <w:bookmarkEnd w:id="10"/>
    <w:p>
      <w:pPr>
        <w:ind w:left="460"/>
        <w:spacing w:after="0"/>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Our Performance Depends in Part upon Our Ability to Enforce Our Intellectual Property Rights and to Develop and License New Intellectual Property.</w:t>
      </w:r>
    </w:p>
    <w:p>
      <w:pPr>
        <w:spacing w:after="0" w:line="11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Access to worldwide markets depends in part on the continued strength of our intellectual property portfolio. There can be no assurance that, as our business expands into new areas, we will be able to independently develop the technology, software or know-how necessary to conduct our business or that we can do so without infringing the intellectual property rights of others. We may have to rely increasingly on licensed technology from others. To the extent that we rely on licenses from others, there can be no assurance that we will be able to obtain them at all or on terms we consider reasonable. The lack of a necessary license could expose us to claims for damages and/or injunction from third parties, as well as claims for indemnification by our customers in instances where we have contractually agreed to indemnify our customers against damages resulting from infringement claims.</w:t>
      </w:r>
    </w:p>
    <w:p>
      <w:pPr>
        <w:spacing w:after="0" w:line="12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We actively enforce and protect our intellectual property rights, but there can be no assurance that our efforts will be adequate to prevent the misappropriation or improper use of the protected technology.</w:t>
      </w:r>
    </w:p>
    <w:p>
      <w:pPr>
        <w:spacing w:after="0" w:line="13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benefit from royalty revenue generated from various patent license agreements. The amount of such revenue depends in part on negotiations with new licensees, and with existing licensees in connection with renewals of their licenses. There is no guarantee that such negotiations will be successful. Future royalty revenue also depends on the strength and enforceability of our patent portfolio and our enforcement efforts, and on the sales and financial stability of our licensees. Additionally, the consolidation of our licensees may negatively affect our royalty revenue. Royalty revenue from licensees is not always uniform or predictable, in part due to the performance of our licensees and in part due to the timing of new license agreements or the expiration and renewal of existing agreements.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A Decline in Demand in Certain End-User Markets Could Have a Material Adverse Effect on the Demand for Our Products and Results of Operations.</w:t>
      </w:r>
    </w:p>
    <w:p>
      <w:pPr>
        <w:spacing w:after="0" w:line="113"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Our customer base includes companies in a wide range of industries, but we generate a significant amount of revenue from sales to customers in the communications- and computer-related industries. Within these industries, a large portion of our revenue is generated by the sale of analog integrated circuits and digital signal processors to customers in the cell phone, personal computer and communications infrastructure markets. Decline in one or several of these end-user markets could have a material adverse effect on the demand for our products and our results of operations and financial condition.</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Our Global Manufacturing, Design and Sales Activities Subject Us to Risks Associated with Legal, Political, Economic or Other Changes.</w:t>
      </w:r>
    </w:p>
    <w:p>
      <w:pPr>
        <w:spacing w:after="0" w:line="90"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We have facilities in more than 25 countries worldwide, and in 2007 more than 80 percent of our revenue came from sales to locations outside the United States. Operating internationally exposes us to changes in export controls and other laws or policies, as well as the general political and economic conditions, security risks, health conditions and possible disruptions in transportation networks, of the various countries in which we operate. Any of these could result in an adverse effect on our business operations and our financial results. Also, as discussed in more detail on pages 58 and 59 of our 2007 annual report to stockholders, we use forward currency exchange contracts to minimize the adverse earnings impact from the effect of exchange rate fluctuations on our non-U.S. dollar net balance sheet exposures. Nevertheless, in periods when the U.S. dollar significantly fluctuates in relation to the non-U.S. currencies in which we transact business, the remeasurement of non-U.S. dollar transactions can have an adverse effect on our results of operations and financial condition.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Our Results of Operations Could be Affected by Natural Events in the Locations in which We, Our Customers or Suppliers Operate.</w:t>
      </w:r>
    </w:p>
    <w:p>
      <w:pPr>
        <w:spacing w:after="0" w:line="90"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We have manufacturing and other operations in locations subject to natural events such as severe weather and geological events that could disrupt operations. In addition, our suppliers and customers also have operations in such locations. A natural disaster that results in a prolonged disruption to our operations, or the operations of our customers or suppliers, may adversely affect our results and financial condition.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11" w:name="page12"/>
    <w:bookmarkEnd w:id="11"/>
    <w:p>
      <w:pPr>
        <w:ind w:left="46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Loss of or Significant Curtailment of Purchases by Any of Our Largest Customers Could Adversely Affect Our Results of Operations.</w:t>
      </w:r>
    </w:p>
    <w:p>
      <w:pPr>
        <w:spacing w:after="0" w:line="9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While we generate revenue from thousands of customers worldwide, the loss of or significant curtailment of purchases by one or more of our top customers, including curtailments due to a change in the design or manufacturing sourcing policies or practices of these customers, or the timing of customer or distributor inventory adjustments, may adversely affect our results of operations and financial condition.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Incorrect Forecasts of Customer Demand Could Adversely Affect Our Results of Operations.</w:t>
      </w:r>
    </w:p>
    <w:p>
      <w:pPr>
        <w:spacing w:after="0" w:line="9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Our ability to match inventory and production mix with the product mix needed to fill current orders and orders to be delivered in the given quarter may affect our ability to meet that quarter’s revenue forecast. In addition, when responding to customers’ requests for shorter shipment lead times, we manufacture products based on forecasts of customers’ demands. These forecasts are based on multiple assumptions. If we inaccurately forecast customer demand, we may hold inadequate, excess or obsolete inventory that would reduce our profit margins and adversely affect our results of operations and financial condition.</w:t>
      </w:r>
    </w:p>
    <w:p>
      <w:pPr>
        <w:spacing w:after="0" w:line="113" w:lineRule="exact"/>
        <w:rPr>
          <w:sz w:val="20"/>
          <w:szCs w:val="20"/>
          <w:color w:val="auto"/>
        </w:rPr>
      </w:pPr>
    </w:p>
    <w:p>
      <w:pPr>
        <w:ind w:left="460" w:right="480"/>
        <w:spacing w:after="0" w:line="268" w:lineRule="auto"/>
        <w:rPr>
          <w:sz w:val="20"/>
          <w:szCs w:val="20"/>
          <w:color w:val="auto"/>
        </w:rPr>
      </w:pPr>
      <w:r>
        <w:rPr>
          <w:rFonts w:ascii="Arial" w:cs="Arial" w:eastAsia="Arial" w:hAnsi="Arial"/>
          <w:sz w:val="18"/>
          <w:szCs w:val="18"/>
          <w:u w:val="single" w:color="auto"/>
          <w:color w:val="auto"/>
        </w:rPr>
        <w:t>Our Performance Depends on the Availability and Cost of Raw Materials, Utilities, Critical Manufacturing Equipment, Manufacturing Processes and Third-Party Manufacturing Services.</w:t>
      </w:r>
    </w:p>
    <w:p>
      <w:pPr>
        <w:spacing w:after="0" w:line="51"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Our manufacturing processes and critical manufacturing equipment require that certain key raw materials and utilities be available. Limited or delayed access to and high costs of these items could adversely affect our results of operations. Additionally, the inability to timely implement new manufacturing technologies or install manufacturing equipment could adversely affect our results of operations. We subcontract a portion of our wafer fabrication and assembly and testing of our integrated circuits. We also depend on third parties to provide advanced digital process technology development. We depend on a limited number of third parties to perform these functions. We do not have long-term contracts with all of these third parties. Reliance on these third parties involves risks, including possible shortages of capacity in periods of high demand, the third parties’ inability to develop and deliver advanced digital process technology in a timely, cost effective and appropriate manner and the possibility of third parties imposing increased costs on us.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Our Results of Operations Could be Affected by Changes in Taxation.</w:t>
      </w:r>
    </w:p>
    <w:p>
      <w:pPr>
        <w:spacing w:after="0" w:line="90" w:lineRule="exact"/>
        <w:rPr>
          <w:sz w:val="20"/>
          <w:szCs w:val="20"/>
          <w:color w:val="auto"/>
        </w:rPr>
      </w:pPr>
    </w:p>
    <w:p>
      <w:pPr>
        <w:ind w:right="220"/>
        <w:spacing w:after="0" w:line="335" w:lineRule="auto"/>
        <w:rPr>
          <w:sz w:val="20"/>
          <w:szCs w:val="20"/>
          <w:color w:val="auto"/>
        </w:rPr>
      </w:pPr>
      <w:r>
        <w:rPr>
          <w:rFonts w:ascii="Arial" w:cs="Arial" w:eastAsia="Arial" w:hAnsi="Arial"/>
          <w:sz w:val="15"/>
          <w:szCs w:val="15"/>
          <w:color w:val="auto"/>
        </w:rPr>
        <w:t>We have facilities in more than 25 countries worldwide and as a result are subject to taxation and audit by a number of taxing authorities. Tax rates vary among the jurisdictions in which we operate. Our results of operations could be affected by market opportunities or decisions we make that cause us to increase or decrease operations in one or more countries, or by changes in applicable tax rates or audits by the taxing authorities in countries in which we operate.</w:t>
      </w:r>
    </w:p>
    <w:p>
      <w:pPr>
        <w:spacing w:after="0" w:line="88"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In addition, we are subject to laws and regulations in various locations that govern the determination of which is the appropriate jurisdiction to decide when and how much profit has been earned and is subject to taxation in that jurisdiction. Changes in these laws and regulations could affect the locations where we are deemed to earn income, which could in turn affect our results of operations. We have deferred tax assets on our balance sheet. Changes in applicable tax laws and regulations could affect our ability to realize those deferred tax assets, which could also affect our results of operations. Each quarter we forecast our tax liability based on our forecast of our performance for the year. If that performance forecast changes, our forecasted tax liability will change.</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Our Results of Operations Could be Affected by Changes in the Financial Markets.</w:t>
      </w:r>
    </w:p>
    <w:p>
      <w:pPr>
        <w:spacing w:after="0" w:line="9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We maintain bank accounts, multi-year revolving credit agreements, and a portfolio of liquid short-term investments to support the financing needs of the company. Our ability to fund our daily operations, invest in our business, and make strategic acquisitions requires continuous access to our bank and investment accounts, as well as access to our bank credit lines, which support commercial paper borrowings and provide additional liquidity through short-term bank loans. If we are unable to access these accounts and credit lines (for example, due to instability in the financial markets), our results of operations and financial condition could be adversely affected. Similarly, such circumstances could also restrict our ability to access the capital markets or redeem our investments.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2" w:name="page13"/>
    <w:bookmarkEnd w:id="12"/>
    <w:p>
      <w:pPr>
        <w:ind w:left="46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Our Results of Operations Could be Affected by Warranty Claims, Product Recalls or Product Liability.</w:t>
      </w:r>
    </w:p>
    <w:p>
      <w:pPr>
        <w:spacing w:after="0" w:line="9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could be subject to warranty or product liability claims or claims based on epidemic or delivery failures that could lead to significant expenses as we defend such claims or pay damage awards. The risk of a significant claim is generally greater for products used in health and safety applications. In the event of a warranty claim, we may also incur costs if we decide to compensate the affected customer or end consumer. We do maintain product liability insurance, but there is no guarantee that such insurance will be available or adequate to protect against all such claims. In addition, it is possible for one of our customers to recall a product containing a TI part. In such instances, we may incur costs and expenses relating to the recall. Costs or payments we may make in connection with warranty, epidemic failure and delivery claims or product recalls may adversely affect our results of operations and financial condition.</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Our Continued Success Depends in Part on Our Ability to Retain and Recruit a Sufficient Number of Qualified Employees in a Competitive Environment.</w:t>
      </w:r>
    </w:p>
    <w:p>
      <w:pPr>
        <w:spacing w:after="0" w:line="11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continued success depends in part on the retention and recruitment of skilled personnel, including technical, marketing, management and staff personnel. Experienced personnel in the electronics industry are in high demand and competition for their skills is intense. There can be no assurance that we will be able to successfully retain and recruit the key personnel that we require.</w:t>
      </w:r>
    </w:p>
    <w:p>
      <w:pPr>
        <w:spacing w:after="0" w:line="17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color w:val="auto"/>
        </w:rPr>
        <w:t>Unresolved Staff Comments.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96" w:lineRule="exact"/>
        <w:rPr>
          <w:sz w:val="20"/>
          <w:szCs w:val="20"/>
          <w:color w:val="auto"/>
        </w:rPr>
      </w:pPr>
    </w:p>
    <w:p>
      <w:pPr>
        <w:ind w:right="880"/>
        <w:spacing w:after="0" w:line="370" w:lineRule="auto"/>
        <w:rPr>
          <w:sz w:val="20"/>
          <w:szCs w:val="20"/>
          <w:color w:val="auto"/>
        </w:rPr>
      </w:pPr>
      <w:r>
        <w:rPr>
          <w:rFonts w:ascii="Arial" w:cs="Arial" w:eastAsia="Arial" w:hAnsi="Arial"/>
          <w:sz w:val="15"/>
          <w:szCs w:val="15"/>
          <w:color w:val="auto"/>
        </w:rPr>
        <w:t>Our principal executive offices are located at 12500 TI Boulevard, Dallas, Texas. The following table indicates the general location of our principal manufacturing and design operations and the business segments that make major use of them. Except as otherwise indicated, we own these facilities.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5"/>
              </w:rPr>
              <w:t>Education</w:t>
            </w:r>
          </w:p>
        </w:tc>
        <w:tc>
          <w:tcPr>
            <w:tcW w:w="0" w:type="dxa"/>
            <w:vAlign w:val="bottom"/>
          </w:tcPr>
          <w:p>
            <w:pPr>
              <w:spacing w:after="0"/>
              <w:rPr>
                <w:sz w:val="1"/>
                <w:szCs w:val="1"/>
                <w:color w:val="auto"/>
              </w:rPr>
            </w:pPr>
          </w:p>
        </w:tc>
      </w:tr>
      <w:tr>
        <w:trPr>
          <w:trHeight w:val="161"/>
        </w:trPr>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540" w:type="dxa"/>
            <w:vAlign w:val="bottom"/>
            <w:vMerge w:val="restart"/>
          </w:tcPr>
          <w:p>
            <w:pPr>
              <w:ind w:left="2280"/>
              <w:spacing w:after="0"/>
              <w:rPr>
                <w:sz w:val="20"/>
                <w:szCs w:val="20"/>
                <w:color w:val="auto"/>
              </w:rPr>
            </w:pPr>
            <w:r>
              <w:rPr>
                <w:rFonts w:ascii="Arial" w:cs="Arial" w:eastAsia="Arial" w:hAnsi="Arial"/>
                <w:sz w:val="18"/>
                <w:szCs w:val="18"/>
                <w:color w:val="auto"/>
              </w:rPr>
              <w:t>Dallas, Texas</w:t>
            </w:r>
          </w:p>
        </w:tc>
        <w:tc>
          <w:tcPr>
            <w:tcW w:w="1240" w:type="dxa"/>
            <w:vAlign w:val="bottom"/>
            <w:gridSpan w:val="2"/>
          </w:tcPr>
          <w:p>
            <w:pPr>
              <w:jc w:val="center"/>
              <w:ind w:left="292"/>
              <w:spacing w:after="0"/>
              <w:rPr>
                <w:sz w:val="20"/>
                <w:szCs w:val="20"/>
                <w:color w:val="auto"/>
              </w:rPr>
            </w:pPr>
            <w:r>
              <w:rPr>
                <w:rFonts w:ascii="Arial" w:cs="Arial" w:eastAsia="Arial" w:hAnsi="Arial"/>
                <w:sz w:val="14"/>
                <w:szCs w:val="14"/>
                <w:b w:val="1"/>
                <w:bCs w:val="1"/>
                <w:color w:val="auto"/>
                <w:w w:val="86"/>
              </w:rPr>
              <w:t>Semiconductor</w:t>
            </w:r>
          </w:p>
        </w:tc>
        <w:tc>
          <w:tcPr>
            <w:tcW w:w="840" w:type="dxa"/>
            <w:vAlign w:val="bottom"/>
            <w:gridSpan w:val="2"/>
          </w:tcPr>
          <w:p>
            <w:pPr>
              <w:jc w:val="center"/>
              <w:ind w:left="112"/>
              <w:spacing w:after="0"/>
              <w:rPr>
                <w:sz w:val="20"/>
                <w:szCs w:val="20"/>
                <w:color w:val="auto"/>
              </w:rPr>
            </w:pPr>
            <w:r>
              <w:rPr>
                <w:rFonts w:ascii="Arial" w:cs="Arial" w:eastAsia="Arial" w:hAnsi="Arial"/>
                <w:sz w:val="14"/>
                <w:szCs w:val="14"/>
                <w:b w:val="1"/>
                <w:bCs w:val="1"/>
                <w:color w:val="auto"/>
                <w:w w:val="83"/>
              </w:rPr>
              <w:t>Technology</w:t>
            </w:r>
          </w:p>
        </w:tc>
        <w:tc>
          <w:tcPr>
            <w:tcW w:w="0" w:type="dxa"/>
            <w:vAlign w:val="bottom"/>
          </w:tcPr>
          <w:p>
            <w:pPr>
              <w:spacing w:after="0"/>
              <w:rPr>
                <w:sz w:val="1"/>
                <w:szCs w:val="1"/>
                <w:color w:val="auto"/>
              </w:rPr>
            </w:pPr>
          </w:p>
        </w:tc>
      </w:tr>
      <w:tr>
        <w:trPr>
          <w:trHeight w:val="201"/>
        </w:trPr>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54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X</w:t>
            </w:r>
          </w:p>
        </w:tc>
        <w:tc>
          <w:tcPr>
            <w:tcW w:w="180" w:type="dxa"/>
            <w:vAlign w:val="bottom"/>
          </w:tcPr>
          <w:p>
            <w:pPr>
              <w:spacing w:after="0"/>
              <w:rPr>
                <w:sz w:val="17"/>
                <w:szCs w:val="17"/>
                <w:color w:val="auto"/>
              </w:rPr>
            </w:pPr>
          </w:p>
        </w:tc>
        <w:tc>
          <w:tcPr>
            <w:tcW w:w="6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540" w:type="dxa"/>
            <w:vAlign w:val="bottom"/>
          </w:tcPr>
          <w:p>
            <w:pPr>
              <w:ind w:left="2280"/>
              <w:spacing w:after="0" w:line="217" w:lineRule="exact"/>
              <w:rPr>
                <w:sz w:val="20"/>
                <w:szCs w:val="20"/>
                <w:color w:val="auto"/>
              </w:rPr>
            </w:pPr>
            <w:r>
              <w:rPr>
                <w:rFonts w:ascii="Arial" w:cs="Arial" w:eastAsia="Arial" w:hAnsi="Arial"/>
                <w:sz w:val="18"/>
                <w:szCs w:val="18"/>
                <w:color w:val="auto"/>
              </w:rPr>
              <w:t>Sherman, Texas</w:t>
            </w:r>
            <w:r>
              <w:rPr>
                <w:rFonts w:ascii="Arial" w:cs="Arial" w:eastAsia="Arial" w:hAnsi="Arial"/>
                <w:sz w:val="22"/>
                <w:szCs w:val="22"/>
                <w:color w:val="auto"/>
                <w:vertAlign w:val="superscript"/>
              </w:rPr>
              <w:t>(1)</w:t>
            </w:r>
          </w:p>
        </w:tc>
        <w:tc>
          <w:tcPr>
            <w:tcW w:w="3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540" w:type="dxa"/>
            <w:vAlign w:val="bottom"/>
          </w:tcPr>
          <w:p>
            <w:pPr>
              <w:ind w:left="2280"/>
              <w:spacing w:after="0"/>
              <w:rPr>
                <w:sz w:val="20"/>
                <w:szCs w:val="20"/>
                <w:color w:val="auto"/>
              </w:rPr>
            </w:pPr>
            <w:r>
              <w:rPr>
                <w:rFonts w:ascii="Arial" w:cs="Arial" w:eastAsia="Arial" w:hAnsi="Arial"/>
                <w:sz w:val="18"/>
                <w:szCs w:val="18"/>
                <w:color w:val="auto"/>
              </w:rPr>
              <w:t>Houston, Texas</w:t>
            </w:r>
          </w:p>
        </w:tc>
        <w:tc>
          <w:tcPr>
            <w:tcW w:w="3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540" w:type="dxa"/>
            <w:vAlign w:val="bottom"/>
          </w:tcPr>
          <w:p>
            <w:pPr>
              <w:ind w:left="2280"/>
              <w:spacing w:after="0"/>
              <w:rPr>
                <w:sz w:val="20"/>
                <w:szCs w:val="20"/>
                <w:color w:val="auto"/>
              </w:rPr>
            </w:pPr>
            <w:r>
              <w:rPr>
                <w:rFonts w:ascii="Arial" w:cs="Arial" w:eastAsia="Arial" w:hAnsi="Arial"/>
                <w:sz w:val="18"/>
                <w:szCs w:val="18"/>
                <w:color w:val="auto"/>
              </w:rPr>
              <w:t>Miho, Japan</w:t>
            </w:r>
          </w:p>
        </w:tc>
        <w:tc>
          <w:tcPr>
            <w:tcW w:w="3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540" w:type="dxa"/>
            <w:vAlign w:val="bottom"/>
          </w:tcPr>
          <w:p>
            <w:pPr>
              <w:ind w:left="2280"/>
              <w:spacing w:after="0" w:line="217" w:lineRule="exact"/>
              <w:rPr>
                <w:sz w:val="20"/>
                <w:szCs w:val="20"/>
                <w:color w:val="auto"/>
              </w:rPr>
            </w:pPr>
            <w:r>
              <w:rPr>
                <w:rFonts w:ascii="Arial" w:cs="Arial" w:eastAsia="Arial" w:hAnsi="Arial"/>
                <w:sz w:val="18"/>
                <w:szCs w:val="18"/>
                <w:color w:val="auto"/>
              </w:rPr>
              <w:t>Kuala Lumpur, Malaysia</w:t>
            </w:r>
            <w:r>
              <w:rPr>
                <w:rFonts w:ascii="Arial" w:cs="Arial" w:eastAsia="Arial" w:hAnsi="Arial"/>
                <w:sz w:val="22"/>
                <w:szCs w:val="22"/>
                <w:color w:val="auto"/>
                <w:vertAlign w:val="superscript"/>
              </w:rPr>
              <w:t>(2)</w:t>
            </w:r>
          </w:p>
        </w:tc>
        <w:tc>
          <w:tcPr>
            <w:tcW w:w="3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540" w:type="dxa"/>
            <w:vAlign w:val="bottom"/>
          </w:tcPr>
          <w:p>
            <w:pPr>
              <w:ind w:left="2280"/>
              <w:spacing w:after="0"/>
              <w:rPr>
                <w:sz w:val="20"/>
                <w:szCs w:val="20"/>
                <w:color w:val="auto"/>
              </w:rPr>
            </w:pPr>
            <w:r>
              <w:rPr>
                <w:rFonts w:ascii="Arial" w:cs="Arial" w:eastAsia="Arial" w:hAnsi="Arial"/>
                <w:sz w:val="18"/>
                <w:szCs w:val="18"/>
                <w:color w:val="auto"/>
              </w:rPr>
              <w:t>Freising, Germany</w:t>
            </w:r>
          </w:p>
        </w:tc>
        <w:tc>
          <w:tcPr>
            <w:tcW w:w="3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8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540" w:type="dxa"/>
            <w:vAlign w:val="bottom"/>
          </w:tcPr>
          <w:p>
            <w:pPr>
              <w:ind w:left="2280"/>
              <w:spacing w:after="0" w:line="217" w:lineRule="exact"/>
              <w:rPr>
                <w:sz w:val="20"/>
                <w:szCs w:val="20"/>
                <w:color w:val="auto"/>
              </w:rPr>
            </w:pPr>
            <w:r>
              <w:rPr>
                <w:rFonts w:ascii="Arial" w:cs="Arial" w:eastAsia="Arial" w:hAnsi="Arial"/>
                <w:sz w:val="18"/>
                <w:szCs w:val="18"/>
                <w:color w:val="auto"/>
              </w:rPr>
              <w:t>Baguio, Philippines</w:t>
            </w:r>
            <w:r>
              <w:rPr>
                <w:rFonts w:ascii="Arial" w:cs="Arial" w:eastAsia="Arial" w:hAnsi="Arial"/>
                <w:sz w:val="22"/>
                <w:szCs w:val="22"/>
                <w:color w:val="auto"/>
                <w:vertAlign w:val="superscript"/>
              </w:rPr>
              <w:t>(2)</w:t>
            </w:r>
          </w:p>
        </w:tc>
        <w:tc>
          <w:tcPr>
            <w:tcW w:w="3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540" w:type="dxa"/>
            <w:vAlign w:val="bottom"/>
          </w:tcPr>
          <w:p>
            <w:pPr>
              <w:ind w:left="2280"/>
              <w:spacing w:after="0" w:line="217" w:lineRule="exact"/>
              <w:rPr>
                <w:sz w:val="20"/>
                <w:szCs w:val="20"/>
                <w:color w:val="auto"/>
              </w:rPr>
            </w:pPr>
            <w:r>
              <w:rPr>
                <w:rFonts w:ascii="Arial" w:cs="Arial" w:eastAsia="Arial" w:hAnsi="Arial"/>
                <w:sz w:val="18"/>
                <w:szCs w:val="18"/>
                <w:color w:val="auto"/>
              </w:rPr>
              <w:t>Taipei, Taiwan</w:t>
            </w:r>
            <w:r>
              <w:rPr>
                <w:rFonts w:ascii="Arial" w:cs="Arial" w:eastAsia="Arial" w:hAnsi="Arial"/>
                <w:sz w:val="22"/>
                <w:szCs w:val="22"/>
                <w:color w:val="auto"/>
                <w:vertAlign w:val="superscript"/>
              </w:rPr>
              <w:t>(2)</w:t>
            </w:r>
          </w:p>
        </w:tc>
        <w:tc>
          <w:tcPr>
            <w:tcW w:w="3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540" w:type="dxa"/>
            <w:vAlign w:val="bottom"/>
          </w:tcPr>
          <w:p>
            <w:pPr>
              <w:ind w:left="2280"/>
              <w:spacing w:after="0" w:line="217" w:lineRule="exact"/>
              <w:rPr>
                <w:sz w:val="20"/>
                <w:szCs w:val="20"/>
                <w:color w:val="auto"/>
              </w:rPr>
            </w:pPr>
            <w:r>
              <w:rPr>
                <w:rFonts w:ascii="Arial" w:cs="Arial" w:eastAsia="Arial" w:hAnsi="Arial"/>
                <w:sz w:val="18"/>
                <w:szCs w:val="18"/>
                <w:color w:val="auto"/>
              </w:rPr>
              <w:t>Aguascalientes, Mexico</w:t>
            </w:r>
            <w:r>
              <w:rPr>
                <w:rFonts w:ascii="Arial" w:cs="Arial" w:eastAsia="Arial" w:hAnsi="Arial"/>
                <w:sz w:val="22"/>
                <w:szCs w:val="22"/>
                <w:color w:val="auto"/>
                <w:vertAlign w:val="superscript"/>
              </w:rPr>
              <w:t>(1)</w:t>
            </w:r>
          </w:p>
        </w:tc>
        <w:tc>
          <w:tcPr>
            <w:tcW w:w="3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8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540" w:type="dxa"/>
            <w:vAlign w:val="bottom"/>
          </w:tcPr>
          <w:p>
            <w:pPr>
              <w:ind w:left="2280"/>
              <w:spacing w:after="0"/>
              <w:rPr>
                <w:sz w:val="20"/>
                <w:szCs w:val="20"/>
                <w:color w:val="auto"/>
              </w:rPr>
            </w:pPr>
            <w:r>
              <w:rPr>
                <w:rFonts w:ascii="Arial" w:cs="Arial" w:eastAsia="Arial" w:hAnsi="Arial"/>
                <w:sz w:val="18"/>
                <w:szCs w:val="18"/>
                <w:color w:val="auto"/>
              </w:rPr>
              <w:t>Hiji, Japan</w:t>
            </w:r>
          </w:p>
        </w:tc>
        <w:tc>
          <w:tcPr>
            <w:tcW w:w="3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540" w:type="dxa"/>
            <w:vAlign w:val="bottom"/>
          </w:tcPr>
          <w:p>
            <w:pPr>
              <w:ind w:left="2280"/>
              <w:spacing w:after="0"/>
              <w:rPr>
                <w:sz w:val="20"/>
                <w:szCs w:val="20"/>
                <w:color w:val="auto"/>
              </w:rPr>
            </w:pPr>
            <w:r>
              <w:rPr>
                <w:rFonts w:ascii="Arial" w:cs="Arial" w:eastAsia="Arial" w:hAnsi="Arial"/>
                <w:sz w:val="18"/>
                <w:szCs w:val="18"/>
                <w:color w:val="auto"/>
              </w:rPr>
              <w:t>Nice, France</w:t>
            </w:r>
          </w:p>
        </w:tc>
        <w:tc>
          <w:tcPr>
            <w:tcW w:w="3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540" w:type="dxa"/>
            <w:vAlign w:val="bottom"/>
          </w:tcPr>
          <w:p>
            <w:pPr>
              <w:ind w:left="2280"/>
              <w:spacing w:after="0"/>
              <w:rPr>
                <w:sz w:val="20"/>
                <w:szCs w:val="20"/>
                <w:color w:val="auto"/>
              </w:rPr>
            </w:pPr>
            <w:r>
              <w:rPr>
                <w:rFonts w:ascii="Arial" w:cs="Arial" w:eastAsia="Arial" w:hAnsi="Arial"/>
                <w:sz w:val="18"/>
                <w:szCs w:val="18"/>
                <w:color w:val="auto"/>
              </w:rPr>
              <w:t>Tucson, Arizona</w:t>
            </w:r>
          </w:p>
        </w:tc>
        <w:tc>
          <w:tcPr>
            <w:tcW w:w="3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540" w:type="dxa"/>
            <w:vAlign w:val="bottom"/>
          </w:tcPr>
          <w:p>
            <w:pPr>
              <w:ind w:left="2280"/>
              <w:spacing w:after="0"/>
              <w:rPr>
                <w:sz w:val="20"/>
                <w:szCs w:val="20"/>
                <w:color w:val="auto"/>
              </w:rPr>
            </w:pPr>
            <w:r>
              <w:rPr>
                <w:rFonts w:ascii="Arial" w:cs="Arial" w:eastAsia="Arial" w:hAnsi="Arial"/>
                <w:sz w:val="18"/>
                <w:szCs w:val="18"/>
                <w:color w:val="auto"/>
              </w:rPr>
              <w:t>Bangalore, India</w:t>
            </w:r>
          </w:p>
        </w:tc>
        <w:tc>
          <w:tcPr>
            <w:tcW w:w="3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9"/>
        </w:trPr>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540" w:type="dxa"/>
            <w:vAlign w:val="bottom"/>
          </w:tcPr>
          <w:p>
            <w:pPr>
              <w:ind w:left="2280"/>
              <w:spacing w:after="0"/>
              <w:rPr>
                <w:sz w:val="20"/>
                <w:szCs w:val="20"/>
                <w:color w:val="auto"/>
              </w:rPr>
            </w:pPr>
            <w:r>
              <w:rPr>
                <w:rFonts w:ascii="Arial" w:cs="Arial" w:eastAsia="Arial" w:hAnsi="Arial"/>
                <w:sz w:val="18"/>
                <w:szCs w:val="18"/>
                <w:color w:val="auto"/>
              </w:rPr>
              <w:t>Tokyo, Japan</w:t>
            </w:r>
            <w:r>
              <w:rPr>
                <w:rFonts w:ascii="Arial" w:cs="Arial" w:eastAsia="Arial" w:hAnsi="Arial"/>
                <w:sz w:val="22"/>
                <w:szCs w:val="22"/>
                <w:color w:val="auto"/>
                <w:vertAlign w:val="superscript"/>
              </w:rPr>
              <w:t>(1)</w:t>
            </w:r>
          </w:p>
        </w:tc>
        <w:tc>
          <w:tcPr>
            <w:tcW w:w="38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00" w:type="dxa"/>
            <w:vAlign w:val="bottom"/>
          </w:tcPr>
          <w:p>
            <w:pPr>
              <w:spacing w:after="0"/>
              <w:rPr>
                <w:sz w:val="2"/>
                <w:szCs w:val="2"/>
                <w:color w:val="auto"/>
              </w:rPr>
            </w:pPr>
          </w:p>
        </w:tc>
        <w:tc>
          <w:tcPr>
            <w:tcW w:w="540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00" w:type="dxa"/>
            <w:vAlign w:val="bottom"/>
            <w:tcBorders>
              <w:top w:val="single" w:sz="8" w:color="auto"/>
            </w:tcBorders>
          </w:tcPr>
          <w:p>
            <w:pPr>
              <w:jc w:val="right"/>
              <w:ind w:right="104"/>
              <w:spacing w:after="0"/>
              <w:rPr>
                <w:sz w:val="20"/>
                <w:szCs w:val="20"/>
                <w:color w:val="auto"/>
              </w:rPr>
            </w:pPr>
            <w:r>
              <w:rPr>
                <w:rFonts w:ascii="Arial" w:cs="Arial" w:eastAsia="Arial" w:hAnsi="Arial"/>
                <w:sz w:val="11"/>
                <w:szCs w:val="11"/>
                <w:color w:val="auto"/>
                <w:w w:val="88"/>
              </w:rPr>
              <w:t>(1)</w:t>
            </w:r>
          </w:p>
        </w:tc>
        <w:tc>
          <w:tcPr>
            <w:tcW w:w="86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Leased.</w:t>
            </w:r>
          </w:p>
        </w:tc>
        <w:tc>
          <w:tcPr>
            <w:tcW w:w="4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00" w:type="dxa"/>
            <w:vAlign w:val="bottom"/>
          </w:tcPr>
          <w:p>
            <w:pPr>
              <w:jc w:val="right"/>
              <w:ind w:right="104"/>
              <w:spacing w:after="0"/>
              <w:rPr>
                <w:sz w:val="20"/>
                <w:szCs w:val="20"/>
                <w:color w:val="auto"/>
              </w:rPr>
            </w:pPr>
            <w:r>
              <w:rPr>
                <w:rFonts w:ascii="Arial" w:cs="Arial" w:eastAsia="Arial" w:hAnsi="Arial"/>
                <w:sz w:val="11"/>
                <w:szCs w:val="11"/>
                <w:color w:val="auto"/>
                <w:w w:val="88"/>
              </w:rPr>
              <w:t>(2)</w:t>
            </w:r>
          </w:p>
        </w:tc>
        <w:tc>
          <w:tcPr>
            <w:tcW w:w="5400" w:type="dxa"/>
            <w:vAlign w:val="bottom"/>
            <w:gridSpan w:val="2"/>
          </w:tcPr>
          <w:p>
            <w:pPr>
              <w:ind w:left="160"/>
              <w:spacing w:after="0"/>
              <w:rPr>
                <w:sz w:val="20"/>
                <w:szCs w:val="20"/>
                <w:color w:val="auto"/>
              </w:rPr>
            </w:pPr>
            <w:r>
              <w:rPr>
                <w:rFonts w:ascii="Arial" w:cs="Arial" w:eastAsia="Arial" w:hAnsi="Arial"/>
                <w:sz w:val="18"/>
                <w:szCs w:val="18"/>
                <w:color w:val="auto"/>
              </w:rPr>
              <w:t>Portions of the facilities are leased and owned.</w:t>
            </w: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facilities in the United States contained approximately 14.1 million square feet at December 31, 2007, of which approximately 1.8 million square feet were leased. Our facilities outside the United States contained approximately 5.8 million square feet at December 31, 2007, of which approximately 1.5 million square feet were leased.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At the end of 2007, we occupied substantially all of the space in our facilities.</w:t>
      </w:r>
    </w:p>
    <w:p>
      <w:pPr>
        <w:spacing w:after="0" w:line="17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Leases covering our currently occupied leased facilities expire at varying dates generally within the next 8 years. We believe our current properties are suitable and adequate for both their intended purpose and our current and foreseeable future needs.</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40"/>
          </w:cols>
          <w:pgMar w:left="240" w:top="280" w:right="319" w:bottom="1440" w:gutter="0" w:footer="0" w:header="0"/>
        </w:sectPr>
      </w:pPr>
    </w:p>
    <w:bookmarkStart w:id="13" w:name="page14"/>
    <w:bookmarkEnd w:id="13"/>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3.</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are involved in various proceedings conducted by the federal Environmental Protection Agency and certain other governmental environmental agencies regarding clean-up of contaminated sites. These proceedings are being coordinated with the agencies and, in certain cases, with other potentially responsible parties. Although the factual situations and the progress of each of these matters differ, we believe that the amount of our liability will not have a material adverse effect upon our financial condition, results of operations or liquidity.</w:t>
      </w:r>
    </w:p>
    <w:p>
      <w:pPr>
        <w:spacing w:after="0" w:line="14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Internal Revenue Code requires that companies disclose in their Form 10-K whether they have been required to pay penalties to the Internal Revenue Service for certain transactions that have been identified by the IRS as abusive or that have a significant tax avoidance purpose. We have not been required to pay any such penalties.</w:t>
      </w:r>
    </w:p>
    <w:p>
      <w:pPr>
        <w:spacing w:after="0" w:line="17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Market for Registrant’s Common Equity, Related Stockholder Matters and Issuer Purchases of Equity Securities.</w:t>
      </w:r>
    </w:p>
    <w:p>
      <w:pPr>
        <w:spacing w:after="0" w:line="9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information contained under the caption “Common Stock Prices and Dividends” on page 61 of TI’s 2007 annual report to stockholders, and the information concerning the number of stockholders of record at December 31, 2007, on page 45 of such annual report are incorporated herein by reference to such annual report.</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table shows our repurchases of our common stock in the fourth quarter of 2007:</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Total Number</w:t>
            </w:r>
          </w:p>
        </w:tc>
        <w:tc>
          <w:tcPr>
            <w:tcW w:w="180" w:type="dxa"/>
            <w:vAlign w:val="bottom"/>
          </w:tcPr>
          <w:p>
            <w:pPr>
              <w:spacing w:after="0"/>
              <w:rPr>
                <w:sz w:val="14"/>
                <w:szCs w:val="14"/>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Approximate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4"/>
              </w:rPr>
              <w:t>of Shares</w:t>
            </w:r>
          </w:p>
        </w:tc>
        <w:tc>
          <w:tcPr>
            <w:tcW w:w="180" w:type="dxa"/>
            <w:vAlign w:val="bottom"/>
          </w:tcPr>
          <w:p>
            <w:pPr>
              <w:spacing w:after="0"/>
              <w:rPr>
                <w:sz w:val="12"/>
                <w:szCs w:val="12"/>
                <w:color w:val="auto"/>
              </w:rPr>
            </w:pPr>
          </w:p>
        </w:tc>
        <w:tc>
          <w:tcPr>
            <w:tcW w:w="11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Dollar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3"/>
              </w:rPr>
              <w:t>Purchased as</w:t>
            </w:r>
          </w:p>
        </w:tc>
        <w:tc>
          <w:tcPr>
            <w:tcW w:w="180" w:type="dxa"/>
            <w:vAlign w:val="bottom"/>
          </w:tcPr>
          <w:p>
            <w:pPr>
              <w:spacing w:after="0"/>
              <w:rPr>
                <w:sz w:val="12"/>
                <w:szCs w:val="12"/>
                <w:color w:val="auto"/>
              </w:rPr>
            </w:pPr>
          </w:p>
        </w:tc>
        <w:tc>
          <w:tcPr>
            <w:tcW w:w="11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Shares 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Part of</w:t>
            </w:r>
          </w:p>
        </w:tc>
        <w:tc>
          <w:tcPr>
            <w:tcW w:w="180" w:type="dxa"/>
            <w:vAlign w:val="bottom"/>
          </w:tcPr>
          <w:p>
            <w:pPr>
              <w:spacing w:after="0"/>
              <w:rPr>
                <w:sz w:val="12"/>
                <w:szCs w:val="12"/>
                <w:color w:val="auto"/>
              </w:rPr>
            </w:pPr>
          </w:p>
        </w:tc>
        <w:tc>
          <w:tcPr>
            <w:tcW w:w="11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May Yet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Total</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5"/>
              </w:rPr>
              <w:t>Publicly</w:t>
            </w:r>
          </w:p>
        </w:tc>
        <w:tc>
          <w:tcPr>
            <w:tcW w:w="180" w:type="dxa"/>
            <w:vAlign w:val="bottom"/>
          </w:tcPr>
          <w:p>
            <w:pPr>
              <w:spacing w:after="0"/>
              <w:rPr>
                <w:sz w:val="12"/>
                <w:szCs w:val="12"/>
                <w:color w:val="auto"/>
              </w:rPr>
            </w:pPr>
          </w:p>
        </w:tc>
        <w:tc>
          <w:tcPr>
            <w:tcW w:w="11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Purchased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Number of</w:t>
            </w:r>
          </w:p>
        </w:tc>
        <w:tc>
          <w:tcPr>
            <w:tcW w:w="16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4"/>
              </w:rPr>
              <w:t>Average</w:t>
            </w:r>
          </w:p>
        </w:tc>
        <w:tc>
          <w:tcPr>
            <w:tcW w:w="320" w:type="dxa"/>
            <w:vAlign w:val="bottom"/>
          </w:tcPr>
          <w:p>
            <w:pPr>
              <w:spacing w:after="0"/>
              <w:rPr>
                <w:sz w:val="12"/>
                <w:szCs w:val="12"/>
                <w:color w:val="auto"/>
              </w:rPr>
            </w:pPr>
          </w:p>
        </w:tc>
        <w:tc>
          <w:tcPr>
            <w:tcW w:w="12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5"/>
              </w:rPr>
              <w:t>Announced</w:t>
            </w:r>
          </w:p>
        </w:tc>
        <w:tc>
          <w:tcPr>
            <w:tcW w:w="180" w:type="dxa"/>
            <w:vAlign w:val="bottom"/>
          </w:tcPr>
          <w:p>
            <w:pPr>
              <w:spacing w:after="0"/>
              <w:rPr>
                <w:sz w:val="12"/>
                <w:szCs w:val="12"/>
                <w:color w:val="auto"/>
              </w:rPr>
            </w:pPr>
          </w:p>
        </w:tc>
        <w:tc>
          <w:tcPr>
            <w:tcW w:w="11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Under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1"/>
              </w:rPr>
              <w:t>Shares</w:t>
            </w:r>
          </w:p>
        </w:tc>
        <w:tc>
          <w:tcPr>
            <w:tcW w:w="160" w:type="dxa"/>
            <w:vAlign w:val="bottom"/>
          </w:tcPr>
          <w:p>
            <w:pPr>
              <w:spacing w:after="0"/>
              <w:rPr>
                <w:sz w:val="12"/>
                <w:szCs w:val="12"/>
                <w:color w:val="auto"/>
              </w:rPr>
            </w:pPr>
          </w:p>
        </w:tc>
        <w:tc>
          <w:tcPr>
            <w:tcW w:w="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Price Paid</w:t>
            </w:r>
          </w:p>
        </w:tc>
        <w:tc>
          <w:tcPr>
            <w:tcW w:w="320" w:type="dxa"/>
            <w:vAlign w:val="bottom"/>
          </w:tcPr>
          <w:p>
            <w:pPr>
              <w:spacing w:after="0"/>
              <w:rPr>
                <w:sz w:val="12"/>
                <w:szCs w:val="12"/>
                <w:color w:val="auto"/>
              </w:rPr>
            </w:pPr>
          </w:p>
        </w:tc>
        <w:tc>
          <w:tcPr>
            <w:tcW w:w="12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Plans or</w:t>
            </w:r>
          </w:p>
        </w:tc>
        <w:tc>
          <w:tcPr>
            <w:tcW w:w="180" w:type="dxa"/>
            <w:vAlign w:val="bottom"/>
          </w:tcPr>
          <w:p>
            <w:pPr>
              <w:spacing w:after="0"/>
              <w:rPr>
                <w:sz w:val="12"/>
                <w:szCs w:val="12"/>
                <w:color w:val="auto"/>
              </w:rPr>
            </w:pPr>
          </w:p>
        </w:tc>
        <w:tc>
          <w:tcPr>
            <w:tcW w:w="11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Plans or</w:t>
            </w:r>
          </w:p>
        </w:tc>
        <w:tc>
          <w:tcPr>
            <w:tcW w:w="0" w:type="dxa"/>
            <w:vAlign w:val="bottom"/>
          </w:tcPr>
          <w:p>
            <w:pPr>
              <w:spacing w:after="0"/>
              <w:rPr>
                <w:sz w:val="1"/>
                <w:szCs w:val="1"/>
                <w:color w:val="auto"/>
              </w:rPr>
            </w:pPr>
          </w:p>
        </w:tc>
      </w:tr>
      <w:tr>
        <w:trPr>
          <w:trHeight w:val="176"/>
        </w:trPr>
        <w:tc>
          <w:tcPr>
            <w:tcW w:w="6780" w:type="dxa"/>
            <w:vAlign w:val="bottom"/>
            <w:gridSpan w:val="3"/>
          </w:tcPr>
          <w:p>
            <w:pPr>
              <w:spacing w:after="0"/>
              <w:rPr>
                <w:sz w:val="20"/>
                <w:szCs w:val="20"/>
                <w:color w:val="auto"/>
              </w:rPr>
            </w:pPr>
            <w:r>
              <w:rPr>
                <w:rFonts w:ascii="Arial" w:cs="Arial" w:eastAsia="Arial" w:hAnsi="Arial"/>
                <w:sz w:val="14"/>
                <w:szCs w:val="14"/>
                <w:b w:val="1"/>
                <w:bCs w:val="1"/>
                <w:color w:val="auto"/>
              </w:rPr>
              <w:t>Period</w:t>
            </w: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3"/>
              </w:rPr>
              <w:t>Purchased</w:t>
            </w:r>
          </w:p>
        </w:tc>
        <w:tc>
          <w:tcPr>
            <w:tcW w:w="16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per Share</w:t>
            </w:r>
          </w:p>
        </w:tc>
        <w:tc>
          <w:tcPr>
            <w:tcW w:w="320" w:type="dxa"/>
            <w:vAlign w:val="bottom"/>
          </w:tcPr>
          <w:p>
            <w:pPr>
              <w:spacing w:after="0"/>
              <w:rPr>
                <w:sz w:val="15"/>
                <w:szCs w:val="15"/>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Programs</w:t>
            </w:r>
          </w:p>
        </w:tc>
        <w:tc>
          <w:tcPr>
            <w:tcW w:w="180" w:type="dxa"/>
            <w:vAlign w:val="bottom"/>
          </w:tcPr>
          <w:p>
            <w:pPr>
              <w:spacing w:after="0"/>
              <w:rPr>
                <w:sz w:val="15"/>
                <w:szCs w:val="15"/>
                <w:color w:val="auto"/>
              </w:rPr>
            </w:pPr>
          </w:p>
        </w:tc>
        <w:tc>
          <w:tcPr>
            <w:tcW w:w="1180" w:type="dxa"/>
            <w:vAlign w:val="bottom"/>
            <w:gridSpan w:val="2"/>
          </w:tcPr>
          <w:p>
            <w:pPr>
              <w:jc w:val="center"/>
              <w:ind w:right="140"/>
              <w:spacing w:after="0" w:line="176" w:lineRule="exact"/>
              <w:rPr>
                <w:sz w:val="20"/>
                <w:szCs w:val="20"/>
                <w:color w:val="auto"/>
              </w:rPr>
            </w:pPr>
            <w:r>
              <w:rPr>
                <w:rFonts w:ascii="Arial" w:cs="Arial" w:eastAsia="Arial" w:hAnsi="Arial"/>
                <w:sz w:val="13"/>
                <w:szCs w:val="13"/>
                <w:b w:val="1"/>
                <w:bCs w:val="1"/>
                <w:color w:val="auto"/>
                <w:w w:val="89"/>
              </w:rPr>
              <w:t xml:space="preserve">Programs </w:t>
            </w:r>
            <w:r>
              <w:rPr>
                <w:rFonts w:ascii="Arial" w:cs="Arial" w:eastAsia="Arial" w:hAnsi="Arial"/>
                <w:sz w:val="20"/>
                <w:szCs w:val="20"/>
                <w:b w:val="1"/>
                <w:bCs w:val="1"/>
                <w:color w:val="auto"/>
                <w:w w:val="89"/>
                <w:vertAlign w:val="superscript"/>
              </w:rPr>
              <w:t>(1)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1 through October 31, 2007</w:t>
            </w:r>
          </w:p>
        </w:tc>
        <w:tc>
          <w:tcPr>
            <w:tcW w:w="9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8"/>
              </w:rPr>
              <w:t>17,555,000</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33.96</w:t>
            </w:r>
          </w:p>
        </w:tc>
        <w:tc>
          <w:tcPr>
            <w:tcW w:w="1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86"/>
              </w:rPr>
              <w:t>17,555,000</w:t>
            </w:r>
          </w:p>
        </w:tc>
        <w:tc>
          <w:tcPr>
            <w:tcW w:w="4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$ 6,900 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November 1 through November 30, 2007</w:t>
            </w:r>
          </w:p>
        </w:tc>
        <w:tc>
          <w:tcPr>
            <w:tcW w:w="96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21,000,000</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31.61</w:t>
            </w:r>
          </w:p>
        </w:tc>
        <w:tc>
          <w:tcPr>
            <w:tcW w:w="1140" w:type="dxa"/>
            <w:vAlign w:val="bottom"/>
            <w:gridSpan w:val="2"/>
          </w:tcPr>
          <w:p>
            <w:pPr>
              <w:ind w:left="340"/>
              <w:spacing w:after="0"/>
              <w:rPr>
                <w:sz w:val="20"/>
                <w:szCs w:val="20"/>
                <w:color w:val="auto"/>
              </w:rPr>
            </w:pPr>
            <w:r>
              <w:rPr>
                <w:rFonts w:ascii="Arial" w:cs="Arial" w:eastAsia="Arial" w:hAnsi="Arial"/>
                <w:sz w:val="18"/>
                <w:szCs w:val="18"/>
                <w:color w:val="auto"/>
                <w:w w:val="86"/>
              </w:rPr>
              <w:t>21,000,000</w:t>
            </w:r>
          </w:p>
        </w:tc>
        <w:tc>
          <w:tcPr>
            <w:tcW w:w="420" w:type="dxa"/>
            <w:vAlign w:val="bottom"/>
          </w:tcPr>
          <w:p>
            <w:pPr>
              <w:spacing w:after="0"/>
              <w:rPr>
                <w:sz w:val="18"/>
                <w:szCs w:val="18"/>
                <w:color w:val="auto"/>
              </w:rPr>
            </w:pPr>
          </w:p>
        </w:tc>
        <w:tc>
          <w:tcPr>
            <w:tcW w:w="1360" w:type="dxa"/>
            <w:vAlign w:val="bottom"/>
            <w:gridSpan w:val="3"/>
          </w:tcPr>
          <w:p>
            <w:pPr>
              <w:jc w:val="center"/>
              <w:spacing w:after="0"/>
              <w:rPr>
                <w:sz w:val="20"/>
                <w:szCs w:val="20"/>
                <w:color w:val="auto"/>
              </w:rPr>
            </w:pPr>
            <w:r>
              <w:rPr>
                <w:rFonts w:ascii="Arial" w:cs="Arial" w:eastAsia="Arial" w:hAnsi="Arial"/>
                <w:sz w:val="18"/>
                <w:szCs w:val="18"/>
                <w:color w:val="auto"/>
                <w:w w:val="89"/>
              </w:rPr>
              <w:t>$ 6,236 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1 through December 31, 2007</w:t>
            </w:r>
          </w:p>
        </w:tc>
        <w:tc>
          <w:tcPr>
            <w:tcW w:w="9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8"/>
              </w:rPr>
              <w:t>20,000,000</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33.15</w:t>
            </w:r>
          </w:p>
        </w:tc>
        <w:tc>
          <w:tcPr>
            <w:tcW w:w="1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86"/>
              </w:rPr>
              <w:t>20,000,000</w:t>
            </w:r>
          </w:p>
        </w:tc>
        <w:tc>
          <w:tcPr>
            <w:tcW w:w="4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$ 5,573 million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Total</w:t>
            </w:r>
          </w:p>
        </w:tc>
        <w:tc>
          <w:tcPr>
            <w:tcW w:w="96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58,555,000</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32.84</w:t>
            </w:r>
          </w:p>
        </w:tc>
        <w:tc>
          <w:tcPr>
            <w:tcW w:w="1560" w:type="dxa"/>
            <w:vAlign w:val="bottom"/>
            <w:gridSpan w:val="3"/>
          </w:tcPr>
          <w:p>
            <w:pPr>
              <w:ind w:left="340"/>
              <w:spacing w:after="0"/>
              <w:rPr>
                <w:sz w:val="20"/>
                <w:szCs w:val="20"/>
                <w:color w:val="auto"/>
              </w:rPr>
            </w:pPr>
            <w:r>
              <w:rPr>
                <w:rFonts w:ascii="Arial" w:cs="Arial" w:eastAsia="Arial" w:hAnsi="Arial"/>
                <w:sz w:val="18"/>
                <w:szCs w:val="18"/>
                <w:color w:val="auto"/>
              </w:rPr>
              <w:t>58,555,000</w:t>
            </w:r>
            <w:r>
              <w:rPr>
                <w:rFonts w:ascii="Arial" w:cs="Arial" w:eastAsia="Arial" w:hAnsi="Arial"/>
                <w:sz w:val="11"/>
                <w:szCs w:val="11"/>
                <w:color w:val="auto"/>
              </w:rPr>
              <w:t>(2)(3)</w:t>
            </w:r>
          </w:p>
        </w:tc>
        <w:tc>
          <w:tcPr>
            <w:tcW w:w="1360" w:type="dxa"/>
            <w:vAlign w:val="bottom"/>
            <w:gridSpan w:val="3"/>
          </w:tcPr>
          <w:p>
            <w:pPr>
              <w:ind w:left="180"/>
              <w:spacing w:after="0"/>
              <w:rPr>
                <w:sz w:val="20"/>
                <w:szCs w:val="20"/>
                <w:color w:val="auto"/>
              </w:rPr>
            </w:pPr>
            <w:r>
              <w:rPr>
                <w:rFonts w:ascii="Arial" w:cs="Arial" w:eastAsia="Arial" w:hAnsi="Arial"/>
                <w:sz w:val="18"/>
                <w:szCs w:val="18"/>
                <w:color w:val="auto"/>
                <w:w w:val="89"/>
              </w:rPr>
              <w:t>$ 5,573 million</w:t>
            </w:r>
            <w:r>
              <w:rPr>
                <w:rFonts w:ascii="Arial" w:cs="Arial" w:eastAsia="Arial" w:hAnsi="Arial"/>
                <w:sz w:val="11"/>
                <w:szCs w:val="11"/>
                <w:color w:val="auto"/>
                <w:w w:val="89"/>
              </w:rPr>
              <w:t>(3)</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60" w:hanging="452"/>
        <w:spacing w:after="0" w:line="287" w:lineRule="auto"/>
        <w:tabs>
          <w:tab w:leader="none" w:pos="460" w:val="left"/>
        </w:tabs>
        <w:numPr>
          <w:ilvl w:val="0"/>
          <w:numId w:val="3"/>
        </w:numPr>
        <w:rPr>
          <w:rFonts w:ascii="Arial" w:cs="Arial" w:eastAsia="Arial" w:hAnsi="Arial"/>
          <w:sz w:val="11"/>
          <w:szCs w:val="11"/>
          <w:color w:val="auto"/>
        </w:rPr>
      </w:pPr>
      <w:r>
        <w:rPr>
          <w:rFonts w:ascii="Arial" w:cs="Arial" w:eastAsia="Arial" w:hAnsi="Arial"/>
          <w:sz w:val="16"/>
          <w:szCs w:val="16"/>
          <w:color w:val="auto"/>
        </w:rPr>
        <w:t>All purchases during the quarter were made under the authorization from our board of directors to purchase up to $5 billion of additional shares of TI common stock announced on September 21, 2006. A further authorization from our board of directors to purchase up to $5 billion of additional shares of TI common stock was announced on September 21, 2007. No expiration date has been specified for either of these authorizations.</w:t>
      </w:r>
    </w:p>
    <w:p>
      <w:pPr>
        <w:spacing w:after="0" w:line="1" w:lineRule="exact"/>
        <w:rPr>
          <w:rFonts w:ascii="Arial" w:cs="Arial" w:eastAsia="Arial" w:hAnsi="Arial"/>
          <w:sz w:val="11"/>
          <w:szCs w:val="11"/>
          <w:color w:val="auto"/>
        </w:rPr>
      </w:pPr>
    </w:p>
    <w:p>
      <w:pPr>
        <w:ind w:left="460" w:right="80" w:hanging="452"/>
        <w:spacing w:after="0" w:line="287" w:lineRule="auto"/>
        <w:tabs>
          <w:tab w:leader="none" w:pos="460" w:val="left"/>
        </w:tabs>
        <w:numPr>
          <w:ilvl w:val="0"/>
          <w:numId w:val="3"/>
        </w:numPr>
        <w:rPr>
          <w:rFonts w:ascii="Arial" w:cs="Arial" w:eastAsia="Arial" w:hAnsi="Arial"/>
          <w:sz w:val="11"/>
          <w:szCs w:val="11"/>
          <w:color w:val="auto"/>
        </w:rPr>
      </w:pPr>
      <w:r>
        <w:rPr>
          <w:rFonts w:ascii="Arial" w:cs="Arial" w:eastAsia="Arial" w:hAnsi="Arial"/>
          <w:sz w:val="16"/>
          <w:szCs w:val="16"/>
          <w:color w:val="auto"/>
        </w:rPr>
        <w:t>All purchases during the quarter were made through open-market purchases except for 555,000 shares that were acquired in October through a privately negotiated forward purchase contract with a non-affiliated financial institution. The forward purchase contract was designed to minimize the impact on our earnings from the effect of stock market value fluctuations on the portion of our deferred compensation obligations denominated in TI stock.</w:t>
      </w:r>
    </w:p>
    <w:p>
      <w:pPr>
        <w:spacing w:after="0" w:line="1" w:lineRule="exact"/>
        <w:rPr>
          <w:rFonts w:ascii="Arial" w:cs="Arial" w:eastAsia="Arial" w:hAnsi="Arial"/>
          <w:sz w:val="11"/>
          <w:szCs w:val="11"/>
          <w:color w:val="auto"/>
        </w:rPr>
      </w:pPr>
    </w:p>
    <w:p>
      <w:pPr>
        <w:ind w:left="460" w:right="240" w:hanging="452"/>
        <w:spacing w:after="0" w:line="280" w:lineRule="auto"/>
        <w:tabs>
          <w:tab w:leader="none" w:pos="460" w:val="left"/>
        </w:tabs>
        <w:numPr>
          <w:ilvl w:val="0"/>
          <w:numId w:val="3"/>
        </w:numPr>
        <w:rPr>
          <w:rFonts w:ascii="Arial" w:cs="Arial" w:eastAsia="Arial" w:hAnsi="Arial"/>
          <w:sz w:val="11"/>
          <w:szCs w:val="11"/>
          <w:color w:val="auto"/>
        </w:rPr>
      </w:pPr>
      <w:r>
        <w:rPr>
          <w:rFonts w:ascii="Arial" w:cs="Arial" w:eastAsia="Arial" w:hAnsi="Arial"/>
          <w:sz w:val="16"/>
          <w:szCs w:val="16"/>
          <w:color w:val="auto"/>
        </w:rPr>
        <w:t>The total number of shares purchased includes the purchase of 3,000,000 shares for which trades were settled in the first three business days of January 2008 for $101 million. The table does not include the purchase of 1,500,000 shares pursuant to orders placed in the third quarter, for which trades were settled in the first three business days of the fourth quarter for $55 million. The purchase of these shares was reflected in Part II, Item 2 in the company’s report on Form 10-Q for the quarter ended September 30, 2007.</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14" w:name="page15"/>
    <w:bookmarkEnd w:id="14"/>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6.</w:t>
      </w:r>
      <w:r>
        <w:rPr>
          <w:sz w:val="20"/>
          <w:szCs w:val="20"/>
          <w:color w:val="auto"/>
        </w:rPr>
        <w:tab/>
      </w:r>
      <w:r>
        <w:rPr>
          <w:rFonts w:ascii="Arial" w:cs="Arial" w:eastAsia="Arial" w:hAnsi="Arial"/>
          <w:sz w:val="15"/>
          <w:szCs w:val="15"/>
          <w:b w:val="1"/>
          <w:bCs w:val="1"/>
          <w:color w:val="auto"/>
        </w:rPr>
        <w:t>Selected Financial Data.</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“Summary of Selected Financial Data” for the years 2003 through 2007, which appears on page 45 of TI’s 2007 annual report to stockholders, is incorporated herein by reference to such annual report.</w:t>
      </w:r>
    </w:p>
    <w:p>
      <w:pPr>
        <w:spacing w:after="0" w:line="16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information contained under the caption “Management’s Discussion and Analysis of Financial Condition and Results of Operations” on pages 46 through 59 of TI’s 2007 annual report to stockholders is incorporated herein by reference to such annual report.</w:t>
      </w:r>
    </w:p>
    <w:p>
      <w:pPr>
        <w:spacing w:after="0" w:line="16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 information concerning market risk contained on pages 58 and 59 of TI’s 2007 annual report to stockholders is incorporated herein by reference to such annual report.</w:t>
      </w:r>
    </w:p>
    <w:p>
      <w:pPr>
        <w:spacing w:after="0" w:line="16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Financial Statements and Supplementary Data.</w:t>
      </w:r>
    </w:p>
    <w:p>
      <w:pPr>
        <w:spacing w:after="0" w:line="96"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The consolidated financial statements of the company at December 31, 2007 and 2006, and for each of the three years in the period ended December 31, 2007, and the report thereon of the independent registered public accounting firm, on pages 6 through 42 of TI’s 2007 annual report to stockholders, are incorporated herein by reference to such annual report.</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The “Quarterly Financial Data” on page 60 of TI’s 2007 annual report to stockholders is also incorporated herein by reference to such annual report.</w:t>
      </w:r>
    </w:p>
    <w:p>
      <w:pPr>
        <w:spacing w:after="0" w:line="22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Disclosure Controls and Procedures</w:t>
      </w:r>
    </w:p>
    <w:p>
      <w:pPr>
        <w:spacing w:after="0" w:line="9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An evaluation as of the end of the period covered by this report was carried out under the supervision and with the participation of TI’s management, including its Chief Executive Officer and Chief Financial Officer, of the effectiveness of the design and operation of TI’s disclosure controls and procedures (as defined in Rules 13a-15(e) and 15d-15(e) under the Securities Exchange Act of 1934). Based upon that evaluation, the Chief Executive Officer and Chief Financial Officer concluded that those disclosure controls and procedures were effective in providing reasonable assurance that information required to be disclosed by TI in the reports that we file or submit under the Exchange Act is recorded, processed, summarized and reported within the time periods specified in the Commission’s rules and forms.</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Internal Control over Financial Reporting</w:t>
      </w:r>
    </w:p>
    <w:p>
      <w:pPr>
        <w:spacing w:after="0" w:line="90"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Management’s assessment of our internal control over financial reporting is contained in the Report by Management on Internal Control over Financial Reporting on page 43 of our 2007 annual report to stockholders and is incorporated herein by reference to such annual report.</w:t>
      </w:r>
    </w:p>
    <w:p>
      <w:pPr>
        <w:spacing w:after="0" w:line="132" w:lineRule="exact"/>
        <w:rPr>
          <w:sz w:val="20"/>
          <w:szCs w:val="20"/>
          <w:color w:val="auto"/>
        </w:rPr>
      </w:pPr>
    </w:p>
    <w:p>
      <w:pPr>
        <w:ind w:right="580"/>
        <w:spacing w:after="0" w:line="332" w:lineRule="auto"/>
        <w:rPr>
          <w:sz w:val="20"/>
          <w:szCs w:val="20"/>
          <w:color w:val="auto"/>
        </w:rPr>
      </w:pPr>
      <w:r>
        <w:rPr>
          <w:rFonts w:ascii="Arial" w:cs="Arial" w:eastAsia="Arial" w:hAnsi="Arial"/>
          <w:sz w:val="16"/>
          <w:szCs w:val="16"/>
          <w:color w:val="auto"/>
        </w:rPr>
        <w:t>The Report of Independent Registered Public Accounting Firm on Internal Control over Financial Reporting opining on our internal control over financial reporting is contained on page 44 of our 2007 annual report to stockholders and is incorporated herein by reference to such annual report.</w:t>
      </w:r>
    </w:p>
    <w:p>
      <w:pPr>
        <w:spacing w:after="0" w:line="12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III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color w:val="auto"/>
        </w:rPr>
        <w:t>Directors, Executive Officers and Corporate Governance.</w:t>
      </w:r>
    </w:p>
    <w:p>
      <w:pPr>
        <w:spacing w:after="0" w:line="96" w:lineRule="exact"/>
        <w:rPr>
          <w:sz w:val="20"/>
          <w:szCs w:val="20"/>
          <w:color w:val="auto"/>
        </w:rPr>
      </w:pPr>
    </w:p>
    <w:p>
      <w:pPr>
        <w:ind w:right="660"/>
        <w:spacing w:after="0" w:line="332" w:lineRule="auto"/>
        <w:rPr>
          <w:sz w:val="20"/>
          <w:szCs w:val="20"/>
          <w:color w:val="auto"/>
        </w:rPr>
      </w:pPr>
      <w:r>
        <w:rPr>
          <w:rFonts w:ascii="Arial" w:cs="Arial" w:eastAsia="Arial" w:hAnsi="Arial"/>
          <w:sz w:val="16"/>
          <w:szCs w:val="16"/>
          <w:color w:val="auto"/>
        </w:rPr>
        <w:t>The information with respect to directors’ names, ages, positions, term of office and periods of service, which is contained under the caption “Election of Directors” in our proxy statement for the 2008 annual meeting of stockholders, is incorporated herein by reference to such proxy statement.</w:t>
      </w:r>
    </w:p>
    <w:p>
      <w:pPr>
        <w:spacing w:after="0" w:line="8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information with respect to the company’s audit committee financial expert contained under the caption “Board Organization” in our proxy statement for the 2008 annual meeting of stockholders is incorporated herein by reference to such proxy statement.</w:t>
      </w:r>
    </w:p>
    <w:p>
      <w:pPr>
        <w:spacing w:after="0" w:line="13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information with respect to Section 16(a) Beneficial Ownership Reporting Compliance contained under the caption of the same name in our proxy statement for the 2008 annual meeting of stockholders is incorporated herein by reference to such proxy statement.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A list of our executive officers and their biographical information appear in Part I, Item 1 of this report.</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Code of Ethics</w:t>
      </w:r>
    </w:p>
    <w:p>
      <w:pPr>
        <w:spacing w:after="0" w:line="9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have adopted the Code of Ethics for TI Chief Executive Officer and Senior Financial Officers. A copy of the Code can be found on our web site at www.ti.com/ir. We intend to satisfy the disclosure requirements of the SEC regarding amendments to, or waivers from, the Code by posting such information on the same web site.</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Audit Committee</w:t>
      </w:r>
    </w:p>
    <w:p>
      <w:pPr>
        <w:spacing w:after="0" w:line="90" w:lineRule="exact"/>
        <w:rPr>
          <w:sz w:val="20"/>
          <w:szCs w:val="20"/>
          <w:color w:val="auto"/>
        </w:rPr>
      </w:pPr>
    </w:p>
    <w:p>
      <w:pPr>
        <w:ind w:right="540"/>
        <w:spacing w:after="0" w:line="332" w:lineRule="auto"/>
        <w:rPr>
          <w:sz w:val="20"/>
          <w:szCs w:val="20"/>
          <w:color w:val="auto"/>
        </w:rPr>
      </w:pPr>
      <w:r>
        <w:rPr>
          <w:rFonts w:ascii="Arial" w:cs="Arial" w:eastAsia="Arial" w:hAnsi="Arial"/>
          <w:sz w:val="16"/>
          <w:szCs w:val="16"/>
          <w:color w:val="auto"/>
        </w:rPr>
        <w:t>We have a separately designated standing audit committee established in accordance with Section 3(a)(58)(A) of the Securities Exchange Act of 1934. The following directors are members of TI’s Audit Committee: Pamela H. Patsley (Chair), Carrie S. Cox and Wayne R. Sanders.</w:t>
      </w:r>
    </w:p>
    <w:p>
      <w:pPr>
        <w:spacing w:after="0" w:line="12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9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information contained under the captions “Director Compensation” and “Executive Compensation” in our proxy statement for the 2008 annual meeting of stockholders is incorporated herein by reference to such proxy statement.</w:t>
      </w:r>
    </w:p>
    <w:p>
      <w:pPr>
        <w:spacing w:after="0" w:line="16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Equity Compensation Plan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about the company’s equity compensation plans as of December 31, 2007:</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224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86"/>
              </w:rPr>
              <w:t>Number of Securities to</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224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4"/>
              </w:rPr>
              <w:t>be Issued Upon</w:t>
            </w:r>
          </w:p>
        </w:tc>
        <w:tc>
          <w:tcPr>
            <w:tcW w:w="100" w:type="dxa"/>
            <w:vAlign w:val="bottom"/>
          </w:tcPr>
          <w:p>
            <w:pPr>
              <w:spacing w:after="0"/>
              <w:rPr>
                <w:sz w:val="12"/>
                <w:szCs w:val="12"/>
                <w:color w:val="auto"/>
              </w:rPr>
            </w:pPr>
          </w:p>
        </w:tc>
        <w:tc>
          <w:tcPr>
            <w:tcW w:w="204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15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Remaining 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224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5"/>
              </w:rPr>
              <w:t>Exercise of</w:t>
            </w:r>
          </w:p>
        </w:tc>
        <w:tc>
          <w:tcPr>
            <w:tcW w:w="100" w:type="dxa"/>
            <w:vAlign w:val="bottom"/>
          </w:tcPr>
          <w:p>
            <w:pPr>
              <w:spacing w:after="0"/>
              <w:rPr>
                <w:sz w:val="12"/>
                <w:szCs w:val="12"/>
                <w:color w:val="auto"/>
              </w:rPr>
            </w:pPr>
          </w:p>
        </w:tc>
        <w:tc>
          <w:tcPr>
            <w:tcW w:w="204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85"/>
              </w:rPr>
              <w:t>Exercise Price of</w:t>
            </w:r>
          </w:p>
        </w:tc>
        <w:tc>
          <w:tcPr>
            <w:tcW w:w="15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Future Issuance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224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6"/>
              </w:rPr>
              <w:t>Outstanding Options,</w:t>
            </w:r>
          </w:p>
        </w:tc>
        <w:tc>
          <w:tcPr>
            <w:tcW w:w="21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Outstanding Options,</w:t>
            </w:r>
          </w:p>
        </w:tc>
        <w:tc>
          <w:tcPr>
            <w:tcW w:w="15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Equity Compensation</w:t>
            </w:r>
          </w:p>
        </w:tc>
        <w:tc>
          <w:tcPr>
            <w:tcW w:w="0" w:type="dxa"/>
            <w:vAlign w:val="bottom"/>
          </w:tcPr>
          <w:p>
            <w:pPr>
              <w:spacing w:after="0"/>
              <w:rPr>
                <w:sz w:val="1"/>
                <w:szCs w:val="1"/>
                <w:color w:val="auto"/>
              </w:rPr>
            </w:pPr>
          </w:p>
        </w:tc>
      </w:tr>
      <w:tr>
        <w:trPr>
          <w:trHeight w:val="161"/>
        </w:trPr>
        <w:tc>
          <w:tcPr>
            <w:tcW w:w="5500" w:type="dxa"/>
            <w:vAlign w:val="bottom"/>
            <w:gridSpan w:val="3"/>
          </w:tcPr>
          <w:p>
            <w:pPr>
              <w:spacing w:after="0"/>
              <w:rPr>
                <w:sz w:val="20"/>
                <w:szCs w:val="20"/>
                <w:color w:val="auto"/>
              </w:rPr>
            </w:pPr>
            <w:r>
              <w:rPr>
                <w:rFonts w:ascii="Arial" w:cs="Arial" w:eastAsia="Arial" w:hAnsi="Arial"/>
                <w:sz w:val="14"/>
                <w:szCs w:val="14"/>
                <w:b w:val="1"/>
                <w:bCs w:val="1"/>
                <w:color w:val="auto"/>
              </w:rPr>
              <w:t>Plan Category</w:t>
            </w:r>
          </w:p>
        </w:tc>
        <w:tc>
          <w:tcPr>
            <w:tcW w:w="224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87"/>
              </w:rPr>
              <w:t>Warrants and Rights</w:t>
            </w:r>
          </w:p>
        </w:tc>
        <w:tc>
          <w:tcPr>
            <w:tcW w:w="2140" w:type="dxa"/>
            <w:vAlign w:val="bottom"/>
            <w:gridSpan w:val="3"/>
          </w:tcPr>
          <w:p>
            <w:pPr>
              <w:ind w:left="20"/>
              <w:spacing w:after="0"/>
              <w:rPr>
                <w:sz w:val="20"/>
                <w:szCs w:val="20"/>
                <w:color w:val="auto"/>
              </w:rPr>
            </w:pPr>
            <w:r>
              <w:rPr>
                <w:rFonts w:ascii="Arial" w:cs="Arial" w:eastAsia="Arial" w:hAnsi="Arial"/>
                <w:sz w:val="14"/>
                <w:szCs w:val="14"/>
                <w:b w:val="1"/>
                <w:bCs w:val="1"/>
                <w:color w:val="auto"/>
              </w:rPr>
              <w:t>Warrants and Rights</w:t>
            </w:r>
          </w:p>
        </w:tc>
        <w:tc>
          <w:tcPr>
            <w:tcW w:w="15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Plans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22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125,438,783</w:t>
            </w:r>
            <w:r>
              <w:rPr>
                <w:rFonts w:ascii="Arial" w:cs="Arial" w:eastAsia="Arial" w:hAnsi="Arial"/>
                <w:sz w:val="11"/>
                <w:szCs w:val="11"/>
                <w:color w:val="auto"/>
              </w:rPr>
              <w:t>(1)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20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32.94</w:t>
            </w:r>
            <w:r>
              <w:rPr>
                <w:rFonts w:ascii="Arial" w:cs="Arial" w:eastAsia="Arial" w:hAnsi="Arial"/>
                <w:sz w:val="11"/>
                <w:szCs w:val="11"/>
                <w:color w:val="auto"/>
              </w:rPr>
              <w:t>(2)</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95,092,160</w:t>
            </w: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2240" w:type="dxa"/>
            <w:vAlign w:val="bottom"/>
            <w:gridSpan w:val="2"/>
          </w:tcPr>
          <w:p>
            <w:pPr>
              <w:jc w:val="right"/>
              <w:ind w:right="740"/>
              <w:spacing w:after="0"/>
              <w:rPr>
                <w:sz w:val="20"/>
                <w:szCs w:val="20"/>
                <w:color w:val="auto"/>
              </w:rPr>
            </w:pPr>
            <w:r>
              <w:rPr>
                <w:rFonts w:ascii="Arial" w:cs="Arial" w:eastAsia="Arial" w:hAnsi="Arial"/>
                <w:sz w:val="18"/>
                <w:szCs w:val="18"/>
                <w:color w:val="auto"/>
              </w:rPr>
              <w:t>67,136,641</w:t>
            </w:r>
            <w:r>
              <w:rPr>
                <w:rFonts w:ascii="Arial" w:cs="Arial" w:eastAsia="Arial" w:hAnsi="Arial"/>
                <w:sz w:val="11"/>
                <w:szCs w:val="11"/>
                <w:color w:val="auto"/>
              </w:rPr>
              <w:t>(4)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2040" w:type="dxa"/>
            <w:vAlign w:val="bottom"/>
            <w:gridSpan w:val="2"/>
          </w:tcPr>
          <w:p>
            <w:pPr>
              <w:ind w:left="760"/>
              <w:spacing w:after="0"/>
              <w:rPr>
                <w:sz w:val="20"/>
                <w:szCs w:val="20"/>
                <w:color w:val="auto"/>
              </w:rPr>
            </w:pPr>
            <w:r>
              <w:rPr>
                <w:rFonts w:ascii="Arial" w:cs="Arial" w:eastAsia="Arial" w:hAnsi="Arial"/>
                <w:sz w:val="18"/>
                <w:szCs w:val="18"/>
                <w:color w:val="auto"/>
              </w:rPr>
              <w:t>26.78</w:t>
            </w:r>
            <w:r>
              <w:rPr>
                <w:rFonts w:ascii="Arial" w:cs="Arial" w:eastAsia="Arial" w:hAnsi="Arial"/>
                <w:sz w:val="11"/>
                <w:szCs w:val="11"/>
                <w:color w:val="auto"/>
              </w:rPr>
              <w:t>(2)</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159,432,481</w:t>
            </w: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192,575,424</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20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30.84</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254,524,641</w:t>
            </w: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460" w:right="20" w:hanging="452"/>
        <w:spacing w:after="0" w:line="252" w:lineRule="auto"/>
        <w:tabs>
          <w:tab w:leader="none" w:pos="460" w:val="left"/>
        </w:tabs>
        <w:numPr>
          <w:ilvl w:val="0"/>
          <w:numId w:val="4"/>
        </w:numPr>
        <w:rPr>
          <w:rFonts w:ascii="Arial" w:cs="Arial" w:eastAsia="Arial" w:hAnsi="Arial"/>
          <w:sz w:val="11"/>
          <w:szCs w:val="11"/>
          <w:color w:val="auto"/>
        </w:rPr>
      </w:pPr>
      <w:r>
        <w:rPr>
          <w:rFonts w:ascii="Arial" w:cs="Arial" w:eastAsia="Arial" w:hAnsi="Arial"/>
          <w:sz w:val="18"/>
          <w:szCs w:val="18"/>
          <w:color w:val="auto"/>
        </w:rPr>
        <w:t>Includes shares of TI common stock to be issued under the Texas Instruments 2000 Long-Term Incentive Plan and predecessor plans, the Texas Instruments 2003 Director Compensation Plan and the TI Employees 2005 Stock Purchase Plan.</w:t>
      </w:r>
    </w:p>
    <w:p>
      <w:pPr>
        <w:spacing w:after="0" w:line="132" w:lineRule="exact"/>
        <w:rPr>
          <w:rFonts w:ascii="Arial" w:cs="Arial" w:eastAsia="Arial" w:hAnsi="Arial"/>
          <w:sz w:val="11"/>
          <w:szCs w:val="11"/>
          <w:color w:val="auto"/>
        </w:rPr>
      </w:pPr>
    </w:p>
    <w:p>
      <w:pPr>
        <w:ind w:left="460"/>
        <w:spacing w:after="0"/>
        <w:rPr>
          <w:rFonts w:ascii="Arial" w:cs="Arial" w:eastAsia="Arial" w:hAnsi="Arial"/>
          <w:sz w:val="11"/>
          <w:szCs w:val="11"/>
          <w:color w:val="auto"/>
        </w:rPr>
      </w:pPr>
      <w:r>
        <w:rPr>
          <w:rFonts w:ascii="Arial" w:cs="Arial" w:eastAsia="Arial" w:hAnsi="Arial"/>
          <w:sz w:val="18"/>
          <w:szCs w:val="18"/>
          <w:color w:val="auto"/>
        </w:rPr>
        <w:t>Excludes the following:</w:t>
      </w:r>
    </w:p>
    <w:p>
      <w:pPr>
        <w:spacing w:after="0" w:line="90" w:lineRule="exact"/>
        <w:rPr>
          <w:rFonts w:ascii="Arial" w:cs="Arial" w:eastAsia="Arial" w:hAnsi="Arial"/>
          <w:sz w:val="11"/>
          <w:szCs w:val="11"/>
          <w:color w:val="auto"/>
        </w:rPr>
      </w:pPr>
    </w:p>
    <w:p>
      <w:pPr>
        <w:ind w:left="780" w:right="120" w:hanging="326"/>
        <w:spacing w:after="0" w:line="259" w:lineRule="auto"/>
        <w:tabs>
          <w:tab w:leader="none" w:pos="780" w:val="left"/>
        </w:tabs>
        <w:numPr>
          <w:ilvl w:val="1"/>
          <w:numId w:val="4"/>
        </w:numPr>
        <w:rPr>
          <w:rFonts w:ascii="Arial" w:cs="Arial" w:eastAsia="Arial" w:hAnsi="Arial"/>
          <w:sz w:val="18"/>
          <w:szCs w:val="18"/>
          <w:color w:val="auto"/>
        </w:rPr>
      </w:pPr>
      <w:r>
        <w:rPr>
          <w:rFonts w:ascii="Arial" w:cs="Arial" w:eastAsia="Arial" w:hAnsi="Arial"/>
          <w:sz w:val="18"/>
          <w:szCs w:val="18"/>
          <w:color w:val="auto"/>
        </w:rPr>
        <w:t>1,644,509 shares of TI common stock to be issued upon exercise of outstanding options originally granted under the Burr-Brown Corporation 1993 Stock Incentive Plan, a plan approved by the stockholders of Burr-Brown Corporation. The options were assumed by the company in connection with the acquisition of Burr-Brown Corporation; and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16" w:name="page17"/>
    <w:bookmarkEnd w:id="16"/>
    <w:p>
      <w:pPr>
        <w:jc w:val="both"/>
        <w:ind w:left="780" w:right="140" w:hanging="326"/>
        <w:spacing w:after="0" w:line="259"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107,175 shares of TI common stock to be issued upon exercise of outstanding options originally granted under the Radia Communications, Inc. 2000 Stock Option/Stock Issuance Plan, a plan approved by the stockholders of Radia Communications, Inc. The options were assumed by the company in connection with the acquisition of Radia.</w:t>
      </w:r>
    </w:p>
    <w:p>
      <w:pPr>
        <w:sectPr>
          <w:pgSz w:w="11900" w:h="16838" w:orient="portrait"/>
          <w:cols w:equalWidth="0" w:num="1">
            <w:col w:w="11420"/>
          </w:cols>
          <w:pgMar w:left="240" w:top="280" w:right="239" w:bottom="1440" w:gutter="0" w:footer="0" w:header="0"/>
        </w:sectPr>
      </w:pPr>
    </w:p>
    <w:p>
      <w:pPr>
        <w:spacing w:after="0" w:line="65"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333"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333"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ind w:left="6"/>
        <w:spacing w:after="0"/>
        <w:rPr>
          <w:sz w:val="20"/>
          <w:szCs w:val="20"/>
          <w:color w:val="auto"/>
        </w:rPr>
      </w:pPr>
      <w:r>
        <w:rPr>
          <w:rFonts w:ascii="Arial" w:cs="Arial" w:eastAsia="Arial" w:hAnsi="Arial"/>
          <w:sz w:val="15"/>
          <w:szCs w:val="15"/>
          <w:color w:val="auto"/>
        </w:rPr>
        <w:t>Restricted stock units and stock units credited to directors’ deferred compensation accounts are settled in shares of TI common stock on a one-for-one basis.</w:t>
      </w:r>
    </w:p>
    <w:p>
      <w:pPr>
        <w:spacing w:after="0" w:line="44" w:lineRule="exact"/>
        <w:rPr>
          <w:sz w:val="20"/>
          <w:szCs w:val="20"/>
          <w:color w:val="auto"/>
        </w:rPr>
      </w:pPr>
    </w:p>
    <w:p>
      <w:pPr>
        <w:ind w:left="6"/>
        <w:spacing w:after="0"/>
        <w:rPr>
          <w:sz w:val="20"/>
          <w:szCs w:val="20"/>
          <w:color w:val="auto"/>
        </w:rPr>
      </w:pPr>
      <w:r>
        <w:rPr>
          <w:rFonts w:ascii="Arial" w:cs="Arial" w:eastAsia="Arial" w:hAnsi="Arial"/>
          <w:sz w:val="18"/>
          <w:szCs w:val="18"/>
          <w:color w:val="auto"/>
        </w:rPr>
        <w:t>Accordingly, such units have been excluded for purposes of computing the weighted-average exercise price.</w:t>
      </w:r>
    </w:p>
    <w:p>
      <w:pPr>
        <w:spacing w:after="0" w:line="36" w:lineRule="exact"/>
        <w:rPr>
          <w:sz w:val="20"/>
          <w:szCs w:val="20"/>
          <w:color w:val="auto"/>
        </w:rPr>
      </w:pPr>
    </w:p>
    <w:p>
      <w:pPr>
        <w:ind w:left="6" w:right="500"/>
        <w:spacing w:after="0" w:line="252" w:lineRule="auto"/>
        <w:rPr>
          <w:sz w:val="20"/>
          <w:szCs w:val="20"/>
          <w:color w:val="auto"/>
        </w:rPr>
      </w:pPr>
      <w:r>
        <w:rPr>
          <w:rFonts w:ascii="Arial" w:cs="Arial" w:eastAsia="Arial" w:hAnsi="Arial"/>
          <w:sz w:val="18"/>
          <w:szCs w:val="18"/>
          <w:color w:val="auto"/>
        </w:rPr>
        <w:t>Shares of TI common stock available for issuance under the Texas Instruments 2000 Long-Term Incentive Plan, the Texas Instruments 2003 Director Compensation Plan and the TI Employees 2005 Stock Purchase Plan.</w:t>
      </w:r>
    </w:p>
    <w:p>
      <w:pPr>
        <w:spacing w:after="0" w:line="25" w:lineRule="exact"/>
        <w:rPr>
          <w:sz w:val="20"/>
          <w:szCs w:val="20"/>
          <w:color w:val="auto"/>
        </w:rPr>
      </w:pPr>
    </w:p>
    <w:p>
      <w:pPr>
        <w:ind w:left="6" w:right="240"/>
        <w:spacing w:after="0" w:line="273" w:lineRule="auto"/>
        <w:rPr>
          <w:sz w:val="20"/>
          <w:szCs w:val="20"/>
          <w:color w:val="auto"/>
        </w:rPr>
      </w:pPr>
      <w:r>
        <w:rPr>
          <w:rFonts w:ascii="Arial" w:cs="Arial" w:eastAsia="Arial" w:hAnsi="Arial"/>
          <w:sz w:val="16"/>
          <w:szCs w:val="16"/>
          <w:color w:val="auto"/>
        </w:rPr>
        <w:t>Includes shares to be issued under the Texas Instruments 2003 Long-Term Incentive Plan, a plan for non-management employees; executive officers and approximately 225 managers of the company are ineligible to receive awards under the plan. The plan authorizes the grant of: (1) stock options,</w:t>
      </w:r>
    </w:p>
    <w:p>
      <w:pPr>
        <w:spacing w:after="0" w:line="1" w:lineRule="exact"/>
        <w:rPr>
          <w:sz w:val="20"/>
          <w:szCs w:val="20"/>
          <w:color w:val="auto"/>
        </w:rPr>
      </w:pPr>
    </w:p>
    <w:p>
      <w:pPr>
        <w:ind w:left="6" w:right="80" w:hanging="6"/>
        <w:spacing w:after="0" w:line="268" w:lineRule="auto"/>
        <w:tabs>
          <w:tab w:leader="none" w:pos="255" w:val="left"/>
        </w:tabs>
        <w:numPr>
          <w:ilvl w:val="0"/>
          <w:numId w:val="6"/>
        </w:numPr>
        <w:rPr>
          <w:rFonts w:ascii="Arial" w:cs="Arial" w:eastAsia="Arial" w:hAnsi="Arial"/>
          <w:sz w:val="16"/>
          <w:szCs w:val="16"/>
          <w:color w:val="auto"/>
        </w:rPr>
      </w:pPr>
      <w:r>
        <w:rPr>
          <w:rFonts w:ascii="Arial" w:cs="Arial" w:eastAsia="Arial" w:hAnsi="Arial"/>
          <w:sz w:val="16"/>
          <w:szCs w:val="16"/>
          <w:color w:val="auto"/>
        </w:rPr>
        <w:t>restricted stock and restricted stock units, (3) performance units and (4) other awards (including stock appreciation rights) valued in whole or in part by reference to or otherwise based on common stock of the company. The plan is administered by a board committee appointed by the board of directors consisting entirely of independent directors (the Committee). The Committee has the sole discretion to grant to eligible participants one or more equity awards and to determine the number or amount of any award. Except in the case of awards made through assumption of, or in substitution for, outstanding awards previously granted by an acquired company, and except as a result of an adjustment event such as a stock split, the exercise price under any stock option, the grant price of any stock appreciation right, and the purchase price of any security that may be purchased under any other stock-based award under the plan will not be less than 100% of the fair market value of the stock or other security on the effective date of the grant of the option, right or award.</w:t>
      </w:r>
    </w:p>
    <w:p>
      <w:pPr>
        <w:spacing w:after="0" w:line="44" w:lineRule="exact"/>
        <w:rPr>
          <w:sz w:val="20"/>
          <w:szCs w:val="20"/>
          <w:color w:val="auto"/>
        </w:rPr>
      </w:pPr>
    </w:p>
    <w:p>
      <w:pPr>
        <w:ind w:left="6" w:right="40"/>
        <w:spacing w:after="0" w:line="259" w:lineRule="auto"/>
        <w:rPr>
          <w:sz w:val="20"/>
          <w:szCs w:val="20"/>
          <w:color w:val="auto"/>
        </w:rPr>
      </w:pPr>
      <w:r>
        <w:rPr>
          <w:rFonts w:ascii="Arial" w:cs="Arial" w:eastAsia="Arial" w:hAnsi="Arial"/>
          <w:sz w:val="18"/>
          <w:szCs w:val="18"/>
          <w:color w:val="auto"/>
        </w:rPr>
        <w:t>Also includes shares to be issued under the Texas Instruments Directors Deferred Compensation Plan, the Texas Instruments Restricted Stock Unit Plan for Directors and the Texas Instruments Stock Option Plan for Non-Employee Directors. These plans were replaced by the Texas Instruments 2003 Director Compensation Plan, and no further grants may be made under them.</w:t>
      </w:r>
    </w:p>
    <w:p>
      <w:pPr>
        <w:spacing w:after="0" w:line="32" w:lineRule="exact"/>
        <w:rPr>
          <w:sz w:val="20"/>
          <w:szCs w:val="20"/>
          <w:color w:val="auto"/>
        </w:rPr>
      </w:pPr>
    </w:p>
    <w:p>
      <w:pPr>
        <w:sectPr>
          <w:pgSz w:w="11900" w:h="16838" w:orient="portrait"/>
          <w:cols w:equalWidth="0" w:num="2">
            <w:col w:w="140" w:space="314"/>
            <w:col w:w="10966"/>
          </w:cols>
          <w:pgMar w:left="240" w:top="280" w:right="239" w:bottom="1440" w:gutter="0" w:footer="0" w:header="0"/>
          <w:type w:val="continuous"/>
        </w:sectPr>
      </w:pPr>
    </w:p>
    <w:p>
      <w:pPr>
        <w:ind w:left="460" w:right="440" w:hanging="452"/>
        <w:spacing w:after="0" w:line="252" w:lineRule="auto"/>
        <w:tabs>
          <w:tab w:leader="none" w:pos="460" w:val="left"/>
        </w:tabs>
        <w:numPr>
          <w:ilvl w:val="0"/>
          <w:numId w:val="7"/>
        </w:numPr>
        <w:rPr>
          <w:rFonts w:ascii="Arial" w:cs="Arial" w:eastAsia="Arial" w:hAnsi="Arial"/>
          <w:sz w:val="11"/>
          <w:szCs w:val="11"/>
          <w:color w:val="auto"/>
        </w:rPr>
      </w:pPr>
      <w:r>
        <w:rPr>
          <w:rFonts w:ascii="Arial" w:cs="Arial" w:eastAsia="Arial" w:hAnsi="Arial"/>
          <w:sz w:val="18"/>
          <w:szCs w:val="18"/>
          <w:color w:val="auto"/>
        </w:rPr>
        <w:t>Shares of TI common stock available for issuance under the Texas Instruments 2003 Long-Term Incentive Plan. Stockholders have approved all other active equity compensation plans of the company.</w:t>
      </w:r>
    </w:p>
    <w:p>
      <w:pPr>
        <w:spacing w:after="0" w:line="133"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Security Ownership of Certain Beneficial Owners and Management</w:t>
      </w:r>
    </w:p>
    <w:p>
      <w:pPr>
        <w:spacing w:after="0" w:line="9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information that is contained under the captions “Security Ownership of Certain Beneficial Owners” and “Security Ownership of Management” in our proxy statement for the 2008 annual meeting of stockholders, is incorporated herein by reference to such proxy statement. The information concerning ownership of TI’s common stock by each of the directors, which is contained under the caption “Directors’ Ages, Service and Stock Ownership” in such proxy statement, is also incorporated herein by reference to such proxy statement.</w:t>
      </w:r>
    </w:p>
    <w:p>
      <w:pPr>
        <w:spacing w:after="0" w:line="17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Certain Relationships and Related Transactions, and Director Independence.</w:t>
      </w:r>
    </w:p>
    <w:p>
      <w:pPr>
        <w:spacing w:after="0" w:line="9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The information contained under the caption “Related Person Transactions” in the company’s proxy statement for the 2008 annual meeting of stockholders is incorporated herein by reference to such proxy statement.</w:t>
      </w:r>
    </w:p>
    <w:p>
      <w:pPr>
        <w:spacing w:after="0" w:line="132" w:lineRule="exact"/>
        <w:rPr>
          <w:sz w:val="20"/>
          <w:szCs w:val="20"/>
          <w:color w:val="auto"/>
        </w:rPr>
      </w:pPr>
    </w:p>
    <w:p>
      <w:pPr>
        <w:ind w:right="760"/>
        <w:spacing w:after="0" w:line="268" w:lineRule="auto"/>
        <w:rPr>
          <w:sz w:val="20"/>
          <w:szCs w:val="20"/>
          <w:color w:val="auto"/>
        </w:rPr>
      </w:pPr>
      <w:r>
        <w:rPr>
          <w:rFonts w:ascii="Arial" w:cs="Arial" w:eastAsia="Arial" w:hAnsi="Arial"/>
          <w:sz w:val="18"/>
          <w:szCs w:val="18"/>
          <w:color w:val="auto"/>
        </w:rPr>
        <w:t>The information contained under the caption “Director Independence” in the company’s proxy statement for the 2008 annual meeting of stockholders is incorporated herein by reference to such proxy statement.</w:t>
      </w:r>
    </w:p>
    <w:p>
      <w:pPr>
        <w:spacing w:after="0" w:line="16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96"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The information with respect to principal accountant fees and services contained under the caption “Proposal to Ratify Appointment of Independent Registered Public Accounting Firm” in our proxy statement for the 2008 annual meeting of stockholders is incorporated herein by reference to such proxy statement.</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type w:val="continuous"/>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IV</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Exhibits and Financial Statement Schedules.</w:t>
      </w:r>
    </w:p>
    <w:p>
      <w:pPr>
        <w:spacing w:after="0" w:line="96" w:lineRule="exact"/>
        <w:rPr>
          <w:sz w:val="20"/>
          <w:szCs w:val="20"/>
          <w:color w:val="auto"/>
        </w:rPr>
      </w:pPr>
    </w:p>
    <w:p>
      <w:pPr>
        <w:ind w:right="6560" w:firstLine="8"/>
        <w:spacing w:after="0" w:line="526" w:lineRule="auto"/>
        <w:tabs>
          <w:tab w:leader="none" w:pos="239" w:val="left"/>
        </w:tabs>
        <w:numPr>
          <w:ilvl w:val="0"/>
          <w:numId w:val="8"/>
        </w:numPr>
        <w:rPr>
          <w:rFonts w:ascii="Arial" w:cs="Arial" w:eastAsia="Arial" w:hAnsi="Arial"/>
          <w:sz w:val="15"/>
          <w:szCs w:val="15"/>
          <w:color w:val="auto"/>
        </w:rPr>
      </w:pPr>
      <w:r>
        <w:rPr>
          <w:rFonts w:ascii="Arial" w:cs="Arial" w:eastAsia="Arial" w:hAnsi="Arial"/>
          <w:sz w:val="15"/>
          <w:szCs w:val="15"/>
          <w:color w:val="auto"/>
        </w:rPr>
        <w:t>1 and 2. Financial Statements and Financial Statement Schedules: The financial statements are listed in the index on page 25 hereof.</w:t>
      </w:r>
    </w:p>
    <w:p>
      <w:pPr>
        <w:spacing w:after="0"/>
        <w:rPr>
          <w:rFonts w:ascii="Arial" w:cs="Arial" w:eastAsia="Arial" w:hAnsi="Arial"/>
          <w:sz w:val="15"/>
          <w:szCs w:val="15"/>
          <w:color w:val="auto"/>
        </w:rPr>
      </w:pPr>
      <w:r>
        <w:rPr>
          <w:rFonts w:ascii="Arial" w:cs="Arial" w:eastAsia="Arial" w:hAnsi="Arial"/>
          <w:sz w:val="18"/>
          <w:szCs w:val="18"/>
          <w:color w:val="auto"/>
        </w:rPr>
        <w:t>3. Exhibits:</w:t>
      </w:r>
    </w:p>
    <w:p>
      <w:pPr>
        <w:spacing w:after="0" w:line="19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Designation of</w:t>
            </w:r>
          </w:p>
        </w:tc>
        <w:tc>
          <w:tcPr>
            <w:tcW w:w="10160" w:type="dxa"/>
            <w:vAlign w:val="bottom"/>
          </w:tcPr>
          <w:p>
            <w:pPr>
              <w:spacing w:after="0"/>
              <w:rPr>
                <w:sz w:val="14"/>
                <w:szCs w:val="14"/>
                <w:color w:val="auto"/>
              </w:rPr>
            </w:pPr>
          </w:p>
        </w:tc>
      </w:tr>
      <w:tr>
        <w:trPr>
          <w:trHeight w:val="149"/>
        </w:trPr>
        <w:tc>
          <w:tcPr>
            <w:tcW w:w="1240" w:type="dxa"/>
            <w:vAlign w:val="bottom"/>
            <w:gridSpan w:val="3"/>
          </w:tcPr>
          <w:p>
            <w:pPr>
              <w:ind w:left="120"/>
              <w:spacing w:after="0" w:line="149" w:lineRule="exact"/>
              <w:rPr>
                <w:sz w:val="20"/>
                <w:szCs w:val="20"/>
                <w:color w:val="auto"/>
              </w:rPr>
            </w:pPr>
            <w:r>
              <w:rPr>
                <w:rFonts w:ascii="Arial" w:cs="Arial" w:eastAsia="Arial" w:hAnsi="Arial"/>
                <w:sz w:val="14"/>
                <w:szCs w:val="14"/>
                <w:b w:val="1"/>
                <w:bCs w:val="1"/>
                <w:color w:val="auto"/>
              </w:rPr>
              <w:t>Exhibit in</w:t>
            </w:r>
          </w:p>
        </w:tc>
        <w:tc>
          <w:tcPr>
            <w:tcW w:w="10160" w:type="dxa"/>
            <w:vAlign w:val="bottom"/>
          </w:tcPr>
          <w:p>
            <w:pPr>
              <w:spacing w:after="0"/>
              <w:rPr>
                <w:sz w:val="12"/>
                <w:szCs w:val="12"/>
                <w:color w:val="auto"/>
              </w:rPr>
            </w:pPr>
          </w:p>
        </w:tc>
      </w:tr>
      <w:tr>
        <w:trPr>
          <w:trHeight w:val="168"/>
        </w:trPr>
        <w:tc>
          <w:tcPr>
            <w:tcW w:w="140" w:type="dxa"/>
            <w:vAlign w:val="bottom"/>
          </w:tcPr>
          <w:p>
            <w:pPr>
              <w:spacing w:after="0"/>
              <w:rPr>
                <w:sz w:val="14"/>
                <w:szCs w:val="14"/>
                <w:color w:val="auto"/>
              </w:rPr>
            </w:pPr>
          </w:p>
        </w:tc>
        <w:tc>
          <w:tcPr>
            <w:tcW w:w="11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this Report</w:t>
            </w:r>
          </w:p>
        </w:tc>
        <w:tc>
          <w:tcPr>
            <w:tcW w:w="10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 of Exhibit</w:t>
            </w:r>
          </w:p>
        </w:tc>
      </w:tr>
      <w:tr>
        <w:trPr>
          <w:trHeight w:val="316"/>
        </w:trPr>
        <w:tc>
          <w:tcPr>
            <w:tcW w:w="140" w:type="dxa"/>
            <w:vAlign w:val="bottom"/>
          </w:tcPr>
          <w:p>
            <w:pPr>
              <w:spacing w:after="0"/>
              <w:rPr>
                <w:sz w:val="24"/>
                <w:szCs w:val="24"/>
                <w:color w:val="auto"/>
              </w:rPr>
            </w:pPr>
          </w:p>
        </w:tc>
        <w:tc>
          <w:tcPr>
            <w:tcW w:w="1100" w:type="dxa"/>
            <w:vAlign w:val="bottom"/>
            <w:gridSpan w:val="2"/>
          </w:tcPr>
          <w:p>
            <w:pPr>
              <w:jc w:val="center"/>
              <w:ind w:right="580"/>
              <w:spacing w:after="0"/>
              <w:rPr>
                <w:sz w:val="20"/>
                <w:szCs w:val="20"/>
                <w:color w:val="auto"/>
              </w:rPr>
            </w:pPr>
            <w:r>
              <w:rPr>
                <w:rFonts w:ascii="Arial" w:cs="Arial" w:eastAsia="Arial" w:hAnsi="Arial"/>
                <w:sz w:val="18"/>
                <w:szCs w:val="18"/>
                <w:color w:val="auto"/>
                <w:w w:val="87"/>
              </w:rPr>
              <w:t>3(a)</w:t>
            </w:r>
          </w:p>
        </w:tc>
        <w:tc>
          <w:tcPr>
            <w:tcW w:w="10160" w:type="dxa"/>
            <w:vAlign w:val="bottom"/>
          </w:tcPr>
          <w:p>
            <w:pPr>
              <w:spacing w:after="0"/>
              <w:rPr>
                <w:sz w:val="20"/>
                <w:szCs w:val="20"/>
                <w:color w:val="auto"/>
              </w:rPr>
            </w:pPr>
            <w:r>
              <w:rPr>
                <w:rFonts w:ascii="Arial" w:cs="Arial" w:eastAsia="Arial" w:hAnsi="Arial"/>
                <w:sz w:val="18"/>
                <w:szCs w:val="18"/>
                <w:color w:val="auto"/>
                <w:w w:val="89"/>
              </w:rPr>
              <w:t>Restated Certificate of Incorporation of the Registrant (incorporated by reference to Exhibit 3(a) to the Registrant’s Annual Report on Form 10-</w:t>
            </w:r>
          </w:p>
        </w:tc>
      </w:tr>
      <w:tr>
        <w:trPr>
          <w:trHeight w:val="222"/>
        </w:trPr>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K for the year 1993).</w:t>
            </w:r>
          </w:p>
        </w:tc>
      </w:tr>
      <w:tr>
        <w:trPr>
          <w:trHeight w:val="318"/>
        </w:trPr>
        <w:tc>
          <w:tcPr>
            <w:tcW w:w="140" w:type="dxa"/>
            <w:vAlign w:val="bottom"/>
          </w:tcPr>
          <w:p>
            <w:pPr>
              <w:spacing w:after="0"/>
              <w:rPr>
                <w:sz w:val="24"/>
                <w:szCs w:val="24"/>
                <w:color w:val="auto"/>
              </w:rPr>
            </w:pPr>
          </w:p>
        </w:tc>
        <w:tc>
          <w:tcPr>
            <w:tcW w:w="1100" w:type="dxa"/>
            <w:vAlign w:val="bottom"/>
            <w:gridSpan w:val="2"/>
          </w:tcPr>
          <w:p>
            <w:pPr>
              <w:jc w:val="center"/>
              <w:ind w:right="560"/>
              <w:spacing w:after="0"/>
              <w:rPr>
                <w:sz w:val="20"/>
                <w:szCs w:val="20"/>
                <w:color w:val="auto"/>
              </w:rPr>
            </w:pPr>
            <w:r>
              <w:rPr>
                <w:rFonts w:ascii="Arial" w:cs="Arial" w:eastAsia="Arial" w:hAnsi="Arial"/>
                <w:sz w:val="18"/>
                <w:szCs w:val="18"/>
                <w:color w:val="auto"/>
                <w:w w:val="93"/>
              </w:rPr>
              <w:t>3(b)</w:t>
            </w:r>
          </w:p>
        </w:tc>
        <w:tc>
          <w:tcPr>
            <w:tcW w:w="10160" w:type="dxa"/>
            <w:vAlign w:val="bottom"/>
          </w:tcPr>
          <w:p>
            <w:pPr>
              <w:spacing w:after="0"/>
              <w:rPr>
                <w:sz w:val="20"/>
                <w:szCs w:val="20"/>
                <w:color w:val="auto"/>
              </w:rPr>
            </w:pPr>
            <w:r>
              <w:rPr>
                <w:rFonts w:ascii="Arial" w:cs="Arial" w:eastAsia="Arial" w:hAnsi="Arial"/>
                <w:sz w:val="18"/>
                <w:szCs w:val="18"/>
                <w:color w:val="auto"/>
                <w:w w:val="89"/>
              </w:rPr>
              <w:t>Certificate of Amendment to Restated Certificate of Incorporation of the Registrant (incorporated by reference to Exhibit 3(b) to the Registrant’s</w:t>
            </w:r>
          </w:p>
        </w:tc>
      </w:tr>
      <w:tr>
        <w:trPr>
          <w:trHeight w:val="222"/>
        </w:trPr>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Annual Report on Form 10-K for the year 1993).</w:t>
            </w:r>
          </w:p>
        </w:tc>
      </w:tr>
      <w:tr>
        <w:trPr>
          <w:trHeight w:val="318"/>
        </w:trPr>
        <w:tc>
          <w:tcPr>
            <w:tcW w:w="140" w:type="dxa"/>
            <w:vAlign w:val="bottom"/>
          </w:tcPr>
          <w:p>
            <w:pPr>
              <w:spacing w:after="0"/>
              <w:rPr>
                <w:sz w:val="24"/>
                <w:szCs w:val="24"/>
                <w:color w:val="auto"/>
              </w:rPr>
            </w:pPr>
          </w:p>
        </w:tc>
        <w:tc>
          <w:tcPr>
            <w:tcW w:w="1100" w:type="dxa"/>
            <w:vAlign w:val="bottom"/>
            <w:gridSpan w:val="2"/>
          </w:tcPr>
          <w:p>
            <w:pPr>
              <w:jc w:val="center"/>
              <w:ind w:right="580"/>
              <w:spacing w:after="0"/>
              <w:rPr>
                <w:sz w:val="20"/>
                <w:szCs w:val="20"/>
                <w:color w:val="auto"/>
              </w:rPr>
            </w:pPr>
            <w:r>
              <w:rPr>
                <w:rFonts w:ascii="Arial" w:cs="Arial" w:eastAsia="Arial" w:hAnsi="Arial"/>
                <w:sz w:val="18"/>
                <w:szCs w:val="18"/>
                <w:color w:val="auto"/>
                <w:w w:val="90"/>
              </w:rPr>
              <w:t>3(c)</w:t>
            </w:r>
          </w:p>
        </w:tc>
        <w:tc>
          <w:tcPr>
            <w:tcW w:w="10160" w:type="dxa"/>
            <w:vAlign w:val="bottom"/>
          </w:tcPr>
          <w:p>
            <w:pPr>
              <w:spacing w:after="0"/>
              <w:rPr>
                <w:sz w:val="20"/>
                <w:szCs w:val="20"/>
                <w:color w:val="auto"/>
              </w:rPr>
            </w:pPr>
            <w:r>
              <w:rPr>
                <w:rFonts w:ascii="Arial" w:cs="Arial" w:eastAsia="Arial" w:hAnsi="Arial"/>
                <w:sz w:val="18"/>
                <w:szCs w:val="18"/>
                <w:color w:val="auto"/>
                <w:w w:val="89"/>
              </w:rPr>
              <w:t>Certificate of Amendment to Restated Certificate of Incorporation of the Registrant (incorporated by reference to Exhibit 3(c) to the Registrant’s</w:t>
            </w:r>
          </w:p>
        </w:tc>
      </w:tr>
      <w:tr>
        <w:trPr>
          <w:trHeight w:val="222"/>
        </w:trPr>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Annual Report on Form 10-K for the year 1993).</w:t>
            </w:r>
          </w:p>
        </w:tc>
      </w:tr>
      <w:tr>
        <w:trPr>
          <w:trHeight w:val="318"/>
        </w:trPr>
        <w:tc>
          <w:tcPr>
            <w:tcW w:w="140" w:type="dxa"/>
            <w:vAlign w:val="bottom"/>
          </w:tcPr>
          <w:p>
            <w:pPr>
              <w:spacing w:after="0"/>
              <w:rPr>
                <w:sz w:val="24"/>
                <w:szCs w:val="24"/>
                <w:color w:val="auto"/>
              </w:rPr>
            </w:pPr>
          </w:p>
        </w:tc>
        <w:tc>
          <w:tcPr>
            <w:tcW w:w="1100" w:type="dxa"/>
            <w:vAlign w:val="bottom"/>
            <w:gridSpan w:val="2"/>
          </w:tcPr>
          <w:p>
            <w:pPr>
              <w:jc w:val="center"/>
              <w:ind w:right="560"/>
              <w:spacing w:after="0"/>
              <w:rPr>
                <w:sz w:val="20"/>
                <w:szCs w:val="20"/>
                <w:color w:val="auto"/>
              </w:rPr>
            </w:pPr>
            <w:r>
              <w:rPr>
                <w:rFonts w:ascii="Arial" w:cs="Arial" w:eastAsia="Arial" w:hAnsi="Arial"/>
                <w:sz w:val="18"/>
                <w:szCs w:val="18"/>
                <w:color w:val="auto"/>
                <w:w w:val="93"/>
              </w:rPr>
              <w:t>3(d)</w:t>
            </w:r>
          </w:p>
        </w:tc>
        <w:tc>
          <w:tcPr>
            <w:tcW w:w="10160" w:type="dxa"/>
            <w:vAlign w:val="bottom"/>
          </w:tcPr>
          <w:p>
            <w:pPr>
              <w:spacing w:after="0"/>
              <w:rPr>
                <w:sz w:val="20"/>
                <w:szCs w:val="20"/>
                <w:color w:val="auto"/>
              </w:rPr>
            </w:pPr>
            <w:r>
              <w:rPr>
                <w:rFonts w:ascii="Arial" w:cs="Arial" w:eastAsia="Arial" w:hAnsi="Arial"/>
                <w:sz w:val="18"/>
                <w:szCs w:val="18"/>
                <w:color w:val="auto"/>
                <w:w w:val="91"/>
              </w:rPr>
              <w:t>Certificate of Amendment to Restated Certificate of Incorporation of the Registrant (incorporated by reference to Exhibit 3 to the Registrant’s</w:t>
            </w:r>
          </w:p>
        </w:tc>
      </w:tr>
      <w:tr>
        <w:trPr>
          <w:trHeight w:val="222"/>
        </w:trPr>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Quarterly Report on Form 10-Q for the quarter ended June 30, 1996).</w:t>
            </w:r>
          </w:p>
        </w:tc>
      </w:tr>
      <w:tr>
        <w:trPr>
          <w:trHeight w:val="318"/>
        </w:trPr>
        <w:tc>
          <w:tcPr>
            <w:tcW w:w="140" w:type="dxa"/>
            <w:vAlign w:val="bottom"/>
          </w:tcPr>
          <w:p>
            <w:pPr>
              <w:spacing w:after="0"/>
              <w:rPr>
                <w:sz w:val="24"/>
                <w:szCs w:val="24"/>
                <w:color w:val="auto"/>
              </w:rPr>
            </w:pPr>
          </w:p>
        </w:tc>
        <w:tc>
          <w:tcPr>
            <w:tcW w:w="1100" w:type="dxa"/>
            <w:vAlign w:val="bottom"/>
            <w:gridSpan w:val="2"/>
          </w:tcPr>
          <w:p>
            <w:pPr>
              <w:jc w:val="center"/>
              <w:ind w:right="580"/>
              <w:spacing w:after="0"/>
              <w:rPr>
                <w:sz w:val="20"/>
                <w:szCs w:val="20"/>
                <w:color w:val="auto"/>
              </w:rPr>
            </w:pPr>
            <w:r>
              <w:rPr>
                <w:rFonts w:ascii="Arial" w:cs="Arial" w:eastAsia="Arial" w:hAnsi="Arial"/>
                <w:sz w:val="18"/>
                <w:szCs w:val="18"/>
                <w:color w:val="auto"/>
                <w:w w:val="87"/>
              </w:rPr>
              <w:t>3(e)</w:t>
            </w:r>
          </w:p>
        </w:tc>
        <w:tc>
          <w:tcPr>
            <w:tcW w:w="10160" w:type="dxa"/>
            <w:vAlign w:val="bottom"/>
          </w:tcPr>
          <w:p>
            <w:pPr>
              <w:spacing w:after="0"/>
              <w:rPr>
                <w:sz w:val="20"/>
                <w:szCs w:val="20"/>
                <w:color w:val="auto"/>
              </w:rPr>
            </w:pPr>
            <w:r>
              <w:rPr>
                <w:rFonts w:ascii="Arial" w:cs="Arial" w:eastAsia="Arial" w:hAnsi="Arial"/>
                <w:sz w:val="18"/>
                <w:szCs w:val="18"/>
                <w:color w:val="auto"/>
                <w:w w:val="90"/>
              </w:rPr>
              <w:t>Certificate of Ownership merging Texas Instruments Automation Controls, Inc. into the Registrant (incorporated by reference to Exhibit 3(e) to</w:t>
            </w:r>
          </w:p>
        </w:tc>
      </w:tr>
      <w:tr>
        <w:trPr>
          <w:trHeight w:val="222"/>
        </w:trPr>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the Registrant’s Annual Report on Form 10-K for the year 1993).</w:t>
            </w:r>
          </w:p>
        </w:tc>
      </w:tr>
      <w:tr>
        <w:trPr>
          <w:trHeight w:val="318"/>
        </w:trPr>
        <w:tc>
          <w:tcPr>
            <w:tcW w:w="140" w:type="dxa"/>
            <w:vAlign w:val="bottom"/>
          </w:tcPr>
          <w:p>
            <w:pPr>
              <w:spacing w:after="0"/>
              <w:rPr>
                <w:sz w:val="24"/>
                <w:szCs w:val="24"/>
                <w:color w:val="auto"/>
              </w:rPr>
            </w:pPr>
          </w:p>
        </w:tc>
        <w:tc>
          <w:tcPr>
            <w:tcW w:w="1100" w:type="dxa"/>
            <w:vAlign w:val="bottom"/>
            <w:gridSpan w:val="2"/>
          </w:tcPr>
          <w:p>
            <w:pPr>
              <w:jc w:val="center"/>
              <w:ind w:right="560"/>
              <w:spacing w:after="0"/>
              <w:rPr>
                <w:sz w:val="20"/>
                <w:szCs w:val="20"/>
                <w:color w:val="auto"/>
              </w:rPr>
            </w:pPr>
            <w:r>
              <w:rPr>
                <w:rFonts w:ascii="Arial" w:cs="Arial" w:eastAsia="Arial" w:hAnsi="Arial"/>
                <w:sz w:val="18"/>
                <w:szCs w:val="18"/>
                <w:color w:val="auto"/>
                <w:w w:val="96"/>
              </w:rPr>
              <w:t>3(f)</w:t>
            </w:r>
          </w:p>
        </w:tc>
        <w:tc>
          <w:tcPr>
            <w:tcW w:w="10160" w:type="dxa"/>
            <w:vAlign w:val="bottom"/>
          </w:tcPr>
          <w:p>
            <w:pPr>
              <w:spacing w:after="0"/>
              <w:rPr>
                <w:sz w:val="20"/>
                <w:szCs w:val="20"/>
                <w:color w:val="auto"/>
              </w:rPr>
            </w:pPr>
            <w:r>
              <w:rPr>
                <w:rFonts w:ascii="Arial" w:cs="Arial" w:eastAsia="Arial" w:hAnsi="Arial"/>
                <w:sz w:val="18"/>
                <w:szCs w:val="18"/>
                <w:color w:val="auto"/>
                <w:w w:val="93"/>
              </w:rPr>
              <w:t>Certificate of Elimination of Designations of Preferred Stock of the Registrant (incorporated by reference to Exhibit 3(f) to the Registrant’s</w:t>
            </w:r>
          </w:p>
        </w:tc>
      </w:tr>
      <w:tr>
        <w:trPr>
          <w:trHeight w:val="222"/>
        </w:trPr>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Annual Report on Form 10-K for the year 1993).</w:t>
            </w:r>
          </w:p>
        </w:tc>
      </w:tr>
      <w:tr>
        <w:trPr>
          <w:trHeight w:val="318"/>
        </w:trPr>
        <w:tc>
          <w:tcPr>
            <w:tcW w:w="140" w:type="dxa"/>
            <w:vAlign w:val="bottom"/>
          </w:tcPr>
          <w:p>
            <w:pPr>
              <w:spacing w:after="0"/>
              <w:rPr>
                <w:sz w:val="24"/>
                <w:szCs w:val="24"/>
                <w:color w:val="auto"/>
              </w:rPr>
            </w:pPr>
          </w:p>
        </w:tc>
        <w:tc>
          <w:tcPr>
            <w:tcW w:w="1100" w:type="dxa"/>
            <w:vAlign w:val="bottom"/>
            <w:gridSpan w:val="2"/>
          </w:tcPr>
          <w:p>
            <w:pPr>
              <w:jc w:val="center"/>
              <w:ind w:right="560"/>
              <w:spacing w:after="0"/>
              <w:rPr>
                <w:sz w:val="20"/>
                <w:szCs w:val="20"/>
                <w:color w:val="auto"/>
              </w:rPr>
            </w:pPr>
            <w:r>
              <w:rPr>
                <w:rFonts w:ascii="Arial" w:cs="Arial" w:eastAsia="Arial" w:hAnsi="Arial"/>
                <w:sz w:val="18"/>
                <w:szCs w:val="18"/>
                <w:color w:val="auto"/>
                <w:w w:val="93"/>
              </w:rPr>
              <w:t>3(g)</w:t>
            </w:r>
          </w:p>
        </w:tc>
        <w:tc>
          <w:tcPr>
            <w:tcW w:w="10160" w:type="dxa"/>
            <w:vAlign w:val="bottom"/>
          </w:tcPr>
          <w:p>
            <w:pPr>
              <w:spacing w:after="0"/>
              <w:rPr>
                <w:sz w:val="20"/>
                <w:szCs w:val="20"/>
                <w:color w:val="auto"/>
              </w:rPr>
            </w:pPr>
            <w:r>
              <w:rPr>
                <w:rFonts w:ascii="Arial" w:cs="Arial" w:eastAsia="Arial" w:hAnsi="Arial"/>
                <w:sz w:val="18"/>
                <w:szCs w:val="18"/>
                <w:color w:val="auto"/>
                <w:w w:val="94"/>
              </w:rPr>
              <w:t>Certificate of Ownership and Merger merging Tiburon Systems, Inc. into the Registrant (incorporated by reference to Exhibit 4(g) to the</w:t>
            </w:r>
          </w:p>
        </w:tc>
      </w:tr>
      <w:tr>
        <w:trPr>
          <w:trHeight w:val="222"/>
        </w:trPr>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Registrant’s Registration Statement No. 333-41919 on Form S-8).</w:t>
            </w:r>
          </w:p>
        </w:tc>
      </w:tr>
      <w:tr>
        <w:trPr>
          <w:trHeight w:val="318"/>
        </w:trPr>
        <w:tc>
          <w:tcPr>
            <w:tcW w:w="140" w:type="dxa"/>
            <w:vAlign w:val="bottom"/>
          </w:tcPr>
          <w:p>
            <w:pPr>
              <w:spacing w:after="0"/>
              <w:rPr>
                <w:sz w:val="24"/>
                <w:szCs w:val="24"/>
                <w:color w:val="auto"/>
              </w:rPr>
            </w:pPr>
          </w:p>
        </w:tc>
        <w:tc>
          <w:tcPr>
            <w:tcW w:w="1100" w:type="dxa"/>
            <w:vAlign w:val="bottom"/>
            <w:gridSpan w:val="2"/>
          </w:tcPr>
          <w:p>
            <w:pPr>
              <w:jc w:val="center"/>
              <w:ind w:right="560"/>
              <w:spacing w:after="0"/>
              <w:rPr>
                <w:sz w:val="20"/>
                <w:szCs w:val="20"/>
                <w:color w:val="auto"/>
              </w:rPr>
            </w:pPr>
            <w:r>
              <w:rPr>
                <w:rFonts w:ascii="Arial" w:cs="Arial" w:eastAsia="Arial" w:hAnsi="Arial"/>
                <w:sz w:val="18"/>
                <w:szCs w:val="18"/>
                <w:color w:val="auto"/>
                <w:w w:val="93"/>
              </w:rPr>
              <w:t>3(h)</w:t>
            </w:r>
          </w:p>
        </w:tc>
        <w:tc>
          <w:tcPr>
            <w:tcW w:w="10160" w:type="dxa"/>
            <w:vAlign w:val="bottom"/>
          </w:tcPr>
          <w:p>
            <w:pPr>
              <w:spacing w:after="0"/>
              <w:rPr>
                <w:sz w:val="20"/>
                <w:szCs w:val="20"/>
                <w:color w:val="auto"/>
              </w:rPr>
            </w:pPr>
            <w:r>
              <w:rPr>
                <w:rFonts w:ascii="Arial" w:cs="Arial" w:eastAsia="Arial" w:hAnsi="Arial"/>
                <w:sz w:val="18"/>
                <w:szCs w:val="18"/>
                <w:color w:val="auto"/>
                <w:w w:val="93"/>
              </w:rPr>
              <w:t>Certificate of Ownership and Merger merging Tartan, Inc. into the Registrant (incorporated by reference to Exhibit 4(h) to the Registrant’s</w:t>
            </w:r>
          </w:p>
        </w:tc>
      </w:tr>
      <w:tr>
        <w:trPr>
          <w:trHeight w:val="222"/>
        </w:trPr>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Registration Statement No. 333-41919 on Form S-8).</w:t>
            </w:r>
          </w:p>
        </w:tc>
      </w:tr>
      <w:tr>
        <w:trPr>
          <w:trHeight w:val="318"/>
        </w:trPr>
        <w:tc>
          <w:tcPr>
            <w:tcW w:w="140" w:type="dxa"/>
            <w:vAlign w:val="bottom"/>
          </w:tcPr>
          <w:p>
            <w:pPr>
              <w:spacing w:after="0"/>
              <w:rPr>
                <w:sz w:val="24"/>
                <w:szCs w:val="24"/>
                <w:color w:val="auto"/>
              </w:rPr>
            </w:pPr>
          </w:p>
        </w:tc>
        <w:tc>
          <w:tcPr>
            <w:tcW w:w="1100" w:type="dxa"/>
            <w:vAlign w:val="bottom"/>
            <w:gridSpan w:val="2"/>
          </w:tcPr>
          <w:p>
            <w:pPr>
              <w:jc w:val="center"/>
              <w:ind w:right="560"/>
              <w:spacing w:after="0"/>
              <w:rPr>
                <w:sz w:val="20"/>
                <w:szCs w:val="20"/>
                <w:color w:val="auto"/>
              </w:rPr>
            </w:pPr>
            <w:r>
              <w:rPr>
                <w:rFonts w:ascii="Arial" w:cs="Arial" w:eastAsia="Arial" w:hAnsi="Arial"/>
                <w:sz w:val="18"/>
                <w:szCs w:val="18"/>
                <w:color w:val="auto"/>
                <w:w w:val="99"/>
              </w:rPr>
              <w:t>3(i)</w:t>
            </w:r>
          </w:p>
        </w:tc>
        <w:tc>
          <w:tcPr>
            <w:tcW w:w="10160" w:type="dxa"/>
            <w:vAlign w:val="bottom"/>
          </w:tcPr>
          <w:p>
            <w:pPr>
              <w:spacing w:after="0"/>
              <w:rPr>
                <w:sz w:val="20"/>
                <w:szCs w:val="20"/>
                <w:color w:val="auto"/>
              </w:rPr>
            </w:pPr>
            <w:r>
              <w:rPr>
                <w:rFonts w:ascii="Arial" w:cs="Arial" w:eastAsia="Arial" w:hAnsi="Arial"/>
                <w:sz w:val="18"/>
                <w:szCs w:val="18"/>
                <w:color w:val="auto"/>
                <w:w w:val="90"/>
              </w:rPr>
              <w:t>Certificate of Designation relating to the Registrant’s Participating Cumulative Preferred Stock (incorporated by reference to Exhibit 4(a) to the</w:t>
            </w:r>
          </w:p>
        </w:tc>
      </w:tr>
      <w:tr>
        <w:trPr>
          <w:trHeight w:val="222"/>
        </w:trPr>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Registrant’s Quarterly Report on Form 10-Q for the quarter ended September 30, 1998).</w:t>
            </w:r>
          </w:p>
        </w:tc>
      </w:tr>
      <w:tr>
        <w:trPr>
          <w:trHeight w:val="318"/>
        </w:trPr>
        <w:tc>
          <w:tcPr>
            <w:tcW w:w="140" w:type="dxa"/>
            <w:vAlign w:val="bottom"/>
          </w:tcPr>
          <w:p>
            <w:pPr>
              <w:spacing w:after="0"/>
              <w:rPr>
                <w:sz w:val="24"/>
                <w:szCs w:val="24"/>
                <w:color w:val="auto"/>
              </w:rPr>
            </w:pPr>
          </w:p>
        </w:tc>
        <w:tc>
          <w:tcPr>
            <w:tcW w:w="1100" w:type="dxa"/>
            <w:vAlign w:val="bottom"/>
            <w:gridSpan w:val="2"/>
          </w:tcPr>
          <w:p>
            <w:pPr>
              <w:jc w:val="center"/>
              <w:ind w:right="560"/>
              <w:spacing w:after="0"/>
              <w:rPr>
                <w:sz w:val="20"/>
                <w:szCs w:val="20"/>
                <w:color w:val="auto"/>
              </w:rPr>
            </w:pPr>
            <w:r>
              <w:rPr>
                <w:rFonts w:ascii="Arial" w:cs="Arial" w:eastAsia="Arial" w:hAnsi="Arial"/>
                <w:sz w:val="18"/>
                <w:szCs w:val="18"/>
                <w:color w:val="auto"/>
                <w:w w:val="99"/>
              </w:rPr>
              <w:t>3(j)</w:t>
            </w:r>
          </w:p>
        </w:tc>
        <w:tc>
          <w:tcPr>
            <w:tcW w:w="10160" w:type="dxa"/>
            <w:vAlign w:val="bottom"/>
          </w:tcPr>
          <w:p>
            <w:pPr>
              <w:spacing w:after="0"/>
              <w:rPr>
                <w:sz w:val="20"/>
                <w:szCs w:val="20"/>
                <w:color w:val="auto"/>
              </w:rPr>
            </w:pPr>
            <w:r>
              <w:rPr>
                <w:rFonts w:ascii="Arial" w:cs="Arial" w:eastAsia="Arial" w:hAnsi="Arial"/>
                <w:sz w:val="18"/>
                <w:szCs w:val="18"/>
                <w:color w:val="auto"/>
                <w:w w:val="94"/>
              </w:rPr>
              <w:t>Certificate of Elimination of Designation of Preferred Stock of the Registrant (incorporated by reference to Exhibit 3(j) to the Registrant’s</w:t>
            </w:r>
          </w:p>
        </w:tc>
      </w:tr>
      <w:tr>
        <w:trPr>
          <w:trHeight w:val="222"/>
        </w:trPr>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Annual Report on Form 10-K for the year 1998).</w:t>
            </w:r>
          </w:p>
        </w:tc>
      </w:tr>
      <w:tr>
        <w:trPr>
          <w:trHeight w:val="318"/>
        </w:trPr>
        <w:tc>
          <w:tcPr>
            <w:tcW w:w="140" w:type="dxa"/>
            <w:vAlign w:val="bottom"/>
          </w:tcPr>
          <w:p>
            <w:pPr>
              <w:spacing w:after="0"/>
              <w:rPr>
                <w:sz w:val="24"/>
                <w:szCs w:val="24"/>
                <w:color w:val="auto"/>
              </w:rPr>
            </w:pPr>
          </w:p>
        </w:tc>
        <w:tc>
          <w:tcPr>
            <w:tcW w:w="1100" w:type="dxa"/>
            <w:vAlign w:val="bottom"/>
            <w:gridSpan w:val="2"/>
          </w:tcPr>
          <w:p>
            <w:pPr>
              <w:jc w:val="center"/>
              <w:ind w:right="560"/>
              <w:spacing w:after="0"/>
              <w:rPr>
                <w:sz w:val="20"/>
                <w:szCs w:val="20"/>
                <w:color w:val="auto"/>
              </w:rPr>
            </w:pPr>
            <w:r>
              <w:rPr>
                <w:rFonts w:ascii="Arial" w:cs="Arial" w:eastAsia="Arial" w:hAnsi="Arial"/>
                <w:sz w:val="18"/>
                <w:szCs w:val="18"/>
                <w:color w:val="auto"/>
                <w:w w:val="96"/>
              </w:rPr>
              <w:t>3(k)</w:t>
            </w:r>
          </w:p>
        </w:tc>
        <w:tc>
          <w:tcPr>
            <w:tcW w:w="10160" w:type="dxa"/>
            <w:vAlign w:val="bottom"/>
          </w:tcPr>
          <w:p>
            <w:pPr>
              <w:spacing w:after="0"/>
              <w:rPr>
                <w:sz w:val="20"/>
                <w:szCs w:val="20"/>
                <w:color w:val="auto"/>
              </w:rPr>
            </w:pPr>
            <w:r>
              <w:rPr>
                <w:rFonts w:ascii="Arial" w:cs="Arial" w:eastAsia="Arial" w:hAnsi="Arial"/>
                <w:sz w:val="18"/>
                <w:szCs w:val="18"/>
                <w:color w:val="auto"/>
                <w:w w:val="91"/>
              </w:rPr>
              <w:t>Certificate of Ownership and Merger merging Intersect Technologies, Inc. with and into the Registrant (incorporated by reference to Exhibit</w:t>
            </w:r>
          </w:p>
        </w:tc>
      </w:tr>
      <w:tr>
        <w:trPr>
          <w:trHeight w:val="222"/>
        </w:trPr>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3(k) to the Registrant’s Annual Report on Form 10-K for the year 1999).</w:t>
            </w:r>
          </w:p>
        </w:tc>
      </w:tr>
      <w:tr>
        <w:trPr>
          <w:trHeight w:val="318"/>
        </w:trPr>
        <w:tc>
          <w:tcPr>
            <w:tcW w:w="140" w:type="dxa"/>
            <w:vAlign w:val="bottom"/>
          </w:tcPr>
          <w:p>
            <w:pPr>
              <w:spacing w:after="0"/>
              <w:rPr>
                <w:sz w:val="24"/>
                <w:szCs w:val="24"/>
                <w:color w:val="auto"/>
              </w:rPr>
            </w:pPr>
          </w:p>
        </w:tc>
        <w:tc>
          <w:tcPr>
            <w:tcW w:w="1100" w:type="dxa"/>
            <w:vAlign w:val="bottom"/>
            <w:gridSpan w:val="2"/>
          </w:tcPr>
          <w:p>
            <w:pPr>
              <w:jc w:val="center"/>
              <w:ind w:right="560"/>
              <w:spacing w:after="0"/>
              <w:rPr>
                <w:sz w:val="20"/>
                <w:szCs w:val="20"/>
                <w:color w:val="auto"/>
              </w:rPr>
            </w:pPr>
            <w:r>
              <w:rPr>
                <w:rFonts w:ascii="Arial" w:cs="Arial" w:eastAsia="Arial" w:hAnsi="Arial"/>
                <w:sz w:val="18"/>
                <w:szCs w:val="18"/>
                <w:color w:val="auto"/>
                <w:w w:val="99"/>
              </w:rPr>
              <w:t>3(l)</w:t>
            </w:r>
          </w:p>
        </w:tc>
        <w:tc>
          <w:tcPr>
            <w:tcW w:w="10160" w:type="dxa"/>
            <w:vAlign w:val="bottom"/>
          </w:tcPr>
          <w:p>
            <w:pPr>
              <w:spacing w:after="0"/>
              <w:rPr>
                <w:sz w:val="20"/>
                <w:szCs w:val="20"/>
                <w:color w:val="auto"/>
              </w:rPr>
            </w:pPr>
            <w:r>
              <w:rPr>
                <w:rFonts w:ascii="Arial" w:cs="Arial" w:eastAsia="Arial" w:hAnsi="Arial"/>
                <w:sz w:val="18"/>
                <w:szCs w:val="18"/>
                <w:color w:val="auto"/>
                <w:w w:val="89"/>
              </w:rPr>
              <w:t>Certificate of Ownership and Merger merging Soft Warehouse, Inc. with and into the Registrant (incorporated by reference to Exhibit 3(l) to the</w:t>
            </w:r>
          </w:p>
        </w:tc>
      </w:tr>
      <w:tr>
        <w:trPr>
          <w:trHeight w:val="222"/>
        </w:trPr>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Registrant’s Annual Report on Form 10-K for the year 1999).</w:t>
            </w:r>
          </w:p>
        </w:tc>
      </w:tr>
      <w:tr>
        <w:trPr>
          <w:trHeight w:val="365"/>
        </w:trPr>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160" w:type="dxa"/>
            <w:vAlign w:val="bottom"/>
          </w:tcPr>
          <w:p>
            <w:pPr>
              <w:ind w:left="4360"/>
              <w:spacing w:after="0"/>
              <w:rPr>
                <w:sz w:val="20"/>
                <w:szCs w:val="20"/>
                <w:color w:val="auto"/>
              </w:rPr>
            </w:pPr>
            <w:r>
              <w:rPr>
                <w:rFonts w:ascii="Arial" w:cs="Arial" w:eastAsia="Arial" w:hAnsi="Arial"/>
                <w:sz w:val="18"/>
                <w:szCs w:val="18"/>
                <w:color w:val="auto"/>
              </w:rPr>
              <w:t>18</w:t>
            </w:r>
          </w:p>
        </w:tc>
      </w:tr>
    </w:tbl>
    <w:p>
      <w:pPr>
        <w:sectPr>
          <w:pgSz w:w="11900" w:h="16838" w:orient="portrait"/>
          <w:cols w:equalWidth="0" w:num="1">
            <w:col w:w="11420"/>
          </w:cols>
          <w:pgMar w:left="240" w:top="274" w:right="239" w:bottom="1440" w:gutter="0" w:footer="0" w:header="0"/>
        </w:sectPr>
      </w:pPr>
    </w:p>
    <w:bookmarkStart w:id="18" w:name="page19"/>
    <w:bookmarkEnd w:id="1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12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4"/>
              </w:rPr>
              <w:t>Designation of</w:t>
            </w:r>
          </w:p>
        </w:tc>
        <w:tc>
          <w:tcPr>
            <w:tcW w:w="10160" w:type="dxa"/>
            <w:vAlign w:val="bottom"/>
          </w:tcPr>
          <w:p>
            <w:pPr>
              <w:spacing w:after="0"/>
              <w:rPr>
                <w:sz w:val="14"/>
                <w:szCs w:val="14"/>
                <w:color w:val="auto"/>
              </w:rPr>
            </w:pPr>
          </w:p>
        </w:tc>
      </w:tr>
      <w:tr>
        <w:trPr>
          <w:trHeight w:val="149"/>
        </w:trPr>
        <w:tc>
          <w:tcPr>
            <w:tcW w:w="124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Exhibit in</w:t>
            </w:r>
          </w:p>
        </w:tc>
        <w:tc>
          <w:tcPr>
            <w:tcW w:w="10160" w:type="dxa"/>
            <w:vAlign w:val="bottom"/>
          </w:tcPr>
          <w:p>
            <w:pPr>
              <w:spacing w:after="0"/>
              <w:rPr>
                <w:sz w:val="12"/>
                <w:szCs w:val="12"/>
                <w:color w:val="auto"/>
              </w:rPr>
            </w:pPr>
          </w:p>
        </w:tc>
      </w:tr>
      <w:tr>
        <w:trPr>
          <w:trHeight w:val="168"/>
        </w:trPr>
        <w:tc>
          <w:tcPr>
            <w:tcW w:w="1240" w:type="dxa"/>
            <w:vAlign w:val="bottom"/>
            <w:gridSpan w:val="3"/>
          </w:tcPr>
          <w:p>
            <w:pPr>
              <w:ind w:left="220"/>
              <w:spacing w:after="0"/>
              <w:rPr>
                <w:sz w:val="20"/>
                <w:szCs w:val="20"/>
                <w:color w:val="auto"/>
              </w:rPr>
            </w:pPr>
            <w:r>
              <w:rPr>
                <w:rFonts w:ascii="Arial" w:cs="Arial" w:eastAsia="Arial" w:hAnsi="Arial"/>
                <w:sz w:val="14"/>
                <w:szCs w:val="14"/>
                <w:b w:val="1"/>
                <w:bCs w:val="1"/>
                <w:color w:val="auto"/>
              </w:rPr>
              <w:t>this Report</w:t>
            </w:r>
          </w:p>
        </w:tc>
        <w:tc>
          <w:tcPr>
            <w:tcW w:w="10160" w:type="dxa"/>
            <w:vAlign w:val="bottom"/>
          </w:tcPr>
          <w:p>
            <w:pPr>
              <w:spacing w:after="0"/>
              <w:rPr>
                <w:sz w:val="20"/>
                <w:szCs w:val="20"/>
                <w:color w:val="auto"/>
              </w:rPr>
            </w:pPr>
            <w:r>
              <w:rPr>
                <w:rFonts w:ascii="Arial" w:cs="Arial" w:eastAsia="Arial" w:hAnsi="Arial"/>
                <w:sz w:val="14"/>
                <w:szCs w:val="14"/>
                <w:b w:val="1"/>
                <w:bCs w:val="1"/>
                <w:color w:val="auto"/>
              </w:rPr>
              <w:t>Description of Exhibit</w:t>
            </w:r>
          </w:p>
        </w:tc>
      </w:tr>
      <w:tr>
        <w:trPr>
          <w:trHeight w:val="316"/>
        </w:trPr>
        <w:tc>
          <w:tcPr>
            <w:tcW w:w="240" w:type="dxa"/>
            <w:vAlign w:val="bottom"/>
          </w:tcPr>
          <w:p>
            <w:pPr>
              <w:spacing w:after="0"/>
              <w:rPr>
                <w:sz w:val="24"/>
                <w:szCs w:val="24"/>
                <w:color w:val="auto"/>
              </w:rPr>
            </w:pPr>
          </w:p>
        </w:tc>
        <w:tc>
          <w:tcPr>
            <w:tcW w:w="1000" w:type="dxa"/>
            <w:vAlign w:val="bottom"/>
            <w:tcBorders>
              <w:top w:val="single" w:sz="8" w:color="auto"/>
            </w:tcBorders>
            <w:gridSpan w:val="2"/>
          </w:tcPr>
          <w:p>
            <w:pPr>
              <w:jc w:val="center"/>
              <w:ind w:right="660"/>
              <w:spacing w:after="0"/>
              <w:rPr>
                <w:sz w:val="20"/>
                <w:szCs w:val="20"/>
                <w:color w:val="auto"/>
              </w:rPr>
            </w:pPr>
            <w:r>
              <w:rPr>
                <w:rFonts w:ascii="Arial" w:cs="Arial" w:eastAsia="Arial" w:hAnsi="Arial"/>
                <w:sz w:val="18"/>
                <w:szCs w:val="18"/>
                <w:color w:val="auto"/>
                <w:w w:val="91"/>
              </w:rPr>
              <w:t>3(m)</w:t>
            </w:r>
          </w:p>
        </w:tc>
        <w:tc>
          <w:tcPr>
            <w:tcW w:w="101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1"/>
              </w:rPr>
              <w:t>Certificate of Ownership and Merger merging Silicon Systems, Inc. with and into the Registrant (incorporated by reference to Exhibit 3(m) to</w:t>
            </w:r>
          </w:p>
        </w:tc>
      </w:tr>
      <w:tr>
        <w:trPr>
          <w:trHeight w:val="222"/>
        </w:trPr>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the Registrant’s Annual Report on Form 10-K for the year 1999).</w:t>
            </w:r>
          </w:p>
        </w:tc>
      </w:tr>
      <w:tr>
        <w:trPr>
          <w:trHeight w:val="318"/>
        </w:trPr>
        <w:tc>
          <w:tcPr>
            <w:tcW w:w="240" w:type="dxa"/>
            <w:vAlign w:val="bottom"/>
          </w:tcPr>
          <w:p>
            <w:pPr>
              <w:spacing w:after="0"/>
              <w:rPr>
                <w:sz w:val="24"/>
                <w:szCs w:val="24"/>
                <w:color w:val="auto"/>
              </w:rPr>
            </w:pPr>
          </w:p>
        </w:tc>
        <w:tc>
          <w:tcPr>
            <w:tcW w:w="1000" w:type="dxa"/>
            <w:vAlign w:val="bottom"/>
            <w:gridSpan w:val="2"/>
          </w:tcPr>
          <w:p>
            <w:pPr>
              <w:jc w:val="center"/>
              <w:ind w:right="660"/>
              <w:spacing w:after="0"/>
              <w:rPr>
                <w:sz w:val="20"/>
                <w:szCs w:val="20"/>
                <w:color w:val="auto"/>
              </w:rPr>
            </w:pPr>
            <w:r>
              <w:rPr>
                <w:rFonts w:ascii="Arial" w:cs="Arial" w:eastAsia="Arial" w:hAnsi="Arial"/>
                <w:sz w:val="18"/>
                <w:szCs w:val="18"/>
                <w:color w:val="auto"/>
                <w:w w:val="93"/>
              </w:rPr>
              <w:t>3(n)</w:t>
            </w:r>
          </w:p>
        </w:tc>
        <w:tc>
          <w:tcPr>
            <w:tcW w:w="10160" w:type="dxa"/>
            <w:vAlign w:val="bottom"/>
          </w:tcPr>
          <w:p>
            <w:pPr>
              <w:spacing w:after="0"/>
              <w:rPr>
                <w:sz w:val="20"/>
                <w:szCs w:val="20"/>
                <w:color w:val="auto"/>
              </w:rPr>
            </w:pPr>
            <w:r>
              <w:rPr>
                <w:rFonts w:ascii="Arial" w:cs="Arial" w:eastAsia="Arial" w:hAnsi="Arial"/>
                <w:sz w:val="18"/>
                <w:szCs w:val="18"/>
                <w:color w:val="auto"/>
                <w:w w:val="92"/>
              </w:rPr>
              <w:t>Certificate of Amendment to Restated Certificate of Incorporation (incorporated by reference to Exhibit 3(n) to the Registrant’s Registration</w:t>
            </w:r>
          </w:p>
        </w:tc>
      </w:tr>
      <w:tr>
        <w:trPr>
          <w:trHeight w:val="222"/>
        </w:trPr>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Statement on Form S-4 No. 333-41030 filed on July 7, 2000).</w:t>
            </w:r>
          </w:p>
        </w:tc>
      </w:tr>
      <w:tr>
        <w:trPr>
          <w:trHeight w:val="318"/>
        </w:trPr>
        <w:tc>
          <w:tcPr>
            <w:tcW w:w="240" w:type="dxa"/>
            <w:vAlign w:val="bottom"/>
          </w:tcPr>
          <w:p>
            <w:pPr>
              <w:spacing w:after="0"/>
              <w:rPr>
                <w:sz w:val="24"/>
                <w:szCs w:val="24"/>
                <w:color w:val="auto"/>
              </w:rPr>
            </w:pPr>
          </w:p>
        </w:tc>
        <w:tc>
          <w:tcPr>
            <w:tcW w:w="1000" w:type="dxa"/>
            <w:vAlign w:val="bottom"/>
            <w:gridSpan w:val="2"/>
          </w:tcPr>
          <w:p>
            <w:pPr>
              <w:jc w:val="center"/>
              <w:ind w:right="660"/>
              <w:spacing w:after="0"/>
              <w:rPr>
                <w:sz w:val="20"/>
                <w:szCs w:val="20"/>
                <w:color w:val="auto"/>
              </w:rPr>
            </w:pPr>
            <w:r>
              <w:rPr>
                <w:rFonts w:ascii="Arial" w:cs="Arial" w:eastAsia="Arial" w:hAnsi="Arial"/>
                <w:sz w:val="18"/>
                <w:szCs w:val="18"/>
                <w:color w:val="auto"/>
                <w:w w:val="93"/>
              </w:rPr>
              <w:t>3(o)</w:t>
            </w:r>
          </w:p>
        </w:tc>
        <w:tc>
          <w:tcPr>
            <w:tcW w:w="10160" w:type="dxa"/>
            <w:vAlign w:val="bottom"/>
          </w:tcPr>
          <w:p>
            <w:pPr>
              <w:spacing w:after="0"/>
              <w:rPr>
                <w:sz w:val="20"/>
                <w:szCs w:val="20"/>
                <w:color w:val="auto"/>
              </w:rPr>
            </w:pPr>
            <w:r>
              <w:rPr>
                <w:rFonts w:ascii="Arial" w:cs="Arial" w:eastAsia="Arial" w:hAnsi="Arial"/>
                <w:sz w:val="18"/>
                <w:szCs w:val="18"/>
                <w:color w:val="auto"/>
                <w:w w:val="90"/>
              </w:rPr>
              <w:t>Certificate of Ownership and Merger merging Power Trends, Inc. with and into the Registrant (incorporated by reference to Exhibit 3(o) to the</w:t>
            </w:r>
          </w:p>
        </w:tc>
      </w:tr>
      <w:tr>
        <w:trPr>
          <w:trHeight w:val="222"/>
        </w:trPr>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Registrant’s Annual Report on Form 10-K for the year 2001).</w:t>
            </w:r>
          </w:p>
        </w:tc>
      </w:tr>
      <w:tr>
        <w:trPr>
          <w:trHeight w:val="318"/>
        </w:trPr>
        <w:tc>
          <w:tcPr>
            <w:tcW w:w="240" w:type="dxa"/>
            <w:vAlign w:val="bottom"/>
          </w:tcPr>
          <w:p>
            <w:pPr>
              <w:spacing w:after="0"/>
              <w:rPr>
                <w:sz w:val="24"/>
                <w:szCs w:val="24"/>
                <w:color w:val="auto"/>
              </w:rPr>
            </w:pPr>
          </w:p>
        </w:tc>
        <w:tc>
          <w:tcPr>
            <w:tcW w:w="1000" w:type="dxa"/>
            <w:vAlign w:val="bottom"/>
            <w:gridSpan w:val="2"/>
          </w:tcPr>
          <w:p>
            <w:pPr>
              <w:jc w:val="center"/>
              <w:ind w:right="660"/>
              <w:spacing w:after="0"/>
              <w:rPr>
                <w:sz w:val="20"/>
                <w:szCs w:val="20"/>
                <w:color w:val="auto"/>
              </w:rPr>
            </w:pPr>
            <w:r>
              <w:rPr>
                <w:rFonts w:ascii="Arial" w:cs="Arial" w:eastAsia="Arial" w:hAnsi="Arial"/>
                <w:sz w:val="18"/>
                <w:szCs w:val="18"/>
                <w:color w:val="auto"/>
                <w:w w:val="93"/>
              </w:rPr>
              <w:t>3(p)</w:t>
            </w:r>
          </w:p>
        </w:tc>
        <w:tc>
          <w:tcPr>
            <w:tcW w:w="10160" w:type="dxa"/>
            <w:vAlign w:val="bottom"/>
          </w:tcPr>
          <w:p>
            <w:pPr>
              <w:spacing w:after="0"/>
              <w:rPr>
                <w:sz w:val="20"/>
                <w:szCs w:val="20"/>
                <w:color w:val="auto"/>
              </w:rPr>
            </w:pPr>
            <w:r>
              <w:rPr>
                <w:rFonts w:ascii="Arial" w:cs="Arial" w:eastAsia="Arial" w:hAnsi="Arial"/>
                <w:sz w:val="18"/>
                <w:szCs w:val="18"/>
                <w:color w:val="auto"/>
                <w:w w:val="91"/>
              </w:rPr>
              <w:t>Certificate of Ownership and Merger merging Amati Communications Corporation with and into the Registrant (incorporated by reference to</w:t>
            </w:r>
          </w:p>
        </w:tc>
      </w:tr>
      <w:tr>
        <w:trPr>
          <w:trHeight w:val="222"/>
        </w:trPr>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Exhibit 3(p) to the Registrant’s Annual Report on Form 10-K for the year 2001).</w:t>
            </w:r>
          </w:p>
        </w:tc>
      </w:tr>
      <w:tr>
        <w:trPr>
          <w:trHeight w:val="318"/>
        </w:trPr>
        <w:tc>
          <w:tcPr>
            <w:tcW w:w="240" w:type="dxa"/>
            <w:vAlign w:val="bottom"/>
          </w:tcPr>
          <w:p>
            <w:pPr>
              <w:spacing w:after="0"/>
              <w:rPr>
                <w:sz w:val="24"/>
                <w:szCs w:val="24"/>
                <w:color w:val="auto"/>
              </w:rPr>
            </w:pPr>
          </w:p>
        </w:tc>
        <w:tc>
          <w:tcPr>
            <w:tcW w:w="1000" w:type="dxa"/>
            <w:vAlign w:val="bottom"/>
            <w:gridSpan w:val="2"/>
          </w:tcPr>
          <w:p>
            <w:pPr>
              <w:jc w:val="center"/>
              <w:ind w:right="660"/>
              <w:spacing w:after="0"/>
              <w:rPr>
                <w:sz w:val="20"/>
                <w:szCs w:val="20"/>
                <w:color w:val="auto"/>
              </w:rPr>
            </w:pPr>
            <w:r>
              <w:rPr>
                <w:rFonts w:ascii="Arial" w:cs="Arial" w:eastAsia="Arial" w:hAnsi="Arial"/>
                <w:sz w:val="18"/>
                <w:szCs w:val="18"/>
                <w:color w:val="auto"/>
                <w:w w:val="93"/>
              </w:rPr>
              <w:t>3(q)</w:t>
            </w:r>
          </w:p>
        </w:tc>
        <w:tc>
          <w:tcPr>
            <w:tcW w:w="10160" w:type="dxa"/>
            <w:vAlign w:val="bottom"/>
          </w:tcPr>
          <w:p>
            <w:pPr>
              <w:spacing w:after="0"/>
              <w:rPr>
                <w:sz w:val="20"/>
                <w:szCs w:val="20"/>
                <w:color w:val="auto"/>
              </w:rPr>
            </w:pPr>
            <w:r>
              <w:rPr>
                <w:rFonts w:ascii="Arial" w:cs="Arial" w:eastAsia="Arial" w:hAnsi="Arial"/>
                <w:sz w:val="18"/>
                <w:szCs w:val="18"/>
                <w:color w:val="auto"/>
                <w:w w:val="95"/>
              </w:rPr>
              <w:t>Certificate of Ownership and Merger merging Texas Instruments San Diego Incorporated with and into the Registrant (incorporated by</w:t>
            </w:r>
          </w:p>
        </w:tc>
      </w:tr>
      <w:tr>
        <w:trPr>
          <w:trHeight w:val="222"/>
        </w:trPr>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reference to Exhibit 3(q) to the Registrant’s Annual Report on Form 10-K for the year 2002).</w:t>
            </w:r>
          </w:p>
        </w:tc>
      </w:tr>
      <w:tr>
        <w:trPr>
          <w:trHeight w:val="318"/>
        </w:trPr>
        <w:tc>
          <w:tcPr>
            <w:tcW w:w="240" w:type="dxa"/>
            <w:vAlign w:val="bottom"/>
          </w:tcPr>
          <w:p>
            <w:pPr>
              <w:spacing w:after="0"/>
              <w:rPr>
                <w:sz w:val="24"/>
                <w:szCs w:val="24"/>
                <w:color w:val="auto"/>
              </w:rPr>
            </w:pPr>
          </w:p>
        </w:tc>
        <w:tc>
          <w:tcPr>
            <w:tcW w:w="1000" w:type="dxa"/>
            <w:vAlign w:val="bottom"/>
            <w:gridSpan w:val="2"/>
          </w:tcPr>
          <w:p>
            <w:pPr>
              <w:jc w:val="center"/>
              <w:ind w:right="660"/>
              <w:spacing w:after="0"/>
              <w:rPr>
                <w:sz w:val="20"/>
                <w:szCs w:val="20"/>
                <w:color w:val="auto"/>
              </w:rPr>
            </w:pPr>
            <w:r>
              <w:rPr>
                <w:rFonts w:ascii="Arial" w:cs="Arial" w:eastAsia="Arial" w:hAnsi="Arial"/>
                <w:sz w:val="18"/>
                <w:szCs w:val="18"/>
                <w:color w:val="auto"/>
                <w:w w:val="92"/>
              </w:rPr>
              <w:t>3(r)</w:t>
            </w:r>
          </w:p>
        </w:tc>
        <w:tc>
          <w:tcPr>
            <w:tcW w:w="10160" w:type="dxa"/>
            <w:vAlign w:val="bottom"/>
          </w:tcPr>
          <w:p>
            <w:pPr>
              <w:spacing w:after="0"/>
              <w:rPr>
                <w:sz w:val="20"/>
                <w:szCs w:val="20"/>
                <w:color w:val="auto"/>
              </w:rPr>
            </w:pPr>
            <w:r>
              <w:rPr>
                <w:rFonts w:ascii="Arial" w:cs="Arial" w:eastAsia="Arial" w:hAnsi="Arial"/>
                <w:sz w:val="18"/>
                <w:szCs w:val="18"/>
                <w:color w:val="auto"/>
                <w:w w:val="95"/>
              </w:rPr>
              <w:t>Certificate of Ownership and Merger merging Texas Instruments Burlington Incorporated with and into the Registrant (incorporated by</w:t>
            </w:r>
          </w:p>
        </w:tc>
      </w:tr>
      <w:tr>
        <w:trPr>
          <w:trHeight w:val="222"/>
        </w:trPr>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reference to Exhibit 3(r) to the Registrant’s Annual Report on Form 10-K for the year 2003).</w:t>
            </w:r>
          </w:p>
        </w:tc>
      </w:tr>
      <w:tr>
        <w:trPr>
          <w:trHeight w:val="318"/>
        </w:trPr>
        <w:tc>
          <w:tcPr>
            <w:tcW w:w="240" w:type="dxa"/>
            <w:vAlign w:val="bottom"/>
          </w:tcPr>
          <w:p>
            <w:pPr>
              <w:spacing w:after="0"/>
              <w:rPr>
                <w:sz w:val="24"/>
                <w:szCs w:val="24"/>
                <w:color w:val="auto"/>
              </w:rPr>
            </w:pPr>
          </w:p>
        </w:tc>
        <w:tc>
          <w:tcPr>
            <w:tcW w:w="1000" w:type="dxa"/>
            <w:vAlign w:val="bottom"/>
            <w:gridSpan w:val="2"/>
          </w:tcPr>
          <w:p>
            <w:pPr>
              <w:jc w:val="center"/>
              <w:ind w:right="660"/>
              <w:spacing w:after="0"/>
              <w:rPr>
                <w:sz w:val="20"/>
                <w:szCs w:val="20"/>
                <w:color w:val="auto"/>
              </w:rPr>
            </w:pPr>
            <w:r>
              <w:rPr>
                <w:rFonts w:ascii="Arial" w:cs="Arial" w:eastAsia="Arial" w:hAnsi="Arial"/>
                <w:sz w:val="18"/>
                <w:szCs w:val="18"/>
                <w:color w:val="auto"/>
                <w:w w:val="83"/>
              </w:rPr>
              <w:t>3(s)</w:t>
            </w:r>
          </w:p>
        </w:tc>
        <w:tc>
          <w:tcPr>
            <w:tcW w:w="10160" w:type="dxa"/>
            <w:vAlign w:val="bottom"/>
          </w:tcPr>
          <w:p>
            <w:pPr>
              <w:spacing w:after="0"/>
              <w:rPr>
                <w:sz w:val="20"/>
                <w:szCs w:val="20"/>
                <w:color w:val="auto"/>
              </w:rPr>
            </w:pPr>
            <w:r>
              <w:rPr>
                <w:rFonts w:ascii="Arial" w:cs="Arial" w:eastAsia="Arial" w:hAnsi="Arial"/>
                <w:sz w:val="18"/>
                <w:szCs w:val="18"/>
                <w:color w:val="auto"/>
                <w:w w:val="90"/>
              </w:rPr>
              <w:t>Certificate of Ownership and Merger merging Texas Instruments Automotive Sensors and Controls San Jose Inc. with and into the Registrant</w:t>
            </w:r>
          </w:p>
        </w:tc>
      </w:tr>
      <w:tr>
        <w:trPr>
          <w:trHeight w:val="222"/>
        </w:trPr>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(incorporated by reference to Exhibit 3(i) to the Registrant’s Current Report on Form 8-K dated October 31, 2004).</w:t>
            </w:r>
          </w:p>
        </w:tc>
      </w:tr>
      <w:tr>
        <w:trPr>
          <w:trHeight w:val="324"/>
        </w:trPr>
        <w:tc>
          <w:tcPr>
            <w:tcW w:w="240" w:type="dxa"/>
            <w:vAlign w:val="bottom"/>
          </w:tcPr>
          <w:p>
            <w:pPr>
              <w:spacing w:after="0"/>
              <w:rPr>
                <w:sz w:val="24"/>
                <w:szCs w:val="24"/>
                <w:color w:val="auto"/>
              </w:rPr>
            </w:pPr>
          </w:p>
        </w:tc>
        <w:tc>
          <w:tcPr>
            <w:tcW w:w="1000" w:type="dxa"/>
            <w:vAlign w:val="bottom"/>
            <w:gridSpan w:val="2"/>
          </w:tcPr>
          <w:p>
            <w:pPr>
              <w:jc w:val="center"/>
              <w:ind w:right="660"/>
              <w:spacing w:after="0"/>
              <w:rPr>
                <w:sz w:val="20"/>
                <w:szCs w:val="20"/>
                <w:color w:val="auto"/>
              </w:rPr>
            </w:pPr>
            <w:r>
              <w:rPr>
                <w:rFonts w:ascii="Arial" w:cs="Arial" w:eastAsia="Arial" w:hAnsi="Arial"/>
                <w:sz w:val="18"/>
                <w:szCs w:val="18"/>
                <w:color w:val="auto"/>
                <w:w w:val="96"/>
              </w:rPr>
              <w:t>3(t)</w:t>
            </w:r>
          </w:p>
        </w:tc>
        <w:tc>
          <w:tcPr>
            <w:tcW w:w="10160" w:type="dxa"/>
            <w:vAlign w:val="bottom"/>
          </w:tcPr>
          <w:p>
            <w:pPr>
              <w:spacing w:after="0"/>
              <w:rPr>
                <w:sz w:val="20"/>
                <w:szCs w:val="20"/>
                <w:color w:val="auto"/>
              </w:rPr>
            </w:pPr>
            <w:r>
              <w:rPr>
                <w:rFonts w:ascii="Arial" w:cs="Arial" w:eastAsia="Arial" w:hAnsi="Arial"/>
                <w:sz w:val="18"/>
                <w:szCs w:val="18"/>
                <w:color w:val="auto"/>
                <w:w w:val="91"/>
              </w:rPr>
              <w:t>By-Laws of the Registrant (incorporated by reference to Exhibit 3 to the Registrant’s Current Report on Form 8-K dated February 16, 2006).</w:t>
            </w:r>
          </w:p>
        </w:tc>
      </w:tr>
      <w:tr>
        <w:trPr>
          <w:trHeight w:val="318"/>
        </w:trPr>
        <w:tc>
          <w:tcPr>
            <w:tcW w:w="1240" w:type="dxa"/>
            <w:vAlign w:val="bottom"/>
            <w:gridSpan w:val="3"/>
          </w:tcPr>
          <w:p>
            <w:pPr>
              <w:jc w:val="center"/>
              <w:ind w:right="420"/>
              <w:spacing w:after="0"/>
              <w:rPr>
                <w:sz w:val="20"/>
                <w:szCs w:val="20"/>
                <w:color w:val="auto"/>
              </w:rPr>
            </w:pPr>
            <w:r>
              <w:rPr>
                <w:rFonts w:ascii="Arial" w:cs="Arial" w:eastAsia="Arial" w:hAnsi="Arial"/>
                <w:sz w:val="18"/>
                <w:szCs w:val="18"/>
                <w:color w:val="auto"/>
                <w:w w:val="95"/>
              </w:rPr>
              <w:t>4(a)(i)</w:t>
            </w:r>
          </w:p>
        </w:tc>
        <w:tc>
          <w:tcPr>
            <w:tcW w:w="10160" w:type="dxa"/>
            <w:vAlign w:val="bottom"/>
          </w:tcPr>
          <w:p>
            <w:pPr>
              <w:spacing w:after="0"/>
              <w:rPr>
                <w:sz w:val="20"/>
                <w:szCs w:val="20"/>
                <w:color w:val="auto"/>
              </w:rPr>
            </w:pPr>
            <w:r>
              <w:rPr>
                <w:rFonts w:ascii="Arial" w:cs="Arial" w:eastAsia="Arial" w:hAnsi="Arial"/>
                <w:sz w:val="18"/>
                <w:szCs w:val="18"/>
                <w:color w:val="auto"/>
                <w:w w:val="90"/>
              </w:rPr>
              <w:t>Rights Agreement dated as of June 18, 1998, between the Registrant and Harris Trust and Savings Bank as Rights Agent, which includes as</w:t>
            </w:r>
          </w:p>
        </w:tc>
      </w:tr>
      <w:tr>
        <w:trPr>
          <w:trHeight w:val="216"/>
        </w:trPr>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1"/>
              </w:rPr>
              <w:t>Exhibit B the form of Rights Certificate (incorporated by reference to Exhibit 1 to the Registrant’s Registration Statement on Form 8-A dated</w:t>
            </w:r>
          </w:p>
        </w:tc>
      </w:tr>
      <w:tr>
        <w:trPr>
          <w:trHeight w:val="222"/>
        </w:trPr>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June 23, 1998).</w:t>
            </w:r>
          </w:p>
        </w:tc>
      </w:tr>
      <w:tr>
        <w:trPr>
          <w:trHeight w:val="318"/>
        </w:trPr>
        <w:tc>
          <w:tcPr>
            <w:tcW w:w="1240" w:type="dxa"/>
            <w:vAlign w:val="bottom"/>
            <w:gridSpan w:val="3"/>
          </w:tcPr>
          <w:p>
            <w:pPr>
              <w:jc w:val="center"/>
              <w:ind w:right="420"/>
              <w:spacing w:after="0"/>
              <w:rPr>
                <w:sz w:val="20"/>
                <w:szCs w:val="20"/>
                <w:color w:val="auto"/>
              </w:rPr>
            </w:pPr>
            <w:r>
              <w:rPr>
                <w:rFonts w:ascii="Arial" w:cs="Arial" w:eastAsia="Arial" w:hAnsi="Arial"/>
                <w:sz w:val="18"/>
                <w:szCs w:val="18"/>
                <w:color w:val="auto"/>
                <w:w w:val="96"/>
              </w:rPr>
              <w:t>4(a)(ii)</w:t>
            </w:r>
          </w:p>
        </w:tc>
        <w:tc>
          <w:tcPr>
            <w:tcW w:w="10160" w:type="dxa"/>
            <w:vAlign w:val="bottom"/>
          </w:tcPr>
          <w:p>
            <w:pPr>
              <w:spacing w:after="0"/>
              <w:rPr>
                <w:sz w:val="20"/>
                <w:szCs w:val="20"/>
                <w:color w:val="auto"/>
              </w:rPr>
            </w:pPr>
            <w:r>
              <w:rPr>
                <w:rFonts w:ascii="Arial" w:cs="Arial" w:eastAsia="Arial" w:hAnsi="Arial"/>
                <w:sz w:val="18"/>
                <w:szCs w:val="18"/>
                <w:color w:val="auto"/>
                <w:w w:val="90"/>
              </w:rPr>
              <w:t>Amendment dated as of September 18, 1998, to the Rights Agreement (incorporated by reference to Exhibit 2 to the Registrant’s Amendment</w:t>
            </w:r>
          </w:p>
        </w:tc>
      </w:tr>
      <w:tr>
        <w:trPr>
          <w:trHeight w:val="222"/>
        </w:trPr>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No. 1 to Registration Statement on Form 8-A dated September 23, 1998).</w:t>
            </w:r>
          </w:p>
        </w:tc>
      </w:tr>
      <w:tr>
        <w:trPr>
          <w:trHeight w:val="318"/>
        </w:trPr>
        <w:tc>
          <w:tcPr>
            <w:tcW w:w="240" w:type="dxa"/>
            <w:vAlign w:val="bottom"/>
          </w:tcPr>
          <w:p>
            <w:pPr>
              <w:spacing w:after="0"/>
              <w:rPr>
                <w:sz w:val="24"/>
                <w:szCs w:val="24"/>
                <w:color w:val="auto"/>
              </w:rPr>
            </w:pPr>
          </w:p>
        </w:tc>
        <w:tc>
          <w:tcPr>
            <w:tcW w:w="1000" w:type="dxa"/>
            <w:vAlign w:val="bottom"/>
            <w:gridSpan w:val="2"/>
          </w:tcPr>
          <w:p>
            <w:pPr>
              <w:jc w:val="center"/>
              <w:ind w:right="660"/>
              <w:spacing w:after="0"/>
              <w:rPr>
                <w:sz w:val="20"/>
                <w:szCs w:val="20"/>
                <w:color w:val="auto"/>
              </w:rPr>
            </w:pPr>
            <w:r>
              <w:rPr>
                <w:rFonts w:ascii="Arial" w:cs="Arial" w:eastAsia="Arial" w:hAnsi="Arial"/>
                <w:sz w:val="18"/>
                <w:szCs w:val="18"/>
                <w:color w:val="auto"/>
                <w:w w:val="93"/>
              </w:rPr>
              <w:t>4(b)</w:t>
            </w:r>
          </w:p>
        </w:tc>
        <w:tc>
          <w:tcPr>
            <w:tcW w:w="10160" w:type="dxa"/>
            <w:vAlign w:val="bottom"/>
          </w:tcPr>
          <w:p>
            <w:pPr>
              <w:spacing w:after="0"/>
              <w:rPr>
                <w:sz w:val="20"/>
                <w:szCs w:val="20"/>
                <w:color w:val="auto"/>
              </w:rPr>
            </w:pPr>
            <w:r>
              <w:rPr>
                <w:rFonts w:ascii="Arial" w:cs="Arial" w:eastAsia="Arial" w:hAnsi="Arial"/>
                <w:sz w:val="18"/>
                <w:szCs w:val="18"/>
                <w:color w:val="auto"/>
                <w:w w:val="91"/>
              </w:rPr>
              <w:t>The Registrant agrees to provide the Commission, upon request, copies of instruments defining the rights of holders of long-term debt of the</w:t>
            </w:r>
          </w:p>
        </w:tc>
      </w:tr>
      <w:tr>
        <w:trPr>
          <w:trHeight w:val="222"/>
        </w:trPr>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Registrant and its subsidiaries.</w:t>
            </w:r>
          </w:p>
        </w:tc>
      </w:tr>
      <w:tr>
        <w:trPr>
          <w:trHeight w:val="318"/>
        </w:trPr>
        <w:tc>
          <w:tcPr>
            <w:tcW w:w="1240" w:type="dxa"/>
            <w:vAlign w:val="bottom"/>
            <w:gridSpan w:val="3"/>
          </w:tcPr>
          <w:p>
            <w:pPr>
              <w:jc w:val="center"/>
              <w:ind w:right="420"/>
              <w:spacing w:after="0"/>
              <w:rPr>
                <w:sz w:val="20"/>
                <w:szCs w:val="20"/>
                <w:color w:val="auto"/>
              </w:rPr>
            </w:pPr>
            <w:r>
              <w:rPr>
                <w:rFonts w:ascii="Arial" w:cs="Arial" w:eastAsia="Arial" w:hAnsi="Arial"/>
                <w:sz w:val="18"/>
                <w:szCs w:val="18"/>
                <w:color w:val="auto"/>
                <w:w w:val="93"/>
              </w:rPr>
              <w:t>10(a)(i)</w:t>
            </w:r>
          </w:p>
        </w:tc>
        <w:tc>
          <w:tcPr>
            <w:tcW w:w="10160" w:type="dxa"/>
            <w:vAlign w:val="bottom"/>
          </w:tcPr>
          <w:p>
            <w:pPr>
              <w:spacing w:after="0"/>
              <w:rPr>
                <w:sz w:val="20"/>
                <w:szCs w:val="20"/>
                <w:color w:val="auto"/>
              </w:rPr>
            </w:pPr>
            <w:r>
              <w:rPr>
                <w:rFonts w:ascii="Arial" w:cs="Arial" w:eastAsia="Arial" w:hAnsi="Arial"/>
                <w:sz w:val="18"/>
                <w:szCs w:val="18"/>
                <w:color w:val="auto"/>
                <w:w w:val="92"/>
              </w:rPr>
              <w:t>Amended and Restated TI Deferred Compensation Plan (incorporated by reference to Exhibit 10(a)(i) to the Registrant’s Annual Report on</w:t>
            </w:r>
          </w:p>
        </w:tc>
      </w:tr>
      <w:tr>
        <w:trPr>
          <w:trHeight w:val="222"/>
        </w:trPr>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Form 10-K for the year 1999).*</w:t>
            </w:r>
          </w:p>
        </w:tc>
      </w:tr>
      <w:tr>
        <w:trPr>
          <w:trHeight w:val="318"/>
        </w:trPr>
        <w:tc>
          <w:tcPr>
            <w:tcW w:w="1240" w:type="dxa"/>
            <w:vAlign w:val="bottom"/>
            <w:gridSpan w:val="3"/>
          </w:tcPr>
          <w:p>
            <w:pPr>
              <w:jc w:val="center"/>
              <w:ind w:right="420"/>
              <w:spacing w:after="0"/>
              <w:rPr>
                <w:sz w:val="20"/>
                <w:szCs w:val="20"/>
                <w:color w:val="auto"/>
              </w:rPr>
            </w:pPr>
            <w:r>
              <w:rPr>
                <w:rFonts w:ascii="Arial" w:cs="Arial" w:eastAsia="Arial" w:hAnsi="Arial"/>
                <w:sz w:val="18"/>
                <w:szCs w:val="18"/>
                <w:color w:val="auto"/>
                <w:w w:val="93"/>
              </w:rPr>
              <w:t>10(a)(ii)</w:t>
            </w:r>
          </w:p>
        </w:tc>
        <w:tc>
          <w:tcPr>
            <w:tcW w:w="10160" w:type="dxa"/>
            <w:vAlign w:val="bottom"/>
          </w:tcPr>
          <w:p>
            <w:pPr>
              <w:spacing w:after="0"/>
              <w:rPr>
                <w:sz w:val="20"/>
                <w:szCs w:val="20"/>
                <w:color w:val="auto"/>
              </w:rPr>
            </w:pPr>
            <w:r>
              <w:rPr>
                <w:rFonts w:ascii="Arial" w:cs="Arial" w:eastAsia="Arial" w:hAnsi="Arial"/>
                <w:sz w:val="18"/>
                <w:szCs w:val="18"/>
                <w:color w:val="auto"/>
                <w:w w:val="90"/>
              </w:rPr>
              <w:t>First Amendment to Restated TI Deferred Compensation Plan (incorporated by reference to Exhibit 10(a)(ii) to the Registrant’s Annual Report</w:t>
            </w:r>
          </w:p>
        </w:tc>
      </w:tr>
      <w:tr>
        <w:trPr>
          <w:trHeight w:val="222"/>
        </w:trPr>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on Form 10-K for the year 1999).*</w:t>
            </w:r>
          </w:p>
        </w:tc>
      </w:tr>
      <w:tr>
        <w:trPr>
          <w:trHeight w:val="318"/>
        </w:trPr>
        <w:tc>
          <w:tcPr>
            <w:tcW w:w="1240" w:type="dxa"/>
            <w:vAlign w:val="bottom"/>
            <w:gridSpan w:val="3"/>
          </w:tcPr>
          <w:p>
            <w:pPr>
              <w:jc w:val="center"/>
              <w:ind w:right="440"/>
              <w:spacing w:after="0"/>
              <w:rPr>
                <w:sz w:val="20"/>
                <w:szCs w:val="20"/>
                <w:color w:val="auto"/>
              </w:rPr>
            </w:pPr>
            <w:r>
              <w:rPr>
                <w:rFonts w:ascii="Arial" w:cs="Arial" w:eastAsia="Arial" w:hAnsi="Arial"/>
                <w:sz w:val="18"/>
                <w:szCs w:val="18"/>
                <w:color w:val="auto"/>
                <w:w w:val="96"/>
              </w:rPr>
              <w:t>10(a)(iii)</w:t>
            </w:r>
          </w:p>
        </w:tc>
        <w:tc>
          <w:tcPr>
            <w:tcW w:w="10160" w:type="dxa"/>
            <w:vAlign w:val="bottom"/>
          </w:tcPr>
          <w:p>
            <w:pPr>
              <w:spacing w:after="0"/>
              <w:rPr>
                <w:sz w:val="20"/>
                <w:szCs w:val="20"/>
                <w:color w:val="auto"/>
              </w:rPr>
            </w:pPr>
            <w:r>
              <w:rPr>
                <w:rFonts w:ascii="Arial" w:cs="Arial" w:eastAsia="Arial" w:hAnsi="Arial"/>
                <w:sz w:val="18"/>
                <w:szCs w:val="18"/>
                <w:color w:val="auto"/>
                <w:w w:val="92"/>
              </w:rPr>
              <w:t>Second Amendment to Restated TI Deferred Compensation Plan (incorporated by reference to Exhibit 10(a)(iii) to the Registrant’s Annual</w:t>
            </w:r>
          </w:p>
        </w:tc>
      </w:tr>
      <w:tr>
        <w:trPr>
          <w:trHeight w:val="222"/>
        </w:trPr>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Report on Form 10-K for the year 1999).*</w:t>
            </w:r>
          </w:p>
        </w:tc>
      </w:tr>
      <w:tr>
        <w:trPr>
          <w:trHeight w:val="318"/>
        </w:trPr>
        <w:tc>
          <w:tcPr>
            <w:tcW w:w="1240" w:type="dxa"/>
            <w:vAlign w:val="bottom"/>
            <w:gridSpan w:val="3"/>
          </w:tcPr>
          <w:p>
            <w:pPr>
              <w:jc w:val="center"/>
              <w:ind w:right="420"/>
              <w:spacing w:after="0"/>
              <w:rPr>
                <w:sz w:val="20"/>
                <w:szCs w:val="20"/>
                <w:color w:val="auto"/>
              </w:rPr>
            </w:pPr>
            <w:r>
              <w:rPr>
                <w:rFonts w:ascii="Arial" w:cs="Arial" w:eastAsia="Arial" w:hAnsi="Arial"/>
                <w:sz w:val="18"/>
                <w:szCs w:val="18"/>
                <w:color w:val="auto"/>
                <w:w w:val="92"/>
              </w:rPr>
              <w:t>10(a)(iv)</w:t>
            </w:r>
          </w:p>
        </w:tc>
        <w:tc>
          <w:tcPr>
            <w:tcW w:w="10160" w:type="dxa"/>
            <w:vAlign w:val="bottom"/>
          </w:tcPr>
          <w:p>
            <w:pPr>
              <w:spacing w:after="0"/>
              <w:rPr>
                <w:sz w:val="20"/>
                <w:szCs w:val="20"/>
                <w:color w:val="auto"/>
              </w:rPr>
            </w:pPr>
            <w:r>
              <w:rPr>
                <w:rFonts w:ascii="Arial" w:cs="Arial" w:eastAsia="Arial" w:hAnsi="Arial"/>
                <w:sz w:val="18"/>
                <w:szCs w:val="18"/>
                <w:color w:val="auto"/>
                <w:w w:val="89"/>
              </w:rPr>
              <w:t>Third Amendment to Restated TI Deferred Compensation Plan (incorporated by reference to Exhibit 10(a)(iv) to the Registrant’s Annual Report</w:t>
            </w:r>
          </w:p>
        </w:tc>
      </w:tr>
      <w:tr>
        <w:trPr>
          <w:trHeight w:val="222"/>
        </w:trPr>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on Form 10-K for the year 2000).*</w:t>
            </w:r>
          </w:p>
        </w:tc>
      </w:tr>
      <w:tr>
        <w:trPr>
          <w:trHeight w:val="365"/>
        </w:trPr>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160" w:type="dxa"/>
            <w:vAlign w:val="bottom"/>
          </w:tcPr>
          <w:p>
            <w:pPr>
              <w:ind w:left="4360"/>
              <w:spacing w:after="0"/>
              <w:rPr>
                <w:sz w:val="20"/>
                <w:szCs w:val="20"/>
                <w:color w:val="auto"/>
              </w:rPr>
            </w:pPr>
            <w:r>
              <w:rPr>
                <w:rFonts w:ascii="Arial" w:cs="Arial" w:eastAsia="Arial" w:hAnsi="Arial"/>
                <w:sz w:val="18"/>
                <w:szCs w:val="18"/>
                <w:color w:val="auto"/>
              </w:rPr>
              <w:t>19</w:t>
            </w:r>
          </w:p>
        </w:tc>
      </w:tr>
    </w:tbl>
    <w:p>
      <w:pPr>
        <w:sectPr>
          <w:pgSz w:w="11900" w:h="16838" w:orient="portrait"/>
          <w:cols w:equalWidth="0" w:num="1">
            <w:col w:w="11400"/>
          </w:cols>
          <w:pgMar w:left="260" w:top="263" w:right="239" w:bottom="1440" w:gutter="0" w:footer="0" w:header="0"/>
        </w:sectPr>
      </w:pPr>
    </w:p>
    <w:bookmarkStart w:id="19" w:name="page20"/>
    <w:bookmarkEnd w:id="1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12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4"/>
              </w:rPr>
              <w:t>Designation of</w:t>
            </w:r>
          </w:p>
        </w:tc>
        <w:tc>
          <w:tcPr>
            <w:tcW w:w="10160" w:type="dxa"/>
            <w:vAlign w:val="bottom"/>
          </w:tcPr>
          <w:p>
            <w:pPr>
              <w:spacing w:after="0"/>
              <w:rPr>
                <w:sz w:val="14"/>
                <w:szCs w:val="14"/>
                <w:color w:val="auto"/>
              </w:rPr>
            </w:pPr>
          </w:p>
        </w:tc>
      </w:tr>
      <w:tr>
        <w:trPr>
          <w:trHeight w:val="149"/>
        </w:trPr>
        <w:tc>
          <w:tcPr>
            <w:tcW w:w="124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Exhibit in</w:t>
            </w:r>
          </w:p>
        </w:tc>
        <w:tc>
          <w:tcPr>
            <w:tcW w:w="10160" w:type="dxa"/>
            <w:vAlign w:val="bottom"/>
          </w:tcPr>
          <w:p>
            <w:pPr>
              <w:spacing w:after="0"/>
              <w:rPr>
                <w:sz w:val="12"/>
                <w:szCs w:val="12"/>
                <w:color w:val="auto"/>
              </w:rPr>
            </w:pPr>
          </w:p>
        </w:tc>
      </w:tr>
      <w:tr>
        <w:trPr>
          <w:trHeight w:val="168"/>
        </w:trPr>
        <w:tc>
          <w:tcPr>
            <w:tcW w:w="220" w:type="dxa"/>
            <w:vAlign w:val="bottom"/>
          </w:tcPr>
          <w:p>
            <w:pPr>
              <w:spacing w:after="0"/>
              <w:rPr>
                <w:sz w:val="14"/>
                <w:szCs w:val="14"/>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this Report</w:t>
            </w:r>
          </w:p>
        </w:tc>
        <w:tc>
          <w:tcPr>
            <w:tcW w:w="10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 of Exhibit</w:t>
            </w:r>
          </w:p>
        </w:tc>
      </w:tr>
      <w:tr>
        <w:trPr>
          <w:trHeight w:val="316"/>
        </w:trPr>
        <w:tc>
          <w:tcPr>
            <w:tcW w:w="1240" w:type="dxa"/>
            <w:vAlign w:val="bottom"/>
            <w:gridSpan w:val="3"/>
          </w:tcPr>
          <w:p>
            <w:pPr>
              <w:jc w:val="center"/>
              <w:ind w:right="420"/>
              <w:spacing w:after="0"/>
              <w:rPr>
                <w:sz w:val="20"/>
                <w:szCs w:val="20"/>
                <w:color w:val="auto"/>
              </w:rPr>
            </w:pPr>
            <w:r>
              <w:rPr>
                <w:rFonts w:ascii="Arial" w:cs="Arial" w:eastAsia="Arial" w:hAnsi="Arial"/>
                <w:sz w:val="18"/>
                <w:szCs w:val="18"/>
                <w:color w:val="auto"/>
                <w:w w:val="91"/>
              </w:rPr>
              <w:t>10(a)(v)</w:t>
            </w:r>
          </w:p>
        </w:tc>
        <w:tc>
          <w:tcPr>
            <w:tcW w:w="10160" w:type="dxa"/>
            <w:vAlign w:val="bottom"/>
          </w:tcPr>
          <w:p>
            <w:pPr>
              <w:spacing w:after="0"/>
              <w:rPr>
                <w:sz w:val="20"/>
                <w:szCs w:val="20"/>
                <w:color w:val="auto"/>
              </w:rPr>
            </w:pPr>
            <w:r>
              <w:rPr>
                <w:rFonts w:ascii="Arial" w:cs="Arial" w:eastAsia="Arial" w:hAnsi="Arial"/>
                <w:sz w:val="18"/>
                <w:szCs w:val="18"/>
                <w:color w:val="auto"/>
                <w:w w:val="93"/>
              </w:rPr>
              <w:t>Fourth Amendment to Restated TI Deferred Compensation Plan (incorporated by reference to Exhibit 10(a)(v) to the Registrant’s Annual</w:t>
            </w:r>
          </w:p>
        </w:tc>
      </w:tr>
      <w:tr>
        <w:trPr>
          <w:trHeight w:val="222"/>
        </w:trPr>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Report on Form 10-K for the year 2001).*</w:t>
            </w:r>
          </w:p>
        </w:tc>
      </w:tr>
      <w:tr>
        <w:trPr>
          <w:trHeight w:val="318"/>
        </w:trPr>
        <w:tc>
          <w:tcPr>
            <w:tcW w:w="1240" w:type="dxa"/>
            <w:vAlign w:val="bottom"/>
            <w:gridSpan w:val="3"/>
          </w:tcPr>
          <w:p>
            <w:pPr>
              <w:jc w:val="center"/>
              <w:ind w:right="420"/>
              <w:spacing w:after="0"/>
              <w:rPr>
                <w:sz w:val="20"/>
                <w:szCs w:val="20"/>
                <w:color w:val="auto"/>
              </w:rPr>
            </w:pPr>
            <w:r>
              <w:rPr>
                <w:rFonts w:ascii="Arial" w:cs="Arial" w:eastAsia="Arial" w:hAnsi="Arial"/>
                <w:sz w:val="18"/>
                <w:szCs w:val="18"/>
                <w:color w:val="auto"/>
                <w:w w:val="92"/>
              </w:rPr>
              <w:t>10(a)(vi)</w:t>
            </w:r>
          </w:p>
        </w:tc>
        <w:tc>
          <w:tcPr>
            <w:tcW w:w="10160" w:type="dxa"/>
            <w:vAlign w:val="bottom"/>
          </w:tcPr>
          <w:p>
            <w:pPr>
              <w:spacing w:after="0"/>
              <w:rPr>
                <w:sz w:val="20"/>
                <w:szCs w:val="20"/>
                <w:color w:val="auto"/>
              </w:rPr>
            </w:pPr>
            <w:r>
              <w:rPr>
                <w:rFonts w:ascii="Arial" w:cs="Arial" w:eastAsia="Arial" w:hAnsi="Arial"/>
                <w:sz w:val="18"/>
                <w:szCs w:val="18"/>
                <w:color w:val="auto"/>
                <w:w w:val="89"/>
              </w:rPr>
              <w:t>Fifth Amendment to Restated TI Deferred Compensation Plan (incorporated by reference to Exhibit 10(a)(vi) to the Registrant’s Annual Report</w:t>
            </w:r>
          </w:p>
        </w:tc>
      </w:tr>
      <w:tr>
        <w:trPr>
          <w:trHeight w:val="222"/>
        </w:trPr>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on Form 10-K for the year 2002).*</w:t>
            </w:r>
          </w:p>
        </w:tc>
      </w:tr>
      <w:tr>
        <w:trPr>
          <w:trHeight w:val="318"/>
        </w:trPr>
        <w:tc>
          <w:tcPr>
            <w:tcW w:w="1240" w:type="dxa"/>
            <w:vAlign w:val="bottom"/>
            <w:gridSpan w:val="3"/>
          </w:tcPr>
          <w:p>
            <w:pPr>
              <w:jc w:val="center"/>
              <w:ind w:right="420"/>
              <w:spacing w:after="0"/>
              <w:rPr>
                <w:sz w:val="20"/>
                <w:szCs w:val="20"/>
                <w:color w:val="auto"/>
              </w:rPr>
            </w:pPr>
            <w:r>
              <w:rPr>
                <w:rFonts w:ascii="Arial" w:cs="Arial" w:eastAsia="Arial" w:hAnsi="Arial"/>
                <w:sz w:val="18"/>
                <w:szCs w:val="18"/>
                <w:color w:val="auto"/>
                <w:w w:val="93"/>
              </w:rPr>
              <w:t>10(b)(i)</w:t>
            </w:r>
          </w:p>
        </w:tc>
        <w:tc>
          <w:tcPr>
            <w:tcW w:w="10160" w:type="dxa"/>
            <w:vAlign w:val="bottom"/>
          </w:tcPr>
          <w:p>
            <w:pPr>
              <w:spacing w:after="0"/>
              <w:rPr>
                <w:sz w:val="20"/>
                <w:szCs w:val="20"/>
                <w:color w:val="auto"/>
              </w:rPr>
            </w:pPr>
            <w:r>
              <w:rPr>
                <w:rFonts w:ascii="Arial" w:cs="Arial" w:eastAsia="Arial" w:hAnsi="Arial"/>
                <w:sz w:val="18"/>
                <w:szCs w:val="18"/>
                <w:color w:val="auto"/>
                <w:w w:val="89"/>
              </w:rPr>
              <w:t>TI Employees Supplemental Pension Plan (incorporated by reference to Exhibit 10(b)(i) to the Registrant’s Annual Report on Form 10-K for the</w:t>
            </w:r>
          </w:p>
        </w:tc>
      </w:tr>
      <w:tr>
        <w:trPr>
          <w:trHeight w:val="222"/>
        </w:trPr>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year 1999).*</w:t>
            </w:r>
          </w:p>
        </w:tc>
      </w:tr>
      <w:tr>
        <w:trPr>
          <w:trHeight w:val="318"/>
        </w:trPr>
        <w:tc>
          <w:tcPr>
            <w:tcW w:w="1240" w:type="dxa"/>
            <w:vAlign w:val="bottom"/>
            <w:gridSpan w:val="3"/>
          </w:tcPr>
          <w:p>
            <w:pPr>
              <w:jc w:val="center"/>
              <w:ind w:right="440"/>
              <w:spacing w:after="0"/>
              <w:rPr>
                <w:sz w:val="20"/>
                <w:szCs w:val="20"/>
                <w:color w:val="auto"/>
              </w:rPr>
            </w:pPr>
            <w:r>
              <w:rPr>
                <w:rFonts w:ascii="Arial" w:cs="Arial" w:eastAsia="Arial" w:hAnsi="Arial"/>
                <w:sz w:val="18"/>
                <w:szCs w:val="18"/>
                <w:color w:val="auto"/>
                <w:w w:val="96"/>
              </w:rPr>
              <w:t>10(b)(ii)</w:t>
            </w:r>
          </w:p>
        </w:tc>
        <w:tc>
          <w:tcPr>
            <w:tcW w:w="10160" w:type="dxa"/>
            <w:vAlign w:val="bottom"/>
          </w:tcPr>
          <w:p>
            <w:pPr>
              <w:spacing w:after="0"/>
              <w:rPr>
                <w:sz w:val="20"/>
                <w:szCs w:val="20"/>
                <w:color w:val="auto"/>
              </w:rPr>
            </w:pPr>
            <w:r>
              <w:rPr>
                <w:rFonts w:ascii="Arial" w:cs="Arial" w:eastAsia="Arial" w:hAnsi="Arial"/>
                <w:sz w:val="18"/>
                <w:szCs w:val="18"/>
                <w:color w:val="auto"/>
                <w:w w:val="91"/>
              </w:rPr>
              <w:t>First Amendment to TI Supplemental Pension Plan (incorporated by reference to Exhibit 10(b)(ii) to the Registrant’s Annual Report on Form</w:t>
            </w:r>
          </w:p>
        </w:tc>
      </w:tr>
      <w:tr>
        <w:trPr>
          <w:trHeight w:val="222"/>
        </w:trPr>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10-K for the year 1999).*</w:t>
            </w:r>
          </w:p>
        </w:tc>
      </w:tr>
      <w:tr>
        <w:trPr>
          <w:trHeight w:val="318"/>
        </w:trPr>
        <w:tc>
          <w:tcPr>
            <w:tcW w:w="1240" w:type="dxa"/>
            <w:vAlign w:val="bottom"/>
            <w:gridSpan w:val="3"/>
          </w:tcPr>
          <w:p>
            <w:pPr>
              <w:jc w:val="center"/>
              <w:ind w:right="440"/>
              <w:spacing w:after="0"/>
              <w:rPr>
                <w:sz w:val="20"/>
                <w:szCs w:val="20"/>
                <w:color w:val="auto"/>
              </w:rPr>
            </w:pPr>
            <w:r>
              <w:rPr>
                <w:rFonts w:ascii="Arial" w:cs="Arial" w:eastAsia="Arial" w:hAnsi="Arial"/>
                <w:sz w:val="18"/>
                <w:szCs w:val="18"/>
                <w:color w:val="auto"/>
                <w:w w:val="96"/>
              </w:rPr>
              <w:t>10(b)(iii)</w:t>
            </w:r>
          </w:p>
        </w:tc>
        <w:tc>
          <w:tcPr>
            <w:tcW w:w="10160" w:type="dxa"/>
            <w:vAlign w:val="bottom"/>
          </w:tcPr>
          <w:p>
            <w:pPr>
              <w:spacing w:after="0"/>
              <w:rPr>
                <w:sz w:val="20"/>
                <w:szCs w:val="20"/>
                <w:color w:val="auto"/>
              </w:rPr>
            </w:pPr>
            <w:r>
              <w:rPr>
                <w:rFonts w:ascii="Arial" w:cs="Arial" w:eastAsia="Arial" w:hAnsi="Arial"/>
                <w:sz w:val="18"/>
                <w:szCs w:val="18"/>
                <w:color w:val="auto"/>
                <w:w w:val="89"/>
              </w:rPr>
              <w:t>Second Amendment to TI Supplemental Pension Plan (incorporated by reference to Exhibit 10(b)(iii) to the Registrant’s Annual Report on Form</w:t>
            </w:r>
          </w:p>
        </w:tc>
      </w:tr>
      <w:tr>
        <w:trPr>
          <w:trHeight w:val="222"/>
        </w:trPr>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10-K for the year 2002).*</w:t>
            </w:r>
          </w:p>
        </w:tc>
      </w:tr>
      <w:tr>
        <w:trPr>
          <w:trHeight w:val="318"/>
        </w:trPr>
        <w:tc>
          <w:tcPr>
            <w:tcW w:w="1240" w:type="dxa"/>
            <w:vAlign w:val="bottom"/>
            <w:gridSpan w:val="3"/>
          </w:tcPr>
          <w:p>
            <w:pPr>
              <w:jc w:val="center"/>
              <w:ind w:right="440"/>
              <w:spacing w:after="0"/>
              <w:rPr>
                <w:sz w:val="20"/>
                <w:szCs w:val="20"/>
                <w:color w:val="auto"/>
              </w:rPr>
            </w:pPr>
            <w:r>
              <w:rPr>
                <w:rFonts w:ascii="Arial" w:cs="Arial" w:eastAsia="Arial" w:hAnsi="Arial"/>
                <w:sz w:val="18"/>
                <w:szCs w:val="18"/>
                <w:color w:val="auto"/>
                <w:w w:val="95"/>
              </w:rPr>
              <w:t>10(b)(iv)</w:t>
            </w:r>
          </w:p>
        </w:tc>
        <w:tc>
          <w:tcPr>
            <w:tcW w:w="10160" w:type="dxa"/>
            <w:vAlign w:val="bottom"/>
          </w:tcPr>
          <w:p>
            <w:pPr>
              <w:spacing w:after="0"/>
              <w:rPr>
                <w:sz w:val="20"/>
                <w:szCs w:val="20"/>
                <w:color w:val="auto"/>
              </w:rPr>
            </w:pPr>
            <w:r>
              <w:rPr>
                <w:rFonts w:ascii="Arial" w:cs="Arial" w:eastAsia="Arial" w:hAnsi="Arial"/>
                <w:sz w:val="18"/>
                <w:szCs w:val="18"/>
                <w:color w:val="auto"/>
                <w:w w:val="90"/>
              </w:rPr>
              <w:t>Third Amendment to TI Supplemental Pension Plan (incorporated by reference to Exhibit 10(b)(iv) to the Registrant’s Annual Report on Form</w:t>
            </w:r>
          </w:p>
        </w:tc>
      </w:tr>
      <w:tr>
        <w:trPr>
          <w:trHeight w:val="222"/>
        </w:trPr>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10-K for the year 2002).*</w:t>
            </w:r>
          </w:p>
        </w:tc>
      </w:tr>
      <w:tr>
        <w:trPr>
          <w:trHeight w:val="318"/>
        </w:trPr>
        <w:tc>
          <w:tcPr>
            <w:tcW w:w="1240" w:type="dxa"/>
            <w:vAlign w:val="bottom"/>
            <w:gridSpan w:val="3"/>
          </w:tcPr>
          <w:p>
            <w:pPr>
              <w:jc w:val="center"/>
              <w:ind w:right="420"/>
              <w:spacing w:after="0"/>
              <w:rPr>
                <w:sz w:val="20"/>
                <w:szCs w:val="20"/>
                <w:color w:val="auto"/>
              </w:rPr>
            </w:pPr>
            <w:r>
              <w:rPr>
                <w:rFonts w:ascii="Arial" w:cs="Arial" w:eastAsia="Arial" w:hAnsi="Arial"/>
                <w:sz w:val="18"/>
                <w:szCs w:val="18"/>
                <w:color w:val="auto"/>
                <w:w w:val="91"/>
              </w:rPr>
              <w:t>10(b)(v)</w:t>
            </w:r>
          </w:p>
        </w:tc>
        <w:tc>
          <w:tcPr>
            <w:tcW w:w="10160" w:type="dxa"/>
            <w:vAlign w:val="bottom"/>
          </w:tcPr>
          <w:p>
            <w:pPr>
              <w:spacing w:after="0"/>
              <w:rPr>
                <w:sz w:val="20"/>
                <w:szCs w:val="20"/>
                <w:color w:val="auto"/>
              </w:rPr>
            </w:pPr>
            <w:r>
              <w:rPr>
                <w:rFonts w:ascii="Arial" w:cs="Arial" w:eastAsia="Arial" w:hAnsi="Arial"/>
                <w:sz w:val="18"/>
                <w:szCs w:val="18"/>
                <w:color w:val="auto"/>
                <w:w w:val="92"/>
              </w:rPr>
              <w:t>Fourth Amendment to TI’s Supplemental Pension Plan (incorporated by reference to Exhibit 10(b)(v) to the Registrant’s Annual Report on</w:t>
            </w:r>
          </w:p>
        </w:tc>
      </w:tr>
      <w:tr>
        <w:trPr>
          <w:trHeight w:val="222"/>
        </w:trPr>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Form 10-K for the year 2003).*</w:t>
            </w:r>
          </w:p>
        </w:tc>
      </w:tr>
      <w:tr>
        <w:trPr>
          <w:trHeight w:val="318"/>
        </w:trPr>
        <w:tc>
          <w:tcPr>
            <w:tcW w:w="1240" w:type="dxa"/>
            <w:vAlign w:val="bottom"/>
            <w:gridSpan w:val="3"/>
          </w:tcPr>
          <w:p>
            <w:pPr>
              <w:jc w:val="center"/>
              <w:ind w:right="420"/>
              <w:spacing w:after="0"/>
              <w:rPr>
                <w:sz w:val="20"/>
                <w:szCs w:val="20"/>
                <w:color w:val="auto"/>
              </w:rPr>
            </w:pPr>
            <w:r>
              <w:rPr>
                <w:rFonts w:ascii="Arial" w:cs="Arial" w:eastAsia="Arial" w:hAnsi="Arial"/>
                <w:sz w:val="18"/>
                <w:szCs w:val="18"/>
                <w:color w:val="auto"/>
                <w:w w:val="92"/>
              </w:rPr>
              <w:t>10(c)</w:t>
            </w:r>
          </w:p>
        </w:tc>
        <w:tc>
          <w:tcPr>
            <w:tcW w:w="10160" w:type="dxa"/>
            <w:vAlign w:val="bottom"/>
          </w:tcPr>
          <w:p>
            <w:pPr>
              <w:spacing w:after="0"/>
              <w:rPr>
                <w:sz w:val="20"/>
                <w:szCs w:val="20"/>
                <w:color w:val="auto"/>
              </w:rPr>
            </w:pPr>
            <w:r>
              <w:rPr>
                <w:rFonts w:ascii="Arial" w:cs="Arial" w:eastAsia="Arial" w:hAnsi="Arial"/>
                <w:sz w:val="18"/>
                <w:szCs w:val="18"/>
                <w:color w:val="auto"/>
                <w:w w:val="89"/>
              </w:rPr>
              <w:t>Texas Instruments Long-Term Incentive Plan (incorporated by reference to Exhibit 10(a)(ii) to the Registrant’s Annual Report on Form 10-K for</w:t>
            </w:r>
          </w:p>
        </w:tc>
      </w:tr>
      <w:tr>
        <w:trPr>
          <w:trHeight w:val="222"/>
        </w:trPr>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the year 1993).*</w:t>
            </w:r>
          </w:p>
        </w:tc>
      </w:tr>
      <w:tr>
        <w:trPr>
          <w:trHeight w:val="318"/>
        </w:trPr>
        <w:tc>
          <w:tcPr>
            <w:tcW w:w="1240" w:type="dxa"/>
            <w:vAlign w:val="bottom"/>
            <w:gridSpan w:val="3"/>
          </w:tcPr>
          <w:p>
            <w:pPr>
              <w:jc w:val="center"/>
              <w:ind w:right="420"/>
              <w:spacing w:after="0"/>
              <w:rPr>
                <w:sz w:val="20"/>
                <w:szCs w:val="20"/>
                <w:color w:val="auto"/>
              </w:rPr>
            </w:pPr>
            <w:r>
              <w:rPr>
                <w:rFonts w:ascii="Arial" w:cs="Arial" w:eastAsia="Arial" w:hAnsi="Arial"/>
                <w:sz w:val="18"/>
                <w:szCs w:val="18"/>
                <w:color w:val="auto"/>
                <w:w w:val="90"/>
              </w:rPr>
              <w:t>10(d)</w:t>
            </w:r>
          </w:p>
        </w:tc>
        <w:tc>
          <w:tcPr>
            <w:tcW w:w="10160" w:type="dxa"/>
            <w:vAlign w:val="bottom"/>
          </w:tcPr>
          <w:p>
            <w:pPr>
              <w:spacing w:after="0"/>
              <w:rPr>
                <w:sz w:val="20"/>
                <w:szCs w:val="20"/>
                <w:color w:val="auto"/>
              </w:rPr>
            </w:pPr>
            <w:r>
              <w:rPr>
                <w:rFonts w:ascii="Arial" w:cs="Arial" w:eastAsia="Arial" w:hAnsi="Arial"/>
                <w:sz w:val="18"/>
                <w:szCs w:val="18"/>
                <w:color w:val="auto"/>
                <w:w w:val="89"/>
              </w:rPr>
              <w:t>Texas Instruments 1996 Long-Term Incentive Plan (incorporated by reference to Exhibit 10 to the Registrant’s Quarterly Report on Form 10-Q</w:t>
            </w:r>
          </w:p>
        </w:tc>
      </w:tr>
      <w:tr>
        <w:trPr>
          <w:trHeight w:val="222"/>
        </w:trPr>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for the quarter ended June 30, 1996).*</w:t>
            </w:r>
          </w:p>
        </w:tc>
      </w:tr>
      <w:tr>
        <w:trPr>
          <w:trHeight w:val="318"/>
        </w:trPr>
        <w:tc>
          <w:tcPr>
            <w:tcW w:w="1240" w:type="dxa"/>
            <w:vAlign w:val="bottom"/>
            <w:gridSpan w:val="3"/>
          </w:tcPr>
          <w:p>
            <w:pPr>
              <w:jc w:val="center"/>
              <w:ind w:right="420"/>
              <w:spacing w:after="0"/>
              <w:rPr>
                <w:sz w:val="20"/>
                <w:szCs w:val="20"/>
                <w:color w:val="auto"/>
              </w:rPr>
            </w:pPr>
            <w:r>
              <w:rPr>
                <w:rFonts w:ascii="Arial" w:cs="Arial" w:eastAsia="Arial" w:hAnsi="Arial"/>
                <w:sz w:val="18"/>
                <w:szCs w:val="18"/>
                <w:color w:val="auto"/>
                <w:w w:val="90"/>
              </w:rPr>
              <w:t>10(e)</w:t>
            </w:r>
          </w:p>
        </w:tc>
        <w:tc>
          <w:tcPr>
            <w:tcW w:w="10160" w:type="dxa"/>
            <w:vAlign w:val="bottom"/>
          </w:tcPr>
          <w:p>
            <w:pPr>
              <w:spacing w:after="0"/>
              <w:rPr>
                <w:sz w:val="20"/>
                <w:szCs w:val="20"/>
                <w:color w:val="auto"/>
              </w:rPr>
            </w:pPr>
            <w:r>
              <w:rPr>
                <w:rFonts w:ascii="Arial" w:cs="Arial" w:eastAsia="Arial" w:hAnsi="Arial"/>
                <w:sz w:val="18"/>
                <w:szCs w:val="18"/>
                <w:color w:val="auto"/>
                <w:w w:val="91"/>
              </w:rPr>
              <w:t>Texas Instruments 2000 Long-Term Incentive Plan (incorporated by reference to Exhibit 10(e) to the Registrant’s Registration Statement on</w:t>
            </w:r>
          </w:p>
        </w:tc>
      </w:tr>
      <w:tr>
        <w:trPr>
          <w:trHeight w:val="222"/>
        </w:trPr>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Form S-4 No. 333-41030 filed on July 7, 2000).*</w:t>
            </w:r>
          </w:p>
        </w:tc>
      </w:tr>
      <w:tr>
        <w:trPr>
          <w:trHeight w:val="318"/>
        </w:trPr>
        <w:tc>
          <w:tcPr>
            <w:tcW w:w="220" w:type="dxa"/>
            <w:vAlign w:val="bottom"/>
          </w:tcPr>
          <w:p>
            <w:pPr>
              <w:spacing w:after="0"/>
              <w:rPr>
                <w:sz w:val="24"/>
                <w:szCs w:val="24"/>
                <w:color w:val="auto"/>
              </w:rPr>
            </w:pPr>
          </w:p>
        </w:tc>
        <w:tc>
          <w:tcPr>
            <w:tcW w:w="1020" w:type="dxa"/>
            <w:vAlign w:val="bottom"/>
            <w:gridSpan w:val="2"/>
          </w:tcPr>
          <w:p>
            <w:pPr>
              <w:jc w:val="center"/>
              <w:ind w:right="640"/>
              <w:spacing w:after="0"/>
              <w:rPr>
                <w:sz w:val="20"/>
                <w:szCs w:val="20"/>
                <w:color w:val="auto"/>
              </w:rPr>
            </w:pPr>
            <w:r>
              <w:rPr>
                <w:rFonts w:ascii="Arial" w:cs="Arial" w:eastAsia="Arial" w:hAnsi="Arial"/>
                <w:sz w:val="18"/>
                <w:szCs w:val="18"/>
                <w:color w:val="auto"/>
                <w:w w:val="91"/>
              </w:rPr>
              <w:t>10(f)</w:t>
            </w:r>
          </w:p>
        </w:tc>
        <w:tc>
          <w:tcPr>
            <w:tcW w:w="10160" w:type="dxa"/>
            <w:vAlign w:val="bottom"/>
          </w:tcPr>
          <w:p>
            <w:pPr>
              <w:spacing w:after="0"/>
              <w:rPr>
                <w:sz w:val="20"/>
                <w:szCs w:val="20"/>
                <w:color w:val="auto"/>
              </w:rPr>
            </w:pPr>
            <w:r>
              <w:rPr>
                <w:rFonts w:ascii="Arial" w:cs="Arial" w:eastAsia="Arial" w:hAnsi="Arial"/>
                <w:sz w:val="18"/>
                <w:szCs w:val="18"/>
                <w:color w:val="auto"/>
                <w:w w:val="90"/>
              </w:rPr>
              <w:t>Texas Instruments 2003 Long-Term Incentive Plan (incorporated by reference to Exhibit 10(f) to the Registrant’s Annual Report on Form 10-K</w:t>
            </w:r>
          </w:p>
        </w:tc>
      </w:tr>
      <w:tr>
        <w:trPr>
          <w:trHeight w:val="222"/>
        </w:trPr>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for the year 2002).</w:t>
            </w:r>
          </w:p>
        </w:tc>
      </w:tr>
      <w:tr>
        <w:trPr>
          <w:trHeight w:val="318"/>
        </w:trPr>
        <w:tc>
          <w:tcPr>
            <w:tcW w:w="1240" w:type="dxa"/>
            <w:vAlign w:val="bottom"/>
            <w:gridSpan w:val="3"/>
          </w:tcPr>
          <w:p>
            <w:pPr>
              <w:jc w:val="center"/>
              <w:ind w:right="420"/>
              <w:spacing w:after="0"/>
              <w:rPr>
                <w:sz w:val="20"/>
                <w:szCs w:val="20"/>
                <w:color w:val="auto"/>
              </w:rPr>
            </w:pPr>
            <w:r>
              <w:rPr>
                <w:rFonts w:ascii="Arial" w:cs="Arial" w:eastAsia="Arial" w:hAnsi="Arial"/>
                <w:sz w:val="18"/>
                <w:szCs w:val="18"/>
                <w:color w:val="auto"/>
                <w:w w:val="90"/>
              </w:rPr>
              <w:t>10(g)</w:t>
            </w:r>
          </w:p>
        </w:tc>
        <w:tc>
          <w:tcPr>
            <w:tcW w:w="10160" w:type="dxa"/>
            <w:vAlign w:val="bottom"/>
          </w:tcPr>
          <w:p>
            <w:pPr>
              <w:spacing w:after="0"/>
              <w:rPr>
                <w:sz w:val="20"/>
                <w:szCs w:val="20"/>
                <w:color w:val="auto"/>
              </w:rPr>
            </w:pPr>
            <w:r>
              <w:rPr>
                <w:rFonts w:ascii="Arial" w:cs="Arial" w:eastAsia="Arial" w:hAnsi="Arial"/>
                <w:sz w:val="18"/>
                <w:szCs w:val="18"/>
                <w:color w:val="auto"/>
                <w:w w:val="88"/>
              </w:rPr>
              <w:t>Texas Instruments Executive Officer Performance Plan (incorporated by reference to Exhibit 10(a) to the Registrant’s Quarterly Report on Form</w:t>
            </w:r>
          </w:p>
        </w:tc>
      </w:tr>
      <w:tr>
        <w:trPr>
          <w:trHeight w:val="222"/>
        </w:trPr>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10-Q for the quarter ended March 31, 2002).*</w:t>
            </w:r>
          </w:p>
        </w:tc>
      </w:tr>
      <w:tr>
        <w:trPr>
          <w:trHeight w:val="318"/>
        </w:trPr>
        <w:tc>
          <w:tcPr>
            <w:tcW w:w="1240" w:type="dxa"/>
            <w:vAlign w:val="bottom"/>
            <w:gridSpan w:val="3"/>
          </w:tcPr>
          <w:p>
            <w:pPr>
              <w:jc w:val="center"/>
              <w:ind w:right="420"/>
              <w:spacing w:after="0"/>
              <w:rPr>
                <w:sz w:val="20"/>
                <w:szCs w:val="20"/>
                <w:color w:val="auto"/>
              </w:rPr>
            </w:pPr>
            <w:r>
              <w:rPr>
                <w:rFonts w:ascii="Arial" w:cs="Arial" w:eastAsia="Arial" w:hAnsi="Arial"/>
                <w:sz w:val="18"/>
                <w:szCs w:val="18"/>
                <w:color w:val="auto"/>
                <w:w w:val="90"/>
              </w:rPr>
              <w:t>10(h)</w:t>
            </w:r>
          </w:p>
        </w:tc>
        <w:tc>
          <w:tcPr>
            <w:tcW w:w="10160" w:type="dxa"/>
            <w:vAlign w:val="bottom"/>
          </w:tcPr>
          <w:p>
            <w:pPr>
              <w:spacing w:after="0"/>
              <w:rPr>
                <w:sz w:val="20"/>
                <w:szCs w:val="20"/>
                <w:color w:val="auto"/>
              </w:rPr>
            </w:pPr>
            <w:r>
              <w:rPr>
                <w:rFonts w:ascii="Arial" w:cs="Arial" w:eastAsia="Arial" w:hAnsi="Arial"/>
                <w:sz w:val="18"/>
                <w:szCs w:val="18"/>
                <w:color w:val="auto"/>
                <w:w w:val="90"/>
              </w:rPr>
              <w:t>Texas Instruments Restricted Stock Unit Plan for Directors (incorporated by reference to Exhibit 10(e) to the Registrant’s Quarterly Report on</w:t>
            </w:r>
          </w:p>
        </w:tc>
      </w:tr>
      <w:tr>
        <w:trPr>
          <w:trHeight w:val="222"/>
        </w:trPr>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Form 10-Q for the quarter ended March 31, 1998).</w:t>
            </w:r>
          </w:p>
        </w:tc>
      </w:tr>
      <w:tr>
        <w:trPr>
          <w:trHeight w:val="318"/>
        </w:trPr>
        <w:tc>
          <w:tcPr>
            <w:tcW w:w="220" w:type="dxa"/>
            <w:vAlign w:val="bottom"/>
          </w:tcPr>
          <w:p>
            <w:pPr>
              <w:spacing w:after="0"/>
              <w:rPr>
                <w:sz w:val="24"/>
                <w:szCs w:val="24"/>
                <w:color w:val="auto"/>
              </w:rPr>
            </w:pPr>
          </w:p>
        </w:tc>
        <w:tc>
          <w:tcPr>
            <w:tcW w:w="1020" w:type="dxa"/>
            <w:vAlign w:val="bottom"/>
            <w:gridSpan w:val="2"/>
          </w:tcPr>
          <w:p>
            <w:pPr>
              <w:jc w:val="center"/>
              <w:ind w:right="640"/>
              <w:spacing w:after="0"/>
              <w:rPr>
                <w:sz w:val="20"/>
                <w:szCs w:val="20"/>
                <w:color w:val="auto"/>
              </w:rPr>
            </w:pPr>
            <w:r>
              <w:rPr>
                <w:rFonts w:ascii="Arial" w:cs="Arial" w:eastAsia="Arial" w:hAnsi="Arial"/>
                <w:sz w:val="18"/>
                <w:szCs w:val="18"/>
                <w:color w:val="auto"/>
                <w:w w:val="94"/>
              </w:rPr>
              <w:t>10(i)</w:t>
            </w:r>
          </w:p>
        </w:tc>
        <w:tc>
          <w:tcPr>
            <w:tcW w:w="10160" w:type="dxa"/>
            <w:vAlign w:val="bottom"/>
          </w:tcPr>
          <w:p>
            <w:pPr>
              <w:spacing w:after="0"/>
              <w:rPr>
                <w:sz w:val="20"/>
                <w:szCs w:val="20"/>
                <w:color w:val="auto"/>
              </w:rPr>
            </w:pPr>
            <w:r>
              <w:rPr>
                <w:rFonts w:ascii="Arial" w:cs="Arial" w:eastAsia="Arial" w:hAnsi="Arial"/>
                <w:sz w:val="18"/>
                <w:szCs w:val="18"/>
                <w:color w:val="auto"/>
                <w:w w:val="91"/>
              </w:rPr>
              <w:t>Texas Instruments Directors Deferred Compensation Plan (incorporated by reference to Exhibit 10(f) to the Registrant’s Quarterly Report on</w:t>
            </w:r>
          </w:p>
        </w:tc>
      </w:tr>
      <w:tr>
        <w:trPr>
          <w:trHeight w:val="222"/>
        </w:trPr>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Form 10-Q for the quarter ended March 31, 1998).</w:t>
            </w:r>
          </w:p>
        </w:tc>
      </w:tr>
      <w:tr>
        <w:trPr>
          <w:trHeight w:val="318"/>
        </w:trPr>
        <w:tc>
          <w:tcPr>
            <w:tcW w:w="220" w:type="dxa"/>
            <w:vAlign w:val="bottom"/>
          </w:tcPr>
          <w:p>
            <w:pPr>
              <w:spacing w:after="0"/>
              <w:rPr>
                <w:sz w:val="24"/>
                <w:szCs w:val="24"/>
                <w:color w:val="auto"/>
              </w:rPr>
            </w:pPr>
          </w:p>
        </w:tc>
        <w:tc>
          <w:tcPr>
            <w:tcW w:w="1020" w:type="dxa"/>
            <w:vAlign w:val="bottom"/>
            <w:gridSpan w:val="2"/>
          </w:tcPr>
          <w:p>
            <w:pPr>
              <w:jc w:val="center"/>
              <w:ind w:right="640"/>
              <w:spacing w:after="0"/>
              <w:rPr>
                <w:sz w:val="20"/>
                <w:szCs w:val="20"/>
                <w:color w:val="auto"/>
              </w:rPr>
            </w:pPr>
            <w:r>
              <w:rPr>
                <w:rFonts w:ascii="Arial" w:cs="Arial" w:eastAsia="Arial" w:hAnsi="Arial"/>
                <w:sz w:val="18"/>
                <w:szCs w:val="18"/>
                <w:color w:val="auto"/>
                <w:w w:val="94"/>
              </w:rPr>
              <w:t>10(j)</w:t>
            </w:r>
          </w:p>
        </w:tc>
        <w:tc>
          <w:tcPr>
            <w:tcW w:w="10160" w:type="dxa"/>
            <w:vAlign w:val="bottom"/>
          </w:tcPr>
          <w:p>
            <w:pPr>
              <w:spacing w:after="0"/>
              <w:rPr>
                <w:sz w:val="20"/>
                <w:szCs w:val="20"/>
                <w:color w:val="auto"/>
              </w:rPr>
            </w:pPr>
            <w:r>
              <w:rPr>
                <w:rFonts w:ascii="Arial" w:cs="Arial" w:eastAsia="Arial" w:hAnsi="Arial"/>
                <w:sz w:val="18"/>
                <w:szCs w:val="18"/>
                <w:color w:val="auto"/>
                <w:w w:val="89"/>
              </w:rPr>
              <w:t>Texas Instruments Stock Option Plan for Non-Employee Directors (incorporated by reference to Exhibit 10(i) to the Registrant’s Annual Report</w:t>
            </w:r>
          </w:p>
        </w:tc>
      </w:tr>
      <w:tr>
        <w:trPr>
          <w:trHeight w:val="222"/>
        </w:trPr>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on Form 10-K for the year 2000).</w:t>
            </w:r>
          </w:p>
        </w:tc>
      </w:tr>
      <w:tr>
        <w:trPr>
          <w:trHeight w:val="318"/>
        </w:trPr>
        <w:tc>
          <w:tcPr>
            <w:tcW w:w="1240" w:type="dxa"/>
            <w:vAlign w:val="bottom"/>
            <w:gridSpan w:val="3"/>
          </w:tcPr>
          <w:p>
            <w:pPr>
              <w:jc w:val="center"/>
              <w:ind w:right="420"/>
              <w:spacing w:after="0"/>
              <w:rPr>
                <w:sz w:val="20"/>
                <w:szCs w:val="20"/>
                <w:color w:val="auto"/>
              </w:rPr>
            </w:pPr>
            <w:r>
              <w:rPr>
                <w:rFonts w:ascii="Arial" w:cs="Arial" w:eastAsia="Arial" w:hAnsi="Arial"/>
                <w:sz w:val="18"/>
                <w:szCs w:val="18"/>
                <w:color w:val="auto"/>
                <w:w w:val="92"/>
              </w:rPr>
              <w:t>10(k)</w:t>
            </w:r>
          </w:p>
        </w:tc>
        <w:tc>
          <w:tcPr>
            <w:tcW w:w="10160" w:type="dxa"/>
            <w:vAlign w:val="bottom"/>
          </w:tcPr>
          <w:p>
            <w:pPr>
              <w:spacing w:after="0"/>
              <w:rPr>
                <w:sz w:val="20"/>
                <w:szCs w:val="20"/>
                <w:color w:val="auto"/>
              </w:rPr>
            </w:pPr>
            <w:r>
              <w:rPr>
                <w:rFonts w:ascii="Arial" w:cs="Arial" w:eastAsia="Arial" w:hAnsi="Arial"/>
                <w:sz w:val="18"/>
                <w:szCs w:val="18"/>
                <w:color w:val="auto"/>
                <w:w w:val="93"/>
              </w:rPr>
              <w:t>Texas Instruments 2003 Director Compensation Plan as amended November 30, 2006 (incorporated by reference to Exhibit 10(k) to the</w:t>
            </w:r>
          </w:p>
        </w:tc>
      </w:tr>
      <w:tr>
        <w:trPr>
          <w:trHeight w:val="222"/>
        </w:trPr>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Registrant’s Annual Report on Form 10-K for the year 2006).</w:t>
            </w:r>
          </w:p>
        </w:tc>
      </w:tr>
      <w:tr>
        <w:trPr>
          <w:trHeight w:val="318"/>
        </w:trPr>
        <w:tc>
          <w:tcPr>
            <w:tcW w:w="220" w:type="dxa"/>
            <w:vAlign w:val="bottom"/>
          </w:tcPr>
          <w:p>
            <w:pPr>
              <w:spacing w:after="0"/>
              <w:rPr>
                <w:sz w:val="24"/>
                <w:szCs w:val="24"/>
                <w:color w:val="auto"/>
              </w:rPr>
            </w:pPr>
          </w:p>
        </w:tc>
        <w:tc>
          <w:tcPr>
            <w:tcW w:w="1020" w:type="dxa"/>
            <w:vAlign w:val="bottom"/>
            <w:gridSpan w:val="2"/>
          </w:tcPr>
          <w:p>
            <w:pPr>
              <w:jc w:val="center"/>
              <w:ind w:right="640"/>
              <w:spacing w:after="0"/>
              <w:rPr>
                <w:sz w:val="20"/>
                <w:szCs w:val="20"/>
                <w:color w:val="auto"/>
              </w:rPr>
            </w:pPr>
            <w:r>
              <w:rPr>
                <w:rFonts w:ascii="Arial" w:cs="Arial" w:eastAsia="Arial" w:hAnsi="Arial"/>
                <w:sz w:val="18"/>
                <w:szCs w:val="18"/>
                <w:color w:val="auto"/>
                <w:w w:val="94"/>
              </w:rPr>
              <w:t>10(l)</w:t>
            </w:r>
          </w:p>
        </w:tc>
        <w:tc>
          <w:tcPr>
            <w:tcW w:w="10160" w:type="dxa"/>
            <w:vAlign w:val="bottom"/>
          </w:tcPr>
          <w:p>
            <w:pPr>
              <w:spacing w:after="0"/>
              <w:rPr>
                <w:sz w:val="20"/>
                <w:szCs w:val="20"/>
                <w:color w:val="auto"/>
              </w:rPr>
            </w:pPr>
            <w:r>
              <w:rPr>
                <w:rFonts w:ascii="Arial" w:cs="Arial" w:eastAsia="Arial" w:hAnsi="Arial"/>
                <w:sz w:val="18"/>
                <w:szCs w:val="18"/>
                <w:color w:val="auto"/>
                <w:w w:val="95"/>
              </w:rPr>
              <w:t>Form of Stock Option Agreement for Executive Officers under the Texas Instruments 2000 Long-Term Incentive Plan (incorporated by</w:t>
            </w:r>
          </w:p>
        </w:tc>
      </w:tr>
      <w:tr>
        <w:trPr>
          <w:trHeight w:val="222"/>
        </w:trPr>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reference to Exhibit 10(l) to the Registrant’s Annual Report on Form 10-K for the year 2006).*</w:t>
            </w:r>
          </w:p>
        </w:tc>
      </w:tr>
      <w:tr>
        <w:trPr>
          <w:trHeight w:val="365"/>
        </w:trPr>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160" w:type="dxa"/>
            <w:vAlign w:val="bottom"/>
          </w:tcPr>
          <w:p>
            <w:pPr>
              <w:ind w:left="4360"/>
              <w:spacing w:after="0"/>
              <w:rPr>
                <w:sz w:val="20"/>
                <w:szCs w:val="20"/>
                <w:color w:val="auto"/>
              </w:rPr>
            </w:pPr>
            <w:r>
              <w:rPr>
                <w:rFonts w:ascii="Arial" w:cs="Arial" w:eastAsia="Arial" w:hAnsi="Arial"/>
                <w:sz w:val="18"/>
                <w:szCs w:val="18"/>
                <w:color w:val="auto"/>
              </w:rPr>
              <w:t>20</w:t>
            </w:r>
          </w:p>
        </w:tc>
      </w:tr>
    </w:tbl>
    <w:p>
      <w:pPr>
        <w:sectPr>
          <w:pgSz w:w="11900" w:h="16838" w:orient="portrait"/>
          <w:cols w:equalWidth="0" w:num="1">
            <w:col w:w="11400"/>
          </w:cols>
          <w:pgMar w:left="260" w:top="263" w:right="239" w:bottom="1440" w:gutter="0" w:footer="0" w:header="0"/>
        </w:sectPr>
      </w:pPr>
    </w:p>
    <w:bookmarkStart w:id="20" w:name="page21"/>
    <w:bookmarkEnd w:id="2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20" w:type="dxa"/>
        <w:tblCellMar>
          <w:top w:w="0" w:type="dxa"/>
          <w:left w:w="0" w:type="dxa"/>
          <w:bottom w:w="0" w:type="dxa"/>
          <w:right w:w="0" w:type="dxa"/>
        </w:tblCellMar>
      </w:tblPr>
      <w:tr>
        <w:trPr>
          <w:trHeight w:val="161"/>
        </w:trPr>
        <w:tc>
          <w:tcPr>
            <w:tcW w:w="12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4"/>
              </w:rPr>
              <w:t>Designation of</w:t>
            </w:r>
          </w:p>
        </w:tc>
        <w:tc>
          <w:tcPr>
            <w:tcW w:w="10160" w:type="dxa"/>
            <w:vAlign w:val="bottom"/>
          </w:tcPr>
          <w:p>
            <w:pPr>
              <w:spacing w:after="0"/>
              <w:rPr>
                <w:sz w:val="14"/>
                <w:szCs w:val="14"/>
                <w:color w:val="auto"/>
              </w:rPr>
            </w:pPr>
          </w:p>
        </w:tc>
      </w:tr>
      <w:tr>
        <w:trPr>
          <w:trHeight w:val="149"/>
        </w:trPr>
        <w:tc>
          <w:tcPr>
            <w:tcW w:w="124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Exhibit in</w:t>
            </w:r>
          </w:p>
        </w:tc>
        <w:tc>
          <w:tcPr>
            <w:tcW w:w="10160" w:type="dxa"/>
            <w:vAlign w:val="bottom"/>
          </w:tcPr>
          <w:p>
            <w:pPr>
              <w:spacing w:after="0"/>
              <w:rPr>
                <w:sz w:val="12"/>
                <w:szCs w:val="12"/>
                <w:color w:val="auto"/>
              </w:rPr>
            </w:pPr>
          </w:p>
        </w:tc>
      </w:tr>
      <w:tr>
        <w:trPr>
          <w:trHeight w:val="168"/>
        </w:trPr>
        <w:tc>
          <w:tcPr>
            <w:tcW w:w="220" w:type="dxa"/>
            <w:vAlign w:val="bottom"/>
          </w:tcPr>
          <w:p>
            <w:pPr>
              <w:spacing w:after="0"/>
              <w:rPr>
                <w:sz w:val="14"/>
                <w:szCs w:val="14"/>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this Report</w:t>
            </w:r>
          </w:p>
        </w:tc>
        <w:tc>
          <w:tcPr>
            <w:tcW w:w="10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 of Exhibit</w:t>
            </w:r>
          </w:p>
        </w:tc>
      </w:tr>
      <w:tr>
        <w:trPr>
          <w:trHeight w:val="316"/>
        </w:trPr>
        <w:tc>
          <w:tcPr>
            <w:tcW w:w="1240" w:type="dxa"/>
            <w:vAlign w:val="bottom"/>
            <w:gridSpan w:val="3"/>
          </w:tcPr>
          <w:p>
            <w:pPr>
              <w:jc w:val="center"/>
              <w:ind w:right="420"/>
              <w:spacing w:after="0"/>
              <w:rPr>
                <w:sz w:val="20"/>
                <w:szCs w:val="20"/>
                <w:color w:val="auto"/>
              </w:rPr>
            </w:pPr>
            <w:r>
              <w:rPr>
                <w:rFonts w:ascii="Arial" w:cs="Arial" w:eastAsia="Arial" w:hAnsi="Arial"/>
                <w:sz w:val="18"/>
                <w:szCs w:val="18"/>
                <w:color w:val="auto"/>
                <w:w w:val="89"/>
              </w:rPr>
              <w:t>10(m)</w:t>
            </w:r>
          </w:p>
        </w:tc>
        <w:tc>
          <w:tcPr>
            <w:tcW w:w="10160" w:type="dxa"/>
            <w:vAlign w:val="bottom"/>
          </w:tcPr>
          <w:p>
            <w:pPr>
              <w:spacing w:after="0"/>
              <w:rPr>
                <w:sz w:val="20"/>
                <w:szCs w:val="20"/>
                <w:color w:val="auto"/>
              </w:rPr>
            </w:pPr>
            <w:r>
              <w:rPr>
                <w:rFonts w:ascii="Arial" w:cs="Arial" w:eastAsia="Arial" w:hAnsi="Arial"/>
                <w:sz w:val="18"/>
                <w:szCs w:val="18"/>
                <w:color w:val="auto"/>
                <w:w w:val="91"/>
              </w:rPr>
              <w:t>Form of Restricted Stock Unit Agreement under the Texas Instruments 2000 Long-Term Incentive Plan (incorporated by reference to Exhibit</w:t>
            </w:r>
          </w:p>
        </w:tc>
      </w:tr>
      <w:tr>
        <w:trPr>
          <w:trHeight w:val="222"/>
        </w:trPr>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10(m) to the Registrant’s Annual Report on Form 10-K for the year 2006).*</w:t>
            </w:r>
          </w:p>
        </w:tc>
      </w:tr>
      <w:tr>
        <w:trPr>
          <w:trHeight w:val="318"/>
        </w:trPr>
        <w:tc>
          <w:tcPr>
            <w:tcW w:w="1240" w:type="dxa"/>
            <w:vAlign w:val="bottom"/>
            <w:gridSpan w:val="3"/>
          </w:tcPr>
          <w:p>
            <w:pPr>
              <w:jc w:val="center"/>
              <w:ind w:right="420"/>
              <w:spacing w:after="0"/>
              <w:rPr>
                <w:sz w:val="20"/>
                <w:szCs w:val="20"/>
                <w:color w:val="auto"/>
              </w:rPr>
            </w:pPr>
            <w:r>
              <w:rPr>
                <w:rFonts w:ascii="Arial" w:cs="Arial" w:eastAsia="Arial" w:hAnsi="Arial"/>
                <w:sz w:val="18"/>
                <w:szCs w:val="18"/>
                <w:color w:val="auto"/>
                <w:w w:val="90"/>
              </w:rPr>
              <w:t>10(n)</w:t>
            </w:r>
          </w:p>
        </w:tc>
        <w:tc>
          <w:tcPr>
            <w:tcW w:w="10160" w:type="dxa"/>
            <w:vAlign w:val="bottom"/>
          </w:tcPr>
          <w:p>
            <w:pPr>
              <w:spacing w:after="0"/>
              <w:rPr>
                <w:sz w:val="20"/>
                <w:szCs w:val="20"/>
                <w:color w:val="auto"/>
              </w:rPr>
            </w:pPr>
            <w:r>
              <w:rPr>
                <w:rFonts w:ascii="Arial" w:cs="Arial" w:eastAsia="Arial" w:hAnsi="Arial"/>
                <w:sz w:val="18"/>
                <w:szCs w:val="18"/>
                <w:color w:val="auto"/>
                <w:w w:val="94"/>
              </w:rPr>
              <w:t>Asset and Stock Purchase Agreement dated as of January 8, 2006, between Texas Instruments Incorporated and S&amp;C Purchase Corp.</w:t>
            </w:r>
          </w:p>
        </w:tc>
      </w:tr>
      <w:tr>
        <w:trPr>
          <w:trHeight w:val="222"/>
        </w:trPr>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(incorporated by reference to Exhibit 2.1 to the Registrant’s Current Report on Form 8-K dated January 8, 2006).</w:t>
            </w:r>
          </w:p>
        </w:tc>
      </w:tr>
      <w:tr>
        <w:trPr>
          <w:trHeight w:val="318"/>
        </w:trPr>
        <w:tc>
          <w:tcPr>
            <w:tcW w:w="1240" w:type="dxa"/>
            <w:vAlign w:val="bottom"/>
            <w:gridSpan w:val="3"/>
          </w:tcPr>
          <w:p>
            <w:pPr>
              <w:jc w:val="center"/>
              <w:ind w:right="420"/>
              <w:spacing w:after="0"/>
              <w:rPr>
                <w:sz w:val="20"/>
                <w:szCs w:val="20"/>
                <w:color w:val="auto"/>
              </w:rPr>
            </w:pPr>
            <w:r>
              <w:rPr>
                <w:rFonts w:ascii="Arial" w:cs="Arial" w:eastAsia="Arial" w:hAnsi="Arial"/>
                <w:sz w:val="18"/>
                <w:szCs w:val="18"/>
                <w:color w:val="auto"/>
                <w:w w:val="90"/>
              </w:rPr>
              <w:t>10(o)</w:t>
            </w:r>
          </w:p>
        </w:tc>
        <w:tc>
          <w:tcPr>
            <w:tcW w:w="10160" w:type="dxa"/>
            <w:vAlign w:val="bottom"/>
          </w:tcPr>
          <w:p>
            <w:pPr>
              <w:spacing w:after="0"/>
              <w:rPr>
                <w:sz w:val="20"/>
                <w:szCs w:val="20"/>
                <w:color w:val="auto"/>
              </w:rPr>
            </w:pPr>
            <w:r>
              <w:rPr>
                <w:rFonts w:ascii="Arial" w:cs="Arial" w:eastAsia="Arial" w:hAnsi="Arial"/>
                <w:sz w:val="18"/>
                <w:szCs w:val="18"/>
                <w:color w:val="auto"/>
                <w:w w:val="89"/>
              </w:rPr>
              <w:t>Agreement between Texas Instruments Incorporated and Gilles Delfassy dated January 23, 2007 (incorporated by reference to Exhibit 10(q) to</w:t>
            </w:r>
          </w:p>
        </w:tc>
      </w:tr>
      <w:tr>
        <w:trPr>
          <w:trHeight w:val="222"/>
        </w:trPr>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the Registrant’s Annual Report on Form 10-K for the year 2006).*</w:t>
            </w:r>
          </w:p>
        </w:tc>
      </w:tr>
      <w:tr>
        <w:trPr>
          <w:trHeight w:val="324"/>
        </w:trPr>
        <w:tc>
          <w:tcPr>
            <w:tcW w:w="560" w:type="dxa"/>
            <w:vAlign w:val="bottom"/>
            <w:gridSpan w:val="2"/>
          </w:tcPr>
          <w:p>
            <w:pPr>
              <w:jc w:val="center"/>
              <w:ind w:left="176"/>
              <w:spacing w:after="0"/>
              <w:rPr>
                <w:sz w:val="20"/>
                <w:szCs w:val="20"/>
                <w:color w:val="auto"/>
              </w:rPr>
            </w:pPr>
            <w:r>
              <w:rPr>
                <w:rFonts w:ascii="Arial" w:cs="Arial" w:eastAsia="Arial" w:hAnsi="Arial"/>
                <w:sz w:val="18"/>
                <w:szCs w:val="18"/>
                <w:color w:val="auto"/>
                <w:w w:val="89"/>
              </w:rPr>
              <w:t>13</w:t>
            </w:r>
          </w:p>
        </w:tc>
        <w:tc>
          <w:tcPr>
            <w:tcW w:w="680" w:type="dxa"/>
            <w:vAlign w:val="bottom"/>
          </w:tcPr>
          <w:p>
            <w:pPr>
              <w:spacing w:after="0"/>
              <w:rPr>
                <w:sz w:val="24"/>
                <w:szCs w:val="24"/>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Portions of Registrant’s 2007 Annual Report to Stockholders incorporated by reference herein.</w:t>
            </w:r>
          </w:p>
        </w:tc>
      </w:tr>
      <w:tr>
        <w:trPr>
          <w:trHeight w:val="324"/>
        </w:trPr>
        <w:tc>
          <w:tcPr>
            <w:tcW w:w="560" w:type="dxa"/>
            <w:vAlign w:val="bottom"/>
            <w:gridSpan w:val="2"/>
          </w:tcPr>
          <w:p>
            <w:pPr>
              <w:jc w:val="center"/>
              <w:ind w:left="176"/>
              <w:spacing w:after="0"/>
              <w:rPr>
                <w:sz w:val="20"/>
                <w:szCs w:val="20"/>
                <w:color w:val="auto"/>
              </w:rPr>
            </w:pPr>
            <w:r>
              <w:rPr>
                <w:rFonts w:ascii="Arial" w:cs="Arial" w:eastAsia="Arial" w:hAnsi="Arial"/>
                <w:sz w:val="18"/>
                <w:szCs w:val="18"/>
                <w:color w:val="auto"/>
                <w:w w:val="89"/>
              </w:rPr>
              <w:t>21</w:t>
            </w:r>
          </w:p>
        </w:tc>
        <w:tc>
          <w:tcPr>
            <w:tcW w:w="680" w:type="dxa"/>
            <w:vAlign w:val="bottom"/>
          </w:tcPr>
          <w:p>
            <w:pPr>
              <w:spacing w:after="0"/>
              <w:rPr>
                <w:sz w:val="24"/>
                <w:szCs w:val="24"/>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List of Subsidiaries of the Registrant.</w:t>
            </w:r>
          </w:p>
        </w:tc>
      </w:tr>
      <w:tr>
        <w:trPr>
          <w:trHeight w:val="324"/>
        </w:trPr>
        <w:tc>
          <w:tcPr>
            <w:tcW w:w="560" w:type="dxa"/>
            <w:vAlign w:val="bottom"/>
            <w:gridSpan w:val="2"/>
          </w:tcPr>
          <w:p>
            <w:pPr>
              <w:jc w:val="center"/>
              <w:ind w:left="176"/>
              <w:spacing w:after="0"/>
              <w:rPr>
                <w:sz w:val="20"/>
                <w:szCs w:val="20"/>
                <w:color w:val="auto"/>
              </w:rPr>
            </w:pPr>
            <w:r>
              <w:rPr>
                <w:rFonts w:ascii="Arial" w:cs="Arial" w:eastAsia="Arial" w:hAnsi="Arial"/>
                <w:sz w:val="18"/>
                <w:szCs w:val="18"/>
                <w:color w:val="auto"/>
                <w:w w:val="89"/>
              </w:rPr>
              <w:t>23</w:t>
            </w:r>
          </w:p>
        </w:tc>
        <w:tc>
          <w:tcPr>
            <w:tcW w:w="680" w:type="dxa"/>
            <w:vAlign w:val="bottom"/>
          </w:tcPr>
          <w:p>
            <w:pPr>
              <w:spacing w:after="0"/>
              <w:rPr>
                <w:sz w:val="24"/>
                <w:szCs w:val="24"/>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324"/>
        </w:trPr>
        <w:tc>
          <w:tcPr>
            <w:tcW w:w="1240" w:type="dxa"/>
            <w:vAlign w:val="bottom"/>
            <w:gridSpan w:val="3"/>
          </w:tcPr>
          <w:p>
            <w:pPr>
              <w:jc w:val="center"/>
              <w:ind w:right="420"/>
              <w:spacing w:after="0"/>
              <w:rPr>
                <w:sz w:val="20"/>
                <w:szCs w:val="20"/>
                <w:color w:val="auto"/>
              </w:rPr>
            </w:pPr>
            <w:r>
              <w:rPr>
                <w:rFonts w:ascii="Arial" w:cs="Arial" w:eastAsia="Arial" w:hAnsi="Arial"/>
                <w:sz w:val="18"/>
                <w:szCs w:val="18"/>
                <w:color w:val="auto"/>
                <w:w w:val="90"/>
              </w:rPr>
              <w:t>31(a)</w:t>
            </w:r>
          </w:p>
        </w:tc>
        <w:tc>
          <w:tcPr>
            <w:tcW w:w="10160" w:type="dxa"/>
            <w:vAlign w:val="bottom"/>
          </w:tcPr>
          <w:p>
            <w:pPr>
              <w:spacing w:after="0"/>
              <w:rPr>
                <w:sz w:val="20"/>
                <w:szCs w:val="20"/>
                <w:color w:val="auto"/>
              </w:rPr>
            </w:pPr>
            <w:r>
              <w:rPr>
                <w:rFonts w:ascii="Arial" w:cs="Arial" w:eastAsia="Arial" w:hAnsi="Arial"/>
                <w:sz w:val="18"/>
                <w:szCs w:val="18"/>
                <w:color w:val="auto"/>
              </w:rPr>
              <w:t>Rule 13a-14(a)/15(d)-14(a) Certification of Chief Executive Officer.</w:t>
            </w:r>
          </w:p>
        </w:tc>
      </w:tr>
      <w:tr>
        <w:trPr>
          <w:trHeight w:val="324"/>
        </w:trPr>
        <w:tc>
          <w:tcPr>
            <w:tcW w:w="1240" w:type="dxa"/>
            <w:vAlign w:val="bottom"/>
            <w:gridSpan w:val="3"/>
          </w:tcPr>
          <w:p>
            <w:pPr>
              <w:jc w:val="center"/>
              <w:ind w:right="420"/>
              <w:spacing w:after="0"/>
              <w:rPr>
                <w:sz w:val="20"/>
                <w:szCs w:val="20"/>
                <w:color w:val="auto"/>
              </w:rPr>
            </w:pPr>
            <w:r>
              <w:rPr>
                <w:rFonts w:ascii="Arial" w:cs="Arial" w:eastAsia="Arial" w:hAnsi="Arial"/>
                <w:sz w:val="18"/>
                <w:szCs w:val="18"/>
                <w:color w:val="auto"/>
                <w:w w:val="90"/>
              </w:rPr>
              <w:t>31(b)</w:t>
            </w:r>
          </w:p>
        </w:tc>
        <w:tc>
          <w:tcPr>
            <w:tcW w:w="10160" w:type="dxa"/>
            <w:vAlign w:val="bottom"/>
          </w:tcPr>
          <w:p>
            <w:pPr>
              <w:spacing w:after="0"/>
              <w:rPr>
                <w:sz w:val="20"/>
                <w:szCs w:val="20"/>
                <w:color w:val="auto"/>
              </w:rPr>
            </w:pPr>
            <w:r>
              <w:rPr>
                <w:rFonts w:ascii="Arial" w:cs="Arial" w:eastAsia="Arial" w:hAnsi="Arial"/>
                <w:sz w:val="18"/>
                <w:szCs w:val="18"/>
                <w:color w:val="auto"/>
              </w:rPr>
              <w:t>Rule 13a-14(a)/15(d)-14(a) Certification of Chief Financial Officer.</w:t>
            </w:r>
          </w:p>
        </w:tc>
      </w:tr>
      <w:tr>
        <w:trPr>
          <w:trHeight w:val="324"/>
        </w:trPr>
        <w:tc>
          <w:tcPr>
            <w:tcW w:w="1240" w:type="dxa"/>
            <w:vAlign w:val="bottom"/>
            <w:gridSpan w:val="3"/>
          </w:tcPr>
          <w:p>
            <w:pPr>
              <w:jc w:val="center"/>
              <w:ind w:right="420"/>
              <w:spacing w:after="0"/>
              <w:rPr>
                <w:sz w:val="20"/>
                <w:szCs w:val="20"/>
                <w:color w:val="auto"/>
              </w:rPr>
            </w:pPr>
            <w:r>
              <w:rPr>
                <w:rFonts w:ascii="Arial" w:cs="Arial" w:eastAsia="Arial" w:hAnsi="Arial"/>
                <w:sz w:val="18"/>
                <w:szCs w:val="18"/>
                <w:color w:val="auto"/>
                <w:w w:val="90"/>
              </w:rPr>
              <w:t>32(a)</w:t>
            </w:r>
          </w:p>
        </w:tc>
        <w:tc>
          <w:tcPr>
            <w:tcW w:w="10160" w:type="dxa"/>
            <w:vAlign w:val="bottom"/>
          </w:tcPr>
          <w:p>
            <w:pPr>
              <w:spacing w:after="0"/>
              <w:rPr>
                <w:sz w:val="20"/>
                <w:szCs w:val="20"/>
                <w:color w:val="auto"/>
              </w:rPr>
            </w:pPr>
            <w:r>
              <w:rPr>
                <w:rFonts w:ascii="Arial" w:cs="Arial" w:eastAsia="Arial" w:hAnsi="Arial"/>
                <w:sz w:val="18"/>
                <w:szCs w:val="18"/>
                <w:color w:val="auto"/>
              </w:rPr>
              <w:t>Section 1350 Certification of Chief Executive Officer.</w:t>
            </w:r>
          </w:p>
        </w:tc>
      </w:tr>
      <w:tr>
        <w:trPr>
          <w:trHeight w:val="324"/>
        </w:trPr>
        <w:tc>
          <w:tcPr>
            <w:tcW w:w="1240" w:type="dxa"/>
            <w:vAlign w:val="bottom"/>
            <w:gridSpan w:val="3"/>
          </w:tcPr>
          <w:p>
            <w:pPr>
              <w:jc w:val="center"/>
              <w:ind w:right="420"/>
              <w:spacing w:after="0"/>
              <w:rPr>
                <w:sz w:val="20"/>
                <w:szCs w:val="20"/>
                <w:color w:val="auto"/>
              </w:rPr>
            </w:pPr>
            <w:r>
              <w:rPr>
                <w:rFonts w:ascii="Arial" w:cs="Arial" w:eastAsia="Arial" w:hAnsi="Arial"/>
                <w:sz w:val="18"/>
                <w:szCs w:val="18"/>
                <w:color w:val="auto"/>
                <w:w w:val="90"/>
              </w:rPr>
              <w:t>32(b)</w:t>
            </w:r>
          </w:p>
        </w:tc>
        <w:tc>
          <w:tcPr>
            <w:tcW w:w="10160" w:type="dxa"/>
            <w:vAlign w:val="bottom"/>
          </w:tcPr>
          <w:p>
            <w:pPr>
              <w:spacing w:after="0"/>
              <w:rPr>
                <w:sz w:val="20"/>
                <w:szCs w:val="20"/>
                <w:color w:val="auto"/>
              </w:rPr>
            </w:pPr>
            <w:r>
              <w:rPr>
                <w:rFonts w:ascii="Arial" w:cs="Arial" w:eastAsia="Arial" w:hAnsi="Arial"/>
                <w:sz w:val="18"/>
                <w:szCs w:val="18"/>
                <w:color w:val="auto"/>
              </w:rPr>
              <w:t>Section 1350 Certification of Chief Financial Officer.</w:t>
            </w:r>
          </w:p>
        </w:tc>
      </w:tr>
    </w:tbl>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  Management Compensation Plans and Arrangements.</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“Safe Harbor” Statement under the Private Securities Litigation Reform Act of 1995:</w:t>
      </w:r>
    </w:p>
    <w:p>
      <w:pPr>
        <w:spacing w:after="0" w:line="171" w:lineRule="exact"/>
        <w:rPr>
          <w:sz w:val="20"/>
          <w:szCs w:val="20"/>
          <w:color w:val="auto"/>
        </w:rPr>
      </w:pPr>
    </w:p>
    <w:p>
      <w:pPr>
        <w:jc w:val="both"/>
        <w:ind w:right="140"/>
        <w:spacing w:after="0" w:line="294" w:lineRule="auto"/>
        <w:rPr>
          <w:sz w:val="20"/>
          <w:szCs w:val="20"/>
          <w:color w:val="auto"/>
        </w:rPr>
      </w:pPr>
      <w:r>
        <w:rPr>
          <w:rFonts w:ascii="Arial" w:cs="Arial" w:eastAsia="Arial" w:hAnsi="Arial"/>
          <w:sz w:val="16"/>
          <w:szCs w:val="16"/>
          <w:color w:val="auto"/>
        </w:rPr>
        <w:t>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16" w:lineRule="exact"/>
        <w:rPr>
          <w:sz w:val="20"/>
          <w:szCs w:val="20"/>
          <w:color w:val="auto"/>
        </w:rPr>
      </w:pPr>
    </w:p>
    <w:p>
      <w:pPr>
        <w:ind w:right="940"/>
        <w:spacing w:after="0" w:line="268"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51" w:lineRule="exact"/>
        <w:rPr>
          <w:sz w:val="20"/>
          <w:szCs w:val="20"/>
          <w:color w:val="auto"/>
        </w:rPr>
      </w:pPr>
    </w:p>
    <w:p>
      <w:pPr>
        <w:ind w:left="780" w:right="140" w:hanging="326"/>
        <w:spacing w:after="0" w:line="268"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Market demand for semiconductors, particularly for analog chips and digital signal processors in key markets such as communications, entertainment electronics and computing;</w:t>
      </w:r>
    </w:p>
    <w:p>
      <w:pPr>
        <w:spacing w:after="0" w:line="50" w:lineRule="exact"/>
        <w:rPr>
          <w:rFonts w:ascii="Arial" w:cs="Arial" w:eastAsia="Arial" w:hAnsi="Arial"/>
          <w:sz w:val="18"/>
          <w:szCs w:val="18"/>
          <w:color w:val="auto"/>
        </w:rPr>
      </w:pPr>
    </w:p>
    <w:p>
      <w:pPr>
        <w:ind w:left="780" w:right="560" w:hanging="326"/>
        <w:spacing w:after="0" w:line="268"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63" w:right="239" w:bottom="1440" w:gutter="0" w:footer="0" w:header="0"/>
        </w:sectPr>
      </w:pPr>
    </w:p>
    <w:bookmarkStart w:id="21" w:name="page22"/>
    <w:bookmarkEnd w:id="21"/>
    <w:p>
      <w:pPr>
        <w:ind w:left="780" w:right="20" w:hanging="326"/>
        <w:spacing w:after="0" w:line="268"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Economic, social and political conditions in the countries in which TI, its customers or its suppliers operate, including security risks, health conditions, possible disruptions in transportation networks and fluctuations in foreign currency exchange rates;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Availability and cost of raw materials, utilities, manufacturing equipment, third-party manufacturing services and manufacturing technology;</w:t>
      </w:r>
    </w:p>
    <w:p>
      <w:pPr>
        <w:spacing w:after="0" w:line="113" w:lineRule="exact"/>
        <w:rPr>
          <w:rFonts w:ascii="Arial" w:cs="Arial" w:eastAsia="Arial" w:hAnsi="Arial"/>
          <w:sz w:val="16"/>
          <w:szCs w:val="16"/>
          <w:color w:val="auto"/>
        </w:rPr>
      </w:pPr>
    </w:p>
    <w:p>
      <w:pPr>
        <w:ind w:left="780" w:right="60" w:hanging="326"/>
        <w:spacing w:after="0" w:line="268"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Losses or curtailments of purchases from key customers and the timing and amount of distributor and other customer inventory adjustments;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TI’s ability to access its bank accounts and lines of credit or otherwise access the capital markets;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Product liability or warranty claims, claims based on epidemic or delivery failure or recalls by TI customers for a product containing a TI part;</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90" w:lineRule="exact"/>
        <w:rPr>
          <w:rFonts w:ascii="Arial" w:cs="Arial" w:eastAsia="Arial" w:hAnsi="Arial"/>
          <w:sz w:val="18"/>
          <w:szCs w:val="18"/>
          <w:color w:val="auto"/>
        </w:rPr>
      </w:pPr>
    </w:p>
    <w:p>
      <w:pPr>
        <w:ind w:left="780" w:right="500" w:hanging="326"/>
        <w:spacing w:after="0" w:line="268"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132" w:lineRule="exact"/>
        <w:rPr>
          <w:sz w:val="20"/>
          <w:szCs w:val="20"/>
          <w:color w:val="auto"/>
        </w:rPr>
      </w:pPr>
    </w:p>
    <w:p>
      <w:pPr>
        <w:spacing w:after="0" w:line="370" w:lineRule="auto"/>
        <w:rPr>
          <w:sz w:val="20"/>
          <w:szCs w:val="20"/>
          <w:color w:val="auto"/>
        </w:rPr>
      </w:pPr>
      <w:r>
        <w:rPr>
          <w:rFonts w:ascii="Arial" w:cs="Arial" w:eastAsia="Arial" w:hAnsi="Arial"/>
          <w:sz w:val="15"/>
          <w:szCs w:val="15"/>
          <w:color w:val="auto"/>
        </w:rPr>
        <w:t>For a more detailed discussion of these factors see the Risk Factors discussion in Item 1A of this report. The forward-looking statements included in this report are made only as of the date of this report and TI undertakes no obligation to update the forward-looking statements to reflect subsequent events or circumstances.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80" w:right="259" w:bottom="1440" w:gutter="0" w:footer="0" w:header="0"/>
        </w:sectPr>
      </w:pPr>
    </w:p>
    <w:bookmarkStart w:id="22" w:name="page23"/>
    <w:bookmarkEnd w:id="22"/>
    <w:p>
      <w:pPr>
        <w:jc w:val="center"/>
        <w:ind w:right="-1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ind w:left="6860"/>
        <w:spacing w:after="0"/>
        <w:tabs>
          <w:tab w:leader="none" w:pos="8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2"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Kevin P. March</w:t>
      </w:r>
    </w:p>
    <w:p>
      <w:pPr>
        <w:jc w:val="center"/>
        <w:ind w:left="7240"/>
        <w:spacing w:after="0" w:line="223" w:lineRule="auto"/>
        <w:rPr>
          <w:sz w:val="20"/>
          <w:szCs w:val="20"/>
          <w:color w:val="auto"/>
        </w:rPr>
      </w:pPr>
      <w:r>
        <w:rPr>
          <w:rFonts w:ascii="Arial" w:cs="Arial" w:eastAsia="Arial" w:hAnsi="Arial"/>
          <w:sz w:val="14"/>
          <w:szCs w:val="14"/>
          <w:b w:val="1"/>
          <w:bCs w:val="1"/>
          <w:color w:val="auto"/>
        </w:rPr>
        <w:t>Senior Vice President,</w:t>
      </w:r>
    </w:p>
    <w:p>
      <w:pPr>
        <w:jc w:val="center"/>
        <w:ind w:left="7240"/>
        <w:spacing w:after="0" w:line="222" w:lineRule="auto"/>
        <w:rPr>
          <w:sz w:val="20"/>
          <w:szCs w:val="20"/>
          <w:color w:val="auto"/>
        </w:rPr>
      </w:pPr>
      <w:r>
        <w:rPr>
          <w:rFonts w:ascii="Arial" w:cs="Arial" w:eastAsia="Arial" w:hAnsi="Arial"/>
          <w:sz w:val="14"/>
          <w:szCs w:val="14"/>
          <w:b w:val="1"/>
          <w:bCs w:val="1"/>
          <w:color w:val="auto"/>
        </w:rPr>
        <w:t>Chief Financial Officer</w:t>
      </w:r>
    </w:p>
    <w:p>
      <w:pPr>
        <w:jc w:val="center"/>
        <w:ind w:left="7240"/>
        <w:spacing w:after="0"/>
        <w:rPr>
          <w:sz w:val="20"/>
          <w:szCs w:val="20"/>
          <w:color w:val="auto"/>
        </w:rPr>
      </w:pPr>
      <w:r>
        <w:rPr>
          <w:rFonts w:ascii="Arial" w:cs="Arial" w:eastAsia="Arial" w:hAnsi="Arial"/>
          <w:sz w:val="14"/>
          <w:szCs w:val="14"/>
          <w:b w:val="1"/>
          <w:bCs w:val="1"/>
          <w:color w:val="auto"/>
        </w:rPr>
        <w:t>and Chief Accounting Officer</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26, 2008</w:t>
      </w:r>
    </w:p>
    <w:p>
      <w:pPr>
        <w:spacing w:after="0" w:line="171" w:lineRule="exact"/>
        <w:rPr>
          <w:sz w:val="20"/>
          <w:szCs w:val="20"/>
          <w:color w:val="auto"/>
        </w:rPr>
      </w:pPr>
    </w:p>
    <w:p>
      <w:pPr>
        <w:ind w:right="40"/>
        <w:spacing w:after="0" w:line="312" w:lineRule="auto"/>
        <w:rPr>
          <w:sz w:val="20"/>
          <w:szCs w:val="20"/>
          <w:color w:val="auto"/>
        </w:rPr>
      </w:pPr>
      <w:r>
        <w:rPr>
          <w:rFonts w:ascii="Arial" w:cs="Arial" w:eastAsia="Arial" w:hAnsi="Arial"/>
          <w:sz w:val="15"/>
          <w:szCs w:val="15"/>
          <w:color w:val="auto"/>
        </w:rPr>
        <w:t>Each person whose signature appears below constitutes and appoints each of Richard K. Templeton, Kevin P. March and Joseph F. Hubach, or any of them, each acting alone, his or her true and lawful attorneys-in-fact and agents, with full power of substitution and resubstitution, for such person and in his or her name, place and stead, in any and all capacities in connection with the annual report on Form 10-K of Texas Instruments Incorporated for the year ended December 31, 2007, to sign any and all amendments to the Form 10-K, and to file the same, with all exhibits thereto, and other documents in connection therewith, with the Securities and Exchange Commission, granting unto said attorneys-in-fact and agents, each acting alone,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substitutes or substitute, may lawfully do or cause to be done by virtue hereof.</w:t>
      </w:r>
    </w:p>
    <w:p>
      <w:pPr>
        <w:spacing w:after="0" w:line="10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the 26th day of February 2008.</w:t>
      </w:r>
    </w:p>
    <w:p>
      <w:pPr>
        <w:spacing w:after="0" w:line="168" w:lineRule="exact"/>
        <w:rPr>
          <w:sz w:val="20"/>
          <w:szCs w:val="20"/>
          <w:color w:val="auto"/>
        </w:rPr>
      </w:pPr>
    </w:p>
    <w:p>
      <w:pPr>
        <w:ind w:left="2640"/>
        <w:spacing w:after="0"/>
        <w:tabs>
          <w:tab w:leader="none" w:pos="870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680" w:type="dxa"/>
            <w:vAlign w:val="bottom"/>
            <w:tcBorders>
              <w:bottom w:val="single" w:sz="8" w:color="auto"/>
            </w:tcBorders>
          </w:tcPr>
          <w:p>
            <w:pPr>
              <w:jc w:val="center"/>
              <w:ind w:left="1082"/>
              <w:spacing w:after="0"/>
              <w:rPr>
                <w:sz w:val="20"/>
                <w:szCs w:val="20"/>
                <w:color w:val="auto"/>
              </w:rPr>
            </w:pPr>
            <w:r>
              <w:rPr>
                <w:rFonts w:ascii="Arial" w:cs="Arial" w:eastAsia="Arial" w:hAnsi="Arial"/>
                <w:sz w:val="18"/>
                <w:szCs w:val="18"/>
                <w:color w:val="auto"/>
                <w:w w:val="86"/>
              </w:rPr>
              <w:t>/s/ James R. Adams</w:t>
            </w:r>
          </w:p>
        </w:tc>
        <w:tc>
          <w:tcPr>
            <w:tcW w:w="1140" w:type="dxa"/>
            <w:vAlign w:val="bottom"/>
            <w:tcBorders>
              <w:bottom w:val="single" w:sz="8" w:color="auto"/>
            </w:tcBorders>
          </w:tcPr>
          <w:p>
            <w:pPr>
              <w:spacing w:after="0"/>
              <w:rPr>
                <w:sz w:val="19"/>
                <w:szCs w:val="19"/>
                <w:color w:val="auto"/>
              </w:rPr>
            </w:pPr>
          </w:p>
        </w:tc>
        <w:tc>
          <w:tcPr>
            <w:tcW w:w="4180" w:type="dxa"/>
            <w:vAlign w:val="bottom"/>
          </w:tcPr>
          <w:p>
            <w:pPr>
              <w:jc w:val="center"/>
              <w:ind w:left="1792"/>
              <w:spacing w:after="0"/>
              <w:rPr>
                <w:sz w:val="20"/>
                <w:szCs w:val="20"/>
                <w:color w:val="auto"/>
              </w:rPr>
            </w:pPr>
            <w:r>
              <w:rPr>
                <w:rFonts w:ascii="Arial" w:cs="Arial" w:eastAsia="Arial" w:hAnsi="Arial"/>
                <w:sz w:val="18"/>
                <w:szCs w:val="18"/>
                <w:color w:val="auto"/>
                <w:w w:val="91"/>
              </w:rPr>
              <w:t>Director</w:t>
            </w:r>
          </w:p>
        </w:tc>
      </w:tr>
      <w:tr>
        <w:trPr>
          <w:trHeight w:val="170"/>
        </w:trPr>
        <w:tc>
          <w:tcPr>
            <w:tcW w:w="4680" w:type="dxa"/>
            <w:vAlign w:val="bottom"/>
          </w:tcPr>
          <w:p>
            <w:pPr>
              <w:jc w:val="center"/>
              <w:ind w:left="1082"/>
              <w:spacing w:after="0"/>
              <w:rPr>
                <w:sz w:val="20"/>
                <w:szCs w:val="20"/>
                <w:color w:val="auto"/>
              </w:rPr>
            </w:pPr>
            <w:r>
              <w:rPr>
                <w:rFonts w:ascii="Arial" w:cs="Arial" w:eastAsia="Arial" w:hAnsi="Arial"/>
                <w:sz w:val="14"/>
                <w:szCs w:val="14"/>
                <w:b w:val="1"/>
                <w:bCs w:val="1"/>
                <w:color w:val="auto"/>
                <w:w w:val="85"/>
              </w:rPr>
              <w:t>James R. Adams</w:t>
            </w:r>
          </w:p>
        </w:tc>
        <w:tc>
          <w:tcPr>
            <w:tcW w:w="1140" w:type="dxa"/>
            <w:vAlign w:val="bottom"/>
          </w:tcPr>
          <w:p>
            <w:pPr>
              <w:spacing w:after="0"/>
              <w:rPr>
                <w:sz w:val="14"/>
                <w:szCs w:val="14"/>
                <w:color w:val="auto"/>
              </w:rPr>
            </w:pPr>
          </w:p>
        </w:tc>
        <w:tc>
          <w:tcPr>
            <w:tcW w:w="4180" w:type="dxa"/>
            <w:vAlign w:val="bottom"/>
          </w:tcPr>
          <w:p>
            <w:pPr>
              <w:spacing w:after="0"/>
              <w:rPr>
                <w:sz w:val="14"/>
                <w:szCs w:val="14"/>
                <w:color w:val="auto"/>
              </w:rPr>
            </w:pPr>
          </w:p>
        </w:tc>
      </w:tr>
      <w:tr>
        <w:trPr>
          <w:trHeight w:val="418"/>
        </w:trPr>
        <w:tc>
          <w:tcPr>
            <w:tcW w:w="4680" w:type="dxa"/>
            <w:vAlign w:val="bottom"/>
            <w:tcBorders>
              <w:bottom w:val="single" w:sz="8" w:color="auto"/>
            </w:tcBorders>
          </w:tcPr>
          <w:p>
            <w:pPr>
              <w:jc w:val="center"/>
              <w:ind w:left="1082"/>
              <w:spacing w:after="0"/>
              <w:rPr>
                <w:sz w:val="20"/>
                <w:szCs w:val="20"/>
                <w:color w:val="auto"/>
              </w:rPr>
            </w:pPr>
            <w:r>
              <w:rPr>
                <w:rFonts w:ascii="Arial" w:cs="Arial" w:eastAsia="Arial" w:hAnsi="Arial"/>
                <w:sz w:val="18"/>
                <w:szCs w:val="18"/>
                <w:color w:val="auto"/>
                <w:w w:val="92"/>
              </w:rPr>
              <w:t>/s/ David L. Boren</w:t>
            </w:r>
          </w:p>
        </w:tc>
        <w:tc>
          <w:tcPr>
            <w:tcW w:w="1140" w:type="dxa"/>
            <w:vAlign w:val="bottom"/>
            <w:tcBorders>
              <w:bottom w:val="single" w:sz="8" w:color="auto"/>
            </w:tcBorders>
          </w:tcPr>
          <w:p>
            <w:pPr>
              <w:spacing w:after="0"/>
              <w:rPr>
                <w:sz w:val="24"/>
                <w:szCs w:val="24"/>
                <w:color w:val="auto"/>
              </w:rPr>
            </w:pPr>
          </w:p>
        </w:tc>
        <w:tc>
          <w:tcPr>
            <w:tcW w:w="4180" w:type="dxa"/>
            <w:vAlign w:val="bottom"/>
          </w:tcPr>
          <w:p>
            <w:pPr>
              <w:jc w:val="center"/>
              <w:ind w:left="1792"/>
              <w:spacing w:after="0"/>
              <w:rPr>
                <w:sz w:val="20"/>
                <w:szCs w:val="20"/>
                <w:color w:val="auto"/>
              </w:rPr>
            </w:pPr>
            <w:r>
              <w:rPr>
                <w:rFonts w:ascii="Arial" w:cs="Arial" w:eastAsia="Arial" w:hAnsi="Arial"/>
                <w:sz w:val="18"/>
                <w:szCs w:val="18"/>
                <w:color w:val="auto"/>
                <w:w w:val="91"/>
              </w:rPr>
              <w:t>Director</w:t>
            </w:r>
          </w:p>
        </w:tc>
      </w:tr>
      <w:tr>
        <w:trPr>
          <w:trHeight w:val="170"/>
        </w:trPr>
        <w:tc>
          <w:tcPr>
            <w:tcW w:w="4680" w:type="dxa"/>
            <w:vAlign w:val="bottom"/>
          </w:tcPr>
          <w:p>
            <w:pPr>
              <w:jc w:val="center"/>
              <w:ind w:left="1082"/>
              <w:spacing w:after="0"/>
              <w:rPr>
                <w:sz w:val="20"/>
                <w:szCs w:val="20"/>
                <w:color w:val="auto"/>
              </w:rPr>
            </w:pPr>
            <w:r>
              <w:rPr>
                <w:rFonts w:ascii="Arial" w:cs="Arial" w:eastAsia="Arial" w:hAnsi="Arial"/>
                <w:sz w:val="14"/>
                <w:szCs w:val="14"/>
                <w:b w:val="1"/>
                <w:bCs w:val="1"/>
                <w:color w:val="auto"/>
                <w:w w:val="89"/>
              </w:rPr>
              <w:t>David L. Boren</w:t>
            </w:r>
          </w:p>
        </w:tc>
        <w:tc>
          <w:tcPr>
            <w:tcW w:w="1140" w:type="dxa"/>
            <w:vAlign w:val="bottom"/>
          </w:tcPr>
          <w:p>
            <w:pPr>
              <w:spacing w:after="0"/>
              <w:rPr>
                <w:sz w:val="14"/>
                <w:szCs w:val="14"/>
                <w:color w:val="auto"/>
              </w:rPr>
            </w:pPr>
          </w:p>
        </w:tc>
        <w:tc>
          <w:tcPr>
            <w:tcW w:w="4180" w:type="dxa"/>
            <w:vAlign w:val="bottom"/>
          </w:tcPr>
          <w:p>
            <w:pPr>
              <w:spacing w:after="0"/>
              <w:rPr>
                <w:sz w:val="14"/>
                <w:szCs w:val="14"/>
                <w:color w:val="auto"/>
              </w:rPr>
            </w:pPr>
          </w:p>
        </w:tc>
      </w:tr>
      <w:tr>
        <w:trPr>
          <w:trHeight w:val="418"/>
        </w:trPr>
        <w:tc>
          <w:tcPr>
            <w:tcW w:w="4680" w:type="dxa"/>
            <w:vAlign w:val="bottom"/>
            <w:tcBorders>
              <w:bottom w:val="single" w:sz="8" w:color="auto"/>
            </w:tcBorders>
          </w:tcPr>
          <w:p>
            <w:pPr>
              <w:jc w:val="center"/>
              <w:ind w:left="1082"/>
              <w:spacing w:after="0"/>
              <w:rPr>
                <w:sz w:val="20"/>
                <w:szCs w:val="20"/>
                <w:color w:val="auto"/>
              </w:rPr>
            </w:pPr>
            <w:r>
              <w:rPr>
                <w:rFonts w:ascii="Arial" w:cs="Arial" w:eastAsia="Arial" w:hAnsi="Arial"/>
                <w:sz w:val="18"/>
                <w:szCs w:val="18"/>
                <w:color w:val="auto"/>
                <w:w w:val="90"/>
              </w:rPr>
              <w:t>/s/ Daniel A. Carp</w:t>
            </w:r>
          </w:p>
        </w:tc>
        <w:tc>
          <w:tcPr>
            <w:tcW w:w="1140" w:type="dxa"/>
            <w:vAlign w:val="bottom"/>
            <w:tcBorders>
              <w:bottom w:val="single" w:sz="8" w:color="auto"/>
            </w:tcBorders>
          </w:tcPr>
          <w:p>
            <w:pPr>
              <w:spacing w:after="0"/>
              <w:rPr>
                <w:sz w:val="24"/>
                <w:szCs w:val="24"/>
                <w:color w:val="auto"/>
              </w:rPr>
            </w:pPr>
          </w:p>
        </w:tc>
        <w:tc>
          <w:tcPr>
            <w:tcW w:w="4180" w:type="dxa"/>
            <w:vAlign w:val="bottom"/>
          </w:tcPr>
          <w:p>
            <w:pPr>
              <w:jc w:val="center"/>
              <w:ind w:left="1792"/>
              <w:spacing w:after="0"/>
              <w:rPr>
                <w:sz w:val="20"/>
                <w:szCs w:val="20"/>
                <w:color w:val="auto"/>
              </w:rPr>
            </w:pPr>
            <w:r>
              <w:rPr>
                <w:rFonts w:ascii="Arial" w:cs="Arial" w:eastAsia="Arial" w:hAnsi="Arial"/>
                <w:sz w:val="18"/>
                <w:szCs w:val="18"/>
                <w:color w:val="auto"/>
                <w:w w:val="91"/>
              </w:rPr>
              <w:t>Director</w:t>
            </w:r>
          </w:p>
        </w:tc>
      </w:tr>
      <w:tr>
        <w:trPr>
          <w:trHeight w:val="170"/>
        </w:trPr>
        <w:tc>
          <w:tcPr>
            <w:tcW w:w="4680" w:type="dxa"/>
            <w:vAlign w:val="bottom"/>
          </w:tcPr>
          <w:p>
            <w:pPr>
              <w:jc w:val="center"/>
              <w:ind w:left="1082"/>
              <w:spacing w:after="0"/>
              <w:rPr>
                <w:sz w:val="20"/>
                <w:szCs w:val="20"/>
                <w:color w:val="auto"/>
              </w:rPr>
            </w:pPr>
            <w:r>
              <w:rPr>
                <w:rFonts w:ascii="Arial" w:cs="Arial" w:eastAsia="Arial" w:hAnsi="Arial"/>
                <w:sz w:val="14"/>
                <w:szCs w:val="14"/>
                <w:b w:val="1"/>
                <w:bCs w:val="1"/>
                <w:color w:val="auto"/>
                <w:w w:val="91"/>
              </w:rPr>
              <w:t>Daniel A. Carp</w:t>
            </w:r>
          </w:p>
        </w:tc>
        <w:tc>
          <w:tcPr>
            <w:tcW w:w="1140" w:type="dxa"/>
            <w:vAlign w:val="bottom"/>
          </w:tcPr>
          <w:p>
            <w:pPr>
              <w:spacing w:after="0"/>
              <w:rPr>
                <w:sz w:val="14"/>
                <w:szCs w:val="14"/>
                <w:color w:val="auto"/>
              </w:rPr>
            </w:pPr>
          </w:p>
        </w:tc>
        <w:tc>
          <w:tcPr>
            <w:tcW w:w="4180" w:type="dxa"/>
            <w:vAlign w:val="bottom"/>
          </w:tcPr>
          <w:p>
            <w:pPr>
              <w:spacing w:after="0"/>
              <w:rPr>
                <w:sz w:val="14"/>
                <w:szCs w:val="14"/>
                <w:color w:val="auto"/>
              </w:rPr>
            </w:pPr>
          </w:p>
        </w:tc>
      </w:tr>
      <w:tr>
        <w:trPr>
          <w:trHeight w:val="418"/>
        </w:trPr>
        <w:tc>
          <w:tcPr>
            <w:tcW w:w="4680" w:type="dxa"/>
            <w:vAlign w:val="bottom"/>
            <w:tcBorders>
              <w:bottom w:val="single" w:sz="8" w:color="auto"/>
            </w:tcBorders>
          </w:tcPr>
          <w:p>
            <w:pPr>
              <w:jc w:val="center"/>
              <w:ind w:left="1082"/>
              <w:spacing w:after="0"/>
              <w:rPr>
                <w:sz w:val="20"/>
                <w:szCs w:val="20"/>
                <w:color w:val="auto"/>
              </w:rPr>
            </w:pPr>
            <w:r>
              <w:rPr>
                <w:rFonts w:ascii="Arial" w:cs="Arial" w:eastAsia="Arial" w:hAnsi="Arial"/>
                <w:sz w:val="18"/>
                <w:szCs w:val="18"/>
                <w:color w:val="auto"/>
                <w:w w:val="87"/>
              </w:rPr>
              <w:t>/s/ Carrie S. Cox</w:t>
            </w:r>
          </w:p>
        </w:tc>
        <w:tc>
          <w:tcPr>
            <w:tcW w:w="1140" w:type="dxa"/>
            <w:vAlign w:val="bottom"/>
            <w:tcBorders>
              <w:bottom w:val="single" w:sz="8" w:color="auto"/>
            </w:tcBorders>
          </w:tcPr>
          <w:p>
            <w:pPr>
              <w:spacing w:after="0"/>
              <w:rPr>
                <w:sz w:val="24"/>
                <w:szCs w:val="24"/>
                <w:color w:val="auto"/>
              </w:rPr>
            </w:pPr>
          </w:p>
        </w:tc>
        <w:tc>
          <w:tcPr>
            <w:tcW w:w="4180" w:type="dxa"/>
            <w:vAlign w:val="bottom"/>
          </w:tcPr>
          <w:p>
            <w:pPr>
              <w:jc w:val="center"/>
              <w:ind w:left="1792"/>
              <w:spacing w:after="0"/>
              <w:rPr>
                <w:sz w:val="20"/>
                <w:szCs w:val="20"/>
                <w:color w:val="auto"/>
              </w:rPr>
            </w:pPr>
            <w:r>
              <w:rPr>
                <w:rFonts w:ascii="Arial" w:cs="Arial" w:eastAsia="Arial" w:hAnsi="Arial"/>
                <w:sz w:val="18"/>
                <w:szCs w:val="18"/>
                <w:color w:val="auto"/>
                <w:w w:val="91"/>
              </w:rPr>
              <w:t>Director</w:t>
            </w:r>
          </w:p>
        </w:tc>
      </w:tr>
      <w:tr>
        <w:trPr>
          <w:trHeight w:val="170"/>
        </w:trPr>
        <w:tc>
          <w:tcPr>
            <w:tcW w:w="4680" w:type="dxa"/>
            <w:vAlign w:val="bottom"/>
          </w:tcPr>
          <w:p>
            <w:pPr>
              <w:jc w:val="center"/>
              <w:ind w:left="1082"/>
              <w:spacing w:after="0"/>
              <w:rPr>
                <w:sz w:val="20"/>
                <w:szCs w:val="20"/>
                <w:color w:val="auto"/>
              </w:rPr>
            </w:pPr>
            <w:r>
              <w:rPr>
                <w:rFonts w:ascii="Arial" w:cs="Arial" w:eastAsia="Arial" w:hAnsi="Arial"/>
                <w:sz w:val="14"/>
                <w:szCs w:val="14"/>
                <w:b w:val="1"/>
                <w:bCs w:val="1"/>
                <w:color w:val="auto"/>
                <w:w w:val="90"/>
              </w:rPr>
              <w:t>Carrie S. Cox</w:t>
            </w:r>
          </w:p>
        </w:tc>
        <w:tc>
          <w:tcPr>
            <w:tcW w:w="1140" w:type="dxa"/>
            <w:vAlign w:val="bottom"/>
          </w:tcPr>
          <w:p>
            <w:pPr>
              <w:spacing w:after="0"/>
              <w:rPr>
                <w:sz w:val="14"/>
                <w:szCs w:val="14"/>
                <w:color w:val="auto"/>
              </w:rPr>
            </w:pPr>
          </w:p>
        </w:tc>
        <w:tc>
          <w:tcPr>
            <w:tcW w:w="4180" w:type="dxa"/>
            <w:vAlign w:val="bottom"/>
          </w:tcPr>
          <w:p>
            <w:pPr>
              <w:spacing w:after="0"/>
              <w:rPr>
                <w:sz w:val="14"/>
                <w:szCs w:val="14"/>
                <w:color w:val="auto"/>
              </w:rPr>
            </w:pPr>
          </w:p>
        </w:tc>
      </w:tr>
      <w:tr>
        <w:trPr>
          <w:trHeight w:val="418"/>
        </w:trPr>
        <w:tc>
          <w:tcPr>
            <w:tcW w:w="4680" w:type="dxa"/>
            <w:vAlign w:val="bottom"/>
            <w:tcBorders>
              <w:bottom w:val="single" w:sz="8" w:color="auto"/>
            </w:tcBorders>
          </w:tcPr>
          <w:p>
            <w:pPr>
              <w:jc w:val="center"/>
              <w:ind w:left="1082"/>
              <w:spacing w:after="0"/>
              <w:rPr>
                <w:sz w:val="20"/>
                <w:szCs w:val="20"/>
                <w:color w:val="auto"/>
              </w:rPr>
            </w:pPr>
            <w:r>
              <w:rPr>
                <w:rFonts w:ascii="Arial" w:cs="Arial" w:eastAsia="Arial" w:hAnsi="Arial"/>
                <w:sz w:val="18"/>
                <w:szCs w:val="18"/>
                <w:color w:val="auto"/>
                <w:w w:val="87"/>
              </w:rPr>
              <w:t>/s/ Thomas J. Engibous</w:t>
            </w:r>
          </w:p>
        </w:tc>
        <w:tc>
          <w:tcPr>
            <w:tcW w:w="1140" w:type="dxa"/>
            <w:vAlign w:val="bottom"/>
            <w:tcBorders>
              <w:bottom w:val="single" w:sz="8" w:color="auto"/>
            </w:tcBorders>
          </w:tcPr>
          <w:p>
            <w:pPr>
              <w:spacing w:after="0"/>
              <w:rPr>
                <w:sz w:val="24"/>
                <w:szCs w:val="24"/>
                <w:color w:val="auto"/>
              </w:rPr>
            </w:pPr>
          </w:p>
        </w:tc>
        <w:tc>
          <w:tcPr>
            <w:tcW w:w="4180" w:type="dxa"/>
            <w:vAlign w:val="bottom"/>
          </w:tcPr>
          <w:p>
            <w:pPr>
              <w:jc w:val="center"/>
              <w:ind w:left="1792"/>
              <w:spacing w:after="0"/>
              <w:rPr>
                <w:sz w:val="20"/>
                <w:szCs w:val="20"/>
                <w:color w:val="auto"/>
              </w:rPr>
            </w:pPr>
            <w:r>
              <w:rPr>
                <w:rFonts w:ascii="Arial" w:cs="Arial" w:eastAsia="Arial" w:hAnsi="Arial"/>
                <w:sz w:val="18"/>
                <w:szCs w:val="18"/>
                <w:color w:val="auto"/>
                <w:w w:val="90"/>
              </w:rPr>
              <w:t>Chairman of the Board; Director</w:t>
            </w:r>
          </w:p>
        </w:tc>
      </w:tr>
      <w:tr>
        <w:trPr>
          <w:trHeight w:val="170"/>
        </w:trPr>
        <w:tc>
          <w:tcPr>
            <w:tcW w:w="4680" w:type="dxa"/>
            <w:vAlign w:val="bottom"/>
          </w:tcPr>
          <w:p>
            <w:pPr>
              <w:jc w:val="center"/>
              <w:ind w:left="1082"/>
              <w:spacing w:after="0"/>
              <w:rPr>
                <w:sz w:val="20"/>
                <w:szCs w:val="20"/>
                <w:color w:val="auto"/>
              </w:rPr>
            </w:pPr>
            <w:r>
              <w:rPr>
                <w:rFonts w:ascii="Arial" w:cs="Arial" w:eastAsia="Arial" w:hAnsi="Arial"/>
                <w:sz w:val="14"/>
                <w:szCs w:val="14"/>
                <w:b w:val="1"/>
                <w:bCs w:val="1"/>
                <w:color w:val="auto"/>
                <w:w w:val="84"/>
              </w:rPr>
              <w:t>Thomas J. Engibous</w:t>
            </w:r>
          </w:p>
        </w:tc>
        <w:tc>
          <w:tcPr>
            <w:tcW w:w="1140" w:type="dxa"/>
            <w:vAlign w:val="bottom"/>
          </w:tcPr>
          <w:p>
            <w:pPr>
              <w:spacing w:after="0"/>
              <w:rPr>
                <w:sz w:val="14"/>
                <w:szCs w:val="14"/>
                <w:color w:val="auto"/>
              </w:rPr>
            </w:pPr>
          </w:p>
        </w:tc>
        <w:tc>
          <w:tcPr>
            <w:tcW w:w="4180" w:type="dxa"/>
            <w:vAlign w:val="bottom"/>
          </w:tcPr>
          <w:p>
            <w:pPr>
              <w:spacing w:after="0"/>
              <w:rPr>
                <w:sz w:val="14"/>
                <w:szCs w:val="14"/>
                <w:color w:val="auto"/>
              </w:rPr>
            </w:pPr>
          </w:p>
        </w:tc>
      </w:tr>
      <w:tr>
        <w:trPr>
          <w:trHeight w:val="418"/>
        </w:trPr>
        <w:tc>
          <w:tcPr>
            <w:tcW w:w="4680" w:type="dxa"/>
            <w:vAlign w:val="bottom"/>
            <w:tcBorders>
              <w:bottom w:val="single" w:sz="8" w:color="auto"/>
            </w:tcBorders>
          </w:tcPr>
          <w:p>
            <w:pPr>
              <w:jc w:val="center"/>
              <w:ind w:left="1082"/>
              <w:spacing w:after="0"/>
              <w:rPr>
                <w:sz w:val="20"/>
                <w:szCs w:val="20"/>
                <w:color w:val="auto"/>
              </w:rPr>
            </w:pPr>
            <w:r>
              <w:rPr>
                <w:rFonts w:ascii="Arial" w:cs="Arial" w:eastAsia="Arial" w:hAnsi="Arial"/>
                <w:sz w:val="18"/>
                <w:szCs w:val="18"/>
                <w:color w:val="auto"/>
                <w:w w:val="89"/>
              </w:rPr>
              <w:t>/s/ David R. Goode</w:t>
            </w:r>
          </w:p>
        </w:tc>
        <w:tc>
          <w:tcPr>
            <w:tcW w:w="1140" w:type="dxa"/>
            <w:vAlign w:val="bottom"/>
            <w:tcBorders>
              <w:bottom w:val="single" w:sz="8" w:color="auto"/>
            </w:tcBorders>
          </w:tcPr>
          <w:p>
            <w:pPr>
              <w:spacing w:after="0"/>
              <w:rPr>
                <w:sz w:val="24"/>
                <w:szCs w:val="24"/>
                <w:color w:val="auto"/>
              </w:rPr>
            </w:pPr>
          </w:p>
        </w:tc>
        <w:tc>
          <w:tcPr>
            <w:tcW w:w="4180" w:type="dxa"/>
            <w:vAlign w:val="bottom"/>
          </w:tcPr>
          <w:p>
            <w:pPr>
              <w:jc w:val="center"/>
              <w:ind w:left="1792"/>
              <w:spacing w:after="0"/>
              <w:rPr>
                <w:sz w:val="20"/>
                <w:szCs w:val="20"/>
                <w:color w:val="auto"/>
              </w:rPr>
            </w:pPr>
            <w:r>
              <w:rPr>
                <w:rFonts w:ascii="Arial" w:cs="Arial" w:eastAsia="Arial" w:hAnsi="Arial"/>
                <w:sz w:val="18"/>
                <w:szCs w:val="18"/>
                <w:color w:val="auto"/>
                <w:w w:val="91"/>
              </w:rPr>
              <w:t>Director</w:t>
            </w:r>
          </w:p>
        </w:tc>
      </w:tr>
      <w:tr>
        <w:trPr>
          <w:trHeight w:val="170"/>
        </w:trPr>
        <w:tc>
          <w:tcPr>
            <w:tcW w:w="4680" w:type="dxa"/>
            <w:vAlign w:val="bottom"/>
          </w:tcPr>
          <w:p>
            <w:pPr>
              <w:jc w:val="center"/>
              <w:ind w:left="1082"/>
              <w:spacing w:after="0"/>
              <w:rPr>
                <w:sz w:val="20"/>
                <w:szCs w:val="20"/>
                <w:color w:val="auto"/>
              </w:rPr>
            </w:pPr>
            <w:r>
              <w:rPr>
                <w:rFonts w:ascii="Arial" w:cs="Arial" w:eastAsia="Arial" w:hAnsi="Arial"/>
                <w:sz w:val="14"/>
                <w:szCs w:val="14"/>
                <w:b w:val="1"/>
                <w:bCs w:val="1"/>
                <w:color w:val="auto"/>
                <w:w w:val="88"/>
              </w:rPr>
              <w:t>David R. Goode</w:t>
            </w:r>
          </w:p>
        </w:tc>
        <w:tc>
          <w:tcPr>
            <w:tcW w:w="1140" w:type="dxa"/>
            <w:vAlign w:val="bottom"/>
          </w:tcPr>
          <w:p>
            <w:pPr>
              <w:spacing w:after="0"/>
              <w:rPr>
                <w:sz w:val="14"/>
                <w:szCs w:val="14"/>
                <w:color w:val="auto"/>
              </w:rPr>
            </w:pPr>
          </w:p>
        </w:tc>
        <w:tc>
          <w:tcPr>
            <w:tcW w:w="4180" w:type="dxa"/>
            <w:vAlign w:val="bottom"/>
          </w:tcPr>
          <w:p>
            <w:pPr>
              <w:spacing w:after="0"/>
              <w:rPr>
                <w:sz w:val="14"/>
                <w:szCs w:val="14"/>
                <w:color w:val="auto"/>
              </w:rPr>
            </w:pPr>
          </w:p>
        </w:tc>
      </w:tr>
      <w:tr>
        <w:trPr>
          <w:trHeight w:val="418"/>
        </w:trPr>
        <w:tc>
          <w:tcPr>
            <w:tcW w:w="4680" w:type="dxa"/>
            <w:vAlign w:val="bottom"/>
            <w:tcBorders>
              <w:bottom w:val="single" w:sz="8" w:color="auto"/>
            </w:tcBorders>
          </w:tcPr>
          <w:p>
            <w:pPr>
              <w:jc w:val="center"/>
              <w:ind w:left="1082"/>
              <w:spacing w:after="0"/>
              <w:rPr>
                <w:sz w:val="20"/>
                <w:szCs w:val="20"/>
                <w:color w:val="auto"/>
              </w:rPr>
            </w:pPr>
            <w:r>
              <w:rPr>
                <w:rFonts w:ascii="Arial" w:cs="Arial" w:eastAsia="Arial" w:hAnsi="Arial"/>
                <w:sz w:val="18"/>
                <w:szCs w:val="18"/>
                <w:color w:val="auto"/>
                <w:w w:val="85"/>
              </w:rPr>
              <w:t>/s/ Pamela H. Patsley</w:t>
            </w:r>
          </w:p>
        </w:tc>
        <w:tc>
          <w:tcPr>
            <w:tcW w:w="1140" w:type="dxa"/>
            <w:vAlign w:val="bottom"/>
            <w:tcBorders>
              <w:bottom w:val="single" w:sz="8" w:color="auto"/>
            </w:tcBorders>
          </w:tcPr>
          <w:p>
            <w:pPr>
              <w:spacing w:after="0"/>
              <w:rPr>
                <w:sz w:val="24"/>
                <w:szCs w:val="24"/>
                <w:color w:val="auto"/>
              </w:rPr>
            </w:pPr>
          </w:p>
        </w:tc>
        <w:tc>
          <w:tcPr>
            <w:tcW w:w="4180" w:type="dxa"/>
            <w:vAlign w:val="bottom"/>
          </w:tcPr>
          <w:p>
            <w:pPr>
              <w:jc w:val="center"/>
              <w:ind w:left="1792"/>
              <w:spacing w:after="0"/>
              <w:rPr>
                <w:sz w:val="20"/>
                <w:szCs w:val="20"/>
                <w:color w:val="auto"/>
              </w:rPr>
            </w:pPr>
            <w:r>
              <w:rPr>
                <w:rFonts w:ascii="Arial" w:cs="Arial" w:eastAsia="Arial" w:hAnsi="Arial"/>
                <w:sz w:val="18"/>
                <w:szCs w:val="18"/>
                <w:color w:val="auto"/>
                <w:w w:val="91"/>
              </w:rPr>
              <w:t>Director</w:t>
            </w:r>
          </w:p>
        </w:tc>
      </w:tr>
      <w:tr>
        <w:trPr>
          <w:trHeight w:val="170"/>
        </w:trPr>
        <w:tc>
          <w:tcPr>
            <w:tcW w:w="4680" w:type="dxa"/>
            <w:vAlign w:val="bottom"/>
          </w:tcPr>
          <w:p>
            <w:pPr>
              <w:jc w:val="center"/>
              <w:ind w:left="1082"/>
              <w:spacing w:after="0"/>
              <w:rPr>
                <w:sz w:val="20"/>
                <w:szCs w:val="20"/>
                <w:color w:val="auto"/>
              </w:rPr>
            </w:pPr>
            <w:r>
              <w:rPr>
                <w:rFonts w:ascii="Arial" w:cs="Arial" w:eastAsia="Arial" w:hAnsi="Arial"/>
                <w:sz w:val="14"/>
                <w:szCs w:val="14"/>
                <w:b w:val="1"/>
                <w:bCs w:val="1"/>
                <w:color w:val="auto"/>
                <w:w w:val="86"/>
              </w:rPr>
              <w:t>Pamela H. Patsley</w:t>
            </w:r>
          </w:p>
        </w:tc>
        <w:tc>
          <w:tcPr>
            <w:tcW w:w="1140" w:type="dxa"/>
            <w:vAlign w:val="bottom"/>
          </w:tcPr>
          <w:p>
            <w:pPr>
              <w:spacing w:after="0"/>
              <w:rPr>
                <w:sz w:val="14"/>
                <w:szCs w:val="14"/>
                <w:color w:val="auto"/>
              </w:rPr>
            </w:pPr>
          </w:p>
        </w:tc>
        <w:tc>
          <w:tcPr>
            <w:tcW w:w="4180" w:type="dxa"/>
            <w:vAlign w:val="bottom"/>
          </w:tcPr>
          <w:p>
            <w:pPr>
              <w:spacing w:after="0"/>
              <w:rPr>
                <w:sz w:val="14"/>
                <w:szCs w:val="14"/>
                <w:color w:val="auto"/>
              </w:rPr>
            </w:pPr>
          </w:p>
        </w:tc>
      </w:tr>
      <w:tr>
        <w:trPr>
          <w:trHeight w:val="350"/>
        </w:trPr>
        <w:tc>
          <w:tcPr>
            <w:tcW w:w="46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w:t>
            </w:r>
          </w:p>
        </w:tc>
        <w:tc>
          <w:tcPr>
            <w:tcW w:w="4180" w:type="dxa"/>
            <w:vAlign w:val="bottom"/>
          </w:tcPr>
          <w:p>
            <w:pPr>
              <w:spacing w:after="0"/>
              <w:rPr>
                <w:sz w:val="24"/>
                <w:szCs w:val="24"/>
                <w:color w:val="auto"/>
              </w:rPr>
            </w:pPr>
          </w:p>
        </w:tc>
      </w:tr>
    </w:tbl>
    <w:p>
      <w:pPr>
        <w:sectPr>
          <w:pgSz w:w="11900" w:h="16838" w:orient="portrait"/>
          <w:cols w:equalWidth="0" w:num="1">
            <w:col w:w="11320"/>
          </w:cols>
          <w:pgMar w:left="240" w:top="280" w:right="339" w:bottom="1440" w:gutter="0" w:footer="0" w:header="0"/>
        </w:sectPr>
      </w:pPr>
    </w:p>
    <w:bookmarkStart w:id="23" w:name="page24"/>
    <w:bookmarkEnd w:id="23"/>
    <w:p>
      <w:pPr>
        <w:jc w:val="center"/>
        <w:ind w:right="22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 Wayne R. Sanders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10795</wp:posOffset>
            </wp:positionV>
            <wp:extent cx="369633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12" w:lineRule="exact"/>
        <w:rPr>
          <w:sz w:val="20"/>
          <w:szCs w:val="20"/>
          <w:color w:val="auto"/>
        </w:rPr>
      </w:pPr>
    </w:p>
    <w:p>
      <w:pPr>
        <w:ind w:left="1180"/>
        <w:spacing w:after="0"/>
        <w:rPr>
          <w:sz w:val="20"/>
          <w:szCs w:val="20"/>
          <w:color w:val="auto"/>
        </w:rPr>
      </w:pPr>
      <w:r>
        <w:rPr>
          <w:rFonts w:ascii="Arial" w:cs="Arial" w:eastAsia="Arial" w:hAnsi="Arial"/>
          <w:sz w:val="14"/>
          <w:szCs w:val="14"/>
          <w:b w:val="1"/>
          <w:bCs w:val="1"/>
          <w:color w:val="auto"/>
        </w:rPr>
        <w:t>Wayne R. Sanders</w:t>
      </w:r>
    </w:p>
    <w:p>
      <w:pPr>
        <w:spacing w:after="0" w:line="208" w:lineRule="exact"/>
        <w:rPr>
          <w:sz w:val="20"/>
          <w:szCs w:val="20"/>
          <w:color w:val="auto"/>
        </w:rPr>
      </w:pPr>
    </w:p>
    <w:p>
      <w:pPr>
        <w:jc w:val="center"/>
        <w:ind w:right="2220"/>
        <w:spacing w:after="0"/>
        <w:rPr>
          <w:sz w:val="20"/>
          <w:szCs w:val="20"/>
          <w:color w:val="auto"/>
        </w:rPr>
      </w:pPr>
      <w:r>
        <w:rPr>
          <w:rFonts w:ascii="Arial" w:cs="Arial" w:eastAsia="Arial" w:hAnsi="Arial"/>
          <w:sz w:val="18"/>
          <w:szCs w:val="18"/>
          <w:color w:val="auto"/>
        </w:rPr>
        <w:t>/s/ Ruth J. Simmons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10795</wp:posOffset>
            </wp:positionV>
            <wp:extent cx="369633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12" w:lineRule="exact"/>
        <w:rPr>
          <w:sz w:val="20"/>
          <w:szCs w:val="20"/>
          <w:color w:val="auto"/>
        </w:rPr>
      </w:pPr>
    </w:p>
    <w:p>
      <w:pPr>
        <w:ind w:left="1220"/>
        <w:spacing w:after="0"/>
        <w:rPr>
          <w:sz w:val="20"/>
          <w:szCs w:val="20"/>
          <w:color w:val="auto"/>
        </w:rPr>
      </w:pPr>
      <w:r>
        <w:rPr>
          <w:rFonts w:ascii="Arial" w:cs="Arial" w:eastAsia="Arial" w:hAnsi="Arial"/>
          <w:sz w:val="14"/>
          <w:szCs w:val="14"/>
          <w:b w:val="1"/>
          <w:bCs w:val="1"/>
          <w:color w:val="auto"/>
        </w:rPr>
        <w:t>Ruth J. Simmons</w:t>
      </w:r>
    </w:p>
    <w:p>
      <w:pPr>
        <w:spacing w:after="0" w:line="208" w:lineRule="exact"/>
        <w:rPr>
          <w:sz w:val="20"/>
          <w:szCs w:val="20"/>
          <w:color w:val="auto"/>
        </w:rPr>
      </w:pPr>
    </w:p>
    <w:p>
      <w:pPr>
        <w:jc w:val="center"/>
        <w:ind w:right="2220"/>
        <w:spacing w:after="0"/>
        <w:rPr>
          <w:sz w:val="20"/>
          <w:szCs w:val="20"/>
          <w:color w:val="auto"/>
        </w:rPr>
      </w:pPr>
      <w:r>
        <w:rPr>
          <w:rFonts w:ascii="Arial" w:cs="Arial" w:eastAsia="Arial" w:hAnsi="Arial"/>
          <w:sz w:val="16"/>
          <w:szCs w:val="16"/>
          <w:color w:val="auto"/>
        </w:rPr>
        <w:t>/s/ 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25400</wp:posOffset>
            </wp:positionV>
            <wp:extent cx="369633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1"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Richard K. Templeton</w:t>
      </w:r>
    </w:p>
    <w:p>
      <w:pPr>
        <w:spacing w:after="0" w:line="208" w:lineRule="exact"/>
        <w:rPr>
          <w:sz w:val="20"/>
          <w:szCs w:val="20"/>
          <w:color w:val="auto"/>
        </w:rPr>
      </w:pPr>
    </w:p>
    <w:p>
      <w:pPr>
        <w:jc w:val="center"/>
        <w:ind w:right="2220"/>
        <w:spacing w:after="0"/>
        <w:rPr>
          <w:sz w:val="20"/>
          <w:szCs w:val="20"/>
          <w:color w:val="auto"/>
        </w:rPr>
      </w:pPr>
      <w:r>
        <w:rPr>
          <w:rFonts w:ascii="Arial" w:cs="Arial" w:eastAsia="Arial" w:hAnsi="Arial"/>
          <w:sz w:val="16"/>
          <w:szCs w:val="16"/>
          <w:color w:val="auto"/>
        </w:rPr>
        <w:t>/s/ Christine Todd Whitman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25400</wp:posOffset>
            </wp:positionV>
            <wp:extent cx="369633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3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Christine Todd Whitman</w:t>
      </w:r>
    </w:p>
    <w:p>
      <w:pPr>
        <w:spacing w:after="0" w:line="208" w:lineRule="exact"/>
        <w:rPr>
          <w:sz w:val="20"/>
          <w:szCs w:val="20"/>
          <w:color w:val="auto"/>
        </w:rPr>
      </w:pPr>
    </w:p>
    <w:p>
      <w:pPr>
        <w:jc w:val="center"/>
        <w:ind w:right="2220"/>
        <w:spacing w:after="0"/>
        <w:rPr>
          <w:sz w:val="20"/>
          <w:szCs w:val="20"/>
          <w:color w:val="auto"/>
        </w:rPr>
      </w:pPr>
      <w:r>
        <w:rPr>
          <w:rFonts w:ascii="Arial" w:cs="Arial" w:eastAsia="Arial" w:hAnsi="Arial"/>
          <w:sz w:val="18"/>
          <w:szCs w:val="18"/>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10795</wp:posOffset>
            </wp:positionV>
            <wp:extent cx="369633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ind w:left="1260"/>
        <w:spacing w:after="0"/>
        <w:rPr>
          <w:sz w:val="20"/>
          <w:szCs w:val="20"/>
          <w:color w:val="auto"/>
        </w:rPr>
      </w:pPr>
      <w:r>
        <w:rPr>
          <w:rFonts w:ascii="Arial" w:cs="Arial" w:eastAsia="Arial" w:hAnsi="Arial"/>
          <w:sz w:val="14"/>
          <w:szCs w:val="14"/>
          <w:b w:val="1"/>
          <w:bCs w:val="1"/>
          <w:color w:val="auto"/>
        </w:rPr>
        <w:t>Kevin P. March</w:t>
      </w:r>
    </w:p>
    <w:p>
      <w:pPr>
        <w:spacing w:after="0" w:line="200" w:lineRule="exact"/>
        <w:rPr>
          <w:sz w:val="20"/>
          <w:szCs w:val="20"/>
          <w:color w:val="auto"/>
        </w:rPr>
      </w:pPr>
    </w:p>
    <w:p>
      <w:pPr>
        <w:spacing w:after="0" w:line="373" w:lineRule="exact"/>
        <w:rPr>
          <w:sz w:val="20"/>
          <w:szCs w:val="20"/>
          <w:color w:val="auto"/>
        </w:rPr>
      </w:pPr>
    </w:p>
    <w:p>
      <w:pPr>
        <w:jc w:val="right"/>
        <w:ind w:right="10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Director</w:t>
      </w:r>
    </w:p>
    <w:p>
      <w:pPr>
        <w:spacing w:after="0" w:line="37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Director; President and Chief</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Executive Officer</w:t>
      </w:r>
    </w:p>
    <w:p>
      <w:pPr>
        <w:spacing w:after="0" w:line="19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Director</w:t>
      </w:r>
    </w:p>
    <w:p>
      <w:pPr>
        <w:spacing w:after="0" w:line="374" w:lineRule="exact"/>
        <w:rPr>
          <w:sz w:val="20"/>
          <w:szCs w:val="20"/>
          <w:color w:val="auto"/>
        </w:rPr>
      </w:pPr>
    </w:p>
    <w:p>
      <w:pPr>
        <w:jc w:val="center"/>
        <w:ind w:right="99"/>
        <w:spacing w:after="0" w:line="259" w:lineRule="auto"/>
        <w:rPr>
          <w:sz w:val="20"/>
          <w:szCs w:val="20"/>
          <w:color w:val="auto"/>
        </w:rPr>
      </w:pPr>
      <w:r>
        <w:rPr>
          <w:rFonts w:ascii="Arial" w:cs="Arial" w:eastAsia="Arial" w:hAnsi="Arial"/>
          <w:sz w:val="18"/>
          <w:szCs w:val="18"/>
          <w:color w:val="auto"/>
        </w:rPr>
        <w:t>Senior Vice President; Chief Financial Officer; Chief Accounting Officer</w:t>
      </w:r>
    </w:p>
    <w:p>
      <w:pPr>
        <w:sectPr>
          <w:pgSz w:w="11900" w:h="16838" w:orient="portrait"/>
          <w:cols w:equalWidth="0" w:num="2">
            <w:col w:w="5660" w:space="720"/>
            <w:col w:w="2639"/>
          </w:cols>
          <w:pgMar w:left="1440" w:top="280" w:right="1440" w:bottom="1440" w:gutter="0" w:footer="0" w:header="0"/>
        </w:sectPr>
      </w:pPr>
    </w:p>
    <w:bookmarkStart w:id="24" w:name="page25"/>
    <w:bookmarkEnd w:id="24"/>
    <w:p>
      <w:pPr>
        <w:ind w:left="32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TEXAS INSTRUMENTS INCORPORATED AND SUBSIDIARIES</w:t>
      </w:r>
    </w:p>
    <w:p>
      <w:pPr>
        <w:spacing w:after="0" w:line="90"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INDEX TO FINANCIAL STATEMENTS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(Item 15(a))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49"/>
        </w:trPr>
        <w:tc>
          <w:tcPr>
            <w:tcW w:w="106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Reference in</w:t>
            </w:r>
          </w:p>
        </w:tc>
        <w:tc>
          <w:tcPr>
            <w:tcW w:w="0" w:type="dxa"/>
            <w:vAlign w:val="bottom"/>
          </w:tcPr>
          <w:p>
            <w:pPr>
              <w:spacing w:after="0"/>
              <w:rPr>
                <w:sz w:val="1"/>
                <w:szCs w:val="1"/>
                <w:color w:val="auto"/>
              </w:rPr>
            </w:pPr>
          </w:p>
        </w:tc>
      </w:tr>
      <w:tr>
        <w:trPr>
          <w:trHeight w:val="149"/>
        </w:trPr>
        <w:tc>
          <w:tcPr>
            <w:tcW w:w="106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2007 Annual</w:t>
            </w:r>
          </w:p>
        </w:tc>
        <w:tc>
          <w:tcPr>
            <w:tcW w:w="0" w:type="dxa"/>
            <w:vAlign w:val="bottom"/>
          </w:tcPr>
          <w:p>
            <w:pPr>
              <w:spacing w:after="0"/>
              <w:rPr>
                <w:sz w:val="1"/>
                <w:szCs w:val="1"/>
                <w:color w:val="auto"/>
              </w:rPr>
            </w:pPr>
          </w:p>
        </w:tc>
      </w:tr>
      <w:tr>
        <w:trPr>
          <w:trHeight w:val="149"/>
        </w:trPr>
        <w:tc>
          <w:tcPr>
            <w:tcW w:w="106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Report to</w:t>
            </w:r>
          </w:p>
        </w:tc>
        <w:tc>
          <w:tcPr>
            <w:tcW w:w="0" w:type="dxa"/>
            <w:vAlign w:val="bottom"/>
          </w:tcPr>
          <w:p>
            <w:pPr>
              <w:spacing w:after="0"/>
              <w:rPr>
                <w:sz w:val="1"/>
                <w:szCs w:val="1"/>
                <w:color w:val="auto"/>
              </w:rPr>
            </w:pPr>
          </w:p>
        </w:tc>
      </w:tr>
      <w:tr>
        <w:trPr>
          <w:trHeight w:val="161"/>
        </w:trPr>
        <w:tc>
          <w:tcPr>
            <w:tcW w:w="10660" w:type="dxa"/>
            <w:vAlign w:val="bottom"/>
            <w:vMerge w:val="restart"/>
          </w:tcPr>
          <w:p>
            <w:pPr>
              <w:spacing w:after="0"/>
              <w:rPr>
                <w:sz w:val="20"/>
                <w:szCs w:val="20"/>
                <w:color w:val="auto"/>
              </w:rPr>
            </w:pPr>
            <w:r>
              <w:rPr>
                <w:rFonts w:ascii="Arial" w:cs="Arial" w:eastAsia="Arial" w:hAnsi="Arial"/>
                <w:sz w:val="18"/>
                <w:szCs w:val="18"/>
                <w:color w:val="auto"/>
              </w:rPr>
              <w:t>Information incorporated by reference to the Registrant’s 2007 annual report to stockholders</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Stockholders</w:t>
            </w:r>
          </w:p>
        </w:tc>
        <w:tc>
          <w:tcPr>
            <w:tcW w:w="0" w:type="dxa"/>
            <w:vAlign w:val="bottom"/>
          </w:tcPr>
          <w:p>
            <w:pPr>
              <w:spacing w:after="0"/>
              <w:rPr>
                <w:sz w:val="1"/>
                <w:szCs w:val="1"/>
                <w:color w:val="auto"/>
              </w:rPr>
            </w:pPr>
          </w:p>
        </w:tc>
      </w:tr>
      <w:tr>
        <w:trPr>
          <w:trHeight w:val="208"/>
        </w:trPr>
        <w:tc>
          <w:tcPr>
            <w:tcW w:w="10660" w:type="dxa"/>
            <w:vAlign w:val="bottom"/>
            <w:vMerge w:val="continue"/>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0660" w:type="dxa"/>
            <w:vAlign w:val="bottom"/>
          </w:tcPr>
          <w:p>
            <w:pPr>
              <w:spacing w:after="0"/>
              <w:rPr>
                <w:sz w:val="20"/>
                <w:szCs w:val="20"/>
                <w:color w:val="auto"/>
              </w:rPr>
            </w:pPr>
            <w:r>
              <w:rPr>
                <w:rFonts w:ascii="Arial" w:cs="Arial" w:eastAsia="Arial" w:hAnsi="Arial"/>
                <w:sz w:val="18"/>
                <w:szCs w:val="18"/>
                <w:color w:val="auto"/>
              </w:rPr>
              <w:t>Consolidated Financial Statements:</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660" w:type="dxa"/>
            <w:vAlign w:val="bottom"/>
          </w:tcPr>
          <w:p>
            <w:pPr>
              <w:ind w:left="440"/>
              <w:spacing w:after="0"/>
              <w:rPr>
                <w:sz w:val="20"/>
                <w:szCs w:val="20"/>
                <w:color w:val="auto"/>
              </w:rPr>
            </w:pPr>
            <w:r>
              <w:rPr>
                <w:rFonts w:ascii="Arial" w:cs="Arial" w:eastAsia="Arial" w:hAnsi="Arial"/>
                <w:sz w:val="18"/>
                <w:szCs w:val="18"/>
                <w:color w:val="auto"/>
              </w:rPr>
              <w:t>Income for each of the three years in the period ended December 31, 2007</w:t>
            </w:r>
          </w:p>
        </w:tc>
        <w:tc>
          <w:tcPr>
            <w:tcW w:w="76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324"/>
        </w:trPr>
        <w:tc>
          <w:tcPr>
            <w:tcW w:w="10660" w:type="dxa"/>
            <w:vAlign w:val="bottom"/>
          </w:tcPr>
          <w:p>
            <w:pPr>
              <w:ind w:left="440"/>
              <w:spacing w:after="0"/>
              <w:rPr>
                <w:sz w:val="20"/>
                <w:szCs w:val="20"/>
                <w:color w:val="auto"/>
              </w:rPr>
            </w:pPr>
            <w:r>
              <w:rPr>
                <w:rFonts w:ascii="Arial" w:cs="Arial" w:eastAsia="Arial" w:hAnsi="Arial"/>
                <w:sz w:val="18"/>
                <w:szCs w:val="18"/>
                <w:color w:val="auto"/>
              </w:rPr>
              <w:t>Comprehensive Income for each of the three years in the period ended December 31, 2007</w:t>
            </w:r>
          </w:p>
        </w:tc>
        <w:tc>
          <w:tcPr>
            <w:tcW w:w="76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0" w:type="dxa"/>
            <w:vAlign w:val="bottom"/>
          </w:tcPr>
          <w:p>
            <w:pPr>
              <w:spacing w:after="0"/>
              <w:rPr>
                <w:sz w:val="1"/>
                <w:szCs w:val="1"/>
                <w:color w:val="auto"/>
              </w:rPr>
            </w:pPr>
          </w:p>
        </w:tc>
      </w:tr>
      <w:tr>
        <w:trPr>
          <w:trHeight w:val="324"/>
        </w:trPr>
        <w:tc>
          <w:tcPr>
            <w:tcW w:w="10660" w:type="dxa"/>
            <w:vAlign w:val="bottom"/>
          </w:tcPr>
          <w:p>
            <w:pPr>
              <w:ind w:left="440"/>
              <w:spacing w:after="0"/>
              <w:rPr>
                <w:sz w:val="20"/>
                <w:szCs w:val="20"/>
                <w:color w:val="auto"/>
              </w:rPr>
            </w:pPr>
            <w:r>
              <w:rPr>
                <w:rFonts w:ascii="Arial" w:cs="Arial" w:eastAsia="Arial" w:hAnsi="Arial"/>
                <w:sz w:val="18"/>
                <w:szCs w:val="18"/>
                <w:color w:val="auto"/>
              </w:rPr>
              <w:t>Balance Sheets at December 31, 2007 and 2006</w:t>
            </w:r>
          </w:p>
        </w:tc>
        <w:tc>
          <w:tcPr>
            <w:tcW w:w="760" w:type="dxa"/>
            <w:vAlign w:val="bottom"/>
          </w:tcPr>
          <w:p>
            <w:pPr>
              <w:jc w:val="center"/>
              <w:spacing w:after="0"/>
              <w:rPr>
                <w:sz w:val="20"/>
                <w:szCs w:val="20"/>
                <w:color w:val="auto"/>
              </w:rPr>
            </w:pPr>
            <w:r>
              <w:rPr>
                <w:rFonts w:ascii="Arial" w:cs="Arial" w:eastAsia="Arial" w:hAnsi="Arial"/>
                <w:sz w:val="18"/>
                <w:szCs w:val="18"/>
                <w:color w:val="auto"/>
                <w:w w:val="79"/>
              </w:rPr>
              <w:t>8</w:t>
            </w:r>
          </w:p>
        </w:tc>
        <w:tc>
          <w:tcPr>
            <w:tcW w:w="0" w:type="dxa"/>
            <w:vAlign w:val="bottom"/>
          </w:tcPr>
          <w:p>
            <w:pPr>
              <w:spacing w:after="0"/>
              <w:rPr>
                <w:sz w:val="1"/>
                <w:szCs w:val="1"/>
                <w:color w:val="auto"/>
              </w:rPr>
            </w:pPr>
          </w:p>
        </w:tc>
      </w:tr>
      <w:tr>
        <w:trPr>
          <w:trHeight w:val="324"/>
        </w:trPr>
        <w:tc>
          <w:tcPr>
            <w:tcW w:w="10660" w:type="dxa"/>
            <w:vAlign w:val="bottom"/>
          </w:tcPr>
          <w:p>
            <w:pPr>
              <w:ind w:left="440"/>
              <w:spacing w:after="0"/>
              <w:rPr>
                <w:sz w:val="20"/>
                <w:szCs w:val="20"/>
                <w:color w:val="auto"/>
              </w:rPr>
            </w:pPr>
            <w:r>
              <w:rPr>
                <w:rFonts w:ascii="Arial" w:cs="Arial" w:eastAsia="Arial" w:hAnsi="Arial"/>
                <w:sz w:val="18"/>
                <w:szCs w:val="18"/>
                <w:color w:val="auto"/>
              </w:rPr>
              <w:t>Cash Flows for each of the three years in the period ended December 31, 2007</w:t>
            </w:r>
          </w:p>
        </w:tc>
        <w:tc>
          <w:tcPr>
            <w:tcW w:w="760" w:type="dxa"/>
            <w:vAlign w:val="bottom"/>
          </w:tcPr>
          <w:p>
            <w:pPr>
              <w:jc w:val="center"/>
              <w:spacing w:after="0"/>
              <w:rPr>
                <w:sz w:val="20"/>
                <w:szCs w:val="20"/>
                <w:color w:val="auto"/>
              </w:rPr>
            </w:pPr>
            <w:r>
              <w:rPr>
                <w:rFonts w:ascii="Arial" w:cs="Arial" w:eastAsia="Arial" w:hAnsi="Arial"/>
                <w:sz w:val="18"/>
                <w:szCs w:val="18"/>
                <w:color w:val="auto"/>
                <w:w w:val="79"/>
              </w:rPr>
              <w:t>9</w:t>
            </w:r>
          </w:p>
        </w:tc>
        <w:tc>
          <w:tcPr>
            <w:tcW w:w="0" w:type="dxa"/>
            <w:vAlign w:val="bottom"/>
          </w:tcPr>
          <w:p>
            <w:pPr>
              <w:spacing w:after="0"/>
              <w:rPr>
                <w:sz w:val="1"/>
                <w:szCs w:val="1"/>
                <w:color w:val="auto"/>
              </w:rPr>
            </w:pPr>
          </w:p>
        </w:tc>
      </w:tr>
      <w:tr>
        <w:trPr>
          <w:trHeight w:val="324"/>
        </w:trPr>
        <w:tc>
          <w:tcPr>
            <w:tcW w:w="10660" w:type="dxa"/>
            <w:vAlign w:val="bottom"/>
          </w:tcPr>
          <w:p>
            <w:pPr>
              <w:ind w:left="440"/>
              <w:spacing w:after="0"/>
              <w:rPr>
                <w:sz w:val="20"/>
                <w:szCs w:val="20"/>
                <w:color w:val="auto"/>
              </w:rPr>
            </w:pPr>
            <w:r>
              <w:rPr>
                <w:rFonts w:ascii="Arial" w:cs="Arial" w:eastAsia="Arial" w:hAnsi="Arial"/>
                <w:sz w:val="18"/>
                <w:szCs w:val="18"/>
                <w:color w:val="auto"/>
              </w:rPr>
              <w:t>Stockholders’ Equity for each of the three years in the period ended December 31, 2007</w:t>
            </w:r>
          </w:p>
        </w:tc>
        <w:tc>
          <w:tcPr>
            <w:tcW w:w="760" w:type="dxa"/>
            <w:vAlign w:val="bottom"/>
          </w:tcPr>
          <w:p>
            <w:pPr>
              <w:jc w:val="center"/>
              <w:spacing w:after="0"/>
              <w:rPr>
                <w:sz w:val="20"/>
                <w:szCs w:val="20"/>
                <w:color w:val="auto"/>
              </w:rPr>
            </w:pPr>
            <w:r>
              <w:rPr>
                <w:rFonts w:ascii="Arial" w:cs="Arial" w:eastAsia="Arial" w:hAnsi="Arial"/>
                <w:sz w:val="18"/>
                <w:szCs w:val="18"/>
                <w:color w:val="auto"/>
                <w:w w:val="79"/>
              </w:rPr>
              <w:t>10</w:t>
            </w:r>
          </w:p>
        </w:tc>
        <w:tc>
          <w:tcPr>
            <w:tcW w:w="0" w:type="dxa"/>
            <w:vAlign w:val="bottom"/>
          </w:tcPr>
          <w:p>
            <w:pPr>
              <w:spacing w:after="0"/>
              <w:rPr>
                <w:sz w:val="1"/>
                <w:szCs w:val="1"/>
                <w:color w:val="auto"/>
              </w:rPr>
            </w:pPr>
          </w:p>
        </w:tc>
      </w:tr>
      <w:tr>
        <w:trPr>
          <w:trHeight w:val="324"/>
        </w:trPr>
        <w:tc>
          <w:tcPr>
            <w:tcW w:w="10660" w:type="dxa"/>
            <w:vAlign w:val="bottom"/>
          </w:tcPr>
          <w:p>
            <w:pPr>
              <w:spacing w:after="0"/>
              <w:rPr>
                <w:sz w:val="20"/>
                <w:szCs w:val="20"/>
                <w:color w:val="auto"/>
              </w:rPr>
            </w:pPr>
            <w:r>
              <w:rPr>
                <w:rFonts w:ascii="Arial" w:cs="Arial" w:eastAsia="Arial" w:hAnsi="Arial"/>
                <w:sz w:val="18"/>
                <w:szCs w:val="18"/>
                <w:color w:val="auto"/>
              </w:rPr>
              <w:t>Notes to Financial Statements</w:t>
            </w:r>
          </w:p>
        </w:tc>
        <w:tc>
          <w:tcPr>
            <w:tcW w:w="760" w:type="dxa"/>
            <w:vAlign w:val="bottom"/>
          </w:tcPr>
          <w:p>
            <w:pPr>
              <w:jc w:val="center"/>
              <w:spacing w:after="0"/>
              <w:rPr>
                <w:sz w:val="20"/>
                <w:szCs w:val="20"/>
                <w:color w:val="auto"/>
              </w:rPr>
            </w:pPr>
            <w:r>
              <w:rPr>
                <w:rFonts w:ascii="Arial" w:cs="Arial" w:eastAsia="Arial" w:hAnsi="Arial"/>
                <w:sz w:val="18"/>
                <w:szCs w:val="18"/>
                <w:color w:val="auto"/>
                <w:w w:val="86"/>
              </w:rPr>
              <w:t>11-41</w:t>
            </w:r>
          </w:p>
        </w:tc>
        <w:tc>
          <w:tcPr>
            <w:tcW w:w="0" w:type="dxa"/>
            <w:vAlign w:val="bottom"/>
          </w:tcPr>
          <w:p>
            <w:pPr>
              <w:spacing w:after="0"/>
              <w:rPr>
                <w:sz w:val="1"/>
                <w:szCs w:val="1"/>
                <w:color w:val="auto"/>
              </w:rPr>
            </w:pPr>
          </w:p>
        </w:tc>
      </w:tr>
      <w:tr>
        <w:trPr>
          <w:trHeight w:val="324"/>
        </w:trPr>
        <w:tc>
          <w:tcPr>
            <w:tcW w:w="10660" w:type="dxa"/>
            <w:vAlign w:val="bottom"/>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760" w:type="dxa"/>
            <w:vAlign w:val="bottom"/>
          </w:tcPr>
          <w:p>
            <w:pPr>
              <w:jc w:val="center"/>
              <w:spacing w:after="0"/>
              <w:rPr>
                <w:sz w:val="20"/>
                <w:szCs w:val="20"/>
                <w:color w:val="auto"/>
              </w:rPr>
            </w:pPr>
            <w:r>
              <w:rPr>
                <w:rFonts w:ascii="Arial" w:cs="Arial" w:eastAsia="Arial" w:hAnsi="Arial"/>
                <w:sz w:val="18"/>
                <w:szCs w:val="18"/>
                <w:color w:val="auto"/>
                <w:w w:val="79"/>
              </w:rPr>
              <w:t>42</w:t>
            </w:r>
          </w:p>
        </w:tc>
        <w:tc>
          <w:tcPr>
            <w:tcW w:w="0" w:type="dxa"/>
            <w:vAlign w:val="bottom"/>
          </w:tcPr>
          <w:p>
            <w:pPr>
              <w:spacing w:after="0"/>
              <w:rPr>
                <w:sz w:val="1"/>
                <w:szCs w:val="1"/>
                <w:color w:val="auto"/>
              </w:rPr>
            </w:pPr>
          </w:p>
        </w:tc>
      </w:tr>
      <w:tr>
        <w:trPr>
          <w:trHeight w:val="324"/>
        </w:trPr>
        <w:tc>
          <w:tcPr>
            <w:tcW w:w="10660" w:type="dxa"/>
            <w:vAlign w:val="bottom"/>
          </w:tcPr>
          <w:p>
            <w:pPr>
              <w:spacing w:after="0"/>
              <w:rPr>
                <w:sz w:val="20"/>
                <w:szCs w:val="20"/>
                <w:color w:val="auto"/>
              </w:rPr>
            </w:pPr>
            <w:r>
              <w:rPr>
                <w:rFonts w:ascii="Arial" w:cs="Arial" w:eastAsia="Arial" w:hAnsi="Arial"/>
                <w:sz w:val="18"/>
                <w:szCs w:val="18"/>
                <w:color w:val="auto"/>
              </w:rPr>
              <w:t>Report by Management on Internal Control over Financial Reporting</w:t>
            </w:r>
          </w:p>
        </w:tc>
        <w:tc>
          <w:tcPr>
            <w:tcW w:w="760" w:type="dxa"/>
            <w:vAlign w:val="bottom"/>
          </w:tcPr>
          <w:p>
            <w:pPr>
              <w:jc w:val="center"/>
              <w:spacing w:after="0"/>
              <w:rPr>
                <w:sz w:val="20"/>
                <w:szCs w:val="20"/>
                <w:color w:val="auto"/>
              </w:rPr>
            </w:pPr>
            <w:r>
              <w:rPr>
                <w:rFonts w:ascii="Arial" w:cs="Arial" w:eastAsia="Arial" w:hAnsi="Arial"/>
                <w:sz w:val="18"/>
                <w:szCs w:val="18"/>
                <w:color w:val="auto"/>
                <w:w w:val="79"/>
              </w:rPr>
              <w:t>43</w:t>
            </w:r>
          </w:p>
        </w:tc>
        <w:tc>
          <w:tcPr>
            <w:tcW w:w="0" w:type="dxa"/>
            <w:vAlign w:val="bottom"/>
          </w:tcPr>
          <w:p>
            <w:pPr>
              <w:spacing w:after="0"/>
              <w:rPr>
                <w:sz w:val="1"/>
                <w:szCs w:val="1"/>
                <w:color w:val="auto"/>
              </w:rPr>
            </w:pPr>
          </w:p>
        </w:tc>
      </w:tr>
      <w:tr>
        <w:trPr>
          <w:trHeight w:val="324"/>
        </w:trPr>
        <w:tc>
          <w:tcPr>
            <w:tcW w:w="10660" w:type="dxa"/>
            <w:vAlign w:val="bottom"/>
          </w:tcPr>
          <w:p>
            <w:pPr>
              <w:spacing w:after="0"/>
              <w:rPr>
                <w:sz w:val="20"/>
                <w:szCs w:val="20"/>
                <w:color w:val="auto"/>
              </w:rPr>
            </w:pPr>
            <w:r>
              <w:rPr>
                <w:rFonts w:ascii="Arial" w:cs="Arial" w:eastAsia="Arial" w:hAnsi="Arial"/>
                <w:sz w:val="18"/>
                <w:szCs w:val="18"/>
                <w:color w:val="auto"/>
              </w:rPr>
              <w:t>Report of Independent Registered Public Accounting Firm on Internal Control over Financial Reporting</w:t>
            </w:r>
          </w:p>
        </w:tc>
        <w:tc>
          <w:tcPr>
            <w:tcW w:w="760" w:type="dxa"/>
            <w:vAlign w:val="bottom"/>
          </w:tcPr>
          <w:p>
            <w:pPr>
              <w:jc w:val="center"/>
              <w:spacing w:after="0"/>
              <w:rPr>
                <w:sz w:val="20"/>
                <w:szCs w:val="20"/>
                <w:color w:val="auto"/>
              </w:rPr>
            </w:pPr>
            <w:r>
              <w:rPr>
                <w:rFonts w:ascii="Arial" w:cs="Arial" w:eastAsia="Arial" w:hAnsi="Arial"/>
                <w:sz w:val="18"/>
                <w:szCs w:val="18"/>
                <w:color w:val="auto"/>
                <w:w w:val="79"/>
              </w:rPr>
              <w:t>44</w:t>
            </w:r>
          </w:p>
        </w:tc>
        <w:tc>
          <w:tcPr>
            <w:tcW w:w="0" w:type="dxa"/>
            <w:vAlign w:val="bottom"/>
          </w:tcPr>
          <w:p>
            <w:pPr>
              <w:spacing w:after="0"/>
              <w:rPr>
                <w:sz w:val="1"/>
                <w:szCs w:val="1"/>
                <w:color w:val="auto"/>
              </w:rPr>
            </w:pPr>
          </w:p>
        </w:tc>
      </w:tr>
    </w:tbl>
    <w:p>
      <w:pPr>
        <w:spacing w:after="0" w:line="15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Schedules have been omitted because the required information is not present or not present in amounts sufficient to require submission of the schedule, or because the information required is included in the consolidated financial statements or the notes thereto.</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80"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07"/>
        </w:trPr>
        <w:tc>
          <w:tcPr>
            <w:tcW w:w="648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1"/>
              </w:rPr>
              <w:t>Exhibit 13</w:t>
            </w:r>
          </w:p>
        </w:tc>
        <w:tc>
          <w:tcPr>
            <w:tcW w:w="0" w:type="dxa"/>
            <w:vAlign w:val="bottom"/>
          </w:tcPr>
          <w:p>
            <w:pPr>
              <w:spacing w:after="0"/>
              <w:rPr>
                <w:sz w:val="1"/>
                <w:szCs w:val="1"/>
                <w:color w:val="auto"/>
              </w:rPr>
            </w:pPr>
          </w:p>
        </w:tc>
      </w:tr>
      <w:tr>
        <w:trPr>
          <w:trHeight w:val="397"/>
        </w:trPr>
        <w:tc>
          <w:tcPr>
            <w:tcW w:w="6480" w:type="dxa"/>
            <w:vAlign w:val="bottom"/>
          </w:tcPr>
          <w:p>
            <w:pPr>
              <w:spacing w:after="0"/>
              <w:rPr>
                <w:sz w:val="20"/>
                <w:szCs w:val="20"/>
                <w:color w:val="auto"/>
              </w:rPr>
            </w:pPr>
            <w:r>
              <w:rPr>
                <w:rFonts w:ascii="Arial" w:cs="Arial" w:eastAsia="Arial" w:hAnsi="Arial"/>
                <w:sz w:val="18"/>
                <w:szCs w:val="18"/>
                <w:b w:val="1"/>
                <w:bCs w:val="1"/>
                <w:color w:val="auto"/>
              </w:rPr>
              <w:t>CONSOLIDATED STATEMENTS OF INCOME</w:t>
            </w:r>
          </w:p>
        </w:tc>
        <w:tc>
          <w:tcPr>
            <w:tcW w:w="2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6480" w:type="dxa"/>
            <w:vAlign w:val="bottom"/>
          </w:tcPr>
          <w:p>
            <w:pPr>
              <w:spacing w:after="0"/>
              <w:rPr>
                <w:sz w:val="20"/>
                <w:szCs w:val="20"/>
                <w:color w:val="auto"/>
              </w:rPr>
            </w:pPr>
            <w:r>
              <w:rPr>
                <w:rFonts w:ascii="Arial" w:cs="Arial" w:eastAsia="Arial" w:hAnsi="Arial"/>
                <w:sz w:val="14"/>
                <w:szCs w:val="14"/>
                <w:b w:val="1"/>
                <w:bCs w:val="1"/>
                <w:color w:val="auto"/>
              </w:rPr>
              <w:t>(Millions of dollars, except share and per-share amounts)</w:t>
            </w:r>
          </w:p>
        </w:tc>
        <w:tc>
          <w:tcPr>
            <w:tcW w:w="2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64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80" w:type="dxa"/>
            <w:vAlign w:val="bottom"/>
            <w:gridSpan w:val="4"/>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6480" w:type="dxa"/>
            <w:vAlign w:val="bottom"/>
            <w:shd w:val="clear" w:color="auto" w:fill="E5E5E5"/>
          </w:tcPr>
          <w:p>
            <w:pPr>
              <w:spacing w:after="0"/>
              <w:rPr>
                <w:sz w:val="11"/>
                <w:szCs w:val="11"/>
                <w:color w:val="auto"/>
              </w:rPr>
            </w:pPr>
          </w:p>
        </w:tc>
        <w:tc>
          <w:tcPr>
            <w:tcW w:w="2300" w:type="dxa"/>
            <w:vAlign w:val="bottom"/>
            <w:shd w:val="clear" w:color="auto" w:fill="E5E5E5"/>
          </w:tcPr>
          <w:p>
            <w:pPr>
              <w:spacing w:after="0"/>
              <w:rPr>
                <w:sz w:val="11"/>
                <w:szCs w:val="11"/>
                <w:color w:val="auto"/>
              </w:rPr>
            </w:pPr>
          </w:p>
        </w:tc>
        <w:tc>
          <w:tcPr>
            <w:tcW w:w="160" w:type="dxa"/>
            <w:vAlign w:val="bottom"/>
            <w:shd w:val="clear" w:color="auto" w:fill="E5E5E5"/>
          </w:tcPr>
          <w:p>
            <w:pPr>
              <w:spacing w:after="0"/>
              <w:rPr>
                <w:sz w:val="11"/>
                <w:szCs w:val="11"/>
                <w:color w:val="auto"/>
              </w:rPr>
            </w:pPr>
          </w:p>
        </w:tc>
        <w:tc>
          <w:tcPr>
            <w:tcW w:w="1880" w:type="dxa"/>
            <w:vAlign w:val="bottom"/>
            <w:gridSpan w:val="4"/>
            <w:shd w:val="clear" w:color="auto" w:fill="E5E5E5"/>
          </w:tcPr>
          <w:p>
            <w:pPr>
              <w:jc w:val="right"/>
              <w:ind w:right="12"/>
              <w:spacing w:after="0" w:line="132" w:lineRule="exact"/>
              <w:rPr>
                <w:sz w:val="20"/>
                <w:szCs w:val="20"/>
                <w:color w:val="auto"/>
              </w:rPr>
            </w:pPr>
            <w:r>
              <w:rPr>
                <w:rFonts w:ascii="Arial" w:cs="Arial" w:eastAsia="Arial" w:hAnsi="Arial"/>
                <w:sz w:val="14"/>
                <w:szCs w:val="14"/>
                <w:b w:val="1"/>
                <w:bCs w:val="1"/>
                <w:color w:val="auto"/>
              </w:rPr>
              <w:t>For the years ended</w:t>
            </w:r>
          </w:p>
        </w:tc>
        <w:tc>
          <w:tcPr>
            <w:tcW w:w="540" w:type="dxa"/>
            <w:vAlign w:val="bottom"/>
            <w:shd w:val="clear" w:color="auto" w:fill="E5E5E5"/>
          </w:tcPr>
          <w:p>
            <w:pPr>
              <w:spacing w:after="0"/>
              <w:rPr>
                <w:sz w:val="11"/>
                <w:szCs w:val="11"/>
                <w:color w:val="auto"/>
              </w:rPr>
            </w:pPr>
          </w:p>
        </w:tc>
        <w:tc>
          <w:tcPr>
            <w:tcW w:w="60" w:type="dxa"/>
            <w:vAlign w:val="bottom"/>
            <w:shd w:val="clear" w:color="auto" w:fill="E5E5E5"/>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6480" w:type="dxa"/>
            <w:vAlign w:val="bottom"/>
            <w:shd w:val="clear" w:color="auto" w:fill="E5E5E5"/>
          </w:tcPr>
          <w:p>
            <w:pPr>
              <w:spacing w:after="0"/>
              <w:rPr>
                <w:sz w:val="14"/>
                <w:szCs w:val="14"/>
                <w:color w:val="auto"/>
              </w:rPr>
            </w:pPr>
          </w:p>
        </w:tc>
        <w:tc>
          <w:tcPr>
            <w:tcW w:w="2300" w:type="dxa"/>
            <w:vAlign w:val="bottom"/>
            <w:shd w:val="clear" w:color="auto" w:fill="E5E5E5"/>
          </w:tcPr>
          <w:p>
            <w:pPr>
              <w:spacing w:after="0"/>
              <w:rPr>
                <w:sz w:val="14"/>
                <w:szCs w:val="14"/>
                <w:color w:val="auto"/>
              </w:rPr>
            </w:pPr>
          </w:p>
        </w:tc>
        <w:tc>
          <w:tcPr>
            <w:tcW w:w="160" w:type="dxa"/>
            <w:vAlign w:val="bottom"/>
            <w:shd w:val="clear" w:color="auto" w:fill="E5E5E5"/>
          </w:tcPr>
          <w:p>
            <w:pPr>
              <w:spacing w:after="0"/>
              <w:rPr>
                <w:sz w:val="14"/>
                <w:szCs w:val="14"/>
                <w:color w:val="auto"/>
              </w:rPr>
            </w:pPr>
          </w:p>
        </w:tc>
        <w:tc>
          <w:tcPr>
            <w:tcW w:w="640" w:type="dxa"/>
            <w:vAlign w:val="bottom"/>
            <w:shd w:val="clear" w:color="auto" w:fill="E5E5E5"/>
          </w:tcPr>
          <w:p>
            <w:pPr>
              <w:spacing w:after="0"/>
              <w:rPr>
                <w:sz w:val="14"/>
                <w:szCs w:val="14"/>
                <w:color w:val="auto"/>
              </w:rPr>
            </w:pPr>
          </w:p>
        </w:tc>
        <w:tc>
          <w:tcPr>
            <w:tcW w:w="1100" w:type="dxa"/>
            <w:vAlign w:val="bottom"/>
            <w:gridSpan w:val="2"/>
            <w:shd w:val="clear" w:color="auto" w:fill="E5E5E5"/>
          </w:tcPr>
          <w:p>
            <w:pPr>
              <w:jc w:val="right"/>
              <w:ind w:right="72"/>
              <w:spacing w:after="0"/>
              <w:rPr>
                <w:sz w:val="20"/>
                <w:szCs w:val="20"/>
                <w:color w:val="auto"/>
              </w:rPr>
            </w:pPr>
            <w:r>
              <w:rPr>
                <w:rFonts w:ascii="Arial" w:cs="Arial" w:eastAsia="Arial" w:hAnsi="Arial"/>
                <w:sz w:val="14"/>
                <w:szCs w:val="14"/>
                <w:b w:val="1"/>
                <w:bCs w:val="1"/>
                <w:color w:val="auto"/>
              </w:rPr>
              <w:t>December 31,</w:t>
            </w:r>
          </w:p>
        </w:tc>
        <w:tc>
          <w:tcPr>
            <w:tcW w:w="140" w:type="dxa"/>
            <w:vAlign w:val="bottom"/>
            <w:shd w:val="clear" w:color="auto" w:fill="E5E5E5"/>
          </w:tcPr>
          <w:p>
            <w:pPr>
              <w:spacing w:after="0"/>
              <w:rPr>
                <w:sz w:val="14"/>
                <w:szCs w:val="14"/>
                <w:color w:val="auto"/>
              </w:rPr>
            </w:pPr>
          </w:p>
        </w:tc>
        <w:tc>
          <w:tcPr>
            <w:tcW w:w="540" w:type="dxa"/>
            <w:vAlign w:val="bottom"/>
            <w:shd w:val="clear" w:color="auto" w:fill="E5E5E5"/>
          </w:tcPr>
          <w:p>
            <w:pPr>
              <w:spacing w:after="0"/>
              <w:rPr>
                <w:sz w:val="14"/>
                <w:szCs w:val="14"/>
                <w:color w:val="auto"/>
              </w:rPr>
            </w:pPr>
          </w:p>
        </w:tc>
        <w:tc>
          <w:tcPr>
            <w:tcW w:w="6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311"/>
        </w:trPr>
        <w:tc>
          <w:tcPr>
            <w:tcW w:w="6480" w:type="dxa"/>
            <w:vAlign w:val="bottom"/>
            <w:shd w:val="clear" w:color="auto" w:fill="E5E5E5"/>
          </w:tcPr>
          <w:p>
            <w:pPr>
              <w:spacing w:after="0"/>
              <w:rPr>
                <w:sz w:val="24"/>
                <w:szCs w:val="24"/>
                <w:color w:val="auto"/>
              </w:rPr>
            </w:pPr>
          </w:p>
        </w:tc>
        <w:tc>
          <w:tcPr>
            <w:tcW w:w="2300" w:type="dxa"/>
            <w:vAlign w:val="bottom"/>
            <w:shd w:val="clear" w:color="auto" w:fill="E5E5E5"/>
          </w:tcPr>
          <w:p>
            <w:pPr>
              <w:spacing w:after="0"/>
              <w:rPr>
                <w:sz w:val="24"/>
                <w:szCs w:val="24"/>
                <w:color w:val="auto"/>
              </w:rPr>
            </w:pPr>
          </w:p>
        </w:tc>
        <w:tc>
          <w:tcPr>
            <w:tcW w:w="160" w:type="dxa"/>
            <w:vAlign w:val="bottom"/>
            <w:shd w:val="clear" w:color="auto" w:fill="E5E5E5"/>
          </w:tcPr>
          <w:p>
            <w:pPr>
              <w:spacing w:after="0"/>
              <w:rPr>
                <w:sz w:val="24"/>
                <w:szCs w:val="24"/>
                <w:color w:val="auto"/>
              </w:rPr>
            </w:pPr>
          </w:p>
        </w:tc>
        <w:tc>
          <w:tcPr>
            <w:tcW w:w="640" w:type="dxa"/>
            <w:vAlign w:val="bottom"/>
            <w:shd w:val="clear" w:color="auto" w:fill="E5E5E5"/>
          </w:tcPr>
          <w:p>
            <w:pPr>
              <w:jc w:val="right"/>
              <w:ind w:right="33"/>
              <w:spacing w:after="0"/>
              <w:rPr>
                <w:sz w:val="20"/>
                <w:szCs w:val="20"/>
                <w:color w:val="auto"/>
              </w:rPr>
            </w:pPr>
            <w:r>
              <w:rPr>
                <w:rFonts w:ascii="Arial" w:cs="Arial" w:eastAsia="Arial" w:hAnsi="Arial"/>
                <w:sz w:val="18"/>
                <w:szCs w:val="18"/>
                <w:b w:val="1"/>
                <w:bCs w:val="1"/>
                <w:color w:val="auto"/>
              </w:rPr>
              <w:t>2007</w:t>
            </w:r>
          </w:p>
        </w:tc>
        <w:tc>
          <w:tcPr>
            <w:tcW w:w="380" w:type="dxa"/>
            <w:vAlign w:val="bottom"/>
            <w:shd w:val="clear" w:color="auto" w:fill="E5E5E5"/>
          </w:tcPr>
          <w:p>
            <w:pPr>
              <w:spacing w:after="0"/>
              <w:rPr>
                <w:sz w:val="24"/>
                <w:szCs w:val="24"/>
                <w:color w:val="auto"/>
              </w:rPr>
            </w:pPr>
          </w:p>
        </w:tc>
        <w:tc>
          <w:tcPr>
            <w:tcW w:w="720" w:type="dxa"/>
            <w:vAlign w:val="bottom"/>
            <w:shd w:val="clear" w:color="auto" w:fill="E5E5E5"/>
          </w:tcPr>
          <w:p>
            <w:pPr>
              <w:jc w:val="right"/>
              <w:ind w:right="172"/>
              <w:spacing w:after="0"/>
              <w:rPr>
                <w:sz w:val="20"/>
                <w:szCs w:val="20"/>
                <w:color w:val="auto"/>
              </w:rPr>
            </w:pPr>
            <w:r>
              <w:rPr>
                <w:rFonts w:ascii="Arial" w:cs="Arial" w:eastAsia="Arial" w:hAnsi="Arial"/>
                <w:sz w:val="18"/>
                <w:szCs w:val="18"/>
                <w:b w:val="1"/>
                <w:bCs w:val="1"/>
                <w:color w:val="auto"/>
              </w:rPr>
              <w:t>2006</w:t>
            </w:r>
          </w:p>
        </w:tc>
        <w:tc>
          <w:tcPr>
            <w:tcW w:w="140" w:type="dxa"/>
            <w:vAlign w:val="bottom"/>
            <w:shd w:val="clear" w:color="auto" w:fill="E5E5E5"/>
          </w:tcPr>
          <w:p>
            <w:pPr>
              <w:spacing w:after="0"/>
              <w:rPr>
                <w:sz w:val="24"/>
                <w:szCs w:val="24"/>
                <w:color w:val="auto"/>
              </w:rPr>
            </w:pP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2005</w:t>
            </w:r>
          </w:p>
        </w:tc>
        <w:tc>
          <w:tcPr>
            <w:tcW w:w="60" w:type="dxa"/>
            <w:vAlign w:val="bottom"/>
            <w:shd w:val="clear" w:color="auto" w:fill="E5E5E5"/>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480" w:type="dxa"/>
            <w:vAlign w:val="bottom"/>
          </w:tcPr>
          <w:p>
            <w:pPr>
              <w:spacing w:after="0" w:line="202" w:lineRule="exact"/>
              <w:rPr>
                <w:sz w:val="20"/>
                <w:szCs w:val="20"/>
                <w:color w:val="auto"/>
              </w:rPr>
            </w:pPr>
            <w:r>
              <w:rPr>
                <w:rFonts w:ascii="Arial" w:cs="Arial" w:eastAsia="Arial" w:hAnsi="Arial"/>
                <w:sz w:val="18"/>
                <w:szCs w:val="18"/>
                <w:color w:val="auto"/>
              </w:rPr>
              <w:t>Net revenue</w:t>
            </w:r>
          </w:p>
        </w:tc>
        <w:tc>
          <w:tcPr>
            <w:tcW w:w="246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13,835</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92"/>
              <w:spacing w:after="0" w:line="202" w:lineRule="exact"/>
              <w:rPr>
                <w:sz w:val="20"/>
                <w:szCs w:val="20"/>
                <w:color w:val="auto"/>
              </w:rPr>
            </w:pPr>
            <w:r>
              <w:rPr>
                <w:rFonts w:ascii="Arial" w:cs="Arial" w:eastAsia="Arial" w:hAnsi="Arial"/>
                <w:sz w:val="18"/>
                <w:szCs w:val="18"/>
                <w:color w:val="auto"/>
                <w:w w:val="94"/>
              </w:rPr>
              <w:t>14,255</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4"/>
              </w:rPr>
              <w:t>12,335</w:t>
            </w:r>
          </w:p>
        </w:tc>
        <w:tc>
          <w:tcPr>
            <w:tcW w:w="0" w:type="dxa"/>
            <w:vAlign w:val="bottom"/>
          </w:tcPr>
          <w:p>
            <w:pPr>
              <w:spacing w:after="0"/>
              <w:rPr>
                <w:sz w:val="1"/>
                <w:szCs w:val="1"/>
                <w:color w:val="auto"/>
              </w:rPr>
            </w:pPr>
          </w:p>
        </w:tc>
      </w:tr>
      <w:tr>
        <w:trPr>
          <w:trHeight w:val="203"/>
        </w:trPr>
        <w:tc>
          <w:tcPr>
            <w:tcW w:w="64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Operating costs and expenses:</w:t>
            </w:r>
          </w:p>
        </w:tc>
        <w:tc>
          <w:tcPr>
            <w:tcW w:w="23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64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7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54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tcPr>
          <w:p>
            <w:pPr>
              <w:ind w:left="220"/>
              <w:spacing w:after="0" w:line="202" w:lineRule="exact"/>
              <w:rPr>
                <w:sz w:val="20"/>
                <w:szCs w:val="20"/>
                <w:color w:val="auto"/>
              </w:rPr>
            </w:pPr>
            <w:r>
              <w:rPr>
                <w:rFonts w:ascii="Arial" w:cs="Arial" w:eastAsia="Arial" w:hAnsi="Arial"/>
                <w:sz w:val="18"/>
                <w:szCs w:val="18"/>
                <w:color w:val="auto"/>
              </w:rPr>
              <w:t>Cost of revenue</w:t>
            </w:r>
          </w:p>
        </w:tc>
        <w:tc>
          <w:tcPr>
            <w:tcW w:w="2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6,502</w:t>
            </w:r>
          </w:p>
        </w:tc>
        <w:tc>
          <w:tcPr>
            <w:tcW w:w="380" w:type="dxa"/>
            <w:vAlign w:val="bottom"/>
          </w:tcPr>
          <w:p>
            <w:pPr>
              <w:spacing w:after="0"/>
              <w:rPr>
                <w:sz w:val="17"/>
                <w:szCs w:val="17"/>
                <w:color w:val="auto"/>
              </w:rPr>
            </w:pPr>
          </w:p>
        </w:tc>
        <w:tc>
          <w:tcPr>
            <w:tcW w:w="720" w:type="dxa"/>
            <w:vAlign w:val="bottom"/>
          </w:tcPr>
          <w:p>
            <w:pPr>
              <w:jc w:val="right"/>
              <w:ind w:right="92"/>
              <w:spacing w:after="0" w:line="202" w:lineRule="exact"/>
              <w:rPr>
                <w:sz w:val="20"/>
                <w:szCs w:val="20"/>
                <w:color w:val="auto"/>
              </w:rPr>
            </w:pPr>
            <w:r>
              <w:rPr>
                <w:rFonts w:ascii="Arial" w:cs="Arial" w:eastAsia="Arial" w:hAnsi="Arial"/>
                <w:sz w:val="18"/>
                <w:szCs w:val="18"/>
                <w:color w:val="auto"/>
              </w:rPr>
              <w:t>6,996</w:t>
            </w:r>
          </w:p>
        </w:tc>
        <w:tc>
          <w:tcPr>
            <w:tcW w:w="14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6,319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Research and development</w:t>
            </w:r>
          </w:p>
        </w:tc>
        <w:tc>
          <w:tcPr>
            <w:tcW w:w="23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6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2,155</w:t>
            </w:r>
          </w:p>
        </w:tc>
        <w:tc>
          <w:tcPr>
            <w:tcW w:w="380" w:type="dxa"/>
            <w:vAlign w:val="bottom"/>
            <w:shd w:val="clear" w:color="auto" w:fill="E5E5E5"/>
          </w:tcPr>
          <w:p>
            <w:pPr>
              <w:spacing w:after="0"/>
              <w:rPr>
                <w:sz w:val="17"/>
                <w:szCs w:val="17"/>
                <w:color w:val="auto"/>
              </w:rPr>
            </w:pPr>
          </w:p>
        </w:tc>
        <w:tc>
          <w:tcPr>
            <w:tcW w:w="720" w:type="dxa"/>
            <w:vAlign w:val="bottom"/>
            <w:shd w:val="clear" w:color="auto" w:fill="E5E5E5"/>
          </w:tcPr>
          <w:p>
            <w:pPr>
              <w:jc w:val="right"/>
              <w:ind w:right="92"/>
              <w:spacing w:after="0" w:line="202" w:lineRule="exact"/>
              <w:rPr>
                <w:sz w:val="20"/>
                <w:szCs w:val="20"/>
                <w:color w:val="auto"/>
              </w:rPr>
            </w:pPr>
            <w:r>
              <w:rPr>
                <w:rFonts w:ascii="Arial" w:cs="Arial" w:eastAsia="Arial" w:hAnsi="Arial"/>
                <w:sz w:val="18"/>
                <w:szCs w:val="18"/>
                <w:color w:val="auto"/>
              </w:rPr>
              <w:t>2,195</w:t>
            </w:r>
          </w:p>
        </w:tc>
        <w:tc>
          <w:tcPr>
            <w:tcW w:w="140" w:type="dxa"/>
            <w:vAlign w:val="bottom"/>
            <w:shd w:val="clear" w:color="auto" w:fill="E5E5E5"/>
          </w:tcPr>
          <w:p>
            <w:pPr>
              <w:spacing w:after="0"/>
              <w:rPr>
                <w:sz w:val="17"/>
                <w:szCs w:val="17"/>
                <w:color w:val="auto"/>
              </w:rPr>
            </w:pPr>
          </w:p>
        </w:tc>
        <w:tc>
          <w:tcPr>
            <w:tcW w:w="5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1,986</w:t>
            </w:r>
          </w:p>
        </w:tc>
        <w:tc>
          <w:tcPr>
            <w:tcW w:w="6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480" w:type="dxa"/>
            <w:vAlign w:val="bottom"/>
          </w:tcPr>
          <w:p>
            <w:pPr>
              <w:ind w:left="220"/>
              <w:spacing w:after="0" w:line="202" w:lineRule="exact"/>
              <w:rPr>
                <w:sz w:val="20"/>
                <w:szCs w:val="20"/>
                <w:color w:val="auto"/>
              </w:rPr>
            </w:pPr>
            <w:r>
              <w:rPr>
                <w:rFonts w:ascii="Arial" w:cs="Arial" w:eastAsia="Arial" w:hAnsi="Arial"/>
                <w:sz w:val="18"/>
                <w:szCs w:val="18"/>
                <w:color w:val="auto"/>
              </w:rPr>
              <w:t>Selling, general and administrative</w:t>
            </w:r>
          </w:p>
        </w:tc>
        <w:tc>
          <w:tcPr>
            <w:tcW w:w="23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1,681</w:t>
            </w: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92"/>
              <w:spacing w:after="0" w:line="202" w:lineRule="exact"/>
              <w:rPr>
                <w:sz w:val="20"/>
                <w:szCs w:val="20"/>
                <w:color w:val="auto"/>
              </w:rPr>
            </w:pPr>
            <w:r>
              <w:rPr>
                <w:rFonts w:ascii="Arial" w:cs="Arial" w:eastAsia="Arial" w:hAnsi="Arial"/>
                <w:sz w:val="18"/>
                <w:szCs w:val="18"/>
                <w:color w:val="auto"/>
              </w:rPr>
              <w:t>1,697</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48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Total</w:t>
            </w:r>
          </w:p>
        </w:tc>
        <w:tc>
          <w:tcPr>
            <w:tcW w:w="2300" w:type="dxa"/>
            <w:vAlign w:val="bottom"/>
            <w:shd w:val="clear" w:color="auto" w:fill="E5E5E5"/>
          </w:tcPr>
          <w:p>
            <w:pPr>
              <w:spacing w:after="0"/>
              <w:rPr>
                <w:sz w:val="17"/>
                <w:szCs w:val="17"/>
                <w:color w:val="auto"/>
              </w:rPr>
            </w:pPr>
          </w:p>
        </w:tc>
        <w:tc>
          <w:tcPr>
            <w:tcW w:w="160" w:type="dxa"/>
            <w:vAlign w:val="bottom"/>
            <w:tcBorders>
              <w:bottom w:val="single" w:sz="8" w:color="auto"/>
            </w:tcBorders>
            <w:shd w:val="clear" w:color="auto" w:fill="E5E5E5"/>
          </w:tcPr>
          <w:p>
            <w:pPr>
              <w:spacing w:after="0"/>
              <w:rPr>
                <w:sz w:val="17"/>
                <w:szCs w:val="17"/>
                <w:color w:val="auto"/>
              </w:rPr>
            </w:pPr>
          </w:p>
        </w:tc>
        <w:tc>
          <w:tcPr>
            <w:tcW w:w="640" w:type="dxa"/>
            <w:vAlign w:val="bottom"/>
            <w:tcBorders>
              <w:bottom w:val="single" w:sz="8" w:color="auto"/>
            </w:tcBorders>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10,338</w:t>
            </w:r>
          </w:p>
        </w:tc>
        <w:tc>
          <w:tcPr>
            <w:tcW w:w="380" w:type="dxa"/>
            <w:vAlign w:val="bottom"/>
            <w:tcBorders>
              <w:bottom w:val="single" w:sz="8" w:color="auto"/>
            </w:tcBorders>
            <w:shd w:val="clear" w:color="auto" w:fill="E5E5E5"/>
          </w:tcPr>
          <w:p>
            <w:pPr>
              <w:spacing w:after="0"/>
              <w:rPr>
                <w:sz w:val="17"/>
                <w:szCs w:val="17"/>
                <w:color w:val="auto"/>
              </w:rPr>
            </w:pPr>
          </w:p>
        </w:tc>
        <w:tc>
          <w:tcPr>
            <w:tcW w:w="720" w:type="dxa"/>
            <w:vAlign w:val="bottom"/>
            <w:tcBorders>
              <w:bottom w:val="single" w:sz="8" w:color="auto"/>
            </w:tcBorders>
            <w:shd w:val="clear" w:color="auto" w:fill="E5E5E5"/>
          </w:tcPr>
          <w:p>
            <w:pPr>
              <w:jc w:val="right"/>
              <w:ind w:right="92"/>
              <w:spacing w:after="0" w:line="202" w:lineRule="exact"/>
              <w:rPr>
                <w:sz w:val="20"/>
                <w:szCs w:val="20"/>
                <w:color w:val="auto"/>
              </w:rPr>
            </w:pPr>
            <w:r>
              <w:rPr>
                <w:rFonts w:ascii="Arial" w:cs="Arial" w:eastAsia="Arial" w:hAnsi="Arial"/>
                <w:sz w:val="18"/>
                <w:szCs w:val="18"/>
                <w:color w:val="auto"/>
                <w:w w:val="94"/>
              </w:rPr>
              <w:t>10,888</w:t>
            </w:r>
          </w:p>
        </w:tc>
        <w:tc>
          <w:tcPr>
            <w:tcW w:w="140" w:type="dxa"/>
            <w:vAlign w:val="bottom"/>
            <w:tcBorders>
              <w:bottom w:val="single" w:sz="8" w:color="auto"/>
            </w:tcBorders>
            <w:shd w:val="clear" w:color="auto" w:fill="E5E5E5"/>
          </w:tcPr>
          <w:p>
            <w:pPr>
              <w:spacing w:after="0"/>
              <w:rPr>
                <w:sz w:val="17"/>
                <w:szCs w:val="17"/>
                <w:color w:val="auto"/>
              </w:rPr>
            </w:pPr>
          </w:p>
        </w:tc>
        <w:tc>
          <w:tcPr>
            <w:tcW w:w="540" w:type="dxa"/>
            <w:vAlign w:val="bottom"/>
            <w:tcBorders>
              <w:bottom w:val="single" w:sz="8" w:color="auto"/>
            </w:tcBorders>
            <w:shd w:val="clear" w:color="auto" w:fill="E5E5E5"/>
          </w:tcPr>
          <w:p>
            <w:pPr>
              <w:jc w:val="right"/>
              <w:spacing w:after="0" w:line="202" w:lineRule="exact"/>
              <w:rPr>
                <w:sz w:val="20"/>
                <w:szCs w:val="20"/>
                <w:color w:val="auto"/>
              </w:rPr>
            </w:pPr>
            <w:r>
              <w:rPr>
                <w:rFonts w:ascii="Arial" w:cs="Arial" w:eastAsia="Arial" w:hAnsi="Arial"/>
                <w:sz w:val="18"/>
                <w:szCs w:val="18"/>
                <w:color w:val="auto"/>
              </w:rPr>
              <w:t>9,776</w:t>
            </w:r>
          </w:p>
        </w:tc>
        <w:tc>
          <w:tcPr>
            <w:tcW w:w="6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480" w:type="dxa"/>
            <w:vAlign w:val="bottom"/>
          </w:tcPr>
          <w:p>
            <w:pPr>
              <w:spacing w:after="0"/>
              <w:rPr>
                <w:sz w:val="20"/>
                <w:szCs w:val="20"/>
                <w:color w:val="auto"/>
              </w:rPr>
            </w:pPr>
            <w:r>
              <w:rPr>
                <w:rFonts w:ascii="Arial" w:cs="Arial" w:eastAsia="Arial" w:hAnsi="Arial"/>
                <w:sz w:val="18"/>
                <w:szCs w:val="18"/>
                <w:color w:val="auto"/>
              </w:rPr>
              <w:t>Profit from operations</w:t>
            </w:r>
          </w:p>
        </w:tc>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3,497</w:t>
            </w:r>
          </w:p>
        </w:tc>
        <w:tc>
          <w:tcPr>
            <w:tcW w:w="380" w:type="dxa"/>
            <w:vAlign w:val="bottom"/>
          </w:tcPr>
          <w:p>
            <w:pPr>
              <w:spacing w:after="0"/>
              <w:rPr>
                <w:sz w:val="18"/>
                <w:szCs w:val="18"/>
                <w:color w:val="auto"/>
              </w:rPr>
            </w:pPr>
          </w:p>
        </w:tc>
        <w:tc>
          <w:tcPr>
            <w:tcW w:w="720" w:type="dxa"/>
            <w:vAlign w:val="bottom"/>
          </w:tcPr>
          <w:p>
            <w:pPr>
              <w:jc w:val="right"/>
              <w:ind w:right="92"/>
              <w:spacing w:after="0"/>
              <w:rPr>
                <w:sz w:val="20"/>
                <w:szCs w:val="20"/>
                <w:color w:val="auto"/>
              </w:rPr>
            </w:pPr>
            <w:r>
              <w:rPr>
                <w:rFonts w:ascii="Arial" w:cs="Arial" w:eastAsia="Arial" w:hAnsi="Arial"/>
                <w:sz w:val="18"/>
                <w:szCs w:val="18"/>
                <w:color w:val="auto"/>
              </w:rPr>
              <w:t>3,367</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4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Other income (expense) net</w:t>
            </w:r>
          </w:p>
        </w:tc>
        <w:tc>
          <w:tcPr>
            <w:tcW w:w="2300" w:type="dxa"/>
            <w:vAlign w:val="bottom"/>
            <w:shd w:val="clear" w:color="auto" w:fill="E5E5E5"/>
          </w:tcPr>
          <w:p>
            <w:pPr>
              <w:spacing w:after="0"/>
              <w:rPr>
                <w:sz w:val="17"/>
                <w:szCs w:val="17"/>
                <w:color w:val="auto"/>
              </w:rPr>
            </w:pPr>
          </w:p>
        </w:tc>
        <w:tc>
          <w:tcPr>
            <w:tcW w:w="160" w:type="dxa"/>
            <w:vAlign w:val="bottom"/>
            <w:tcBorders>
              <w:bottom w:val="single" w:sz="8" w:color="auto"/>
            </w:tcBorders>
            <w:shd w:val="clear" w:color="auto" w:fill="E5E5E5"/>
          </w:tcPr>
          <w:p>
            <w:pPr>
              <w:spacing w:after="0"/>
              <w:rPr>
                <w:sz w:val="17"/>
                <w:szCs w:val="17"/>
                <w:color w:val="auto"/>
              </w:rPr>
            </w:pPr>
          </w:p>
        </w:tc>
        <w:tc>
          <w:tcPr>
            <w:tcW w:w="640" w:type="dxa"/>
            <w:vAlign w:val="bottom"/>
            <w:tcBorders>
              <w:bottom w:val="single" w:sz="8" w:color="auto"/>
            </w:tcBorders>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195</w:t>
            </w:r>
          </w:p>
        </w:tc>
        <w:tc>
          <w:tcPr>
            <w:tcW w:w="380" w:type="dxa"/>
            <w:vAlign w:val="bottom"/>
            <w:tcBorders>
              <w:bottom w:val="single" w:sz="8" w:color="auto"/>
            </w:tcBorders>
            <w:shd w:val="clear" w:color="auto" w:fill="E5E5E5"/>
          </w:tcPr>
          <w:p>
            <w:pPr>
              <w:spacing w:after="0"/>
              <w:rPr>
                <w:sz w:val="17"/>
                <w:szCs w:val="17"/>
                <w:color w:val="auto"/>
              </w:rPr>
            </w:pPr>
          </w:p>
        </w:tc>
        <w:tc>
          <w:tcPr>
            <w:tcW w:w="720" w:type="dxa"/>
            <w:vAlign w:val="bottom"/>
            <w:tcBorders>
              <w:bottom w:val="single" w:sz="8" w:color="auto"/>
            </w:tcBorders>
            <w:shd w:val="clear" w:color="auto" w:fill="E5E5E5"/>
          </w:tcPr>
          <w:p>
            <w:pPr>
              <w:jc w:val="right"/>
              <w:ind w:right="92"/>
              <w:spacing w:after="0" w:line="202" w:lineRule="exact"/>
              <w:rPr>
                <w:sz w:val="20"/>
                <w:szCs w:val="20"/>
                <w:color w:val="auto"/>
              </w:rPr>
            </w:pPr>
            <w:r>
              <w:rPr>
                <w:rFonts w:ascii="Arial" w:cs="Arial" w:eastAsia="Arial" w:hAnsi="Arial"/>
                <w:sz w:val="18"/>
                <w:szCs w:val="18"/>
                <w:color w:val="auto"/>
              </w:rPr>
              <w:t>258</w:t>
            </w:r>
          </w:p>
        </w:tc>
        <w:tc>
          <w:tcPr>
            <w:tcW w:w="140" w:type="dxa"/>
            <w:vAlign w:val="bottom"/>
            <w:tcBorders>
              <w:bottom w:val="single" w:sz="8" w:color="auto"/>
            </w:tcBorders>
            <w:shd w:val="clear" w:color="auto" w:fill="E5E5E5"/>
          </w:tcPr>
          <w:p>
            <w:pPr>
              <w:spacing w:after="0"/>
              <w:rPr>
                <w:sz w:val="17"/>
                <w:szCs w:val="17"/>
                <w:color w:val="auto"/>
              </w:rPr>
            </w:pPr>
          </w:p>
        </w:tc>
        <w:tc>
          <w:tcPr>
            <w:tcW w:w="540" w:type="dxa"/>
            <w:vAlign w:val="bottom"/>
            <w:tcBorders>
              <w:bottom w:val="single" w:sz="8" w:color="auto"/>
            </w:tcBorders>
            <w:shd w:val="clear" w:color="auto" w:fill="E5E5E5"/>
          </w:tcPr>
          <w:p>
            <w:pPr>
              <w:jc w:val="right"/>
              <w:spacing w:after="0" w:line="202" w:lineRule="exact"/>
              <w:rPr>
                <w:sz w:val="20"/>
                <w:szCs w:val="20"/>
                <w:color w:val="auto"/>
              </w:rPr>
            </w:pPr>
            <w:r>
              <w:rPr>
                <w:rFonts w:ascii="Arial" w:cs="Arial" w:eastAsia="Arial" w:hAnsi="Arial"/>
                <w:sz w:val="18"/>
                <w:szCs w:val="18"/>
                <w:color w:val="auto"/>
              </w:rPr>
              <w:t>196</w:t>
            </w:r>
          </w:p>
        </w:tc>
        <w:tc>
          <w:tcPr>
            <w:tcW w:w="6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480" w:type="dxa"/>
            <w:vAlign w:val="bottom"/>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3,692</w:t>
            </w:r>
          </w:p>
        </w:tc>
        <w:tc>
          <w:tcPr>
            <w:tcW w:w="380" w:type="dxa"/>
            <w:vAlign w:val="bottom"/>
          </w:tcPr>
          <w:p>
            <w:pPr>
              <w:spacing w:after="0"/>
              <w:rPr>
                <w:sz w:val="18"/>
                <w:szCs w:val="18"/>
                <w:color w:val="auto"/>
              </w:rPr>
            </w:pPr>
          </w:p>
        </w:tc>
        <w:tc>
          <w:tcPr>
            <w:tcW w:w="720" w:type="dxa"/>
            <w:vAlign w:val="bottom"/>
          </w:tcPr>
          <w:p>
            <w:pPr>
              <w:jc w:val="right"/>
              <w:ind w:right="92"/>
              <w:spacing w:after="0"/>
              <w:rPr>
                <w:sz w:val="20"/>
                <w:szCs w:val="20"/>
                <w:color w:val="auto"/>
              </w:rPr>
            </w:pPr>
            <w:r>
              <w:rPr>
                <w:rFonts w:ascii="Arial" w:cs="Arial" w:eastAsia="Arial" w:hAnsi="Arial"/>
                <w:sz w:val="18"/>
                <w:szCs w:val="18"/>
                <w:color w:val="auto"/>
              </w:rPr>
              <w:t>3,625</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2,755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4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Provision for income taxes</w:t>
            </w:r>
          </w:p>
        </w:tc>
        <w:tc>
          <w:tcPr>
            <w:tcW w:w="2300" w:type="dxa"/>
            <w:vAlign w:val="bottom"/>
            <w:shd w:val="clear" w:color="auto" w:fill="E5E5E5"/>
          </w:tcPr>
          <w:p>
            <w:pPr>
              <w:spacing w:after="0"/>
              <w:rPr>
                <w:sz w:val="17"/>
                <w:szCs w:val="17"/>
                <w:color w:val="auto"/>
              </w:rPr>
            </w:pPr>
          </w:p>
        </w:tc>
        <w:tc>
          <w:tcPr>
            <w:tcW w:w="160" w:type="dxa"/>
            <w:vAlign w:val="bottom"/>
            <w:tcBorders>
              <w:bottom w:val="single" w:sz="8" w:color="auto"/>
            </w:tcBorders>
            <w:shd w:val="clear" w:color="auto" w:fill="E5E5E5"/>
          </w:tcPr>
          <w:p>
            <w:pPr>
              <w:spacing w:after="0"/>
              <w:rPr>
                <w:sz w:val="17"/>
                <w:szCs w:val="17"/>
                <w:color w:val="auto"/>
              </w:rPr>
            </w:pPr>
          </w:p>
        </w:tc>
        <w:tc>
          <w:tcPr>
            <w:tcW w:w="640" w:type="dxa"/>
            <w:vAlign w:val="bottom"/>
            <w:tcBorders>
              <w:bottom w:val="single" w:sz="8" w:color="auto"/>
            </w:tcBorders>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1,051</w:t>
            </w:r>
          </w:p>
        </w:tc>
        <w:tc>
          <w:tcPr>
            <w:tcW w:w="380" w:type="dxa"/>
            <w:vAlign w:val="bottom"/>
            <w:tcBorders>
              <w:bottom w:val="single" w:sz="8" w:color="auto"/>
            </w:tcBorders>
            <w:shd w:val="clear" w:color="auto" w:fill="E5E5E5"/>
          </w:tcPr>
          <w:p>
            <w:pPr>
              <w:spacing w:after="0"/>
              <w:rPr>
                <w:sz w:val="17"/>
                <w:szCs w:val="17"/>
                <w:color w:val="auto"/>
              </w:rPr>
            </w:pPr>
          </w:p>
        </w:tc>
        <w:tc>
          <w:tcPr>
            <w:tcW w:w="720" w:type="dxa"/>
            <w:vAlign w:val="bottom"/>
            <w:tcBorders>
              <w:bottom w:val="single" w:sz="8" w:color="auto"/>
            </w:tcBorders>
            <w:shd w:val="clear" w:color="auto" w:fill="E5E5E5"/>
          </w:tcPr>
          <w:p>
            <w:pPr>
              <w:jc w:val="right"/>
              <w:ind w:right="92"/>
              <w:spacing w:after="0" w:line="202" w:lineRule="exact"/>
              <w:rPr>
                <w:sz w:val="20"/>
                <w:szCs w:val="20"/>
                <w:color w:val="auto"/>
              </w:rPr>
            </w:pPr>
            <w:r>
              <w:rPr>
                <w:rFonts w:ascii="Arial" w:cs="Arial" w:eastAsia="Arial" w:hAnsi="Arial"/>
                <w:sz w:val="18"/>
                <w:szCs w:val="18"/>
                <w:color w:val="auto"/>
              </w:rPr>
              <w:t>987</w:t>
            </w:r>
          </w:p>
        </w:tc>
        <w:tc>
          <w:tcPr>
            <w:tcW w:w="140" w:type="dxa"/>
            <w:vAlign w:val="bottom"/>
            <w:tcBorders>
              <w:bottom w:val="single" w:sz="8" w:color="auto"/>
            </w:tcBorders>
            <w:shd w:val="clear" w:color="auto" w:fill="E5E5E5"/>
          </w:tcPr>
          <w:p>
            <w:pPr>
              <w:spacing w:after="0"/>
              <w:rPr>
                <w:sz w:val="17"/>
                <w:szCs w:val="17"/>
                <w:color w:val="auto"/>
              </w:rPr>
            </w:pPr>
          </w:p>
        </w:tc>
        <w:tc>
          <w:tcPr>
            <w:tcW w:w="540" w:type="dxa"/>
            <w:vAlign w:val="bottom"/>
            <w:tcBorders>
              <w:bottom w:val="single" w:sz="8" w:color="auto"/>
            </w:tcBorders>
            <w:shd w:val="clear" w:color="auto" w:fill="E5E5E5"/>
          </w:tcPr>
          <w:p>
            <w:pPr>
              <w:jc w:val="right"/>
              <w:spacing w:after="0" w:line="202" w:lineRule="exact"/>
              <w:rPr>
                <w:sz w:val="20"/>
                <w:szCs w:val="20"/>
                <w:color w:val="auto"/>
              </w:rPr>
            </w:pPr>
            <w:r>
              <w:rPr>
                <w:rFonts w:ascii="Arial" w:cs="Arial" w:eastAsia="Arial" w:hAnsi="Arial"/>
                <w:sz w:val="18"/>
                <w:szCs w:val="18"/>
                <w:color w:val="auto"/>
              </w:rPr>
              <w:t>582</w:t>
            </w:r>
          </w:p>
        </w:tc>
        <w:tc>
          <w:tcPr>
            <w:tcW w:w="6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48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2,641</w:t>
            </w:r>
          </w:p>
        </w:tc>
        <w:tc>
          <w:tcPr>
            <w:tcW w:w="380" w:type="dxa"/>
            <w:vAlign w:val="bottom"/>
          </w:tcPr>
          <w:p>
            <w:pPr>
              <w:spacing w:after="0"/>
              <w:rPr>
                <w:sz w:val="18"/>
                <w:szCs w:val="18"/>
                <w:color w:val="auto"/>
              </w:rPr>
            </w:pPr>
          </w:p>
        </w:tc>
        <w:tc>
          <w:tcPr>
            <w:tcW w:w="720" w:type="dxa"/>
            <w:vAlign w:val="bottom"/>
          </w:tcPr>
          <w:p>
            <w:pPr>
              <w:jc w:val="right"/>
              <w:ind w:right="92"/>
              <w:spacing w:after="0"/>
              <w:rPr>
                <w:sz w:val="20"/>
                <w:szCs w:val="20"/>
                <w:color w:val="auto"/>
              </w:rPr>
            </w:pPr>
            <w:r>
              <w:rPr>
                <w:rFonts w:ascii="Arial" w:cs="Arial" w:eastAsia="Arial" w:hAnsi="Arial"/>
                <w:sz w:val="18"/>
                <w:szCs w:val="18"/>
                <w:color w:val="auto"/>
              </w:rPr>
              <w:t>2,638</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4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Income from discontinued operations, net of income taxes</w:t>
            </w:r>
          </w:p>
        </w:tc>
        <w:tc>
          <w:tcPr>
            <w:tcW w:w="2300" w:type="dxa"/>
            <w:vAlign w:val="bottom"/>
            <w:shd w:val="clear" w:color="auto" w:fill="E5E5E5"/>
          </w:tcPr>
          <w:p>
            <w:pPr>
              <w:spacing w:after="0"/>
              <w:rPr>
                <w:sz w:val="17"/>
                <w:szCs w:val="17"/>
                <w:color w:val="auto"/>
              </w:rPr>
            </w:pPr>
          </w:p>
        </w:tc>
        <w:tc>
          <w:tcPr>
            <w:tcW w:w="160" w:type="dxa"/>
            <w:vAlign w:val="bottom"/>
            <w:tcBorders>
              <w:bottom w:val="single" w:sz="8" w:color="auto"/>
            </w:tcBorders>
            <w:shd w:val="clear" w:color="auto" w:fill="E5E5E5"/>
          </w:tcPr>
          <w:p>
            <w:pPr>
              <w:spacing w:after="0"/>
              <w:rPr>
                <w:sz w:val="17"/>
                <w:szCs w:val="17"/>
                <w:color w:val="auto"/>
              </w:rPr>
            </w:pPr>
          </w:p>
        </w:tc>
        <w:tc>
          <w:tcPr>
            <w:tcW w:w="640" w:type="dxa"/>
            <w:vAlign w:val="bottom"/>
            <w:tcBorders>
              <w:bottom w:val="single" w:sz="8" w:color="auto"/>
            </w:tcBorders>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16</w:t>
            </w:r>
          </w:p>
        </w:tc>
        <w:tc>
          <w:tcPr>
            <w:tcW w:w="380" w:type="dxa"/>
            <w:vAlign w:val="bottom"/>
            <w:tcBorders>
              <w:bottom w:val="single" w:sz="8" w:color="auto"/>
            </w:tcBorders>
            <w:shd w:val="clear" w:color="auto" w:fill="E5E5E5"/>
          </w:tcPr>
          <w:p>
            <w:pPr>
              <w:spacing w:after="0"/>
              <w:rPr>
                <w:sz w:val="17"/>
                <w:szCs w:val="17"/>
                <w:color w:val="auto"/>
              </w:rPr>
            </w:pPr>
          </w:p>
        </w:tc>
        <w:tc>
          <w:tcPr>
            <w:tcW w:w="720" w:type="dxa"/>
            <w:vAlign w:val="bottom"/>
            <w:tcBorders>
              <w:bottom w:val="single" w:sz="8" w:color="auto"/>
            </w:tcBorders>
            <w:shd w:val="clear" w:color="auto" w:fill="E5E5E5"/>
          </w:tcPr>
          <w:p>
            <w:pPr>
              <w:jc w:val="right"/>
              <w:ind w:right="92"/>
              <w:spacing w:after="0" w:line="202" w:lineRule="exact"/>
              <w:rPr>
                <w:sz w:val="20"/>
                <w:szCs w:val="20"/>
                <w:color w:val="auto"/>
              </w:rPr>
            </w:pPr>
            <w:r>
              <w:rPr>
                <w:rFonts w:ascii="Arial" w:cs="Arial" w:eastAsia="Arial" w:hAnsi="Arial"/>
                <w:sz w:val="18"/>
                <w:szCs w:val="18"/>
                <w:color w:val="auto"/>
              </w:rPr>
              <w:t>1,703</w:t>
            </w:r>
          </w:p>
        </w:tc>
        <w:tc>
          <w:tcPr>
            <w:tcW w:w="140" w:type="dxa"/>
            <w:vAlign w:val="bottom"/>
            <w:tcBorders>
              <w:bottom w:val="single" w:sz="8" w:color="auto"/>
            </w:tcBorders>
            <w:shd w:val="clear" w:color="auto" w:fill="E5E5E5"/>
          </w:tcPr>
          <w:p>
            <w:pPr>
              <w:spacing w:after="0"/>
              <w:rPr>
                <w:sz w:val="17"/>
                <w:szCs w:val="17"/>
                <w:color w:val="auto"/>
              </w:rPr>
            </w:pPr>
          </w:p>
        </w:tc>
        <w:tc>
          <w:tcPr>
            <w:tcW w:w="540" w:type="dxa"/>
            <w:vAlign w:val="bottom"/>
            <w:tcBorders>
              <w:bottom w:val="single" w:sz="8" w:color="auto"/>
            </w:tcBorders>
            <w:shd w:val="clear" w:color="auto" w:fill="E5E5E5"/>
          </w:tcPr>
          <w:p>
            <w:pPr>
              <w:jc w:val="right"/>
              <w:spacing w:after="0" w:line="202" w:lineRule="exact"/>
              <w:rPr>
                <w:sz w:val="20"/>
                <w:szCs w:val="20"/>
                <w:color w:val="auto"/>
              </w:rPr>
            </w:pPr>
            <w:r>
              <w:rPr>
                <w:rFonts w:ascii="Arial" w:cs="Arial" w:eastAsia="Arial" w:hAnsi="Arial"/>
                <w:sz w:val="18"/>
                <w:szCs w:val="18"/>
                <w:color w:val="auto"/>
              </w:rPr>
              <w:t>151</w:t>
            </w:r>
          </w:p>
        </w:tc>
        <w:tc>
          <w:tcPr>
            <w:tcW w:w="6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480" w:type="dxa"/>
            <w:vAlign w:val="bottom"/>
          </w:tcPr>
          <w:p>
            <w:pPr>
              <w:spacing w:after="0"/>
              <w:rPr>
                <w:sz w:val="20"/>
                <w:szCs w:val="20"/>
                <w:color w:val="auto"/>
              </w:rPr>
            </w:pPr>
            <w:r>
              <w:rPr>
                <w:rFonts w:ascii="Arial" w:cs="Arial" w:eastAsia="Arial" w:hAnsi="Arial"/>
                <w:sz w:val="18"/>
                <w:szCs w:val="18"/>
                <w:color w:val="auto"/>
              </w:rPr>
              <w:t>Net income</w:t>
            </w:r>
          </w:p>
        </w:tc>
        <w:tc>
          <w:tcPr>
            <w:tcW w:w="23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2,657</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4,341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80" w:type="dxa"/>
            <w:vAlign w:val="bottom"/>
            <w:shd w:val="clear" w:color="auto" w:fill="E5E5E5"/>
          </w:tcPr>
          <w:p>
            <w:pPr>
              <w:spacing w:after="0" w:line="196" w:lineRule="exact"/>
              <w:rPr>
                <w:sz w:val="20"/>
                <w:szCs w:val="20"/>
                <w:color w:val="auto"/>
              </w:rPr>
            </w:pPr>
            <w:r>
              <w:rPr>
                <w:rFonts w:ascii="Arial" w:cs="Arial" w:eastAsia="Arial" w:hAnsi="Arial"/>
                <w:sz w:val="18"/>
                <w:szCs w:val="18"/>
                <w:color w:val="auto"/>
              </w:rPr>
              <w:t>Basic earnings per common share:</w:t>
            </w:r>
          </w:p>
        </w:tc>
        <w:tc>
          <w:tcPr>
            <w:tcW w:w="23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64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7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54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tcPr>
          <w:p>
            <w:pPr>
              <w:ind w:left="220"/>
              <w:spacing w:after="0" w:line="202" w:lineRule="exact"/>
              <w:rPr>
                <w:sz w:val="20"/>
                <w:szCs w:val="20"/>
                <w:color w:val="auto"/>
              </w:rPr>
            </w:pPr>
            <w:r>
              <w:rPr>
                <w:rFonts w:ascii="Arial" w:cs="Arial" w:eastAsia="Arial" w:hAnsi="Arial"/>
                <w:sz w:val="18"/>
                <w:szCs w:val="18"/>
                <w:color w:val="auto"/>
              </w:rPr>
              <w:t>Income from continuing operations</w:t>
            </w:r>
          </w:p>
        </w:tc>
        <w:tc>
          <w:tcPr>
            <w:tcW w:w="246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1.86</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92"/>
              <w:spacing w:after="0" w:line="202" w:lineRule="exact"/>
              <w:rPr>
                <w:sz w:val="20"/>
                <w:szCs w:val="20"/>
                <w:color w:val="auto"/>
              </w:rPr>
            </w:pPr>
            <w:r>
              <w:rPr>
                <w:rFonts w:ascii="Arial" w:cs="Arial" w:eastAsia="Arial" w:hAnsi="Arial"/>
                <w:sz w:val="18"/>
                <w:szCs w:val="18"/>
                <w:color w:val="auto"/>
              </w:rPr>
              <w:t>1.73</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80" w:type="dxa"/>
            <w:vAlign w:val="bottom"/>
            <w:shd w:val="clear" w:color="auto" w:fill="E5E5E5"/>
          </w:tcPr>
          <w:p>
            <w:pPr>
              <w:ind w:left="220"/>
              <w:spacing w:after="0" w:line="196" w:lineRule="exact"/>
              <w:rPr>
                <w:sz w:val="20"/>
                <w:szCs w:val="20"/>
                <w:color w:val="auto"/>
              </w:rPr>
            </w:pPr>
            <w:r>
              <w:rPr>
                <w:rFonts w:ascii="Arial" w:cs="Arial" w:eastAsia="Arial" w:hAnsi="Arial"/>
                <w:sz w:val="18"/>
                <w:szCs w:val="18"/>
                <w:color w:val="auto"/>
              </w:rPr>
              <w:t>Net income</w:t>
            </w:r>
          </w:p>
        </w:tc>
        <w:tc>
          <w:tcPr>
            <w:tcW w:w="2460" w:type="dxa"/>
            <w:vAlign w:val="bottom"/>
            <w:gridSpan w:val="2"/>
            <w:shd w:val="clear" w:color="auto" w:fill="E5E5E5"/>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b w:val="1"/>
                <w:bCs w:val="1"/>
                <w:color w:val="auto"/>
              </w:rPr>
              <w:t>1.88</w:t>
            </w:r>
          </w:p>
        </w:tc>
        <w:tc>
          <w:tcPr>
            <w:tcW w:w="38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jc w:val="right"/>
              <w:ind w:right="92"/>
              <w:spacing w:after="0" w:line="196" w:lineRule="exact"/>
              <w:rPr>
                <w:sz w:val="20"/>
                <w:szCs w:val="20"/>
                <w:color w:val="auto"/>
              </w:rPr>
            </w:pPr>
            <w:r>
              <w:rPr>
                <w:rFonts w:ascii="Arial" w:cs="Arial" w:eastAsia="Arial" w:hAnsi="Arial"/>
                <w:sz w:val="18"/>
                <w:szCs w:val="18"/>
                <w:color w:val="auto"/>
              </w:rPr>
              <w:t>2.84</w:t>
            </w:r>
          </w:p>
        </w:tc>
        <w:tc>
          <w:tcPr>
            <w:tcW w:w="14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rPr>
              <w:t>$</w:t>
            </w:r>
          </w:p>
        </w:tc>
        <w:tc>
          <w:tcPr>
            <w:tcW w:w="600" w:type="dxa"/>
            <w:vAlign w:val="bottom"/>
            <w:gridSpan w:val="2"/>
            <w:shd w:val="clear" w:color="auto" w:fill="E5E5E5"/>
          </w:tcPr>
          <w:p>
            <w:pPr>
              <w:jc w:val="right"/>
              <w:ind w:right="60"/>
              <w:spacing w:after="0" w:line="196" w:lineRule="exact"/>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0"/>
        </w:trPr>
        <w:tc>
          <w:tcPr>
            <w:tcW w:w="6480" w:type="dxa"/>
            <w:vAlign w:val="bottom"/>
            <w:vMerge w:val="restart"/>
          </w:tcPr>
          <w:p>
            <w:pPr>
              <w:spacing w:after="0"/>
              <w:rPr>
                <w:sz w:val="20"/>
                <w:szCs w:val="20"/>
                <w:color w:val="auto"/>
              </w:rPr>
            </w:pPr>
            <w:r>
              <w:rPr>
                <w:rFonts w:ascii="Arial" w:cs="Arial" w:eastAsia="Arial" w:hAnsi="Arial"/>
                <w:sz w:val="18"/>
                <w:szCs w:val="18"/>
                <w:color w:val="auto"/>
              </w:rPr>
              <w:t>Diluted earnings per common share:</w:t>
            </w:r>
          </w:p>
        </w:tc>
        <w:tc>
          <w:tcPr>
            <w:tcW w:w="2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80" w:type="dxa"/>
            <w:vAlign w:val="bottom"/>
            <w:vMerge w:val="continue"/>
          </w:tcPr>
          <w:p>
            <w:pPr>
              <w:spacing w:after="0"/>
              <w:rPr>
                <w:sz w:val="17"/>
                <w:szCs w:val="17"/>
                <w:color w:val="auto"/>
              </w:rPr>
            </w:pPr>
          </w:p>
        </w:tc>
        <w:tc>
          <w:tcPr>
            <w:tcW w:w="2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Income from continuing operations</w:t>
            </w:r>
          </w:p>
        </w:tc>
        <w:tc>
          <w:tcPr>
            <w:tcW w:w="2300" w:type="dxa"/>
            <w:vAlign w:val="bottom"/>
            <w:shd w:val="clear" w:color="auto" w:fill="E5E5E5"/>
          </w:tcPr>
          <w:p>
            <w:pPr>
              <w:spacing w:after="0"/>
              <w:rPr>
                <w:sz w:val="17"/>
                <w:szCs w:val="17"/>
                <w:color w:val="auto"/>
              </w:rPr>
            </w:pPr>
          </w:p>
        </w:tc>
        <w:tc>
          <w:tcPr>
            <w:tcW w:w="1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6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1.83</w:t>
            </w:r>
          </w:p>
        </w:tc>
        <w:tc>
          <w:tcPr>
            <w:tcW w:w="3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jc w:val="right"/>
              <w:ind w:right="92"/>
              <w:spacing w:after="0" w:line="202" w:lineRule="exact"/>
              <w:rPr>
                <w:sz w:val="20"/>
                <w:szCs w:val="20"/>
                <w:color w:val="auto"/>
              </w:rPr>
            </w:pPr>
            <w:r>
              <w:rPr>
                <w:rFonts w:ascii="Arial" w:cs="Arial" w:eastAsia="Arial" w:hAnsi="Arial"/>
                <w:sz w:val="18"/>
                <w:szCs w:val="18"/>
                <w:color w:val="auto"/>
              </w:rPr>
              <w:t>1.69</w:t>
            </w:r>
          </w:p>
        </w:tc>
        <w:tc>
          <w:tcPr>
            <w:tcW w:w="1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80" w:type="dxa"/>
            <w:vAlign w:val="bottom"/>
          </w:tcPr>
          <w:p>
            <w:pPr>
              <w:ind w:left="220"/>
              <w:spacing w:after="0" w:line="196" w:lineRule="exact"/>
              <w:rPr>
                <w:sz w:val="20"/>
                <w:szCs w:val="20"/>
                <w:color w:val="auto"/>
              </w:rPr>
            </w:pPr>
            <w:r>
              <w:rPr>
                <w:rFonts w:ascii="Arial" w:cs="Arial" w:eastAsia="Arial" w:hAnsi="Arial"/>
                <w:sz w:val="18"/>
                <w:szCs w:val="18"/>
                <w:color w:val="auto"/>
              </w:rPr>
              <w:t>Net income</w:t>
            </w:r>
          </w:p>
        </w:tc>
        <w:tc>
          <w:tcPr>
            <w:tcW w:w="2300" w:type="dxa"/>
            <w:vAlign w:val="bottom"/>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6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1.84</w:t>
            </w: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92"/>
              <w:spacing w:after="0" w:line="196" w:lineRule="exact"/>
              <w:rPr>
                <w:sz w:val="20"/>
                <w:szCs w:val="20"/>
                <w:color w:val="auto"/>
              </w:rPr>
            </w:pPr>
            <w:r>
              <w:rPr>
                <w:rFonts w:ascii="Arial" w:cs="Arial" w:eastAsia="Arial" w:hAnsi="Arial"/>
                <w:sz w:val="18"/>
                <w:szCs w:val="18"/>
                <w:color w:val="auto"/>
              </w:rPr>
              <w:t>2.78</w:t>
            </w: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80" w:type="dxa"/>
            <w:vAlign w:val="bottom"/>
            <w:shd w:val="clear" w:color="auto" w:fill="E5E5E5"/>
          </w:tcPr>
          <w:p>
            <w:pPr>
              <w:spacing w:after="0" w:line="196" w:lineRule="exact"/>
              <w:rPr>
                <w:sz w:val="20"/>
                <w:szCs w:val="20"/>
                <w:color w:val="auto"/>
              </w:rPr>
            </w:pPr>
            <w:r>
              <w:rPr>
                <w:rFonts w:ascii="Arial" w:cs="Arial" w:eastAsia="Arial" w:hAnsi="Arial"/>
                <w:sz w:val="18"/>
                <w:szCs w:val="18"/>
                <w:color w:val="auto"/>
              </w:rPr>
              <w:t>Average shares outstanding (millions):</w:t>
            </w:r>
          </w:p>
        </w:tc>
        <w:tc>
          <w:tcPr>
            <w:tcW w:w="23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64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7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54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tcPr>
          <w:p>
            <w:pPr>
              <w:ind w:left="220"/>
              <w:spacing w:after="0" w:line="202" w:lineRule="exact"/>
              <w:rPr>
                <w:sz w:val="20"/>
                <w:szCs w:val="20"/>
                <w:color w:val="auto"/>
              </w:rPr>
            </w:pPr>
            <w:r>
              <w:rPr>
                <w:rFonts w:ascii="Arial" w:cs="Arial" w:eastAsia="Arial" w:hAnsi="Arial"/>
                <w:sz w:val="18"/>
                <w:szCs w:val="18"/>
                <w:color w:val="auto"/>
              </w:rPr>
              <w:t>Basic</w:t>
            </w:r>
          </w:p>
        </w:tc>
        <w:tc>
          <w:tcPr>
            <w:tcW w:w="23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1,417</w:t>
            </w:r>
          </w:p>
        </w:tc>
        <w:tc>
          <w:tcPr>
            <w:tcW w:w="3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92"/>
              <w:spacing w:after="0" w:line="202" w:lineRule="exact"/>
              <w:rPr>
                <w:sz w:val="20"/>
                <w:szCs w:val="20"/>
                <w:color w:val="auto"/>
              </w:rPr>
            </w:pPr>
            <w:r>
              <w:rPr>
                <w:rFonts w:ascii="Arial" w:cs="Arial" w:eastAsia="Arial" w:hAnsi="Arial"/>
                <w:sz w:val="18"/>
                <w:szCs w:val="18"/>
                <w:color w:val="auto"/>
              </w:rPr>
              <w:t>1,528</w:t>
            </w:r>
          </w:p>
        </w:tc>
        <w:tc>
          <w:tcPr>
            <w:tcW w:w="1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1,640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80" w:type="dxa"/>
            <w:vAlign w:val="bottom"/>
            <w:shd w:val="clear" w:color="auto" w:fill="E5E5E5"/>
          </w:tcPr>
          <w:p>
            <w:pPr>
              <w:ind w:left="220"/>
              <w:spacing w:after="0" w:line="196" w:lineRule="exact"/>
              <w:rPr>
                <w:sz w:val="20"/>
                <w:szCs w:val="20"/>
                <w:color w:val="auto"/>
              </w:rPr>
            </w:pPr>
            <w:r>
              <w:rPr>
                <w:rFonts w:ascii="Arial" w:cs="Arial" w:eastAsia="Arial" w:hAnsi="Arial"/>
                <w:sz w:val="18"/>
                <w:szCs w:val="18"/>
                <w:color w:val="auto"/>
              </w:rPr>
              <w:t>Diluted</w:t>
            </w:r>
          </w:p>
        </w:tc>
        <w:tc>
          <w:tcPr>
            <w:tcW w:w="2300" w:type="dxa"/>
            <w:vAlign w:val="bottom"/>
            <w:shd w:val="clear" w:color="auto" w:fill="E5E5E5"/>
          </w:tcPr>
          <w:p>
            <w:pPr>
              <w:spacing w:after="0"/>
              <w:rPr>
                <w:sz w:val="17"/>
                <w:szCs w:val="17"/>
                <w:color w:val="auto"/>
              </w:rPr>
            </w:pPr>
          </w:p>
        </w:tc>
        <w:tc>
          <w:tcPr>
            <w:tcW w:w="160" w:type="dxa"/>
            <w:vAlign w:val="bottom"/>
            <w:tcBorders>
              <w:bottom w:val="single" w:sz="8" w:color="auto"/>
            </w:tcBorders>
            <w:shd w:val="clear" w:color="auto" w:fill="E5E5E5"/>
          </w:tcPr>
          <w:p>
            <w:pPr>
              <w:spacing w:after="0"/>
              <w:rPr>
                <w:sz w:val="17"/>
                <w:szCs w:val="17"/>
                <w:color w:val="auto"/>
              </w:rPr>
            </w:pPr>
          </w:p>
        </w:tc>
        <w:tc>
          <w:tcPr>
            <w:tcW w:w="640" w:type="dxa"/>
            <w:vAlign w:val="bottom"/>
            <w:tcBorders>
              <w:bottom w:val="single" w:sz="8" w:color="auto"/>
            </w:tcBorders>
            <w:shd w:val="clear" w:color="auto" w:fill="E5E5E5"/>
          </w:tcPr>
          <w:p>
            <w:pPr>
              <w:jc w:val="right"/>
              <w:spacing w:after="0" w:line="196" w:lineRule="exact"/>
              <w:rPr>
                <w:sz w:val="20"/>
                <w:szCs w:val="20"/>
                <w:color w:val="auto"/>
              </w:rPr>
            </w:pPr>
            <w:r>
              <w:rPr>
                <w:rFonts w:ascii="Arial" w:cs="Arial" w:eastAsia="Arial" w:hAnsi="Arial"/>
                <w:sz w:val="18"/>
                <w:szCs w:val="18"/>
                <w:b w:val="1"/>
                <w:bCs w:val="1"/>
                <w:color w:val="auto"/>
              </w:rPr>
              <w:t>1,446</w:t>
            </w:r>
          </w:p>
        </w:tc>
        <w:tc>
          <w:tcPr>
            <w:tcW w:w="380" w:type="dxa"/>
            <w:vAlign w:val="bottom"/>
            <w:tcBorders>
              <w:bottom w:val="single" w:sz="8" w:color="auto"/>
            </w:tcBorders>
            <w:shd w:val="clear" w:color="auto" w:fill="E5E5E5"/>
          </w:tcPr>
          <w:p>
            <w:pPr>
              <w:spacing w:after="0"/>
              <w:rPr>
                <w:sz w:val="17"/>
                <w:szCs w:val="17"/>
                <w:color w:val="auto"/>
              </w:rPr>
            </w:pPr>
          </w:p>
        </w:tc>
        <w:tc>
          <w:tcPr>
            <w:tcW w:w="720" w:type="dxa"/>
            <w:vAlign w:val="bottom"/>
            <w:tcBorders>
              <w:bottom w:val="single" w:sz="8" w:color="auto"/>
            </w:tcBorders>
            <w:shd w:val="clear" w:color="auto" w:fill="E5E5E5"/>
          </w:tcPr>
          <w:p>
            <w:pPr>
              <w:jc w:val="right"/>
              <w:ind w:right="92"/>
              <w:spacing w:after="0" w:line="196" w:lineRule="exact"/>
              <w:rPr>
                <w:sz w:val="20"/>
                <w:szCs w:val="20"/>
                <w:color w:val="auto"/>
              </w:rPr>
            </w:pPr>
            <w:r>
              <w:rPr>
                <w:rFonts w:ascii="Arial" w:cs="Arial" w:eastAsia="Arial" w:hAnsi="Arial"/>
                <w:sz w:val="18"/>
                <w:szCs w:val="18"/>
                <w:color w:val="auto"/>
              </w:rPr>
              <w:t>1,560</w:t>
            </w:r>
          </w:p>
        </w:tc>
        <w:tc>
          <w:tcPr>
            <w:tcW w:w="140" w:type="dxa"/>
            <w:vAlign w:val="bottom"/>
            <w:tcBorders>
              <w:bottom w:val="single" w:sz="8" w:color="auto"/>
            </w:tcBorders>
            <w:shd w:val="clear" w:color="auto" w:fill="E5E5E5"/>
          </w:tcPr>
          <w:p>
            <w:pPr>
              <w:spacing w:after="0"/>
              <w:rPr>
                <w:sz w:val="17"/>
                <w:szCs w:val="17"/>
                <w:color w:val="auto"/>
              </w:rPr>
            </w:pPr>
          </w:p>
        </w:tc>
        <w:tc>
          <w:tcPr>
            <w:tcW w:w="540" w:type="dxa"/>
            <w:vAlign w:val="bottom"/>
            <w:tcBorders>
              <w:bottom w:val="single" w:sz="8" w:color="auto"/>
            </w:tcBorders>
            <w:shd w:val="clear" w:color="auto" w:fill="E5E5E5"/>
          </w:tcPr>
          <w:p>
            <w:pPr>
              <w:jc w:val="right"/>
              <w:spacing w:after="0" w:line="196" w:lineRule="exact"/>
              <w:rPr>
                <w:sz w:val="20"/>
                <w:szCs w:val="20"/>
                <w:color w:val="auto"/>
              </w:rPr>
            </w:pPr>
            <w:r>
              <w:rPr>
                <w:rFonts w:ascii="Arial" w:cs="Arial" w:eastAsia="Arial" w:hAnsi="Arial"/>
                <w:sz w:val="18"/>
                <w:szCs w:val="18"/>
                <w:color w:val="auto"/>
              </w:rPr>
              <w:t>1,671</w:t>
            </w:r>
          </w:p>
        </w:tc>
        <w:tc>
          <w:tcPr>
            <w:tcW w:w="6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80" w:type="dxa"/>
            <w:vAlign w:val="bottom"/>
          </w:tcPr>
          <w:p>
            <w:pPr>
              <w:spacing w:after="0" w:line="196" w:lineRule="exact"/>
              <w:rPr>
                <w:sz w:val="20"/>
                <w:szCs w:val="20"/>
                <w:color w:val="auto"/>
              </w:rPr>
            </w:pPr>
            <w:r>
              <w:rPr>
                <w:rFonts w:ascii="Arial" w:cs="Arial" w:eastAsia="Arial" w:hAnsi="Arial"/>
                <w:sz w:val="18"/>
                <w:szCs w:val="18"/>
                <w:color w:val="auto"/>
              </w:rPr>
              <w:t>Cash dividends declared per share of common stock</w:t>
            </w:r>
          </w:p>
        </w:tc>
        <w:tc>
          <w:tcPr>
            <w:tcW w:w="23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0.300</w:t>
            </w:r>
          </w:p>
        </w:tc>
        <w:tc>
          <w:tcPr>
            <w:tcW w:w="3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ind w:right="92"/>
              <w:spacing w:after="0" w:line="196" w:lineRule="exact"/>
              <w:rPr>
                <w:sz w:val="20"/>
                <w:szCs w:val="20"/>
                <w:color w:val="auto"/>
              </w:rPr>
            </w:pPr>
            <w:r>
              <w:rPr>
                <w:rFonts w:ascii="Arial" w:cs="Arial" w:eastAsia="Arial" w:hAnsi="Arial"/>
                <w:sz w:val="18"/>
                <w:szCs w:val="18"/>
                <w:color w:val="auto"/>
              </w:rPr>
              <w:t>0.130</w:t>
            </w: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0.105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spacing w:after="0"/>
              <w:rPr>
                <w:sz w:val="20"/>
                <w:szCs w:val="20"/>
                <w:color w:val="auto"/>
              </w:rPr>
            </w:pPr>
            <w:r>
              <w:rPr>
                <w:rFonts w:ascii="Arial" w:cs="Arial" w:eastAsia="Arial" w:hAnsi="Arial"/>
                <w:sz w:val="14"/>
                <w:szCs w:val="14"/>
                <w:color w:val="auto"/>
              </w:rPr>
              <w:t>See accompanying notes.</w:t>
            </w:r>
          </w:p>
        </w:tc>
        <w:tc>
          <w:tcPr>
            <w:tcW w:w="2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80" w:type="dxa"/>
            <w:vAlign w:val="bottom"/>
            <w:vMerge w:val="continue"/>
          </w:tcPr>
          <w:p>
            <w:pPr>
              <w:spacing w:after="0"/>
              <w:rPr>
                <w:sz w:val="18"/>
                <w:szCs w:val="18"/>
                <w:color w:val="auto"/>
              </w:rPr>
            </w:pPr>
          </w:p>
        </w:tc>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1"/>
        </w:trPr>
        <w:tc>
          <w:tcPr>
            <w:tcW w:w="6480" w:type="dxa"/>
            <w:vAlign w:val="bottom"/>
          </w:tcPr>
          <w:p>
            <w:pPr>
              <w:spacing w:after="0"/>
              <w:rPr>
                <w:sz w:val="20"/>
                <w:szCs w:val="20"/>
                <w:color w:val="auto"/>
              </w:rPr>
            </w:pPr>
            <w:r>
              <w:rPr>
                <w:rFonts w:ascii="Arial" w:cs="Arial" w:eastAsia="Arial" w:hAnsi="Arial"/>
                <w:sz w:val="14"/>
                <w:szCs w:val="14"/>
                <w:color w:val="auto"/>
              </w:rPr>
              <w:t>6</w:t>
            </w:r>
          </w:p>
        </w:tc>
        <w:tc>
          <w:tcPr>
            <w:tcW w:w="4940" w:type="dxa"/>
            <w:vAlign w:val="bottom"/>
            <w:gridSpan w:val="8"/>
          </w:tcPr>
          <w:p>
            <w:pPr>
              <w:jc w:val="right"/>
              <w:spacing w:after="0"/>
              <w:rPr>
                <w:sz w:val="20"/>
                <w:szCs w:val="20"/>
                <w:color w:val="auto"/>
              </w:rPr>
            </w:pPr>
            <w:r>
              <w:rPr>
                <w:rFonts w:ascii="Arial" w:cs="Arial" w:eastAsia="Arial" w:hAnsi="Arial"/>
                <w:sz w:val="14"/>
                <w:szCs w:val="14"/>
                <w:color w:val="auto"/>
              </w:rPr>
              <w:t>TEXAS INSTRUMENTS 2007 ANNUAL REPORT</w:t>
            </w:r>
          </w:p>
        </w:tc>
        <w:tc>
          <w:tcPr>
            <w:tcW w:w="0" w:type="dxa"/>
            <w:vAlign w:val="bottom"/>
          </w:tcPr>
          <w:p>
            <w:pPr>
              <w:spacing w:after="0"/>
              <w:rPr>
                <w:sz w:val="1"/>
                <w:szCs w:val="1"/>
                <w:color w:val="auto"/>
              </w:rPr>
            </w:pPr>
          </w:p>
        </w:tc>
      </w:tr>
    </w:tbl>
    <w:p>
      <w:pPr>
        <w:sectPr>
          <w:pgSz w:w="11900" w:h="16838" w:orient="portrait"/>
          <w:cols w:equalWidth="0" w:num="1">
            <w:col w:w="11420"/>
          </w:cols>
          <w:pgMar w:left="240" w:top="108"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CONSOLIDATED STATEMENTS OF COMPREHENSIVE INCOME</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(Millions of dollars)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60" w:type="dxa"/>
            <w:vAlign w:val="bottom"/>
            <w:shd w:val="clear" w:color="auto" w:fill="E5E5E5"/>
          </w:tcPr>
          <w:p>
            <w:pPr>
              <w:spacing w:after="0"/>
              <w:rPr>
                <w:sz w:val="14"/>
                <w:szCs w:val="14"/>
                <w:color w:val="auto"/>
              </w:rPr>
            </w:pPr>
          </w:p>
        </w:tc>
        <w:tc>
          <w:tcPr>
            <w:tcW w:w="22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1780" w:type="dxa"/>
            <w:vAlign w:val="bottom"/>
            <w:gridSpan w:val="3"/>
            <w:shd w:val="clear" w:color="auto" w:fill="E5E5E5"/>
          </w:tcPr>
          <w:p>
            <w:pPr>
              <w:jc w:val="right"/>
              <w:spacing w:after="0"/>
              <w:rPr>
                <w:sz w:val="20"/>
                <w:szCs w:val="20"/>
                <w:color w:val="auto"/>
              </w:rPr>
            </w:pPr>
            <w:r>
              <w:rPr>
                <w:rFonts w:ascii="Arial" w:cs="Arial" w:eastAsia="Arial" w:hAnsi="Arial"/>
                <w:sz w:val="14"/>
                <w:szCs w:val="14"/>
                <w:b w:val="1"/>
                <w:bCs w:val="1"/>
                <w:color w:val="auto"/>
              </w:rPr>
              <w:t>For the years ended</w:t>
            </w:r>
          </w:p>
        </w:tc>
        <w:tc>
          <w:tcPr>
            <w:tcW w:w="160" w:type="dxa"/>
            <w:vAlign w:val="bottom"/>
            <w:shd w:val="clear" w:color="auto" w:fill="E5E5E5"/>
          </w:tcPr>
          <w:p>
            <w:pPr>
              <w:spacing w:after="0"/>
              <w:rPr>
                <w:sz w:val="14"/>
                <w:szCs w:val="14"/>
                <w:color w:val="auto"/>
              </w:rPr>
            </w:pPr>
          </w:p>
        </w:tc>
        <w:tc>
          <w:tcPr>
            <w:tcW w:w="500" w:type="dxa"/>
            <w:vAlign w:val="bottom"/>
            <w:shd w:val="clear" w:color="auto" w:fill="E5E5E5"/>
          </w:tcPr>
          <w:p>
            <w:pPr>
              <w:spacing w:after="0"/>
              <w:rPr>
                <w:sz w:val="14"/>
                <w:szCs w:val="14"/>
                <w:color w:val="auto"/>
              </w:rPr>
            </w:pPr>
          </w:p>
        </w:tc>
        <w:tc>
          <w:tcPr>
            <w:tcW w:w="6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856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140" w:type="dxa"/>
            <w:vAlign w:val="bottom"/>
            <w:shd w:val="clear" w:color="auto" w:fill="E5E5E5"/>
          </w:tcPr>
          <w:p>
            <w:pPr>
              <w:spacing w:after="0"/>
              <w:rPr>
                <w:sz w:val="15"/>
                <w:szCs w:val="15"/>
                <w:color w:val="auto"/>
              </w:rPr>
            </w:pPr>
          </w:p>
        </w:tc>
        <w:tc>
          <w:tcPr>
            <w:tcW w:w="640" w:type="dxa"/>
            <w:vAlign w:val="bottom"/>
            <w:shd w:val="clear" w:color="auto" w:fill="E5E5E5"/>
          </w:tcPr>
          <w:p>
            <w:pPr>
              <w:spacing w:after="0"/>
              <w:rPr>
                <w:sz w:val="15"/>
                <w:szCs w:val="15"/>
                <w:color w:val="auto"/>
              </w:rPr>
            </w:pPr>
          </w:p>
        </w:tc>
        <w:tc>
          <w:tcPr>
            <w:tcW w:w="1140" w:type="dxa"/>
            <w:vAlign w:val="bottom"/>
            <w:gridSpan w:val="2"/>
            <w:shd w:val="clear" w:color="auto" w:fill="E5E5E5"/>
          </w:tcPr>
          <w:p>
            <w:pPr>
              <w:jc w:val="right"/>
              <w:ind w:right="112"/>
              <w:spacing w:after="0"/>
              <w:rPr>
                <w:sz w:val="20"/>
                <w:szCs w:val="20"/>
                <w:color w:val="auto"/>
              </w:rPr>
            </w:pPr>
            <w:r>
              <w:rPr>
                <w:rFonts w:ascii="Arial" w:cs="Arial" w:eastAsia="Arial" w:hAnsi="Arial"/>
                <w:sz w:val="14"/>
                <w:szCs w:val="14"/>
                <w:b w:val="1"/>
                <w:bCs w:val="1"/>
                <w:color w:val="auto"/>
              </w:rPr>
              <w:t>December 31,</w:t>
            </w:r>
          </w:p>
        </w:tc>
        <w:tc>
          <w:tcPr>
            <w:tcW w:w="160" w:type="dxa"/>
            <w:vAlign w:val="bottom"/>
            <w:shd w:val="clear" w:color="auto" w:fill="E5E5E5"/>
          </w:tcPr>
          <w:p>
            <w:pPr>
              <w:spacing w:after="0"/>
              <w:rPr>
                <w:sz w:val="15"/>
                <w:szCs w:val="15"/>
                <w:color w:val="auto"/>
              </w:rPr>
            </w:pPr>
          </w:p>
        </w:tc>
        <w:tc>
          <w:tcPr>
            <w:tcW w:w="500" w:type="dxa"/>
            <w:vAlign w:val="bottom"/>
            <w:shd w:val="clear" w:color="auto" w:fill="E5E5E5"/>
          </w:tcPr>
          <w:p>
            <w:pPr>
              <w:spacing w:after="0"/>
              <w:rPr>
                <w:sz w:val="15"/>
                <w:szCs w:val="15"/>
                <w:color w:val="auto"/>
              </w:rPr>
            </w:pPr>
          </w:p>
        </w:tc>
        <w:tc>
          <w:tcPr>
            <w:tcW w:w="6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332"/>
        </w:trPr>
        <w:tc>
          <w:tcPr>
            <w:tcW w:w="8560" w:type="dxa"/>
            <w:vAlign w:val="bottom"/>
            <w:tcBorders>
              <w:bottom w:val="single" w:sz="8" w:color="E5E5E5"/>
            </w:tcBorders>
            <w:shd w:val="clear" w:color="auto" w:fill="E5E5E5"/>
          </w:tcPr>
          <w:p>
            <w:pPr>
              <w:spacing w:after="0"/>
              <w:rPr>
                <w:sz w:val="24"/>
                <w:szCs w:val="24"/>
                <w:color w:val="auto"/>
              </w:rPr>
            </w:pPr>
          </w:p>
        </w:tc>
        <w:tc>
          <w:tcPr>
            <w:tcW w:w="220" w:type="dxa"/>
            <w:vAlign w:val="bottom"/>
            <w:tcBorders>
              <w:bottom w:val="single" w:sz="8" w:color="E5E5E5"/>
            </w:tcBorders>
            <w:shd w:val="clear" w:color="auto" w:fill="E5E5E5"/>
          </w:tcPr>
          <w:p>
            <w:pPr>
              <w:spacing w:after="0"/>
              <w:rPr>
                <w:sz w:val="24"/>
                <w:szCs w:val="24"/>
                <w:color w:val="auto"/>
              </w:rPr>
            </w:pPr>
          </w:p>
        </w:tc>
        <w:tc>
          <w:tcPr>
            <w:tcW w:w="140" w:type="dxa"/>
            <w:vAlign w:val="bottom"/>
            <w:tcBorders>
              <w:bottom w:val="single" w:sz="8" w:color="E5E5E5"/>
            </w:tcBorders>
            <w:shd w:val="clear" w:color="auto" w:fill="E5E5E5"/>
          </w:tcPr>
          <w:p>
            <w:pPr>
              <w:spacing w:after="0"/>
              <w:rPr>
                <w:sz w:val="24"/>
                <w:szCs w:val="24"/>
                <w:color w:val="auto"/>
              </w:rPr>
            </w:pPr>
          </w:p>
        </w:tc>
        <w:tc>
          <w:tcPr>
            <w:tcW w:w="640" w:type="dxa"/>
            <w:vAlign w:val="bottom"/>
            <w:tcBorders>
              <w:bottom w:val="single" w:sz="8" w:color="E5E5E5"/>
            </w:tcBorders>
            <w:shd w:val="clear" w:color="auto" w:fill="E5E5E5"/>
          </w:tcPr>
          <w:p>
            <w:pPr>
              <w:jc w:val="right"/>
              <w:ind w:right="54"/>
              <w:spacing w:after="0"/>
              <w:rPr>
                <w:sz w:val="20"/>
                <w:szCs w:val="20"/>
                <w:color w:val="auto"/>
              </w:rPr>
            </w:pPr>
            <w:r>
              <w:rPr>
                <w:rFonts w:ascii="Arial" w:cs="Arial" w:eastAsia="Arial" w:hAnsi="Arial"/>
                <w:sz w:val="18"/>
                <w:szCs w:val="18"/>
                <w:b w:val="1"/>
                <w:bCs w:val="1"/>
                <w:color w:val="auto"/>
              </w:rPr>
              <w:t>2007</w:t>
            </w:r>
          </w:p>
        </w:tc>
        <w:tc>
          <w:tcPr>
            <w:tcW w:w="380" w:type="dxa"/>
            <w:vAlign w:val="bottom"/>
            <w:tcBorders>
              <w:bottom w:val="single" w:sz="8" w:color="E5E5E5"/>
            </w:tcBorders>
            <w:shd w:val="clear" w:color="auto" w:fill="E5E5E5"/>
          </w:tcPr>
          <w:p>
            <w:pPr>
              <w:spacing w:after="0"/>
              <w:rPr>
                <w:sz w:val="24"/>
                <w:szCs w:val="24"/>
                <w:color w:val="auto"/>
              </w:rPr>
            </w:pPr>
          </w:p>
        </w:tc>
        <w:tc>
          <w:tcPr>
            <w:tcW w:w="760" w:type="dxa"/>
            <w:vAlign w:val="bottom"/>
            <w:tcBorders>
              <w:bottom w:val="single" w:sz="8" w:color="E5E5E5"/>
            </w:tcBorders>
            <w:shd w:val="clear" w:color="auto" w:fill="E5E5E5"/>
          </w:tcPr>
          <w:p>
            <w:pPr>
              <w:jc w:val="right"/>
              <w:ind w:right="172"/>
              <w:spacing w:after="0"/>
              <w:rPr>
                <w:sz w:val="20"/>
                <w:szCs w:val="20"/>
                <w:color w:val="auto"/>
              </w:rPr>
            </w:pPr>
            <w:r>
              <w:rPr>
                <w:rFonts w:ascii="Arial" w:cs="Arial" w:eastAsia="Arial" w:hAnsi="Arial"/>
                <w:sz w:val="18"/>
                <w:szCs w:val="18"/>
                <w:b w:val="1"/>
                <w:bCs w:val="1"/>
                <w:color w:val="auto"/>
              </w:rPr>
              <w:t>2006</w:t>
            </w:r>
          </w:p>
        </w:tc>
        <w:tc>
          <w:tcPr>
            <w:tcW w:w="160" w:type="dxa"/>
            <w:vAlign w:val="bottom"/>
            <w:tcBorders>
              <w:bottom w:val="single" w:sz="8" w:color="E5E5E5"/>
            </w:tcBorders>
            <w:shd w:val="clear" w:color="auto" w:fill="E5E5E5"/>
          </w:tcPr>
          <w:p>
            <w:pPr>
              <w:spacing w:after="0"/>
              <w:rPr>
                <w:sz w:val="24"/>
                <w:szCs w:val="24"/>
                <w:color w:val="auto"/>
              </w:rPr>
            </w:pPr>
          </w:p>
        </w:tc>
        <w:tc>
          <w:tcPr>
            <w:tcW w:w="560" w:type="dxa"/>
            <w:vAlign w:val="bottom"/>
            <w:tcBorders>
              <w:bottom w:val="single" w:sz="8" w:color="E5E5E5"/>
            </w:tcBorders>
            <w:gridSpan w:val="2"/>
            <w:shd w:val="clear" w:color="auto" w:fill="E5E5E5"/>
          </w:tcPr>
          <w:p>
            <w:pPr>
              <w:jc w:val="right"/>
              <w:ind w:right="60"/>
              <w:spacing w:after="0"/>
              <w:rPr>
                <w:sz w:val="20"/>
                <w:szCs w:val="20"/>
                <w:color w:val="auto"/>
              </w:rPr>
            </w:pPr>
            <w:r>
              <w:rPr>
                <w:rFonts w:ascii="Arial" w:cs="Arial" w:eastAsia="Arial" w:hAnsi="Arial"/>
                <w:sz w:val="18"/>
                <w:szCs w:val="18"/>
                <w:b w:val="1"/>
                <w:bCs w:val="1"/>
                <w:color w:val="auto"/>
              </w:rPr>
              <w:t>2005</w:t>
            </w:r>
          </w:p>
        </w:tc>
        <w:tc>
          <w:tcPr>
            <w:tcW w:w="0" w:type="dxa"/>
            <w:vAlign w:val="bottom"/>
          </w:tcPr>
          <w:p>
            <w:pPr>
              <w:spacing w:after="0"/>
              <w:rPr>
                <w:sz w:val="1"/>
                <w:szCs w:val="1"/>
                <w:color w:val="auto"/>
              </w:rPr>
            </w:pPr>
          </w:p>
        </w:tc>
      </w:tr>
      <w:tr>
        <w:trPr>
          <w:trHeight w:val="311"/>
        </w:trPr>
        <w:tc>
          <w:tcPr>
            <w:tcW w:w="856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3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ind w:right="54"/>
              <w:spacing w:after="0"/>
              <w:rPr>
                <w:sz w:val="20"/>
                <w:szCs w:val="20"/>
                <w:color w:val="auto"/>
              </w:rPr>
            </w:pPr>
            <w:r>
              <w:rPr>
                <w:rFonts w:ascii="Arial" w:cs="Arial" w:eastAsia="Arial" w:hAnsi="Arial"/>
                <w:sz w:val="18"/>
                <w:szCs w:val="18"/>
                <w:b w:val="1"/>
                <w:bCs w:val="1"/>
                <w:color w:val="auto"/>
              </w:rPr>
              <w:t>2,641</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72"/>
              <w:spacing w:after="0"/>
              <w:rPr>
                <w:sz w:val="20"/>
                <w:szCs w:val="20"/>
                <w:color w:val="auto"/>
              </w:rPr>
            </w:pPr>
            <w:r>
              <w:rPr>
                <w:rFonts w:ascii="Arial" w:cs="Arial" w:eastAsia="Arial" w:hAnsi="Arial"/>
                <w:sz w:val="18"/>
                <w:szCs w:val="18"/>
                <w:color w:val="auto"/>
              </w:rPr>
              <w:t>2,638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2,173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5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Other comprehensive income (loss):</w:t>
            </w:r>
          </w:p>
        </w:tc>
        <w:tc>
          <w:tcPr>
            <w:tcW w:w="2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64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76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50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60" w:type="dxa"/>
            <w:vAlign w:val="bottom"/>
          </w:tcPr>
          <w:p>
            <w:pPr>
              <w:ind w:left="220"/>
              <w:spacing w:after="0" w:line="202" w:lineRule="exact"/>
              <w:rPr>
                <w:sz w:val="20"/>
                <w:szCs w:val="20"/>
                <w:color w:val="auto"/>
              </w:rPr>
            </w:pPr>
            <w:r>
              <w:rPr>
                <w:rFonts w:ascii="Arial" w:cs="Arial" w:eastAsia="Arial" w:hAnsi="Arial"/>
                <w:sz w:val="18"/>
                <w:szCs w:val="18"/>
                <w:color w:val="auto"/>
              </w:rPr>
              <w:t>Changes in available-for-sale investments:</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60" w:type="dxa"/>
            <w:vAlign w:val="bottom"/>
            <w:shd w:val="clear" w:color="auto" w:fill="E5E5E5"/>
          </w:tcPr>
          <w:p>
            <w:pPr>
              <w:ind w:left="440"/>
              <w:spacing w:after="0" w:line="202" w:lineRule="exact"/>
              <w:rPr>
                <w:sz w:val="20"/>
                <w:szCs w:val="20"/>
                <w:color w:val="auto"/>
              </w:rPr>
            </w:pPr>
            <w:r>
              <w:rPr>
                <w:rFonts w:ascii="Arial" w:cs="Arial" w:eastAsia="Arial" w:hAnsi="Arial"/>
                <w:sz w:val="18"/>
                <w:szCs w:val="18"/>
                <w:color w:val="auto"/>
              </w:rPr>
              <w:t>Annual adjustment, net of tax benefit (expense) of ($3), ($2) and $2</w:t>
            </w:r>
          </w:p>
        </w:tc>
        <w:tc>
          <w:tcPr>
            <w:tcW w:w="2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640" w:type="dxa"/>
            <w:vAlign w:val="bottom"/>
            <w:shd w:val="clear" w:color="auto" w:fill="E5E5E5"/>
          </w:tcPr>
          <w:p>
            <w:pPr>
              <w:jc w:val="right"/>
              <w:ind w:right="54"/>
              <w:spacing w:after="0" w:line="202" w:lineRule="exact"/>
              <w:rPr>
                <w:sz w:val="20"/>
                <w:szCs w:val="20"/>
                <w:color w:val="auto"/>
              </w:rPr>
            </w:pPr>
            <w:r>
              <w:rPr>
                <w:rFonts w:ascii="Arial" w:cs="Arial" w:eastAsia="Arial" w:hAnsi="Arial"/>
                <w:sz w:val="18"/>
                <w:szCs w:val="18"/>
                <w:b w:val="1"/>
                <w:bCs w:val="1"/>
                <w:color w:val="auto"/>
              </w:rPr>
              <w:t>8</w:t>
            </w:r>
          </w:p>
        </w:tc>
        <w:tc>
          <w:tcPr>
            <w:tcW w:w="380" w:type="dxa"/>
            <w:vAlign w:val="bottom"/>
            <w:shd w:val="clear" w:color="auto" w:fill="E5E5E5"/>
          </w:tcPr>
          <w:p>
            <w:pPr>
              <w:spacing w:after="0"/>
              <w:rPr>
                <w:sz w:val="17"/>
                <w:szCs w:val="17"/>
                <w:color w:val="auto"/>
              </w:rPr>
            </w:pPr>
          </w:p>
        </w:tc>
        <w:tc>
          <w:tcPr>
            <w:tcW w:w="760" w:type="dxa"/>
            <w:vAlign w:val="bottom"/>
            <w:shd w:val="clear" w:color="auto" w:fill="E5E5E5"/>
          </w:tcPr>
          <w:p>
            <w:pPr>
              <w:jc w:val="right"/>
              <w:ind w:right="172"/>
              <w:spacing w:after="0" w:line="202" w:lineRule="exact"/>
              <w:rPr>
                <w:sz w:val="20"/>
                <w:szCs w:val="20"/>
                <w:color w:val="auto"/>
              </w:rPr>
            </w:pPr>
            <w:r>
              <w:rPr>
                <w:rFonts w:ascii="Arial" w:cs="Arial" w:eastAsia="Arial" w:hAnsi="Arial"/>
                <w:sz w:val="18"/>
                <w:szCs w:val="18"/>
                <w:color w:val="auto"/>
              </w:rPr>
              <w:t>5</w:t>
            </w:r>
          </w:p>
        </w:tc>
        <w:tc>
          <w:tcPr>
            <w:tcW w:w="160" w:type="dxa"/>
            <w:vAlign w:val="bottom"/>
            <w:shd w:val="clear" w:color="auto" w:fill="E5E5E5"/>
          </w:tcPr>
          <w:p>
            <w:pPr>
              <w:spacing w:after="0"/>
              <w:rPr>
                <w:sz w:val="17"/>
                <w:szCs w:val="17"/>
                <w:color w:val="auto"/>
              </w:rPr>
            </w:pPr>
          </w:p>
        </w:tc>
        <w:tc>
          <w:tcPr>
            <w:tcW w:w="56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3"/>
        </w:trPr>
        <w:tc>
          <w:tcPr>
            <w:tcW w:w="8560" w:type="dxa"/>
            <w:vAlign w:val="bottom"/>
          </w:tcPr>
          <w:p>
            <w:pPr>
              <w:ind w:left="440"/>
              <w:spacing w:after="0" w:line="202" w:lineRule="exact"/>
              <w:rPr>
                <w:sz w:val="20"/>
                <w:szCs w:val="20"/>
                <w:color w:val="auto"/>
              </w:rPr>
            </w:pPr>
            <w:r>
              <w:rPr>
                <w:rFonts w:ascii="Arial" w:cs="Arial" w:eastAsia="Arial" w:hAnsi="Arial"/>
                <w:sz w:val="18"/>
                <w:szCs w:val="18"/>
                <w:color w:val="auto"/>
              </w:rPr>
              <w:t>Reclassification of recognized transactions, net of tax benefit (expense) of $0, $0 and ($1)</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w:t>
            </w:r>
          </w:p>
        </w:tc>
        <w:tc>
          <w:tcPr>
            <w:tcW w:w="380" w:type="dxa"/>
            <w:vAlign w:val="bottom"/>
          </w:tcPr>
          <w:p>
            <w:pPr>
              <w:spacing w:after="0"/>
              <w:rPr>
                <w:sz w:val="17"/>
                <w:szCs w:val="17"/>
                <w:color w:val="auto"/>
              </w:rPr>
            </w:pPr>
          </w:p>
        </w:tc>
        <w:tc>
          <w:tcPr>
            <w:tcW w:w="76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(1)</w:t>
            </w:r>
          </w:p>
        </w:tc>
        <w:tc>
          <w:tcPr>
            <w:tcW w:w="160" w:type="dxa"/>
            <w:vAlign w:val="bottom"/>
          </w:tcPr>
          <w:p>
            <w:pPr>
              <w:spacing w:after="0"/>
              <w:rPr>
                <w:sz w:val="17"/>
                <w:szCs w:val="17"/>
                <w:color w:val="auto"/>
              </w:rPr>
            </w:pPr>
          </w:p>
        </w:tc>
        <w:tc>
          <w:tcPr>
            <w:tcW w:w="5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856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Unrecognized net actuarial loss of defined benefit plans:</w:t>
            </w:r>
          </w:p>
        </w:tc>
        <w:tc>
          <w:tcPr>
            <w:tcW w:w="2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64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76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50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60" w:type="dxa"/>
            <w:vAlign w:val="bottom"/>
          </w:tcPr>
          <w:p>
            <w:pPr>
              <w:ind w:left="440"/>
              <w:spacing w:after="0" w:line="202" w:lineRule="exact"/>
              <w:rPr>
                <w:sz w:val="20"/>
                <w:szCs w:val="20"/>
                <w:color w:val="auto"/>
              </w:rPr>
            </w:pPr>
            <w:r>
              <w:rPr>
                <w:rFonts w:ascii="Arial" w:cs="Arial" w:eastAsia="Arial" w:hAnsi="Arial"/>
                <w:sz w:val="18"/>
                <w:szCs w:val="18"/>
                <w:color w:val="auto"/>
              </w:rPr>
              <w:t>Annual adjustment, net of tax benefit (expense) of ($19)</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5</w:t>
            </w:r>
          </w:p>
        </w:tc>
        <w:tc>
          <w:tcPr>
            <w:tcW w:w="380" w:type="dxa"/>
            <w:vAlign w:val="bottom"/>
          </w:tcPr>
          <w:p>
            <w:pPr>
              <w:spacing w:after="0"/>
              <w:rPr>
                <w:sz w:val="17"/>
                <w:szCs w:val="17"/>
                <w:color w:val="auto"/>
              </w:rPr>
            </w:pPr>
          </w:p>
        </w:tc>
        <w:tc>
          <w:tcPr>
            <w:tcW w:w="76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5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560" w:type="dxa"/>
            <w:vAlign w:val="bottom"/>
            <w:shd w:val="clear" w:color="auto" w:fill="E5E5E5"/>
          </w:tcPr>
          <w:p>
            <w:pPr>
              <w:ind w:left="440"/>
              <w:spacing w:after="0" w:line="202" w:lineRule="exact"/>
              <w:rPr>
                <w:sz w:val="20"/>
                <w:szCs w:val="20"/>
                <w:color w:val="auto"/>
              </w:rPr>
            </w:pPr>
            <w:r>
              <w:rPr>
                <w:rFonts w:ascii="Arial" w:cs="Arial" w:eastAsia="Arial" w:hAnsi="Arial"/>
                <w:sz w:val="18"/>
                <w:szCs w:val="18"/>
                <w:color w:val="auto"/>
              </w:rPr>
              <w:t>Reclassification of recognized transactions, net of tax benefit (expense) of ($12)</w:t>
            </w:r>
          </w:p>
        </w:tc>
        <w:tc>
          <w:tcPr>
            <w:tcW w:w="2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640" w:type="dxa"/>
            <w:vAlign w:val="bottom"/>
            <w:shd w:val="clear" w:color="auto" w:fill="E5E5E5"/>
          </w:tcPr>
          <w:p>
            <w:pPr>
              <w:jc w:val="right"/>
              <w:ind w:right="54"/>
              <w:spacing w:after="0" w:line="202" w:lineRule="exact"/>
              <w:rPr>
                <w:sz w:val="20"/>
                <w:szCs w:val="20"/>
                <w:color w:val="auto"/>
              </w:rPr>
            </w:pPr>
            <w:r>
              <w:rPr>
                <w:rFonts w:ascii="Arial" w:cs="Arial" w:eastAsia="Arial" w:hAnsi="Arial"/>
                <w:sz w:val="18"/>
                <w:szCs w:val="18"/>
                <w:b w:val="1"/>
                <w:bCs w:val="1"/>
                <w:color w:val="auto"/>
              </w:rPr>
              <w:t>28</w:t>
            </w:r>
          </w:p>
        </w:tc>
        <w:tc>
          <w:tcPr>
            <w:tcW w:w="380" w:type="dxa"/>
            <w:vAlign w:val="bottom"/>
            <w:shd w:val="clear" w:color="auto" w:fill="E5E5E5"/>
          </w:tcPr>
          <w:p>
            <w:pPr>
              <w:spacing w:after="0"/>
              <w:rPr>
                <w:sz w:val="17"/>
                <w:szCs w:val="17"/>
                <w:color w:val="auto"/>
              </w:rPr>
            </w:pPr>
          </w:p>
        </w:tc>
        <w:tc>
          <w:tcPr>
            <w:tcW w:w="760" w:type="dxa"/>
            <w:vAlign w:val="bottom"/>
            <w:shd w:val="clear" w:color="auto" w:fill="E5E5E5"/>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E5E5E5"/>
          </w:tcPr>
          <w:p>
            <w:pPr>
              <w:spacing w:after="0"/>
              <w:rPr>
                <w:sz w:val="17"/>
                <w:szCs w:val="17"/>
                <w:color w:val="auto"/>
              </w:rPr>
            </w:pPr>
          </w:p>
        </w:tc>
        <w:tc>
          <w:tcPr>
            <w:tcW w:w="56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560" w:type="dxa"/>
            <w:vAlign w:val="bottom"/>
          </w:tcPr>
          <w:p>
            <w:pPr>
              <w:ind w:left="220"/>
              <w:spacing w:after="0" w:line="202" w:lineRule="exact"/>
              <w:rPr>
                <w:sz w:val="20"/>
                <w:szCs w:val="20"/>
                <w:color w:val="auto"/>
              </w:rPr>
            </w:pPr>
            <w:r>
              <w:rPr>
                <w:rFonts w:ascii="Arial" w:cs="Arial" w:eastAsia="Arial" w:hAnsi="Arial"/>
                <w:sz w:val="18"/>
                <w:szCs w:val="18"/>
                <w:color w:val="auto"/>
              </w:rPr>
              <w:t>Unrecognized prior service cost of defined benefit plans:</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60" w:type="dxa"/>
            <w:vAlign w:val="bottom"/>
            <w:shd w:val="clear" w:color="auto" w:fill="E5E5E5"/>
          </w:tcPr>
          <w:p>
            <w:pPr>
              <w:ind w:left="440"/>
              <w:spacing w:after="0" w:line="202" w:lineRule="exact"/>
              <w:rPr>
                <w:sz w:val="20"/>
                <w:szCs w:val="20"/>
                <w:color w:val="auto"/>
              </w:rPr>
            </w:pPr>
            <w:r>
              <w:rPr>
                <w:rFonts w:ascii="Arial" w:cs="Arial" w:eastAsia="Arial" w:hAnsi="Arial"/>
                <w:sz w:val="18"/>
                <w:szCs w:val="18"/>
                <w:color w:val="auto"/>
              </w:rPr>
              <w:t>Annual adjustment, net of tax benefit (expense) of $2</w:t>
            </w:r>
          </w:p>
        </w:tc>
        <w:tc>
          <w:tcPr>
            <w:tcW w:w="2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6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(2)</w:t>
            </w:r>
          </w:p>
        </w:tc>
        <w:tc>
          <w:tcPr>
            <w:tcW w:w="380" w:type="dxa"/>
            <w:vAlign w:val="bottom"/>
            <w:shd w:val="clear" w:color="auto" w:fill="E5E5E5"/>
          </w:tcPr>
          <w:p>
            <w:pPr>
              <w:spacing w:after="0"/>
              <w:rPr>
                <w:sz w:val="17"/>
                <w:szCs w:val="17"/>
                <w:color w:val="auto"/>
              </w:rPr>
            </w:pPr>
          </w:p>
        </w:tc>
        <w:tc>
          <w:tcPr>
            <w:tcW w:w="760" w:type="dxa"/>
            <w:vAlign w:val="bottom"/>
            <w:shd w:val="clear" w:color="auto" w:fill="E5E5E5"/>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E5E5E5"/>
          </w:tcPr>
          <w:p>
            <w:pPr>
              <w:spacing w:after="0"/>
              <w:rPr>
                <w:sz w:val="17"/>
                <w:szCs w:val="17"/>
                <w:color w:val="auto"/>
              </w:rPr>
            </w:pPr>
          </w:p>
        </w:tc>
        <w:tc>
          <w:tcPr>
            <w:tcW w:w="56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560" w:type="dxa"/>
            <w:vAlign w:val="bottom"/>
          </w:tcPr>
          <w:p>
            <w:pPr>
              <w:ind w:left="440"/>
              <w:spacing w:after="0" w:line="202" w:lineRule="exact"/>
              <w:rPr>
                <w:sz w:val="20"/>
                <w:szCs w:val="20"/>
                <w:color w:val="auto"/>
              </w:rPr>
            </w:pPr>
            <w:r>
              <w:rPr>
                <w:rFonts w:ascii="Arial" w:cs="Arial" w:eastAsia="Arial" w:hAnsi="Arial"/>
                <w:sz w:val="18"/>
                <w:szCs w:val="18"/>
                <w:color w:val="auto"/>
              </w:rPr>
              <w:t>Reclassification of recognized transactions, net of tax benefit (expense) of $1</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1</w:t>
            </w:r>
          </w:p>
        </w:tc>
        <w:tc>
          <w:tcPr>
            <w:tcW w:w="380" w:type="dxa"/>
            <w:vAlign w:val="bottom"/>
          </w:tcPr>
          <w:p>
            <w:pPr>
              <w:spacing w:after="0"/>
              <w:rPr>
                <w:sz w:val="17"/>
                <w:szCs w:val="17"/>
                <w:color w:val="auto"/>
              </w:rPr>
            </w:pPr>
          </w:p>
        </w:tc>
        <w:tc>
          <w:tcPr>
            <w:tcW w:w="76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5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56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Change in minimum pension liability adjustment:</w:t>
            </w:r>
          </w:p>
        </w:tc>
        <w:tc>
          <w:tcPr>
            <w:tcW w:w="2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64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76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50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560" w:type="dxa"/>
            <w:vAlign w:val="bottom"/>
          </w:tcPr>
          <w:p>
            <w:pPr>
              <w:ind w:left="440"/>
              <w:spacing w:after="0" w:line="202" w:lineRule="exact"/>
              <w:rPr>
                <w:sz w:val="20"/>
                <w:szCs w:val="20"/>
                <w:color w:val="auto"/>
              </w:rPr>
            </w:pPr>
            <w:r>
              <w:rPr>
                <w:rFonts w:ascii="Arial" w:cs="Arial" w:eastAsia="Arial" w:hAnsi="Arial"/>
                <w:sz w:val="18"/>
                <w:szCs w:val="18"/>
                <w:color w:val="auto"/>
              </w:rPr>
              <w:t>Annual adjustment, net of tax benefit (expense) of $0, ($33) and ($79)</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54"/>
              <w:spacing w:after="0" w:line="202" w:lineRule="exact"/>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72"/>
              <w:spacing w:after="0" w:line="202" w:lineRule="exact"/>
              <w:rPr>
                <w:sz w:val="20"/>
                <w:szCs w:val="20"/>
                <w:color w:val="auto"/>
              </w:rPr>
            </w:pPr>
            <w:r>
              <w:rPr>
                <w:rFonts w:ascii="Arial" w:cs="Arial" w:eastAsia="Arial" w:hAnsi="Arial"/>
                <w:sz w:val="18"/>
                <w:szCs w:val="18"/>
                <w:color w:val="auto"/>
              </w:rPr>
              <w:t>48</w:t>
            </w:r>
          </w:p>
        </w:tc>
        <w:tc>
          <w:tcPr>
            <w:tcW w:w="1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56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Total</w:t>
            </w:r>
          </w:p>
        </w:tc>
        <w:tc>
          <w:tcPr>
            <w:tcW w:w="220" w:type="dxa"/>
            <w:vAlign w:val="bottom"/>
            <w:shd w:val="clear" w:color="auto" w:fill="E5E5E5"/>
          </w:tcPr>
          <w:p>
            <w:pPr>
              <w:spacing w:after="0"/>
              <w:rPr>
                <w:sz w:val="17"/>
                <w:szCs w:val="17"/>
                <w:color w:val="auto"/>
              </w:rPr>
            </w:pPr>
          </w:p>
        </w:tc>
        <w:tc>
          <w:tcPr>
            <w:tcW w:w="140" w:type="dxa"/>
            <w:vAlign w:val="bottom"/>
            <w:tcBorders>
              <w:bottom w:val="single" w:sz="8" w:color="auto"/>
            </w:tcBorders>
            <w:shd w:val="clear" w:color="auto" w:fill="E5E5E5"/>
          </w:tcPr>
          <w:p>
            <w:pPr>
              <w:spacing w:after="0"/>
              <w:rPr>
                <w:sz w:val="17"/>
                <w:szCs w:val="17"/>
                <w:color w:val="auto"/>
              </w:rPr>
            </w:pPr>
          </w:p>
        </w:tc>
        <w:tc>
          <w:tcPr>
            <w:tcW w:w="640" w:type="dxa"/>
            <w:vAlign w:val="bottom"/>
            <w:tcBorders>
              <w:bottom w:val="single" w:sz="8" w:color="auto"/>
            </w:tcBorders>
            <w:shd w:val="clear" w:color="auto" w:fill="E5E5E5"/>
          </w:tcPr>
          <w:p>
            <w:pPr>
              <w:jc w:val="right"/>
              <w:ind w:right="54"/>
              <w:spacing w:after="0" w:line="202" w:lineRule="exact"/>
              <w:rPr>
                <w:sz w:val="20"/>
                <w:szCs w:val="20"/>
                <w:color w:val="auto"/>
              </w:rPr>
            </w:pPr>
            <w:r>
              <w:rPr>
                <w:rFonts w:ascii="Arial" w:cs="Arial" w:eastAsia="Arial" w:hAnsi="Arial"/>
                <w:sz w:val="18"/>
                <w:szCs w:val="18"/>
                <w:b w:val="1"/>
                <w:bCs w:val="1"/>
                <w:color w:val="auto"/>
              </w:rPr>
              <w:t>39</w:t>
            </w:r>
          </w:p>
        </w:tc>
        <w:tc>
          <w:tcPr>
            <w:tcW w:w="380" w:type="dxa"/>
            <w:vAlign w:val="bottom"/>
            <w:tcBorders>
              <w:bottom w:val="single" w:sz="8" w:color="auto"/>
            </w:tcBorders>
            <w:shd w:val="clear" w:color="auto" w:fill="E5E5E5"/>
          </w:tcPr>
          <w:p>
            <w:pPr>
              <w:spacing w:after="0"/>
              <w:rPr>
                <w:sz w:val="17"/>
                <w:szCs w:val="17"/>
                <w:color w:val="auto"/>
              </w:rPr>
            </w:pPr>
          </w:p>
        </w:tc>
        <w:tc>
          <w:tcPr>
            <w:tcW w:w="760" w:type="dxa"/>
            <w:vAlign w:val="bottom"/>
            <w:tcBorders>
              <w:bottom w:val="single" w:sz="8" w:color="auto"/>
            </w:tcBorders>
            <w:shd w:val="clear" w:color="auto" w:fill="E5E5E5"/>
          </w:tcPr>
          <w:p>
            <w:pPr>
              <w:jc w:val="right"/>
              <w:ind w:right="172"/>
              <w:spacing w:after="0" w:line="202" w:lineRule="exact"/>
              <w:rPr>
                <w:sz w:val="20"/>
                <w:szCs w:val="20"/>
                <w:color w:val="auto"/>
              </w:rPr>
            </w:pPr>
            <w:r>
              <w:rPr>
                <w:rFonts w:ascii="Arial" w:cs="Arial" w:eastAsia="Arial" w:hAnsi="Arial"/>
                <w:sz w:val="18"/>
                <w:szCs w:val="18"/>
                <w:color w:val="auto"/>
              </w:rPr>
              <w:t>52</w:t>
            </w:r>
          </w:p>
        </w:tc>
        <w:tc>
          <w:tcPr>
            <w:tcW w:w="160" w:type="dxa"/>
            <w:vAlign w:val="bottom"/>
            <w:tcBorders>
              <w:bottom w:val="single" w:sz="8" w:color="auto"/>
            </w:tcBorders>
            <w:shd w:val="clear" w:color="auto" w:fill="E5E5E5"/>
          </w:tcPr>
          <w:p>
            <w:pPr>
              <w:spacing w:after="0"/>
              <w:rPr>
                <w:sz w:val="17"/>
                <w:szCs w:val="17"/>
                <w:color w:val="auto"/>
              </w:rPr>
            </w:pPr>
          </w:p>
        </w:tc>
        <w:tc>
          <w:tcPr>
            <w:tcW w:w="500" w:type="dxa"/>
            <w:vAlign w:val="bottom"/>
            <w:tcBorders>
              <w:bottom w:val="single" w:sz="8" w:color="auto"/>
            </w:tcBorders>
            <w:shd w:val="clear" w:color="auto" w:fill="E5E5E5"/>
          </w:tcPr>
          <w:p>
            <w:pPr>
              <w:jc w:val="right"/>
              <w:spacing w:after="0" w:line="202" w:lineRule="exact"/>
              <w:rPr>
                <w:sz w:val="20"/>
                <w:szCs w:val="20"/>
                <w:color w:val="auto"/>
              </w:rPr>
            </w:pPr>
            <w:r>
              <w:rPr>
                <w:rFonts w:ascii="Arial" w:cs="Arial" w:eastAsia="Arial" w:hAnsi="Arial"/>
                <w:sz w:val="18"/>
                <w:szCs w:val="18"/>
                <w:color w:val="auto"/>
              </w:rPr>
              <w:t>102</w:t>
            </w:r>
          </w:p>
        </w:tc>
        <w:tc>
          <w:tcPr>
            <w:tcW w:w="6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8560" w:type="dxa"/>
            <w:vAlign w:val="bottom"/>
          </w:tcPr>
          <w:p>
            <w:pPr>
              <w:spacing w:after="0"/>
              <w:rPr>
                <w:sz w:val="20"/>
                <w:szCs w:val="20"/>
                <w:color w:val="auto"/>
              </w:rPr>
            </w:pPr>
            <w:r>
              <w:rPr>
                <w:rFonts w:ascii="Arial" w:cs="Arial" w:eastAsia="Arial" w:hAnsi="Arial"/>
                <w:sz w:val="18"/>
                <w:szCs w:val="18"/>
                <w:color w:val="auto"/>
              </w:rPr>
              <w:t>Total comprehensive income from continuing operations</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2,680</w:t>
            </w: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2,690</w:t>
            </w:r>
          </w:p>
        </w:tc>
        <w:tc>
          <w:tcPr>
            <w:tcW w:w="1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5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Income from discontinued operations, net of income taxes</w:t>
            </w:r>
          </w:p>
        </w:tc>
        <w:tc>
          <w:tcPr>
            <w:tcW w:w="220" w:type="dxa"/>
            <w:vAlign w:val="bottom"/>
            <w:shd w:val="clear" w:color="auto" w:fill="E5E5E5"/>
          </w:tcPr>
          <w:p>
            <w:pPr>
              <w:spacing w:after="0"/>
              <w:rPr>
                <w:sz w:val="17"/>
                <w:szCs w:val="17"/>
                <w:color w:val="auto"/>
              </w:rPr>
            </w:pPr>
          </w:p>
        </w:tc>
        <w:tc>
          <w:tcPr>
            <w:tcW w:w="140" w:type="dxa"/>
            <w:vAlign w:val="bottom"/>
            <w:tcBorders>
              <w:bottom w:val="single" w:sz="8" w:color="auto"/>
            </w:tcBorders>
            <w:shd w:val="clear" w:color="auto" w:fill="E5E5E5"/>
          </w:tcPr>
          <w:p>
            <w:pPr>
              <w:spacing w:after="0"/>
              <w:rPr>
                <w:sz w:val="17"/>
                <w:szCs w:val="17"/>
                <w:color w:val="auto"/>
              </w:rPr>
            </w:pPr>
          </w:p>
        </w:tc>
        <w:tc>
          <w:tcPr>
            <w:tcW w:w="640" w:type="dxa"/>
            <w:vAlign w:val="bottom"/>
            <w:tcBorders>
              <w:bottom w:val="single" w:sz="8" w:color="auto"/>
            </w:tcBorders>
            <w:shd w:val="clear" w:color="auto" w:fill="E5E5E5"/>
          </w:tcPr>
          <w:p>
            <w:pPr>
              <w:jc w:val="right"/>
              <w:ind w:right="54"/>
              <w:spacing w:after="0" w:line="202" w:lineRule="exact"/>
              <w:rPr>
                <w:sz w:val="20"/>
                <w:szCs w:val="20"/>
                <w:color w:val="auto"/>
              </w:rPr>
            </w:pPr>
            <w:r>
              <w:rPr>
                <w:rFonts w:ascii="Arial" w:cs="Arial" w:eastAsia="Arial" w:hAnsi="Arial"/>
                <w:sz w:val="18"/>
                <w:szCs w:val="18"/>
                <w:b w:val="1"/>
                <w:bCs w:val="1"/>
                <w:color w:val="auto"/>
              </w:rPr>
              <w:t>16</w:t>
            </w:r>
          </w:p>
        </w:tc>
        <w:tc>
          <w:tcPr>
            <w:tcW w:w="380" w:type="dxa"/>
            <w:vAlign w:val="bottom"/>
            <w:tcBorders>
              <w:bottom w:val="single" w:sz="8" w:color="auto"/>
            </w:tcBorders>
            <w:shd w:val="clear" w:color="auto" w:fill="E5E5E5"/>
          </w:tcPr>
          <w:p>
            <w:pPr>
              <w:spacing w:after="0"/>
              <w:rPr>
                <w:sz w:val="17"/>
                <w:szCs w:val="17"/>
                <w:color w:val="auto"/>
              </w:rPr>
            </w:pPr>
          </w:p>
        </w:tc>
        <w:tc>
          <w:tcPr>
            <w:tcW w:w="760" w:type="dxa"/>
            <w:vAlign w:val="bottom"/>
            <w:tcBorders>
              <w:bottom w:val="single" w:sz="8" w:color="auto"/>
            </w:tcBorders>
            <w:shd w:val="clear" w:color="auto" w:fill="E5E5E5"/>
          </w:tcPr>
          <w:p>
            <w:pPr>
              <w:jc w:val="right"/>
              <w:ind w:right="172"/>
              <w:spacing w:after="0" w:line="202" w:lineRule="exact"/>
              <w:rPr>
                <w:sz w:val="20"/>
                <w:szCs w:val="20"/>
                <w:color w:val="auto"/>
              </w:rPr>
            </w:pPr>
            <w:r>
              <w:rPr>
                <w:rFonts w:ascii="Arial" w:cs="Arial" w:eastAsia="Arial" w:hAnsi="Arial"/>
                <w:sz w:val="18"/>
                <w:szCs w:val="18"/>
                <w:color w:val="auto"/>
              </w:rPr>
              <w:t>1,703</w:t>
            </w:r>
          </w:p>
        </w:tc>
        <w:tc>
          <w:tcPr>
            <w:tcW w:w="160" w:type="dxa"/>
            <w:vAlign w:val="bottom"/>
            <w:tcBorders>
              <w:bottom w:val="single" w:sz="8" w:color="auto"/>
            </w:tcBorders>
            <w:shd w:val="clear" w:color="auto" w:fill="E5E5E5"/>
          </w:tcPr>
          <w:p>
            <w:pPr>
              <w:spacing w:after="0"/>
              <w:rPr>
                <w:sz w:val="17"/>
                <w:szCs w:val="17"/>
                <w:color w:val="auto"/>
              </w:rPr>
            </w:pPr>
          </w:p>
        </w:tc>
        <w:tc>
          <w:tcPr>
            <w:tcW w:w="500" w:type="dxa"/>
            <w:vAlign w:val="bottom"/>
            <w:tcBorders>
              <w:bottom w:val="single" w:sz="8" w:color="auto"/>
            </w:tcBorders>
            <w:shd w:val="clear" w:color="auto" w:fill="E5E5E5"/>
          </w:tcPr>
          <w:p>
            <w:pPr>
              <w:jc w:val="right"/>
              <w:spacing w:after="0" w:line="202" w:lineRule="exact"/>
              <w:rPr>
                <w:sz w:val="20"/>
                <w:szCs w:val="20"/>
                <w:color w:val="auto"/>
              </w:rPr>
            </w:pPr>
            <w:r>
              <w:rPr>
                <w:rFonts w:ascii="Arial" w:cs="Arial" w:eastAsia="Arial" w:hAnsi="Arial"/>
                <w:sz w:val="18"/>
                <w:szCs w:val="18"/>
                <w:color w:val="auto"/>
              </w:rPr>
              <w:t>151</w:t>
            </w:r>
          </w:p>
        </w:tc>
        <w:tc>
          <w:tcPr>
            <w:tcW w:w="6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560" w:type="dxa"/>
            <w:vAlign w:val="bottom"/>
          </w:tcPr>
          <w:p>
            <w:pPr>
              <w:spacing w:after="0"/>
              <w:rPr>
                <w:sz w:val="20"/>
                <w:szCs w:val="20"/>
                <w:color w:val="auto"/>
              </w:rPr>
            </w:pPr>
            <w:r>
              <w:rPr>
                <w:rFonts w:ascii="Arial" w:cs="Arial" w:eastAsia="Arial" w:hAnsi="Arial"/>
                <w:sz w:val="18"/>
                <w:szCs w:val="18"/>
                <w:color w:val="auto"/>
              </w:rPr>
              <w:t>Total comprehensive income</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2,696</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4,393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60" w:type="dxa"/>
            <w:vAlign w:val="bottom"/>
            <w:vMerge w:val="restart"/>
          </w:tcPr>
          <w:p>
            <w:pPr>
              <w:spacing w:after="0"/>
              <w:rPr>
                <w:sz w:val="20"/>
                <w:szCs w:val="20"/>
                <w:color w:val="auto"/>
              </w:rPr>
            </w:pPr>
            <w:r>
              <w:rPr>
                <w:rFonts w:ascii="Arial" w:cs="Arial" w:eastAsia="Arial" w:hAnsi="Arial"/>
                <w:sz w:val="14"/>
                <w:szCs w:val="14"/>
                <w:color w:val="auto"/>
              </w:rPr>
              <w:t>See accompanying notes.</w:t>
            </w: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1"/>
        </w:trPr>
        <w:tc>
          <w:tcPr>
            <w:tcW w:w="8560" w:type="dxa"/>
            <w:vAlign w:val="bottom"/>
          </w:tcPr>
          <w:p>
            <w:pPr>
              <w:spacing w:after="0"/>
              <w:rPr>
                <w:sz w:val="20"/>
                <w:szCs w:val="20"/>
                <w:color w:val="auto"/>
              </w:rPr>
            </w:pPr>
            <w:r>
              <w:rPr>
                <w:rFonts w:ascii="Arial" w:cs="Arial" w:eastAsia="Arial" w:hAnsi="Arial"/>
                <w:sz w:val="14"/>
                <w:szCs w:val="14"/>
                <w:color w:val="auto"/>
              </w:rPr>
              <w:t>TEXAS INSTRUMENTS 2007 ANNUAL REPORT</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bl>
    <w:p>
      <w:pPr>
        <w:sectPr>
          <w:pgSz w:w="11900" w:h="16838" w:orient="portrait"/>
          <w:cols w:equalWidth="0" w:num="1">
            <w:col w:w="11420"/>
          </w:cols>
          <w:pgMar w:left="240" w:top="269"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CONSOLIDATED BALANCE SHEETS</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(Millions of dollars, except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365"/>
        </w:trPr>
        <w:tc>
          <w:tcPr>
            <w:tcW w:w="6900" w:type="dxa"/>
            <w:vAlign w:val="bottom"/>
            <w:shd w:val="clear" w:color="auto" w:fill="E5E5E5"/>
          </w:tcPr>
          <w:p>
            <w:pPr>
              <w:spacing w:after="0"/>
              <w:rPr>
                <w:sz w:val="24"/>
                <w:szCs w:val="24"/>
                <w:color w:val="auto"/>
              </w:rPr>
            </w:pPr>
          </w:p>
        </w:tc>
        <w:tc>
          <w:tcPr>
            <w:tcW w:w="2660" w:type="dxa"/>
            <w:vAlign w:val="bottom"/>
            <w:shd w:val="clear" w:color="auto" w:fill="E5E5E5"/>
          </w:tcPr>
          <w:p>
            <w:pPr>
              <w:spacing w:after="0"/>
              <w:rPr>
                <w:sz w:val="24"/>
                <w:szCs w:val="24"/>
                <w:color w:val="auto"/>
              </w:rPr>
            </w:pPr>
          </w:p>
        </w:tc>
        <w:tc>
          <w:tcPr>
            <w:tcW w:w="120" w:type="dxa"/>
            <w:vAlign w:val="bottom"/>
            <w:shd w:val="clear" w:color="auto" w:fill="E5E5E5"/>
          </w:tcPr>
          <w:p>
            <w:pPr>
              <w:spacing w:after="0"/>
              <w:rPr>
                <w:sz w:val="24"/>
                <w:szCs w:val="24"/>
                <w:color w:val="auto"/>
              </w:rPr>
            </w:pPr>
          </w:p>
        </w:tc>
        <w:tc>
          <w:tcPr>
            <w:tcW w:w="1740" w:type="dxa"/>
            <w:vAlign w:val="bottom"/>
            <w:gridSpan w:val="4"/>
            <w:shd w:val="clear" w:color="auto" w:fill="E5E5E5"/>
          </w:tcPr>
          <w:p>
            <w:pPr>
              <w:jc w:val="right"/>
              <w:ind w:right="5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43"/>
        </w:trPr>
        <w:tc>
          <w:tcPr>
            <w:tcW w:w="6900" w:type="dxa"/>
            <w:vAlign w:val="bottom"/>
            <w:shd w:val="clear" w:color="auto" w:fill="E5E5E5"/>
          </w:tcPr>
          <w:p>
            <w:pPr>
              <w:spacing w:after="0"/>
              <w:rPr>
                <w:sz w:val="21"/>
                <w:szCs w:val="21"/>
                <w:color w:val="auto"/>
              </w:rPr>
            </w:pPr>
          </w:p>
        </w:tc>
        <w:tc>
          <w:tcPr>
            <w:tcW w:w="2660" w:type="dxa"/>
            <w:vAlign w:val="bottom"/>
            <w:shd w:val="clear" w:color="auto" w:fill="E5E5E5"/>
          </w:tcPr>
          <w:p>
            <w:pPr>
              <w:spacing w:after="0"/>
              <w:rPr>
                <w:sz w:val="21"/>
                <w:szCs w:val="21"/>
                <w:color w:val="auto"/>
              </w:rPr>
            </w:pPr>
          </w:p>
        </w:tc>
        <w:tc>
          <w:tcPr>
            <w:tcW w:w="120" w:type="dxa"/>
            <w:vAlign w:val="bottom"/>
            <w:shd w:val="clear" w:color="auto" w:fill="E5E5E5"/>
          </w:tcPr>
          <w:p>
            <w:pPr>
              <w:spacing w:after="0"/>
              <w:rPr>
                <w:sz w:val="21"/>
                <w:szCs w:val="21"/>
                <w:color w:val="auto"/>
              </w:rPr>
            </w:pPr>
          </w:p>
        </w:tc>
        <w:tc>
          <w:tcPr>
            <w:tcW w:w="800" w:type="dxa"/>
            <w:vAlign w:val="bottom"/>
            <w:shd w:val="clear" w:color="auto" w:fill="E5E5E5"/>
          </w:tcPr>
          <w:p>
            <w:pPr>
              <w:jc w:val="right"/>
              <w:ind w:right="213"/>
              <w:spacing w:after="0"/>
              <w:rPr>
                <w:sz w:val="20"/>
                <w:szCs w:val="20"/>
                <w:color w:val="auto"/>
              </w:rPr>
            </w:pPr>
            <w:r>
              <w:rPr>
                <w:rFonts w:ascii="Arial" w:cs="Arial" w:eastAsia="Arial" w:hAnsi="Arial"/>
                <w:sz w:val="18"/>
                <w:szCs w:val="18"/>
                <w:b w:val="1"/>
                <w:bCs w:val="1"/>
                <w:color w:val="auto"/>
              </w:rPr>
              <w:t>2007</w:t>
            </w:r>
          </w:p>
        </w:tc>
        <w:tc>
          <w:tcPr>
            <w:tcW w:w="260" w:type="dxa"/>
            <w:vAlign w:val="bottom"/>
            <w:shd w:val="clear" w:color="auto" w:fill="E5E5E5"/>
          </w:tcPr>
          <w:p>
            <w:pPr>
              <w:spacing w:after="0"/>
              <w:rPr>
                <w:sz w:val="21"/>
                <w:szCs w:val="21"/>
                <w:color w:val="auto"/>
              </w:rPr>
            </w:pPr>
          </w:p>
        </w:tc>
        <w:tc>
          <w:tcPr>
            <w:tcW w:w="620" w:type="dxa"/>
            <w:vAlign w:val="bottom"/>
            <w:shd w:val="clear" w:color="auto" w:fill="E5E5E5"/>
          </w:tcPr>
          <w:p>
            <w:pPr>
              <w:jc w:val="right"/>
              <w:ind w:right="92"/>
              <w:spacing w:after="0"/>
              <w:rPr>
                <w:sz w:val="20"/>
                <w:szCs w:val="20"/>
                <w:color w:val="auto"/>
              </w:rPr>
            </w:pPr>
            <w:r>
              <w:rPr>
                <w:rFonts w:ascii="Arial" w:cs="Arial" w:eastAsia="Arial" w:hAnsi="Arial"/>
                <w:sz w:val="18"/>
                <w:szCs w:val="18"/>
                <w:b w:val="1"/>
                <w:bCs w:val="1"/>
                <w:color w:val="auto"/>
              </w:rPr>
              <w:t>2006</w:t>
            </w:r>
          </w:p>
        </w:tc>
        <w:tc>
          <w:tcPr>
            <w:tcW w:w="60" w:type="dxa"/>
            <w:vAlign w:val="bottom"/>
            <w:shd w:val="clear" w:color="auto" w:fill="E5E5E5"/>
          </w:tcPr>
          <w:p>
            <w:pPr>
              <w:spacing w:after="0"/>
              <w:rPr>
                <w:sz w:val="21"/>
                <w:szCs w:val="21"/>
                <w:color w:val="auto"/>
              </w:rPr>
            </w:pPr>
          </w:p>
        </w:tc>
        <w:tc>
          <w:tcPr>
            <w:tcW w:w="0" w:type="dxa"/>
            <w:vAlign w:val="bottom"/>
          </w:tcPr>
          <w:p>
            <w:pPr>
              <w:spacing w:after="0"/>
              <w:rPr>
                <w:sz w:val="1"/>
                <w:szCs w:val="1"/>
                <w:color w:val="auto"/>
              </w:rPr>
            </w:pPr>
          </w:p>
        </w:tc>
      </w:tr>
      <w:tr>
        <w:trPr>
          <w:trHeight w:val="311"/>
        </w:trPr>
        <w:tc>
          <w:tcPr>
            <w:tcW w:w="690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2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9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Current assets:</w:t>
            </w:r>
          </w:p>
        </w:tc>
        <w:tc>
          <w:tcPr>
            <w:tcW w:w="266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80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62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tcPr>
          <w:p>
            <w:pPr>
              <w:ind w:left="220"/>
              <w:spacing w:after="0" w:line="202" w:lineRule="exact"/>
              <w:rPr>
                <w:sz w:val="20"/>
                <w:szCs w:val="20"/>
                <w:color w:val="auto"/>
              </w:rPr>
            </w:pPr>
            <w:r>
              <w:rPr>
                <w:rFonts w:ascii="Arial" w:cs="Arial" w:eastAsia="Arial" w:hAnsi="Arial"/>
                <w:sz w:val="18"/>
                <w:szCs w:val="18"/>
                <w:color w:val="auto"/>
              </w:rPr>
              <w:t>Cash and cash equivalents</w:t>
            </w:r>
          </w:p>
        </w:tc>
        <w:tc>
          <w:tcPr>
            <w:tcW w:w="27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93"/>
              <w:spacing w:after="0" w:line="202" w:lineRule="exact"/>
              <w:rPr>
                <w:sz w:val="20"/>
                <w:szCs w:val="20"/>
                <w:color w:val="auto"/>
              </w:rPr>
            </w:pPr>
            <w:r>
              <w:rPr>
                <w:rFonts w:ascii="Arial" w:cs="Arial" w:eastAsia="Arial" w:hAnsi="Arial"/>
                <w:sz w:val="18"/>
                <w:szCs w:val="18"/>
                <w:b w:val="1"/>
                <w:bCs w:val="1"/>
                <w:color w:val="auto"/>
              </w:rPr>
              <w:t>1,328</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1,183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Short-term investments</w:t>
            </w:r>
          </w:p>
        </w:tc>
        <w:tc>
          <w:tcPr>
            <w:tcW w:w="266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800" w:type="dxa"/>
            <w:vAlign w:val="bottom"/>
            <w:shd w:val="clear" w:color="auto" w:fill="E5E5E5"/>
          </w:tcPr>
          <w:p>
            <w:pPr>
              <w:jc w:val="right"/>
              <w:ind w:right="93"/>
              <w:spacing w:after="0" w:line="202" w:lineRule="exact"/>
              <w:rPr>
                <w:sz w:val="20"/>
                <w:szCs w:val="20"/>
                <w:color w:val="auto"/>
              </w:rPr>
            </w:pPr>
            <w:r>
              <w:rPr>
                <w:rFonts w:ascii="Arial" w:cs="Arial" w:eastAsia="Arial" w:hAnsi="Arial"/>
                <w:sz w:val="18"/>
                <w:szCs w:val="18"/>
                <w:b w:val="1"/>
                <w:bCs w:val="1"/>
                <w:color w:val="auto"/>
              </w:rPr>
              <w:t>1,596</w:t>
            </w:r>
          </w:p>
        </w:tc>
        <w:tc>
          <w:tcPr>
            <w:tcW w:w="260" w:type="dxa"/>
            <w:vAlign w:val="bottom"/>
            <w:shd w:val="clear" w:color="auto" w:fill="E5E5E5"/>
          </w:tcPr>
          <w:p>
            <w:pPr>
              <w:spacing w:after="0"/>
              <w:rPr>
                <w:sz w:val="17"/>
                <w:szCs w:val="17"/>
                <w:color w:val="auto"/>
              </w:rPr>
            </w:pPr>
          </w:p>
        </w:tc>
        <w:tc>
          <w:tcPr>
            <w:tcW w:w="6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2,534</w:t>
            </w:r>
          </w:p>
        </w:tc>
        <w:tc>
          <w:tcPr>
            <w:tcW w:w="6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tcPr>
          <w:p>
            <w:pPr>
              <w:ind w:left="220"/>
              <w:spacing w:after="0" w:line="202" w:lineRule="exact"/>
              <w:rPr>
                <w:sz w:val="20"/>
                <w:szCs w:val="20"/>
                <w:color w:val="auto"/>
              </w:rPr>
            </w:pPr>
            <w:r>
              <w:rPr>
                <w:rFonts w:ascii="Arial" w:cs="Arial" w:eastAsia="Arial" w:hAnsi="Arial"/>
                <w:sz w:val="18"/>
                <w:szCs w:val="18"/>
                <w:color w:val="auto"/>
              </w:rPr>
              <w:t>Accounts receivable, net of allowances</w:t>
            </w:r>
          </w:p>
        </w:tc>
        <w:tc>
          <w:tcPr>
            <w:tcW w:w="2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93"/>
              <w:spacing w:after="0" w:line="202" w:lineRule="exact"/>
              <w:rPr>
                <w:sz w:val="20"/>
                <w:szCs w:val="20"/>
                <w:color w:val="auto"/>
              </w:rPr>
            </w:pPr>
            <w:r>
              <w:rPr>
                <w:rFonts w:ascii="Arial" w:cs="Arial" w:eastAsia="Arial" w:hAnsi="Arial"/>
                <w:sz w:val="18"/>
                <w:szCs w:val="18"/>
                <w:b w:val="1"/>
                <w:bCs w:val="1"/>
                <w:color w:val="auto"/>
              </w:rPr>
              <w:t>1,742</w:t>
            </w:r>
          </w:p>
        </w:tc>
        <w:tc>
          <w:tcPr>
            <w:tcW w:w="2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1,774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Inventories</w:t>
            </w:r>
          </w:p>
        </w:tc>
        <w:tc>
          <w:tcPr>
            <w:tcW w:w="266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800" w:type="dxa"/>
            <w:vAlign w:val="bottom"/>
            <w:shd w:val="clear" w:color="auto" w:fill="E5E5E5"/>
          </w:tcPr>
          <w:p>
            <w:pPr>
              <w:jc w:val="right"/>
              <w:ind w:right="93"/>
              <w:spacing w:after="0" w:line="202" w:lineRule="exact"/>
              <w:rPr>
                <w:sz w:val="20"/>
                <w:szCs w:val="20"/>
                <w:color w:val="auto"/>
              </w:rPr>
            </w:pPr>
            <w:r>
              <w:rPr>
                <w:rFonts w:ascii="Arial" w:cs="Arial" w:eastAsia="Arial" w:hAnsi="Arial"/>
                <w:sz w:val="18"/>
                <w:szCs w:val="18"/>
                <w:b w:val="1"/>
                <w:bCs w:val="1"/>
                <w:color w:val="auto"/>
              </w:rPr>
              <w:t>1,418</w:t>
            </w:r>
          </w:p>
        </w:tc>
        <w:tc>
          <w:tcPr>
            <w:tcW w:w="260" w:type="dxa"/>
            <w:vAlign w:val="bottom"/>
            <w:shd w:val="clear" w:color="auto" w:fill="E5E5E5"/>
          </w:tcPr>
          <w:p>
            <w:pPr>
              <w:spacing w:after="0"/>
              <w:rPr>
                <w:sz w:val="17"/>
                <w:szCs w:val="17"/>
                <w:color w:val="auto"/>
              </w:rPr>
            </w:pPr>
          </w:p>
        </w:tc>
        <w:tc>
          <w:tcPr>
            <w:tcW w:w="6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1,437</w:t>
            </w:r>
          </w:p>
        </w:tc>
        <w:tc>
          <w:tcPr>
            <w:tcW w:w="6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tcPr>
          <w:p>
            <w:pPr>
              <w:ind w:left="220"/>
              <w:spacing w:after="0" w:line="202" w:lineRule="exact"/>
              <w:rPr>
                <w:sz w:val="20"/>
                <w:szCs w:val="20"/>
                <w:color w:val="auto"/>
              </w:rPr>
            </w:pPr>
            <w:r>
              <w:rPr>
                <w:rFonts w:ascii="Arial" w:cs="Arial" w:eastAsia="Arial" w:hAnsi="Arial"/>
                <w:sz w:val="18"/>
                <w:szCs w:val="18"/>
                <w:color w:val="auto"/>
              </w:rPr>
              <w:t>Deferred income taxes</w:t>
            </w:r>
          </w:p>
        </w:tc>
        <w:tc>
          <w:tcPr>
            <w:tcW w:w="2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93"/>
              <w:spacing w:after="0" w:line="202" w:lineRule="exact"/>
              <w:rPr>
                <w:sz w:val="20"/>
                <w:szCs w:val="20"/>
                <w:color w:val="auto"/>
              </w:rPr>
            </w:pPr>
            <w:r>
              <w:rPr>
                <w:rFonts w:ascii="Arial" w:cs="Arial" w:eastAsia="Arial" w:hAnsi="Arial"/>
                <w:sz w:val="18"/>
                <w:szCs w:val="18"/>
                <w:b w:val="1"/>
                <w:bCs w:val="1"/>
                <w:color w:val="auto"/>
              </w:rPr>
              <w:t>654</w:t>
            </w:r>
          </w:p>
        </w:tc>
        <w:tc>
          <w:tcPr>
            <w:tcW w:w="2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741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2660" w:type="dxa"/>
            <w:vAlign w:val="bottom"/>
            <w:shd w:val="clear" w:color="auto" w:fill="E5E5E5"/>
          </w:tcPr>
          <w:p>
            <w:pPr>
              <w:spacing w:after="0"/>
              <w:rPr>
                <w:sz w:val="17"/>
                <w:szCs w:val="17"/>
                <w:color w:val="auto"/>
              </w:rPr>
            </w:pPr>
          </w:p>
        </w:tc>
        <w:tc>
          <w:tcPr>
            <w:tcW w:w="120" w:type="dxa"/>
            <w:vAlign w:val="bottom"/>
            <w:tcBorders>
              <w:bottom w:val="single" w:sz="8" w:color="auto"/>
            </w:tcBorders>
            <w:shd w:val="clear" w:color="auto" w:fill="E5E5E5"/>
          </w:tcPr>
          <w:p>
            <w:pPr>
              <w:spacing w:after="0"/>
              <w:rPr>
                <w:sz w:val="17"/>
                <w:szCs w:val="17"/>
                <w:color w:val="auto"/>
              </w:rPr>
            </w:pPr>
          </w:p>
        </w:tc>
        <w:tc>
          <w:tcPr>
            <w:tcW w:w="800" w:type="dxa"/>
            <w:vAlign w:val="bottom"/>
            <w:tcBorders>
              <w:bottom w:val="single" w:sz="8" w:color="auto"/>
            </w:tcBorders>
            <w:shd w:val="clear" w:color="auto" w:fill="E5E5E5"/>
          </w:tcPr>
          <w:p>
            <w:pPr>
              <w:jc w:val="right"/>
              <w:ind w:right="93"/>
              <w:spacing w:after="0" w:line="202" w:lineRule="exact"/>
              <w:rPr>
                <w:sz w:val="20"/>
                <w:szCs w:val="20"/>
                <w:color w:val="auto"/>
              </w:rPr>
            </w:pPr>
            <w:r>
              <w:rPr>
                <w:rFonts w:ascii="Arial" w:cs="Arial" w:eastAsia="Arial" w:hAnsi="Arial"/>
                <w:sz w:val="18"/>
                <w:szCs w:val="18"/>
                <w:b w:val="1"/>
                <w:bCs w:val="1"/>
                <w:color w:val="auto"/>
              </w:rPr>
              <w:t>180</w:t>
            </w:r>
          </w:p>
        </w:tc>
        <w:tc>
          <w:tcPr>
            <w:tcW w:w="260" w:type="dxa"/>
            <w:vAlign w:val="bottom"/>
            <w:tcBorders>
              <w:bottom w:val="single" w:sz="8" w:color="auto"/>
            </w:tcBorders>
            <w:shd w:val="clear" w:color="auto" w:fill="E5E5E5"/>
          </w:tcPr>
          <w:p>
            <w:pPr>
              <w:spacing w:after="0"/>
              <w:rPr>
                <w:sz w:val="17"/>
                <w:szCs w:val="17"/>
                <w:color w:val="auto"/>
              </w:rPr>
            </w:pPr>
          </w:p>
        </w:tc>
        <w:tc>
          <w:tcPr>
            <w:tcW w:w="620" w:type="dxa"/>
            <w:vAlign w:val="bottom"/>
            <w:tcBorders>
              <w:bottom w:val="single" w:sz="8" w:color="auto"/>
            </w:tcBorders>
            <w:shd w:val="clear" w:color="auto" w:fill="E5E5E5"/>
          </w:tcPr>
          <w:p>
            <w:pPr>
              <w:jc w:val="right"/>
              <w:spacing w:after="0" w:line="202" w:lineRule="exact"/>
              <w:rPr>
                <w:sz w:val="20"/>
                <w:szCs w:val="20"/>
                <w:color w:val="auto"/>
              </w:rPr>
            </w:pPr>
            <w:r>
              <w:rPr>
                <w:rFonts w:ascii="Arial" w:cs="Arial" w:eastAsia="Arial" w:hAnsi="Arial"/>
                <w:sz w:val="18"/>
                <w:szCs w:val="18"/>
                <w:color w:val="auto"/>
              </w:rPr>
              <w:t>185</w:t>
            </w:r>
          </w:p>
        </w:tc>
        <w:tc>
          <w:tcPr>
            <w:tcW w:w="6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900" w:type="dxa"/>
            <w:vAlign w:val="bottom"/>
          </w:tcPr>
          <w:p>
            <w:pPr>
              <w:ind w:left="220"/>
              <w:spacing w:after="0"/>
              <w:rPr>
                <w:sz w:val="20"/>
                <w:szCs w:val="20"/>
                <w:color w:val="auto"/>
              </w:rPr>
            </w:pPr>
            <w:r>
              <w:rPr>
                <w:rFonts w:ascii="Arial" w:cs="Arial" w:eastAsia="Arial" w:hAnsi="Arial"/>
                <w:sz w:val="18"/>
                <w:szCs w:val="18"/>
                <w:color w:val="auto"/>
              </w:rPr>
              <w:t>Total current assets</w:t>
            </w:r>
          </w:p>
        </w:tc>
        <w:tc>
          <w:tcPr>
            <w:tcW w:w="26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b w:val="1"/>
                <w:bCs w:val="1"/>
                <w:color w:val="auto"/>
              </w:rPr>
              <w:t>6,918</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9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Property, plant and equipment at cost</w:t>
            </w:r>
          </w:p>
        </w:tc>
        <w:tc>
          <w:tcPr>
            <w:tcW w:w="266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800" w:type="dxa"/>
            <w:vAlign w:val="bottom"/>
            <w:shd w:val="clear" w:color="auto" w:fill="E5E5E5"/>
          </w:tcPr>
          <w:p>
            <w:pPr>
              <w:jc w:val="right"/>
              <w:ind w:right="93"/>
              <w:spacing w:after="0" w:line="202" w:lineRule="exact"/>
              <w:rPr>
                <w:sz w:val="20"/>
                <w:szCs w:val="20"/>
                <w:color w:val="auto"/>
              </w:rPr>
            </w:pPr>
            <w:r>
              <w:rPr>
                <w:rFonts w:ascii="Arial" w:cs="Arial" w:eastAsia="Arial" w:hAnsi="Arial"/>
                <w:sz w:val="18"/>
                <w:szCs w:val="18"/>
                <w:b w:val="1"/>
                <w:bCs w:val="1"/>
                <w:color w:val="auto"/>
              </w:rPr>
              <w:t>7,568</w:t>
            </w:r>
          </w:p>
        </w:tc>
        <w:tc>
          <w:tcPr>
            <w:tcW w:w="260" w:type="dxa"/>
            <w:vAlign w:val="bottom"/>
            <w:shd w:val="clear" w:color="auto" w:fill="E5E5E5"/>
          </w:tcPr>
          <w:p>
            <w:pPr>
              <w:spacing w:after="0"/>
              <w:rPr>
                <w:sz w:val="17"/>
                <w:szCs w:val="17"/>
                <w:color w:val="auto"/>
              </w:rPr>
            </w:pPr>
          </w:p>
        </w:tc>
        <w:tc>
          <w:tcPr>
            <w:tcW w:w="6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7,751</w:t>
            </w:r>
          </w:p>
        </w:tc>
        <w:tc>
          <w:tcPr>
            <w:tcW w:w="6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900" w:type="dxa"/>
            <w:vAlign w:val="bottom"/>
          </w:tcPr>
          <w:p>
            <w:pPr>
              <w:ind w:left="220"/>
              <w:spacing w:after="0" w:line="202" w:lineRule="exact"/>
              <w:rPr>
                <w:sz w:val="20"/>
                <w:szCs w:val="20"/>
                <w:color w:val="auto"/>
              </w:rPr>
            </w:pPr>
            <w:r>
              <w:rPr>
                <w:rFonts w:ascii="Arial" w:cs="Arial" w:eastAsia="Arial" w:hAnsi="Arial"/>
                <w:sz w:val="18"/>
                <w:szCs w:val="18"/>
                <w:color w:val="auto"/>
              </w:rPr>
              <w:t>Less accumulated depreciation</w:t>
            </w:r>
          </w:p>
        </w:tc>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(3,959)</w:t>
            </w:r>
          </w:p>
        </w:tc>
        <w:tc>
          <w:tcPr>
            <w:tcW w:w="260" w:type="dxa"/>
            <w:vAlign w:val="bottom"/>
          </w:tcPr>
          <w:p>
            <w:pPr>
              <w:spacing w:after="0"/>
              <w:rPr>
                <w:sz w:val="18"/>
                <w:szCs w:val="18"/>
                <w:color w:val="auto"/>
              </w:rPr>
            </w:pPr>
          </w:p>
        </w:tc>
        <w:tc>
          <w:tcPr>
            <w:tcW w:w="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(3,801)</w:t>
            </w:r>
          </w:p>
        </w:tc>
        <w:tc>
          <w:tcPr>
            <w:tcW w:w="0" w:type="dxa"/>
            <w:vAlign w:val="bottom"/>
          </w:tcPr>
          <w:p>
            <w:pPr>
              <w:spacing w:after="0"/>
              <w:rPr>
                <w:sz w:val="1"/>
                <w:szCs w:val="1"/>
                <w:color w:val="auto"/>
              </w:rPr>
            </w:pPr>
          </w:p>
        </w:tc>
      </w:tr>
      <w:tr>
        <w:trPr>
          <w:trHeight w:val="203"/>
        </w:trPr>
        <w:tc>
          <w:tcPr>
            <w:tcW w:w="690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Property, plant and equipment, net</w:t>
            </w:r>
          </w:p>
        </w:tc>
        <w:tc>
          <w:tcPr>
            <w:tcW w:w="2660" w:type="dxa"/>
            <w:vAlign w:val="bottom"/>
            <w:shd w:val="clear" w:color="auto" w:fill="E5E5E5"/>
          </w:tcPr>
          <w:p>
            <w:pPr>
              <w:spacing w:after="0"/>
              <w:rPr>
                <w:sz w:val="17"/>
                <w:szCs w:val="17"/>
                <w:color w:val="auto"/>
              </w:rPr>
            </w:pPr>
          </w:p>
        </w:tc>
        <w:tc>
          <w:tcPr>
            <w:tcW w:w="120" w:type="dxa"/>
            <w:vAlign w:val="bottom"/>
            <w:tcBorders>
              <w:top w:val="single" w:sz="8" w:color="auto"/>
              <w:bottom w:val="single" w:sz="8" w:color="auto"/>
            </w:tcBorders>
            <w:shd w:val="clear" w:color="auto" w:fill="E5E5E5"/>
          </w:tcPr>
          <w:p>
            <w:pPr>
              <w:spacing w:after="0"/>
              <w:rPr>
                <w:sz w:val="17"/>
                <w:szCs w:val="17"/>
                <w:color w:val="auto"/>
              </w:rPr>
            </w:pPr>
          </w:p>
        </w:tc>
        <w:tc>
          <w:tcPr>
            <w:tcW w:w="800" w:type="dxa"/>
            <w:vAlign w:val="bottom"/>
            <w:tcBorders>
              <w:top w:val="single" w:sz="8" w:color="auto"/>
              <w:bottom w:val="single" w:sz="8" w:color="auto"/>
            </w:tcBorders>
            <w:shd w:val="clear" w:color="auto" w:fill="E5E5E5"/>
          </w:tcPr>
          <w:p>
            <w:pPr>
              <w:jc w:val="right"/>
              <w:ind w:right="93"/>
              <w:spacing w:after="0" w:line="202" w:lineRule="exact"/>
              <w:rPr>
                <w:sz w:val="20"/>
                <w:szCs w:val="20"/>
                <w:color w:val="auto"/>
              </w:rPr>
            </w:pPr>
            <w:r>
              <w:rPr>
                <w:rFonts w:ascii="Arial" w:cs="Arial" w:eastAsia="Arial" w:hAnsi="Arial"/>
                <w:sz w:val="18"/>
                <w:szCs w:val="18"/>
                <w:b w:val="1"/>
                <w:bCs w:val="1"/>
                <w:color w:val="auto"/>
              </w:rPr>
              <w:t>3,609</w:t>
            </w:r>
          </w:p>
        </w:tc>
        <w:tc>
          <w:tcPr>
            <w:tcW w:w="260" w:type="dxa"/>
            <w:vAlign w:val="bottom"/>
            <w:tcBorders>
              <w:top w:val="single" w:sz="8" w:color="auto"/>
              <w:bottom w:val="single" w:sz="8" w:color="auto"/>
            </w:tcBorders>
            <w:shd w:val="clear" w:color="auto" w:fill="E5E5E5"/>
          </w:tcPr>
          <w:p>
            <w:pPr>
              <w:spacing w:after="0"/>
              <w:rPr>
                <w:sz w:val="17"/>
                <w:szCs w:val="17"/>
                <w:color w:val="auto"/>
              </w:rPr>
            </w:pPr>
          </w:p>
        </w:tc>
        <w:tc>
          <w:tcPr>
            <w:tcW w:w="620" w:type="dxa"/>
            <w:vAlign w:val="bottom"/>
            <w:tcBorders>
              <w:top w:val="single" w:sz="8" w:color="auto"/>
              <w:bottom w:val="single" w:sz="8" w:color="auto"/>
            </w:tcBorders>
            <w:shd w:val="clear" w:color="auto" w:fill="E5E5E5"/>
          </w:tcPr>
          <w:p>
            <w:pPr>
              <w:jc w:val="right"/>
              <w:spacing w:after="0" w:line="202" w:lineRule="exact"/>
              <w:rPr>
                <w:sz w:val="20"/>
                <w:szCs w:val="20"/>
                <w:color w:val="auto"/>
              </w:rPr>
            </w:pPr>
            <w:r>
              <w:rPr>
                <w:rFonts w:ascii="Arial" w:cs="Arial" w:eastAsia="Arial" w:hAnsi="Arial"/>
                <w:sz w:val="18"/>
                <w:szCs w:val="18"/>
                <w:color w:val="auto"/>
              </w:rPr>
              <w:t>3,950</w:t>
            </w:r>
          </w:p>
        </w:tc>
        <w:tc>
          <w:tcPr>
            <w:tcW w:w="6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900" w:type="dxa"/>
            <w:vAlign w:val="bottom"/>
          </w:tcPr>
          <w:p>
            <w:pPr>
              <w:spacing w:after="0"/>
              <w:rPr>
                <w:sz w:val="20"/>
                <w:szCs w:val="20"/>
                <w:color w:val="auto"/>
              </w:rPr>
            </w:pPr>
            <w:r>
              <w:rPr>
                <w:rFonts w:ascii="Arial" w:cs="Arial" w:eastAsia="Arial" w:hAnsi="Arial"/>
                <w:sz w:val="18"/>
                <w:szCs w:val="18"/>
                <w:color w:val="auto"/>
              </w:rPr>
              <w:t>Long-term investments</w:t>
            </w:r>
          </w:p>
        </w:tc>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93"/>
              <w:spacing w:after="0"/>
              <w:rPr>
                <w:sz w:val="20"/>
                <w:szCs w:val="20"/>
                <w:color w:val="auto"/>
              </w:rPr>
            </w:pPr>
            <w:r>
              <w:rPr>
                <w:rFonts w:ascii="Arial" w:cs="Arial" w:eastAsia="Arial" w:hAnsi="Arial"/>
                <w:sz w:val="18"/>
                <w:szCs w:val="18"/>
                <w:b w:val="1"/>
                <w:bCs w:val="1"/>
                <w:color w:val="auto"/>
              </w:rPr>
              <w:t>267</w:t>
            </w: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9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Goodwill</w:t>
            </w:r>
          </w:p>
        </w:tc>
        <w:tc>
          <w:tcPr>
            <w:tcW w:w="266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800" w:type="dxa"/>
            <w:vAlign w:val="bottom"/>
            <w:shd w:val="clear" w:color="auto" w:fill="E5E5E5"/>
          </w:tcPr>
          <w:p>
            <w:pPr>
              <w:jc w:val="right"/>
              <w:ind w:right="93"/>
              <w:spacing w:after="0" w:line="202" w:lineRule="exact"/>
              <w:rPr>
                <w:sz w:val="20"/>
                <w:szCs w:val="20"/>
                <w:color w:val="auto"/>
              </w:rPr>
            </w:pPr>
            <w:r>
              <w:rPr>
                <w:rFonts w:ascii="Arial" w:cs="Arial" w:eastAsia="Arial" w:hAnsi="Arial"/>
                <w:sz w:val="18"/>
                <w:szCs w:val="18"/>
                <w:b w:val="1"/>
                <w:bCs w:val="1"/>
                <w:color w:val="auto"/>
              </w:rPr>
              <w:t>838</w:t>
            </w:r>
          </w:p>
        </w:tc>
        <w:tc>
          <w:tcPr>
            <w:tcW w:w="260" w:type="dxa"/>
            <w:vAlign w:val="bottom"/>
            <w:shd w:val="clear" w:color="auto" w:fill="E5E5E5"/>
          </w:tcPr>
          <w:p>
            <w:pPr>
              <w:spacing w:after="0"/>
              <w:rPr>
                <w:sz w:val="17"/>
                <w:szCs w:val="17"/>
                <w:color w:val="auto"/>
              </w:rPr>
            </w:pPr>
          </w:p>
        </w:tc>
        <w:tc>
          <w:tcPr>
            <w:tcW w:w="6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792</w:t>
            </w:r>
          </w:p>
        </w:tc>
        <w:tc>
          <w:tcPr>
            <w:tcW w:w="6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tcPr>
          <w:p>
            <w:pPr>
              <w:spacing w:after="0" w:line="202" w:lineRule="exact"/>
              <w:rPr>
                <w:sz w:val="20"/>
                <w:szCs w:val="20"/>
                <w:color w:val="auto"/>
              </w:rPr>
            </w:pPr>
            <w:r>
              <w:rPr>
                <w:rFonts w:ascii="Arial" w:cs="Arial" w:eastAsia="Arial" w:hAnsi="Arial"/>
                <w:sz w:val="18"/>
                <w:szCs w:val="18"/>
                <w:color w:val="auto"/>
              </w:rPr>
              <w:t>Acquisition-related intangibles</w:t>
            </w:r>
          </w:p>
        </w:tc>
        <w:tc>
          <w:tcPr>
            <w:tcW w:w="2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93"/>
              <w:spacing w:after="0" w:line="202" w:lineRule="exact"/>
              <w:rPr>
                <w:sz w:val="20"/>
                <w:szCs w:val="20"/>
                <w:color w:val="auto"/>
              </w:rPr>
            </w:pPr>
            <w:r>
              <w:rPr>
                <w:rFonts w:ascii="Arial" w:cs="Arial" w:eastAsia="Arial" w:hAnsi="Arial"/>
                <w:sz w:val="18"/>
                <w:szCs w:val="18"/>
                <w:b w:val="1"/>
                <w:bCs w:val="1"/>
                <w:color w:val="auto"/>
              </w:rPr>
              <w:t>115</w:t>
            </w:r>
          </w:p>
        </w:tc>
        <w:tc>
          <w:tcPr>
            <w:tcW w:w="2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118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Deferred income taxes</w:t>
            </w:r>
          </w:p>
        </w:tc>
        <w:tc>
          <w:tcPr>
            <w:tcW w:w="266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800" w:type="dxa"/>
            <w:vAlign w:val="bottom"/>
            <w:shd w:val="clear" w:color="auto" w:fill="E5E5E5"/>
          </w:tcPr>
          <w:p>
            <w:pPr>
              <w:jc w:val="right"/>
              <w:ind w:right="93"/>
              <w:spacing w:after="0" w:line="202" w:lineRule="exact"/>
              <w:rPr>
                <w:sz w:val="20"/>
                <w:szCs w:val="20"/>
                <w:color w:val="auto"/>
              </w:rPr>
            </w:pPr>
            <w:r>
              <w:rPr>
                <w:rFonts w:ascii="Arial" w:cs="Arial" w:eastAsia="Arial" w:hAnsi="Arial"/>
                <w:sz w:val="18"/>
                <w:szCs w:val="18"/>
                <w:b w:val="1"/>
                <w:bCs w:val="1"/>
                <w:color w:val="auto"/>
              </w:rPr>
              <w:t>510</w:t>
            </w:r>
          </w:p>
        </w:tc>
        <w:tc>
          <w:tcPr>
            <w:tcW w:w="260" w:type="dxa"/>
            <w:vAlign w:val="bottom"/>
            <w:shd w:val="clear" w:color="auto" w:fill="E5E5E5"/>
          </w:tcPr>
          <w:p>
            <w:pPr>
              <w:spacing w:after="0"/>
              <w:rPr>
                <w:sz w:val="17"/>
                <w:szCs w:val="17"/>
                <w:color w:val="auto"/>
              </w:rPr>
            </w:pPr>
          </w:p>
        </w:tc>
        <w:tc>
          <w:tcPr>
            <w:tcW w:w="6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601</w:t>
            </w:r>
          </w:p>
        </w:tc>
        <w:tc>
          <w:tcPr>
            <w:tcW w:w="6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tcPr>
          <w:p>
            <w:pPr>
              <w:spacing w:after="0" w:line="202" w:lineRule="exact"/>
              <w:rPr>
                <w:sz w:val="20"/>
                <w:szCs w:val="20"/>
                <w:color w:val="auto"/>
              </w:rPr>
            </w:pPr>
            <w:r>
              <w:rPr>
                <w:rFonts w:ascii="Arial" w:cs="Arial" w:eastAsia="Arial" w:hAnsi="Arial"/>
                <w:sz w:val="18"/>
                <w:szCs w:val="18"/>
                <w:color w:val="auto"/>
              </w:rPr>
              <w:t>Capitalized software licenses, net</w:t>
            </w:r>
          </w:p>
        </w:tc>
        <w:tc>
          <w:tcPr>
            <w:tcW w:w="2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93"/>
              <w:spacing w:after="0" w:line="202" w:lineRule="exact"/>
              <w:rPr>
                <w:sz w:val="20"/>
                <w:szCs w:val="20"/>
                <w:color w:val="auto"/>
              </w:rPr>
            </w:pPr>
            <w:r>
              <w:rPr>
                <w:rFonts w:ascii="Arial" w:cs="Arial" w:eastAsia="Arial" w:hAnsi="Arial"/>
                <w:sz w:val="18"/>
                <w:szCs w:val="18"/>
                <w:b w:val="1"/>
                <w:bCs w:val="1"/>
                <w:color w:val="auto"/>
              </w:rPr>
              <w:t>227</w:t>
            </w:r>
          </w:p>
        </w:tc>
        <w:tc>
          <w:tcPr>
            <w:tcW w:w="2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188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Overfunded retirement plans</w:t>
            </w:r>
          </w:p>
        </w:tc>
        <w:tc>
          <w:tcPr>
            <w:tcW w:w="266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800" w:type="dxa"/>
            <w:vAlign w:val="bottom"/>
            <w:shd w:val="clear" w:color="auto" w:fill="E5E5E5"/>
          </w:tcPr>
          <w:p>
            <w:pPr>
              <w:jc w:val="right"/>
              <w:ind w:right="93"/>
              <w:spacing w:after="0" w:line="202" w:lineRule="exact"/>
              <w:rPr>
                <w:sz w:val="20"/>
                <w:szCs w:val="20"/>
                <w:color w:val="auto"/>
              </w:rPr>
            </w:pPr>
            <w:r>
              <w:rPr>
                <w:rFonts w:ascii="Arial" w:cs="Arial" w:eastAsia="Arial" w:hAnsi="Arial"/>
                <w:sz w:val="18"/>
                <w:szCs w:val="18"/>
                <w:b w:val="1"/>
                <w:bCs w:val="1"/>
                <w:color w:val="auto"/>
              </w:rPr>
              <w:t>105</w:t>
            </w:r>
          </w:p>
        </w:tc>
        <w:tc>
          <w:tcPr>
            <w:tcW w:w="260" w:type="dxa"/>
            <w:vAlign w:val="bottom"/>
            <w:shd w:val="clear" w:color="auto" w:fill="E5E5E5"/>
          </w:tcPr>
          <w:p>
            <w:pPr>
              <w:spacing w:after="0"/>
              <w:rPr>
                <w:sz w:val="17"/>
                <w:szCs w:val="17"/>
                <w:color w:val="auto"/>
              </w:rPr>
            </w:pPr>
          </w:p>
        </w:tc>
        <w:tc>
          <w:tcPr>
            <w:tcW w:w="6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58</w:t>
            </w:r>
          </w:p>
        </w:tc>
        <w:tc>
          <w:tcPr>
            <w:tcW w:w="6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900" w:type="dxa"/>
            <w:vAlign w:val="bottom"/>
          </w:tcPr>
          <w:p>
            <w:pPr>
              <w:spacing w:after="0" w:line="202" w:lineRule="exact"/>
              <w:rPr>
                <w:sz w:val="20"/>
                <w:szCs w:val="20"/>
                <w:color w:val="auto"/>
              </w:rPr>
            </w:pPr>
            <w:r>
              <w:rPr>
                <w:rFonts w:ascii="Arial" w:cs="Arial" w:eastAsia="Arial" w:hAnsi="Arial"/>
                <w:sz w:val="18"/>
                <w:szCs w:val="18"/>
                <w:color w:val="auto"/>
              </w:rPr>
              <w:t>Other assets</w:t>
            </w:r>
          </w:p>
        </w:tc>
        <w:tc>
          <w:tcPr>
            <w:tcW w:w="26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3"/>
              <w:spacing w:after="0" w:line="202" w:lineRule="exact"/>
              <w:rPr>
                <w:sz w:val="20"/>
                <w:szCs w:val="20"/>
                <w:color w:val="auto"/>
              </w:rPr>
            </w:pPr>
            <w:r>
              <w:rPr>
                <w:rFonts w:ascii="Arial" w:cs="Arial" w:eastAsia="Arial" w:hAnsi="Arial"/>
                <w:sz w:val="18"/>
                <w:szCs w:val="18"/>
                <w:b w:val="1"/>
                <w:bCs w:val="1"/>
                <w:color w:val="auto"/>
              </w:rPr>
              <w:t>78</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9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Total assets</w:t>
            </w:r>
          </w:p>
        </w:tc>
        <w:tc>
          <w:tcPr>
            <w:tcW w:w="2780" w:type="dxa"/>
            <w:vAlign w:val="bottom"/>
            <w:gridSpan w:val="2"/>
            <w:shd w:val="clear" w:color="auto" w:fill="E5E5E5"/>
          </w:tcPr>
          <w:p>
            <w:pPr>
              <w:jc w:val="right"/>
              <w:ind w:right="20"/>
              <w:spacing w:after="0" w:line="202" w:lineRule="exact"/>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E5E5E5"/>
          </w:tcPr>
          <w:p>
            <w:pPr>
              <w:jc w:val="right"/>
              <w:ind w:right="93"/>
              <w:spacing w:after="0" w:line="202" w:lineRule="exact"/>
              <w:rPr>
                <w:sz w:val="20"/>
                <w:szCs w:val="20"/>
                <w:color w:val="auto"/>
              </w:rPr>
            </w:pPr>
            <w:r>
              <w:rPr>
                <w:rFonts w:ascii="Arial" w:cs="Arial" w:eastAsia="Arial" w:hAnsi="Arial"/>
                <w:sz w:val="18"/>
                <w:szCs w:val="18"/>
                <w:b w:val="1"/>
                <w:bCs w:val="1"/>
                <w:color w:val="auto"/>
              </w:rPr>
              <w:t>12,667</w:t>
            </w:r>
          </w:p>
        </w:tc>
        <w:tc>
          <w:tcPr>
            <w:tcW w:w="2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13,930</w:t>
            </w:r>
          </w:p>
        </w:tc>
        <w:tc>
          <w:tcPr>
            <w:tcW w:w="6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6900" w:type="dxa"/>
            <w:vAlign w:val="bottom"/>
            <w:vMerge w:val="continue"/>
          </w:tcPr>
          <w:p>
            <w:pPr>
              <w:spacing w:after="0"/>
              <w:rPr>
                <w:sz w:val="24"/>
                <w:szCs w:val="24"/>
                <w:color w:val="auto"/>
              </w:rPr>
            </w:pPr>
          </w:p>
        </w:tc>
        <w:tc>
          <w:tcPr>
            <w:tcW w:w="2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9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Current liabilities:</w:t>
            </w:r>
          </w:p>
        </w:tc>
        <w:tc>
          <w:tcPr>
            <w:tcW w:w="266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80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62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tcPr>
          <w:p>
            <w:pPr>
              <w:ind w:left="220"/>
              <w:spacing w:after="0" w:line="202" w:lineRule="exact"/>
              <w:rPr>
                <w:sz w:val="20"/>
                <w:szCs w:val="20"/>
                <w:color w:val="auto"/>
              </w:rPr>
            </w:pPr>
            <w:r>
              <w:rPr>
                <w:rFonts w:ascii="Arial" w:cs="Arial" w:eastAsia="Arial" w:hAnsi="Arial"/>
                <w:sz w:val="18"/>
                <w:szCs w:val="18"/>
                <w:color w:val="auto"/>
              </w:rPr>
              <w:t>Current portion of long-term debt</w:t>
            </w:r>
          </w:p>
        </w:tc>
        <w:tc>
          <w:tcPr>
            <w:tcW w:w="27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93"/>
              <w:spacing w:after="0" w:line="202" w:lineRule="exact"/>
              <w:rPr>
                <w:sz w:val="20"/>
                <w:szCs w:val="20"/>
                <w:color w:val="auto"/>
              </w:rPr>
            </w:pPr>
            <w:r>
              <w:rPr>
                <w:rFonts w:ascii="Arial" w:cs="Arial" w:eastAsia="Arial" w:hAnsi="Arial"/>
                <w:sz w:val="18"/>
                <w:szCs w:val="18"/>
                <w:b w:val="1"/>
                <w:bCs w:val="1"/>
                <w:color w:val="auto"/>
              </w:rPr>
              <w:t>—</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3"/>
        </w:trPr>
        <w:tc>
          <w:tcPr>
            <w:tcW w:w="690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Accounts payable</w:t>
            </w:r>
          </w:p>
        </w:tc>
        <w:tc>
          <w:tcPr>
            <w:tcW w:w="266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800" w:type="dxa"/>
            <w:vAlign w:val="bottom"/>
            <w:shd w:val="clear" w:color="auto" w:fill="E5E5E5"/>
          </w:tcPr>
          <w:p>
            <w:pPr>
              <w:jc w:val="right"/>
              <w:ind w:right="93"/>
              <w:spacing w:after="0" w:line="202" w:lineRule="exact"/>
              <w:rPr>
                <w:sz w:val="20"/>
                <w:szCs w:val="20"/>
                <w:color w:val="auto"/>
              </w:rPr>
            </w:pPr>
            <w:r>
              <w:rPr>
                <w:rFonts w:ascii="Arial" w:cs="Arial" w:eastAsia="Arial" w:hAnsi="Arial"/>
                <w:sz w:val="18"/>
                <w:szCs w:val="18"/>
                <w:b w:val="1"/>
                <w:bCs w:val="1"/>
                <w:color w:val="auto"/>
              </w:rPr>
              <w:t>657</w:t>
            </w:r>
          </w:p>
        </w:tc>
        <w:tc>
          <w:tcPr>
            <w:tcW w:w="260" w:type="dxa"/>
            <w:vAlign w:val="bottom"/>
            <w:shd w:val="clear" w:color="auto" w:fill="E5E5E5"/>
          </w:tcPr>
          <w:p>
            <w:pPr>
              <w:spacing w:after="0"/>
              <w:rPr>
                <w:sz w:val="17"/>
                <w:szCs w:val="17"/>
                <w:color w:val="auto"/>
              </w:rPr>
            </w:pPr>
          </w:p>
        </w:tc>
        <w:tc>
          <w:tcPr>
            <w:tcW w:w="6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560</w:t>
            </w:r>
          </w:p>
        </w:tc>
        <w:tc>
          <w:tcPr>
            <w:tcW w:w="6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tcPr>
          <w:p>
            <w:pPr>
              <w:ind w:left="220"/>
              <w:spacing w:after="0" w:line="202" w:lineRule="exact"/>
              <w:rPr>
                <w:sz w:val="20"/>
                <w:szCs w:val="20"/>
                <w:color w:val="auto"/>
              </w:rPr>
            </w:pPr>
            <w:r>
              <w:rPr>
                <w:rFonts w:ascii="Arial" w:cs="Arial" w:eastAsia="Arial" w:hAnsi="Arial"/>
                <w:sz w:val="18"/>
                <w:szCs w:val="18"/>
                <w:color w:val="auto"/>
              </w:rPr>
              <w:t>Accrued expenses and other liabilities</w:t>
            </w:r>
          </w:p>
        </w:tc>
        <w:tc>
          <w:tcPr>
            <w:tcW w:w="2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93"/>
              <w:spacing w:after="0" w:line="202" w:lineRule="exact"/>
              <w:rPr>
                <w:sz w:val="20"/>
                <w:szCs w:val="20"/>
                <w:color w:val="auto"/>
              </w:rPr>
            </w:pPr>
            <w:r>
              <w:rPr>
                <w:rFonts w:ascii="Arial" w:cs="Arial" w:eastAsia="Arial" w:hAnsi="Arial"/>
                <w:sz w:val="18"/>
                <w:szCs w:val="18"/>
                <w:b w:val="1"/>
                <w:bCs w:val="1"/>
                <w:color w:val="auto"/>
              </w:rPr>
              <w:t>1,117</w:t>
            </w:r>
          </w:p>
        </w:tc>
        <w:tc>
          <w:tcPr>
            <w:tcW w:w="2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1,029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Income taxes payable</w:t>
            </w:r>
          </w:p>
        </w:tc>
        <w:tc>
          <w:tcPr>
            <w:tcW w:w="266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800" w:type="dxa"/>
            <w:vAlign w:val="bottom"/>
            <w:shd w:val="clear" w:color="auto" w:fill="E5E5E5"/>
          </w:tcPr>
          <w:p>
            <w:pPr>
              <w:jc w:val="right"/>
              <w:ind w:right="93"/>
              <w:spacing w:after="0" w:line="202" w:lineRule="exact"/>
              <w:rPr>
                <w:sz w:val="20"/>
                <w:szCs w:val="20"/>
                <w:color w:val="auto"/>
              </w:rPr>
            </w:pPr>
            <w:r>
              <w:rPr>
                <w:rFonts w:ascii="Arial" w:cs="Arial" w:eastAsia="Arial" w:hAnsi="Arial"/>
                <w:sz w:val="18"/>
                <w:szCs w:val="18"/>
                <w:b w:val="1"/>
                <w:bCs w:val="1"/>
                <w:color w:val="auto"/>
              </w:rPr>
              <w:t>53</w:t>
            </w:r>
          </w:p>
        </w:tc>
        <w:tc>
          <w:tcPr>
            <w:tcW w:w="260" w:type="dxa"/>
            <w:vAlign w:val="bottom"/>
            <w:shd w:val="clear" w:color="auto" w:fill="E5E5E5"/>
          </w:tcPr>
          <w:p>
            <w:pPr>
              <w:spacing w:after="0"/>
              <w:rPr>
                <w:sz w:val="17"/>
                <w:szCs w:val="17"/>
                <w:color w:val="auto"/>
              </w:rPr>
            </w:pPr>
          </w:p>
        </w:tc>
        <w:tc>
          <w:tcPr>
            <w:tcW w:w="6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284</w:t>
            </w:r>
          </w:p>
        </w:tc>
        <w:tc>
          <w:tcPr>
            <w:tcW w:w="6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900" w:type="dxa"/>
            <w:vAlign w:val="bottom"/>
          </w:tcPr>
          <w:p>
            <w:pPr>
              <w:ind w:left="220"/>
              <w:spacing w:after="0" w:line="202" w:lineRule="exact"/>
              <w:rPr>
                <w:sz w:val="20"/>
                <w:szCs w:val="20"/>
                <w:color w:val="auto"/>
              </w:rPr>
            </w:pPr>
            <w:r>
              <w:rPr>
                <w:rFonts w:ascii="Arial" w:cs="Arial" w:eastAsia="Arial" w:hAnsi="Arial"/>
                <w:sz w:val="18"/>
                <w:szCs w:val="18"/>
                <w:color w:val="auto"/>
              </w:rPr>
              <w:t>Accrued profit sharing and retirement</w:t>
            </w:r>
          </w:p>
        </w:tc>
        <w:tc>
          <w:tcPr>
            <w:tcW w:w="26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3"/>
              <w:spacing w:after="0" w:line="202" w:lineRule="exact"/>
              <w:rPr>
                <w:sz w:val="20"/>
                <w:szCs w:val="20"/>
                <w:color w:val="auto"/>
              </w:rPr>
            </w:pPr>
            <w:r>
              <w:rPr>
                <w:rFonts w:ascii="Arial" w:cs="Arial" w:eastAsia="Arial" w:hAnsi="Arial"/>
                <w:sz w:val="18"/>
                <w:szCs w:val="18"/>
                <w:b w:val="1"/>
                <w:bCs w:val="1"/>
                <w:color w:val="auto"/>
              </w:rPr>
              <w:t>198</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90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Total current liabilities</w:t>
            </w:r>
          </w:p>
        </w:tc>
        <w:tc>
          <w:tcPr>
            <w:tcW w:w="2660" w:type="dxa"/>
            <w:vAlign w:val="bottom"/>
            <w:shd w:val="clear" w:color="auto" w:fill="E5E5E5"/>
          </w:tcPr>
          <w:p>
            <w:pPr>
              <w:spacing w:after="0"/>
              <w:rPr>
                <w:sz w:val="17"/>
                <w:szCs w:val="17"/>
                <w:color w:val="auto"/>
              </w:rPr>
            </w:pPr>
          </w:p>
        </w:tc>
        <w:tc>
          <w:tcPr>
            <w:tcW w:w="120" w:type="dxa"/>
            <w:vAlign w:val="bottom"/>
            <w:tcBorders>
              <w:bottom w:val="single" w:sz="8" w:color="auto"/>
            </w:tcBorders>
            <w:shd w:val="clear" w:color="auto" w:fill="E5E5E5"/>
          </w:tcPr>
          <w:p>
            <w:pPr>
              <w:spacing w:after="0"/>
              <w:rPr>
                <w:sz w:val="17"/>
                <w:szCs w:val="17"/>
                <w:color w:val="auto"/>
              </w:rPr>
            </w:pPr>
          </w:p>
        </w:tc>
        <w:tc>
          <w:tcPr>
            <w:tcW w:w="800" w:type="dxa"/>
            <w:vAlign w:val="bottom"/>
            <w:tcBorders>
              <w:bottom w:val="single" w:sz="8" w:color="auto"/>
            </w:tcBorders>
            <w:shd w:val="clear" w:color="auto" w:fill="E5E5E5"/>
          </w:tcPr>
          <w:p>
            <w:pPr>
              <w:jc w:val="right"/>
              <w:ind w:right="93"/>
              <w:spacing w:after="0" w:line="202" w:lineRule="exact"/>
              <w:rPr>
                <w:sz w:val="20"/>
                <w:szCs w:val="20"/>
                <w:color w:val="auto"/>
              </w:rPr>
            </w:pPr>
            <w:r>
              <w:rPr>
                <w:rFonts w:ascii="Arial" w:cs="Arial" w:eastAsia="Arial" w:hAnsi="Arial"/>
                <w:sz w:val="18"/>
                <w:szCs w:val="18"/>
                <w:b w:val="1"/>
                <w:bCs w:val="1"/>
                <w:color w:val="auto"/>
              </w:rPr>
              <w:t>2,025</w:t>
            </w:r>
          </w:p>
        </w:tc>
        <w:tc>
          <w:tcPr>
            <w:tcW w:w="260" w:type="dxa"/>
            <w:vAlign w:val="bottom"/>
            <w:tcBorders>
              <w:bottom w:val="single" w:sz="8" w:color="auto"/>
            </w:tcBorders>
            <w:shd w:val="clear" w:color="auto" w:fill="E5E5E5"/>
          </w:tcPr>
          <w:p>
            <w:pPr>
              <w:spacing w:after="0"/>
              <w:rPr>
                <w:sz w:val="17"/>
                <w:szCs w:val="17"/>
                <w:color w:val="auto"/>
              </w:rPr>
            </w:pPr>
          </w:p>
        </w:tc>
        <w:tc>
          <w:tcPr>
            <w:tcW w:w="620" w:type="dxa"/>
            <w:vAlign w:val="bottom"/>
            <w:tcBorders>
              <w:bottom w:val="single" w:sz="8" w:color="auto"/>
            </w:tcBorders>
            <w:shd w:val="clear" w:color="auto" w:fill="E5E5E5"/>
          </w:tcPr>
          <w:p>
            <w:pPr>
              <w:jc w:val="right"/>
              <w:spacing w:after="0" w:line="202" w:lineRule="exact"/>
              <w:rPr>
                <w:sz w:val="20"/>
                <w:szCs w:val="20"/>
                <w:color w:val="auto"/>
              </w:rPr>
            </w:pPr>
            <w:r>
              <w:rPr>
                <w:rFonts w:ascii="Arial" w:cs="Arial" w:eastAsia="Arial" w:hAnsi="Arial"/>
                <w:sz w:val="18"/>
                <w:szCs w:val="18"/>
                <w:color w:val="auto"/>
              </w:rPr>
              <w:t>2,078</w:t>
            </w:r>
          </w:p>
        </w:tc>
        <w:tc>
          <w:tcPr>
            <w:tcW w:w="6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900" w:type="dxa"/>
            <w:vAlign w:val="bottom"/>
          </w:tcPr>
          <w:p>
            <w:pPr>
              <w:spacing w:after="0"/>
              <w:rPr>
                <w:sz w:val="20"/>
                <w:szCs w:val="20"/>
                <w:color w:val="auto"/>
              </w:rPr>
            </w:pPr>
            <w:r>
              <w:rPr>
                <w:rFonts w:ascii="Arial" w:cs="Arial" w:eastAsia="Arial" w:hAnsi="Arial"/>
                <w:sz w:val="18"/>
                <w:szCs w:val="18"/>
                <w:color w:val="auto"/>
              </w:rPr>
              <w:t>Underfunded retirement plans</w:t>
            </w:r>
          </w:p>
        </w:tc>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93"/>
              <w:spacing w:after="0"/>
              <w:rPr>
                <w:sz w:val="20"/>
                <w:szCs w:val="20"/>
                <w:color w:val="auto"/>
              </w:rPr>
            </w:pPr>
            <w:r>
              <w:rPr>
                <w:rFonts w:ascii="Arial" w:cs="Arial" w:eastAsia="Arial" w:hAnsi="Arial"/>
                <w:sz w:val="18"/>
                <w:szCs w:val="18"/>
                <w:b w:val="1"/>
                <w:bCs w:val="1"/>
                <w:color w:val="auto"/>
              </w:rPr>
              <w:t>184</w:t>
            </w: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9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Deferred income taxes</w:t>
            </w:r>
          </w:p>
        </w:tc>
        <w:tc>
          <w:tcPr>
            <w:tcW w:w="266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800" w:type="dxa"/>
            <w:vAlign w:val="bottom"/>
            <w:shd w:val="clear" w:color="auto" w:fill="E5E5E5"/>
          </w:tcPr>
          <w:p>
            <w:pPr>
              <w:jc w:val="right"/>
              <w:ind w:right="93"/>
              <w:spacing w:after="0" w:line="202" w:lineRule="exact"/>
              <w:rPr>
                <w:sz w:val="20"/>
                <w:szCs w:val="20"/>
                <w:color w:val="auto"/>
              </w:rPr>
            </w:pPr>
            <w:r>
              <w:rPr>
                <w:rFonts w:ascii="Arial" w:cs="Arial" w:eastAsia="Arial" w:hAnsi="Arial"/>
                <w:sz w:val="18"/>
                <w:szCs w:val="18"/>
                <w:b w:val="1"/>
                <w:bCs w:val="1"/>
                <w:color w:val="auto"/>
              </w:rPr>
              <w:t>49</w:t>
            </w:r>
          </w:p>
        </w:tc>
        <w:tc>
          <w:tcPr>
            <w:tcW w:w="260" w:type="dxa"/>
            <w:vAlign w:val="bottom"/>
            <w:shd w:val="clear" w:color="auto" w:fill="E5E5E5"/>
          </w:tcPr>
          <w:p>
            <w:pPr>
              <w:spacing w:after="0"/>
              <w:rPr>
                <w:sz w:val="17"/>
                <w:szCs w:val="17"/>
                <w:color w:val="auto"/>
              </w:rPr>
            </w:pPr>
          </w:p>
        </w:tc>
        <w:tc>
          <w:tcPr>
            <w:tcW w:w="6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23</w:t>
            </w:r>
          </w:p>
        </w:tc>
        <w:tc>
          <w:tcPr>
            <w:tcW w:w="6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900" w:type="dxa"/>
            <w:vAlign w:val="bottom"/>
          </w:tcPr>
          <w:p>
            <w:pPr>
              <w:spacing w:after="0" w:line="202" w:lineRule="exact"/>
              <w:rPr>
                <w:sz w:val="20"/>
                <w:szCs w:val="20"/>
                <w:color w:val="auto"/>
              </w:rPr>
            </w:pPr>
            <w:r>
              <w:rPr>
                <w:rFonts w:ascii="Arial" w:cs="Arial" w:eastAsia="Arial" w:hAnsi="Arial"/>
                <w:sz w:val="18"/>
                <w:szCs w:val="18"/>
                <w:color w:val="auto"/>
              </w:rPr>
              <w:t>Deferred credits and other liabilities</w:t>
            </w:r>
          </w:p>
        </w:tc>
        <w:tc>
          <w:tcPr>
            <w:tcW w:w="26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3"/>
              <w:spacing w:after="0" w:line="202" w:lineRule="exact"/>
              <w:rPr>
                <w:sz w:val="20"/>
                <w:szCs w:val="20"/>
                <w:color w:val="auto"/>
              </w:rPr>
            </w:pPr>
            <w:r>
              <w:rPr>
                <w:rFonts w:ascii="Arial" w:cs="Arial" w:eastAsia="Arial" w:hAnsi="Arial"/>
                <w:sz w:val="18"/>
                <w:szCs w:val="18"/>
                <w:b w:val="1"/>
                <w:bCs w:val="1"/>
                <w:color w:val="auto"/>
              </w:rPr>
              <w:t>434</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9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Total liabilities</w:t>
            </w:r>
          </w:p>
        </w:tc>
        <w:tc>
          <w:tcPr>
            <w:tcW w:w="2660" w:type="dxa"/>
            <w:vAlign w:val="bottom"/>
            <w:shd w:val="clear" w:color="auto" w:fill="E5E5E5"/>
          </w:tcPr>
          <w:p>
            <w:pPr>
              <w:spacing w:after="0"/>
              <w:rPr>
                <w:sz w:val="17"/>
                <w:szCs w:val="17"/>
                <w:color w:val="auto"/>
              </w:rPr>
            </w:pPr>
          </w:p>
        </w:tc>
        <w:tc>
          <w:tcPr>
            <w:tcW w:w="120" w:type="dxa"/>
            <w:vAlign w:val="bottom"/>
            <w:tcBorders>
              <w:bottom w:val="single" w:sz="8" w:color="auto"/>
            </w:tcBorders>
            <w:shd w:val="clear" w:color="auto" w:fill="E5E5E5"/>
          </w:tcPr>
          <w:p>
            <w:pPr>
              <w:spacing w:after="0"/>
              <w:rPr>
                <w:sz w:val="17"/>
                <w:szCs w:val="17"/>
                <w:color w:val="auto"/>
              </w:rPr>
            </w:pPr>
          </w:p>
        </w:tc>
        <w:tc>
          <w:tcPr>
            <w:tcW w:w="800" w:type="dxa"/>
            <w:vAlign w:val="bottom"/>
            <w:tcBorders>
              <w:bottom w:val="single" w:sz="8" w:color="auto"/>
            </w:tcBorders>
            <w:shd w:val="clear" w:color="auto" w:fill="E5E5E5"/>
          </w:tcPr>
          <w:p>
            <w:pPr>
              <w:jc w:val="right"/>
              <w:ind w:right="93"/>
              <w:spacing w:after="0" w:line="202" w:lineRule="exact"/>
              <w:rPr>
                <w:sz w:val="20"/>
                <w:szCs w:val="20"/>
                <w:color w:val="auto"/>
              </w:rPr>
            </w:pPr>
            <w:r>
              <w:rPr>
                <w:rFonts w:ascii="Arial" w:cs="Arial" w:eastAsia="Arial" w:hAnsi="Arial"/>
                <w:sz w:val="18"/>
                <w:szCs w:val="18"/>
                <w:b w:val="1"/>
                <w:bCs w:val="1"/>
                <w:color w:val="auto"/>
              </w:rPr>
              <w:t>2,692</w:t>
            </w:r>
          </w:p>
        </w:tc>
        <w:tc>
          <w:tcPr>
            <w:tcW w:w="260" w:type="dxa"/>
            <w:vAlign w:val="bottom"/>
            <w:tcBorders>
              <w:bottom w:val="single" w:sz="8" w:color="auto"/>
            </w:tcBorders>
            <w:shd w:val="clear" w:color="auto" w:fill="E5E5E5"/>
          </w:tcPr>
          <w:p>
            <w:pPr>
              <w:spacing w:after="0"/>
              <w:rPr>
                <w:sz w:val="17"/>
                <w:szCs w:val="17"/>
                <w:color w:val="auto"/>
              </w:rPr>
            </w:pPr>
          </w:p>
        </w:tc>
        <w:tc>
          <w:tcPr>
            <w:tcW w:w="620" w:type="dxa"/>
            <w:vAlign w:val="bottom"/>
            <w:tcBorders>
              <w:bottom w:val="single" w:sz="8" w:color="auto"/>
            </w:tcBorders>
            <w:shd w:val="clear" w:color="auto" w:fill="E5E5E5"/>
          </w:tcPr>
          <w:p>
            <w:pPr>
              <w:jc w:val="right"/>
              <w:spacing w:after="0" w:line="202" w:lineRule="exact"/>
              <w:rPr>
                <w:sz w:val="20"/>
                <w:szCs w:val="20"/>
                <w:color w:val="auto"/>
              </w:rPr>
            </w:pPr>
            <w:r>
              <w:rPr>
                <w:rFonts w:ascii="Arial" w:cs="Arial" w:eastAsia="Arial" w:hAnsi="Arial"/>
                <w:sz w:val="18"/>
                <w:szCs w:val="18"/>
                <w:color w:val="auto"/>
              </w:rPr>
              <w:t>2,570</w:t>
            </w:r>
          </w:p>
        </w:tc>
        <w:tc>
          <w:tcPr>
            <w:tcW w:w="6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900" w:type="dxa"/>
            <w:vAlign w:val="bottom"/>
          </w:tcPr>
          <w:p>
            <w:pPr>
              <w:spacing w:after="0"/>
              <w:rPr>
                <w:sz w:val="20"/>
                <w:szCs w:val="20"/>
                <w:color w:val="auto"/>
              </w:rPr>
            </w:pPr>
            <w:r>
              <w:rPr>
                <w:rFonts w:ascii="Arial" w:cs="Arial" w:eastAsia="Arial" w:hAnsi="Arial"/>
                <w:sz w:val="18"/>
                <w:szCs w:val="18"/>
                <w:color w:val="auto"/>
              </w:rPr>
              <w:t>Stockholders’ equity:</w:t>
            </w:r>
          </w:p>
        </w:tc>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900" w:type="dxa"/>
            <w:vAlign w:val="bottom"/>
            <w:shd w:val="clear" w:color="auto" w:fill="E5E5E5"/>
          </w:tcPr>
          <w:p>
            <w:pPr>
              <w:ind w:left="220"/>
              <w:spacing w:after="0" w:line="206" w:lineRule="exact"/>
              <w:rPr>
                <w:sz w:val="20"/>
                <w:szCs w:val="20"/>
                <w:color w:val="auto"/>
              </w:rPr>
            </w:pPr>
            <w:r>
              <w:rPr>
                <w:rFonts w:ascii="Arial" w:cs="Arial" w:eastAsia="Arial" w:hAnsi="Arial"/>
                <w:sz w:val="18"/>
                <w:szCs w:val="18"/>
                <w:color w:val="auto"/>
              </w:rPr>
              <w:t>Preferred stock, $25 par value. Authorized – 10,000,000 shares.</w:t>
            </w:r>
          </w:p>
        </w:tc>
        <w:tc>
          <w:tcPr>
            <w:tcW w:w="266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800" w:type="dxa"/>
            <w:vAlign w:val="bottom"/>
            <w:vMerge w:val="restart"/>
            <w:shd w:val="clear" w:color="auto" w:fill="E5E5E5"/>
          </w:tcPr>
          <w:p>
            <w:pPr>
              <w:jc w:val="right"/>
              <w:ind w:right="93"/>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E5E5E5"/>
          </w:tcPr>
          <w:p>
            <w:pPr>
              <w:spacing w:after="0"/>
              <w:rPr>
                <w:sz w:val="17"/>
                <w:szCs w:val="17"/>
                <w:color w:val="auto"/>
              </w:rPr>
            </w:pPr>
          </w:p>
        </w:tc>
        <w:tc>
          <w:tcPr>
            <w:tcW w:w="62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900" w:type="dxa"/>
            <w:vAlign w:val="bottom"/>
            <w:shd w:val="clear" w:color="auto" w:fill="E5E5E5"/>
          </w:tcPr>
          <w:p>
            <w:pPr>
              <w:ind w:left="440"/>
              <w:spacing w:after="0" w:line="200" w:lineRule="exact"/>
              <w:rPr>
                <w:sz w:val="20"/>
                <w:szCs w:val="20"/>
                <w:color w:val="auto"/>
              </w:rPr>
            </w:pPr>
            <w:r>
              <w:rPr>
                <w:rFonts w:ascii="Arial" w:cs="Arial" w:eastAsia="Arial" w:hAnsi="Arial"/>
                <w:sz w:val="18"/>
                <w:szCs w:val="18"/>
                <w:color w:val="auto"/>
              </w:rPr>
              <w:t>Participating cumulative preferred. None issued</w:t>
            </w:r>
          </w:p>
        </w:tc>
        <w:tc>
          <w:tcPr>
            <w:tcW w:w="266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800" w:type="dxa"/>
            <w:vAlign w:val="bottom"/>
            <w:vMerge w:val="continue"/>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680" w:type="dxa"/>
            <w:vAlign w:val="bottom"/>
            <w:gridSpan w:val="2"/>
            <w:shd w:val="clear" w:color="auto" w:fill="E5E5E5"/>
          </w:tcPr>
          <w:p>
            <w:pPr>
              <w:jc w:val="right"/>
              <w:ind w:right="160"/>
              <w:spacing w:after="0" w:line="20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6"/>
        </w:trPr>
        <w:tc>
          <w:tcPr>
            <w:tcW w:w="6900" w:type="dxa"/>
            <w:vAlign w:val="bottom"/>
          </w:tcPr>
          <w:p>
            <w:pPr>
              <w:ind w:left="220"/>
              <w:spacing w:after="0" w:line="206" w:lineRule="exact"/>
              <w:rPr>
                <w:sz w:val="20"/>
                <w:szCs w:val="20"/>
                <w:color w:val="auto"/>
              </w:rPr>
            </w:pPr>
            <w:r>
              <w:rPr>
                <w:rFonts w:ascii="Arial" w:cs="Arial" w:eastAsia="Arial" w:hAnsi="Arial"/>
                <w:sz w:val="18"/>
                <w:szCs w:val="18"/>
                <w:color w:val="auto"/>
              </w:rPr>
              <w:t>Common stock, $1 par value. Authorized – 2,400,000,000 shares.</w:t>
            </w:r>
          </w:p>
        </w:tc>
        <w:tc>
          <w:tcPr>
            <w:tcW w:w="2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vMerge w:val="restart"/>
          </w:tcPr>
          <w:p>
            <w:pPr>
              <w:jc w:val="right"/>
              <w:ind w:right="93"/>
              <w:spacing w:after="0"/>
              <w:rPr>
                <w:sz w:val="20"/>
                <w:szCs w:val="20"/>
                <w:color w:val="auto"/>
              </w:rPr>
            </w:pPr>
            <w:r>
              <w:rPr>
                <w:rFonts w:ascii="Arial" w:cs="Arial" w:eastAsia="Arial" w:hAnsi="Arial"/>
                <w:sz w:val="18"/>
                <w:szCs w:val="18"/>
                <w:b w:val="1"/>
                <w:bCs w:val="1"/>
                <w:color w:val="auto"/>
              </w:rPr>
              <w:t>1,740</w:t>
            </w: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900" w:type="dxa"/>
            <w:vAlign w:val="bottom"/>
          </w:tcPr>
          <w:p>
            <w:pPr>
              <w:ind w:left="440"/>
              <w:spacing w:after="0" w:line="200" w:lineRule="exact"/>
              <w:rPr>
                <w:sz w:val="20"/>
                <w:szCs w:val="20"/>
                <w:color w:val="auto"/>
              </w:rPr>
            </w:pPr>
            <w:r>
              <w:rPr>
                <w:rFonts w:ascii="Arial" w:cs="Arial" w:eastAsia="Arial" w:hAnsi="Arial"/>
                <w:sz w:val="18"/>
                <w:szCs w:val="18"/>
                <w:color w:val="auto"/>
              </w:rPr>
              <w:t>Shares issued: 2007 – 1,739,632,601; 2006 – 1,739,108,694</w:t>
            </w:r>
          </w:p>
        </w:tc>
        <w:tc>
          <w:tcPr>
            <w:tcW w:w="2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jc w:val="right"/>
              <w:spacing w:after="0" w:line="200" w:lineRule="exact"/>
              <w:rPr>
                <w:sz w:val="20"/>
                <w:szCs w:val="20"/>
                <w:color w:val="auto"/>
              </w:rPr>
            </w:pPr>
            <w:r>
              <w:rPr>
                <w:rFonts w:ascii="Arial" w:cs="Arial" w:eastAsia="Arial" w:hAnsi="Arial"/>
                <w:sz w:val="18"/>
                <w:szCs w:val="18"/>
                <w:color w:val="auto"/>
              </w:rPr>
              <w:t>1,739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Paid-in capital</w:t>
            </w:r>
          </w:p>
        </w:tc>
        <w:tc>
          <w:tcPr>
            <w:tcW w:w="266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800" w:type="dxa"/>
            <w:vAlign w:val="bottom"/>
            <w:shd w:val="clear" w:color="auto" w:fill="E5E5E5"/>
          </w:tcPr>
          <w:p>
            <w:pPr>
              <w:jc w:val="right"/>
              <w:ind w:right="93"/>
              <w:spacing w:after="0" w:line="202" w:lineRule="exact"/>
              <w:rPr>
                <w:sz w:val="20"/>
                <w:szCs w:val="20"/>
                <w:color w:val="auto"/>
              </w:rPr>
            </w:pPr>
            <w:r>
              <w:rPr>
                <w:rFonts w:ascii="Arial" w:cs="Arial" w:eastAsia="Arial" w:hAnsi="Arial"/>
                <w:sz w:val="18"/>
                <w:szCs w:val="18"/>
                <w:b w:val="1"/>
                <w:bCs w:val="1"/>
                <w:color w:val="auto"/>
              </w:rPr>
              <w:t>931</w:t>
            </w:r>
          </w:p>
        </w:tc>
        <w:tc>
          <w:tcPr>
            <w:tcW w:w="260" w:type="dxa"/>
            <w:vAlign w:val="bottom"/>
            <w:shd w:val="clear" w:color="auto" w:fill="E5E5E5"/>
          </w:tcPr>
          <w:p>
            <w:pPr>
              <w:spacing w:after="0"/>
              <w:rPr>
                <w:sz w:val="17"/>
                <w:szCs w:val="17"/>
                <w:color w:val="auto"/>
              </w:rPr>
            </w:pPr>
          </w:p>
        </w:tc>
        <w:tc>
          <w:tcPr>
            <w:tcW w:w="6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885</w:t>
            </w:r>
          </w:p>
        </w:tc>
        <w:tc>
          <w:tcPr>
            <w:tcW w:w="6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tcPr>
          <w:p>
            <w:pPr>
              <w:ind w:left="220"/>
              <w:spacing w:after="0" w:line="202" w:lineRule="exact"/>
              <w:rPr>
                <w:sz w:val="20"/>
                <w:szCs w:val="20"/>
                <w:color w:val="auto"/>
              </w:rPr>
            </w:pPr>
            <w:r>
              <w:rPr>
                <w:rFonts w:ascii="Arial" w:cs="Arial" w:eastAsia="Arial" w:hAnsi="Arial"/>
                <w:sz w:val="18"/>
                <w:szCs w:val="18"/>
                <w:color w:val="auto"/>
              </w:rPr>
              <w:t>Retained earnings</w:t>
            </w:r>
          </w:p>
        </w:tc>
        <w:tc>
          <w:tcPr>
            <w:tcW w:w="2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93"/>
              <w:spacing w:after="0" w:line="202" w:lineRule="exact"/>
              <w:rPr>
                <w:sz w:val="20"/>
                <w:szCs w:val="20"/>
                <w:color w:val="auto"/>
              </w:rPr>
            </w:pPr>
            <w:r>
              <w:rPr>
                <w:rFonts w:ascii="Arial" w:cs="Arial" w:eastAsia="Arial" w:hAnsi="Arial"/>
                <w:sz w:val="18"/>
                <w:szCs w:val="18"/>
                <w:b w:val="1"/>
                <w:bCs w:val="1"/>
                <w:color w:val="auto"/>
              </w:rPr>
              <w:t>19,788</w:t>
            </w:r>
          </w:p>
        </w:tc>
        <w:tc>
          <w:tcPr>
            <w:tcW w:w="2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17,529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Less treasury common stock at cost.</w:t>
            </w:r>
          </w:p>
        </w:tc>
        <w:tc>
          <w:tcPr>
            <w:tcW w:w="266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80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62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tcPr>
          <w:p>
            <w:pPr>
              <w:ind w:left="440"/>
              <w:spacing w:after="0" w:line="202" w:lineRule="exact"/>
              <w:rPr>
                <w:sz w:val="20"/>
                <w:szCs w:val="20"/>
                <w:color w:val="auto"/>
              </w:rPr>
            </w:pPr>
            <w:r>
              <w:rPr>
                <w:rFonts w:ascii="Arial" w:cs="Arial" w:eastAsia="Arial" w:hAnsi="Arial"/>
                <w:sz w:val="18"/>
                <w:szCs w:val="18"/>
                <w:color w:val="auto"/>
              </w:rPr>
              <w:t>Shares: 2007 – 396,421,798; 2006 – 289,078,450</w:t>
            </w:r>
          </w:p>
        </w:tc>
        <w:tc>
          <w:tcPr>
            <w:tcW w:w="2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w w:val="95"/>
              </w:rPr>
              <w:t>(12,160)</w:t>
            </w:r>
          </w:p>
        </w:tc>
        <w:tc>
          <w:tcPr>
            <w:tcW w:w="260" w:type="dxa"/>
            <w:vAlign w:val="bottom"/>
          </w:tcPr>
          <w:p>
            <w:pPr>
              <w:spacing w:after="0"/>
              <w:rPr>
                <w:sz w:val="17"/>
                <w:szCs w:val="17"/>
                <w:color w:val="auto"/>
              </w:rPr>
            </w:pPr>
          </w:p>
        </w:tc>
        <w:tc>
          <w:tcPr>
            <w:tcW w:w="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(8,430)</w:t>
            </w:r>
          </w:p>
        </w:tc>
        <w:tc>
          <w:tcPr>
            <w:tcW w:w="0" w:type="dxa"/>
            <w:vAlign w:val="bottom"/>
          </w:tcPr>
          <w:p>
            <w:pPr>
              <w:spacing w:after="0"/>
              <w:rPr>
                <w:sz w:val="1"/>
                <w:szCs w:val="1"/>
                <w:color w:val="auto"/>
              </w:rPr>
            </w:pPr>
          </w:p>
        </w:tc>
      </w:tr>
      <w:tr>
        <w:trPr>
          <w:trHeight w:val="203"/>
        </w:trPr>
        <w:tc>
          <w:tcPr>
            <w:tcW w:w="690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Accumulated other comprehensive loss</w:t>
            </w:r>
          </w:p>
        </w:tc>
        <w:tc>
          <w:tcPr>
            <w:tcW w:w="266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800" w:type="dxa"/>
            <w:vAlign w:val="bottom"/>
            <w:shd w:val="clear" w:color="auto" w:fill="E5E5E5"/>
          </w:tcPr>
          <w:p>
            <w:pPr>
              <w:jc w:val="right"/>
              <w:ind w:right="53"/>
              <w:spacing w:after="0" w:line="202" w:lineRule="exact"/>
              <w:rPr>
                <w:sz w:val="20"/>
                <w:szCs w:val="20"/>
                <w:color w:val="auto"/>
              </w:rPr>
            </w:pPr>
            <w:r>
              <w:rPr>
                <w:rFonts w:ascii="Arial" w:cs="Arial" w:eastAsia="Arial" w:hAnsi="Arial"/>
                <w:sz w:val="18"/>
                <w:szCs w:val="18"/>
                <w:b w:val="1"/>
                <w:bCs w:val="1"/>
                <w:color w:val="auto"/>
              </w:rPr>
              <w:t>(324)</w:t>
            </w:r>
          </w:p>
        </w:tc>
        <w:tc>
          <w:tcPr>
            <w:tcW w:w="260" w:type="dxa"/>
            <w:vAlign w:val="bottom"/>
            <w:shd w:val="clear" w:color="auto" w:fill="E5E5E5"/>
          </w:tcPr>
          <w:p>
            <w:pPr>
              <w:spacing w:after="0"/>
              <w:rPr>
                <w:sz w:val="17"/>
                <w:szCs w:val="17"/>
                <w:color w:val="auto"/>
              </w:rPr>
            </w:pPr>
          </w:p>
        </w:tc>
        <w:tc>
          <w:tcPr>
            <w:tcW w:w="68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17"/>
        </w:trPr>
        <w:tc>
          <w:tcPr>
            <w:tcW w:w="6900" w:type="dxa"/>
            <w:vAlign w:val="bottom"/>
          </w:tcPr>
          <w:p>
            <w:pPr>
              <w:ind w:left="220"/>
              <w:spacing w:after="0"/>
              <w:rPr>
                <w:sz w:val="20"/>
                <w:szCs w:val="20"/>
                <w:color w:val="auto"/>
              </w:rPr>
            </w:pPr>
            <w:r>
              <w:rPr>
                <w:rFonts w:ascii="Arial" w:cs="Arial" w:eastAsia="Arial" w:hAnsi="Arial"/>
                <w:sz w:val="18"/>
                <w:szCs w:val="18"/>
                <w:color w:val="auto"/>
              </w:rPr>
              <w:t>Total stockholders’ equity</w:t>
            </w:r>
          </w:p>
        </w:tc>
        <w:tc>
          <w:tcPr>
            <w:tcW w:w="26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b w:val="1"/>
                <w:bCs w:val="1"/>
                <w:color w:val="auto"/>
              </w:rPr>
              <w:t>9,975</w:t>
            </w:r>
          </w:p>
        </w:tc>
        <w:tc>
          <w:tcPr>
            <w:tcW w:w="2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9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Total liabilities and stockholders’ equity</w:t>
            </w:r>
          </w:p>
        </w:tc>
        <w:tc>
          <w:tcPr>
            <w:tcW w:w="2780" w:type="dxa"/>
            <w:vAlign w:val="bottom"/>
            <w:gridSpan w:val="2"/>
            <w:shd w:val="clear" w:color="auto" w:fill="E5E5E5"/>
          </w:tcPr>
          <w:p>
            <w:pPr>
              <w:jc w:val="right"/>
              <w:ind w:right="20"/>
              <w:spacing w:after="0" w:line="202" w:lineRule="exact"/>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E5E5E5"/>
          </w:tcPr>
          <w:p>
            <w:pPr>
              <w:jc w:val="right"/>
              <w:ind w:right="93"/>
              <w:spacing w:after="0" w:line="202" w:lineRule="exact"/>
              <w:rPr>
                <w:sz w:val="20"/>
                <w:szCs w:val="20"/>
                <w:color w:val="auto"/>
              </w:rPr>
            </w:pPr>
            <w:r>
              <w:rPr>
                <w:rFonts w:ascii="Arial" w:cs="Arial" w:eastAsia="Arial" w:hAnsi="Arial"/>
                <w:sz w:val="18"/>
                <w:szCs w:val="18"/>
                <w:b w:val="1"/>
                <w:bCs w:val="1"/>
                <w:color w:val="auto"/>
              </w:rPr>
              <w:t>12,667</w:t>
            </w:r>
          </w:p>
        </w:tc>
        <w:tc>
          <w:tcPr>
            <w:tcW w:w="2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13,930</w:t>
            </w:r>
          </w:p>
        </w:tc>
        <w:tc>
          <w:tcPr>
            <w:tcW w:w="6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00" w:type="dxa"/>
            <w:vAlign w:val="bottom"/>
            <w:vMerge w:val="restart"/>
          </w:tcPr>
          <w:p>
            <w:pPr>
              <w:spacing w:after="0"/>
              <w:rPr>
                <w:sz w:val="20"/>
                <w:szCs w:val="20"/>
                <w:color w:val="auto"/>
              </w:rPr>
            </w:pPr>
            <w:r>
              <w:rPr>
                <w:rFonts w:ascii="Arial" w:cs="Arial" w:eastAsia="Arial" w:hAnsi="Arial"/>
                <w:sz w:val="14"/>
                <w:szCs w:val="14"/>
                <w:color w:val="auto"/>
              </w:rPr>
              <w:t>See accompanying notes.</w:t>
            </w:r>
          </w:p>
        </w:tc>
        <w:tc>
          <w:tcPr>
            <w:tcW w:w="2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00" w:type="dxa"/>
            <w:vAlign w:val="bottom"/>
            <w:vMerge w:val="continue"/>
          </w:tcPr>
          <w:p>
            <w:pPr>
              <w:spacing w:after="0"/>
              <w:rPr>
                <w:sz w:val="18"/>
                <w:szCs w:val="18"/>
                <w:color w:val="auto"/>
              </w:rPr>
            </w:pPr>
          </w:p>
        </w:tc>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1"/>
        </w:trPr>
        <w:tc>
          <w:tcPr>
            <w:tcW w:w="6900" w:type="dxa"/>
            <w:vAlign w:val="bottom"/>
          </w:tcPr>
          <w:p>
            <w:pPr>
              <w:spacing w:after="0"/>
              <w:rPr>
                <w:sz w:val="20"/>
                <w:szCs w:val="20"/>
                <w:color w:val="auto"/>
              </w:rPr>
            </w:pPr>
            <w:r>
              <w:rPr>
                <w:rFonts w:ascii="Arial" w:cs="Arial" w:eastAsia="Arial" w:hAnsi="Arial"/>
                <w:sz w:val="14"/>
                <w:szCs w:val="14"/>
                <w:color w:val="auto"/>
              </w:rPr>
              <w:t>8</w:t>
            </w:r>
          </w:p>
        </w:tc>
        <w:tc>
          <w:tcPr>
            <w:tcW w:w="4520" w:type="dxa"/>
            <w:vAlign w:val="bottom"/>
            <w:gridSpan w:val="6"/>
          </w:tcPr>
          <w:p>
            <w:pPr>
              <w:jc w:val="right"/>
              <w:spacing w:after="0"/>
              <w:rPr>
                <w:sz w:val="20"/>
                <w:szCs w:val="20"/>
                <w:color w:val="auto"/>
              </w:rPr>
            </w:pPr>
            <w:r>
              <w:rPr>
                <w:rFonts w:ascii="Arial" w:cs="Arial" w:eastAsia="Arial" w:hAnsi="Arial"/>
                <w:sz w:val="14"/>
                <w:szCs w:val="14"/>
                <w:color w:val="auto"/>
              </w:rPr>
              <w:t>TEXAS INSTRUMENTS 2007 ANNUAL REPORT</w:t>
            </w:r>
          </w:p>
        </w:tc>
        <w:tc>
          <w:tcPr>
            <w:tcW w:w="0" w:type="dxa"/>
            <w:vAlign w:val="bottom"/>
          </w:tcPr>
          <w:p>
            <w:pPr>
              <w:spacing w:after="0"/>
              <w:rPr>
                <w:sz w:val="1"/>
                <w:szCs w:val="1"/>
                <w:color w:val="auto"/>
              </w:rPr>
            </w:pPr>
          </w:p>
        </w:tc>
      </w:tr>
    </w:tbl>
    <w:p>
      <w:pPr>
        <w:sectPr>
          <w:pgSz w:w="11900" w:h="16838" w:orient="portrait"/>
          <w:cols w:equalWidth="0" w:num="1">
            <w:col w:w="11420"/>
          </w:cols>
          <w:pgMar w:left="240" w:top="269"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CONSOLIDATED STATEMENTS OF CASH FLOWS</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(Millions of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246620" cy="3860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220"/>
        <w:spacing w:after="0" w:line="234" w:lineRule="auto"/>
        <w:rPr>
          <w:sz w:val="20"/>
          <w:szCs w:val="20"/>
          <w:color w:val="auto"/>
        </w:rPr>
      </w:pPr>
      <w:r>
        <w:rPr>
          <w:rFonts w:ascii="Arial" w:cs="Arial" w:eastAsia="Arial" w:hAnsi="Arial"/>
          <w:sz w:val="18"/>
          <w:szCs w:val="18"/>
          <w:color w:val="auto"/>
        </w:rPr>
        <w:t>Net income</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Adjustments to reconcile net income to cash provided by operating activities of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Income from discontinued operations</w:t>
      </w:r>
    </w:p>
    <w:p>
      <w:pPr>
        <w:ind w:left="440"/>
        <w:spacing w:after="0" w:line="234" w:lineRule="auto"/>
        <w:rPr>
          <w:sz w:val="20"/>
          <w:szCs w:val="20"/>
          <w:color w:val="auto"/>
        </w:rPr>
      </w:pPr>
      <w:r>
        <w:rPr>
          <w:rFonts w:ascii="Arial" w:cs="Arial" w:eastAsia="Arial" w:hAnsi="Arial"/>
          <w:sz w:val="18"/>
          <w:szCs w:val="18"/>
          <w:color w:val="auto"/>
        </w:rPr>
        <w:t>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1289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440"/>
        <w:spacing w:after="0" w:line="235" w:lineRule="auto"/>
        <w:rPr>
          <w:sz w:val="20"/>
          <w:szCs w:val="20"/>
          <w:color w:val="auto"/>
        </w:rPr>
      </w:pPr>
      <w:r>
        <w:rPr>
          <w:rFonts w:ascii="Arial" w:cs="Arial" w:eastAsia="Arial" w:hAnsi="Arial"/>
          <w:sz w:val="18"/>
          <w:szCs w:val="18"/>
          <w:color w:val="auto"/>
        </w:rPr>
        <w:t>Stock-based compensation</w:t>
      </w:r>
    </w:p>
    <w:p>
      <w:pPr>
        <w:ind w:left="440"/>
        <w:spacing w:after="0" w:line="235" w:lineRule="auto"/>
        <w:rPr>
          <w:sz w:val="20"/>
          <w:szCs w:val="20"/>
          <w:color w:val="auto"/>
        </w:rPr>
      </w:pPr>
      <w:r>
        <w:rPr>
          <w:rFonts w:ascii="Arial" w:cs="Arial" w:eastAsia="Arial" w:hAnsi="Arial"/>
          <w:sz w:val="18"/>
          <w:szCs w:val="18"/>
          <w:color w:val="auto"/>
        </w:rPr>
        <w:t>Amortization of acquisition-related intangibles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128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440"/>
        <w:spacing w:after="0" w:line="235" w:lineRule="auto"/>
        <w:rPr>
          <w:sz w:val="20"/>
          <w:szCs w:val="20"/>
          <w:color w:val="auto"/>
        </w:rPr>
      </w:pPr>
      <w:r>
        <w:rPr>
          <w:rFonts w:ascii="Arial" w:cs="Arial" w:eastAsia="Arial" w:hAnsi="Arial"/>
          <w:sz w:val="18"/>
          <w:szCs w:val="18"/>
          <w:color w:val="auto"/>
        </w:rPr>
        <w:t>Gains on sales of assets</w:t>
      </w:r>
    </w:p>
    <w:p>
      <w:pPr>
        <w:ind w:left="440"/>
        <w:spacing w:after="0" w:line="235" w:lineRule="auto"/>
        <w:rPr>
          <w:sz w:val="20"/>
          <w:szCs w:val="20"/>
          <w:color w:val="auto"/>
        </w:rPr>
      </w:pPr>
      <w:r>
        <w:rPr>
          <w:rFonts w:ascii="Arial" w:cs="Arial" w:eastAsia="Arial" w:hAnsi="Arial"/>
          <w:sz w:val="18"/>
          <w:szCs w:val="18"/>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220"/>
        <w:spacing w:after="0" w:line="235" w:lineRule="auto"/>
        <w:rPr>
          <w:sz w:val="20"/>
          <w:szCs w:val="20"/>
          <w:color w:val="auto"/>
        </w:rPr>
      </w:pPr>
      <w:r>
        <w:rPr>
          <w:rFonts w:ascii="Arial" w:cs="Arial" w:eastAsia="Arial" w:hAnsi="Arial"/>
          <w:sz w:val="18"/>
          <w:szCs w:val="18"/>
          <w:color w:val="auto"/>
        </w:rPr>
        <w:t>Increase (decrease) from changes in:</w:t>
      </w:r>
    </w:p>
    <w:p>
      <w:pPr>
        <w:ind w:left="440"/>
        <w:spacing w:after="0" w:line="235" w:lineRule="auto"/>
        <w:rPr>
          <w:sz w:val="20"/>
          <w:szCs w:val="20"/>
          <w:color w:val="auto"/>
        </w:rPr>
      </w:pPr>
      <w:r>
        <w:rPr>
          <w:rFonts w:ascii="Arial" w:cs="Arial" w:eastAsia="Arial" w:hAnsi="Arial"/>
          <w:sz w:val="18"/>
          <w:szCs w:val="18"/>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440"/>
        <w:spacing w:after="0" w:line="235" w:lineRule="auto"/>
        <w:rPr>
          <w:sz w:val="20"/>
          <w:szCs w:val="20"/>
          <w:color w:val="auto"/>
        </w:rPr>
      </w:pPr>
      <w:r>
        <w:rPr>
          <w:rFonts w:ascii="Arial" w:cs="Arial" w:eastAsia="Arial" w:hAnsi="Arial"/>
          <w:sz w:val="18"/>
          <w:szCs w:val="18"/>
          <w:color w:val="auto"/>
        </w:rPr>
        <w:t>Inventories</w:t>
      </w:r>
    </w:p>
    <w:p>
      <w:pPr>
        <w:ind w:left="440"/>
        <w:spacing w:after="0" w:line="235" w:lineRule="auto"/>
        <w:rPr>
          <w:sz w:val="20"/>
          <w:szCs w:val="20"/>
          <w:color w:val="auto"/>
        </w:rPr>
      </w:pPr>
      <w:r>
        <w:rPr>
          <w:rFonts w:ascii="Arial" w:cs="Arial" w:eastAsia="Arial" w:hAnsi="Arial"/>
          <w:sz w:val="18"/>
          <w:szCs w:val="18"/>
          <w:color w:val="auto"/>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1289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440"/>
        <w:spacing w:after="0" w:line="234" w:lineRule="auto"/>
        <w:rPr>
          <w:sz w:val="20"/>
          <w:szCs w:val="20"/>
          <w:color w:val="auto"/>
        </w:rPr>
      </w:pPr>
      <w:r>
        <w:rPr>
          <w:rFonts w:ascii="Arial" w:cs="Arial" w:eastAsia="Arial" w:hAnsi="Arial"/>
          <w:sz w:val="18"/>
          <w:szCs w:val="18"/>
          <w:color w:val="auto"/>
        </w:rPr>
        <w:t>Accounts payable and accrued expenses</w:t>
      </w:r>
    </w:p>
    <w:p>
      <w:pPr>
        <w:ind w:left="440"/>
        <w:spacing w:after="0" w:line="235" w:lineRule="auto"/>
        <w:rPr>
          <w:sz w:val="20"/>
          <w:szCs w:val="20"/>
          <w:color w:val="auto"/>
        </w:rPr>
      </w:pPr>
      <w:r>
        <w:rPr>
          <w:rFonts w:ascii="Arial" w:cs="Arial" w:eastAsia="Arial" w:hAnsi="Arial"/>
          <w:sz w:val="18"/>
          <w:szCs w:val="18"/>
          <w:color w:val="auto"/>
        </w:rPr>
        <w:t>Income taxes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1289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440"/>
        <w:spacing w:after="0" w:line="235" w:lineRule="auto"/>
        <w:rPr>
          <w:sz w:val="20"/>
          <w:szCs w:val="20"/>
          <w:color w:val="auto"/>
        </w:rPr>
      </w:pPr>
      <w:r>
        <w:rPr>
          <w:rFonts w:ascii="Arial" w:cs="Arial" w:eastAsia="Arial" w:hAnsi="Arial"/>
          <w:sz w:val="18"/>
          <w:szCs w:val="18"/>
          <w:color w:val="auto"/>
        </w:rPr>
        <w:t>Accrued profit sharing and retirement</w:t>
      </w:r>
    </w:p>
    <w:p>
      <w:pPr>
        <w:spacing w:after="0" w:line="1" w:lineRule="exact"/>
        <w:rPr>
          <w:sz w:val="20"/>
          <w:szCs w:val="20"/>
          <w:color w:val="auto"/>
        </w:rPr>
      </w:pPr>
    </w:p>
    <w:p>
      <w:pPr>
        <w:ind w:left="220" w:right="2140"/>
        <w:spacing w:after="0" w:line="239" w:lineRule="auto"/>
        <w:rPr>
          <w:sz w:val="20"/>
          <w:szCs w:val="20"/>
          <w:color w:val="auto"/>
        </w:rPr>
      </w:pPr>
      <w:r>
        <w:rPr>
          <w:rFonts w:ascii="Arial" w:cs="Arial" w:eastAsia="Arial" w:hAnsi="Arial"/>
          <w:sz w:val="18"/>
          <w:szCs w:val="18"/>
          <w:color w:val="auto"/>
        </w:rPr>
        <w:t>Change in funded status of retirement plans and accrued retirement costs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128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Net cash provided by operating activities of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974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Cash flows from investing activities:</w:t>
      </w:r>
    </w:p>
    <w:p>
      <w:pPr>
        <w:ind w:left="220"/>
        <w:spacing w:after="0" w:line="234" w:lineRule="auto"/>
        <w:rPr>
          <w:sz w:val="20"/>
          <w:szCs w:val="20"/>
          <w:color w:val="auto"/>
        </w:rPr>
      </w:pPr>
      <w:r>
        <w:rPr>
          <w:rFonts w:ascii="Arial" w:cs="Arial" w:eastAsia="Arial" w:hAnsi="Arial"/>
          <w:sz w:val="18"/>
          <w:szCs w:val="18"/>
          <w:color w:val="auto"/>
        </w:rPr>
        <w:t>Additions to 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1289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220"/>
        <w:spacing w:after="0" w:line="235" w:lineRule="auto"/>
        <w:rPr>
          <w:sz w:val="20"/>
          <w:szCs w:val="20"/>
          <w:color w:val="auto"/>
        </w:rPr>
      </w:pPr>
      <w:r>
        <w:rPr>
          <w:rFonts w:ascii="Arial" w:cs="Arial" w:eastAsia="Arial" w:hAnsi="Arial"/>
          <w:sz w:val="18"/>
          <w:szCs w:val="18"/>
          <w:color w:val="auto"/>
        </w:rPr>
        <w:t>Proceeds from sales of assets</w:t>
      </w:r>
    </w:p>
    <w:p>
      <w:pPr>
        <w:ind w:left="220"/>
        <w:spacing w:after="0" w:line="235" w:lineRule="auto"/>
        <w:rPr>
          <w:sz w:val="20"/>
          <w:szCs w:val="20"/>
          <w:color w:val="auto"/>
        </w:rPr>
      </w:pPr>
      <w:r>
        <w:rPr>
          <w:rFonts w:ascii="Arial" w:cs="Arial" w:eastAsia="Arial" w:hAnsi="Arial"/>
          <w:sz w:val="18"/>
          <w:szCs w:val="18"/>
          <w:color w:val="auto"/>
        </w:rPr>
        <w:t>Purchases of cash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1289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220"/>
        <w:spacing w:after="0" w:line="235" w:lineRule="auto"/>
        <w:rPr>
          <w:sz w:val="20"/>
          <w:szCs w:val="20"/>
          <w:color w:val="auto"/>
        </w:rPr>
      </w:pPr>
      <w:r>
        <w:rPr>
          <w:rFonts w:ascii="Arial" w:cs="Arial" w:eastAsia="Arial" w:hAnsi="Arial"/>
          <w:sz w:val="18"/>
          <w:szCs w:val="18"/>
          <w:color w:val="auto"/>
        </w:rPr>
        <w:t>Sales and maturities of cash investments</w:t>
      </w:r>
    </w:p>
    <w:p>
      <w:pPr>
        <w:ind w:left="220"/>
        <w:spacing w:after="0" w:line="235" w:lineRule="auto"/>
        <w:rPr>
          <w:sz w:val="20"/>
          <w:szCs w:val="20"/>
          <w:color w:val="auto"/>
        </w:rPr>
      </w:pPr>
      <w:r>
        <w:rPr>
          <w:rFonts w:ascii="Arial" w:cs="Arial" w:eastAsia="Arial" w:hAnsi="Arial"/>
          <w:sz w:val="18"/>
          <w:szCs w:val="18"/>
          <w:color w:val="auto"/>
        </w:rPr>
        <w:t>Purchases of long-term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220"/>
        <w:spacing w:after="0" w:line="235" w:lineRule="auto"/>
        <w:rPr>
          <w:sz w:val="20"/>
          <w:szCs w:val="20"/>
          <w:color w:val="auto"/>
        </w:rPr>
      </w:pPr>
      <w:r>
        <w:rPr>
          <w:rFonts w:ascii="Arial" w:cs="Arial" w:eastAsia="Arial" w:hAnsi="Arial"/>
          <w:sz w:val="18"/>
          <w:szCs w:val="18"/>
          <w:color w:val="auto"/>
        </w:rPr>
        <w:t>Sales of long-term investments</w:t>
      </w:r>
    </w:p>
    <w:p>
      <w:pPr>
        <w:ind w:left="220"/>
        <w:spacing w:after="0"/>
        <w:rPr>
          <w:sz w:val="20"/>
          <w:szCs w:val="20"/>
          <w:color w:val="auto"/>
        </w:rPr>
      </w:pPr>
      <w:r>
        <w:rPr>
          <w:rFonts w:ascii="Arial" w:cs="Arial" w:eastAsia="Arial" w:hAnsi="Arial"/>
          <w:sz w:val="18"/>
          <w:szCs w:val="18"/>
          <w:color w:val="auto"/>
        </w:rPr>
        <w:t>Acquisitions, net of cash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974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Net cash provided by (used in) investing activities of continuing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1289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220"/>
        <w:spacing w:after="0" w:line="234" w:lineRule="auto"/>
        <w:rPr>
          <w:sz w:val="20"/>
          <w:szCs w:val="20"/>
          <w:color w:val="auto"/>
        </w:rPr>
      </w:pPr>
      <w:r>
        <w:rPr>
          <w:rFonts w:ascii="Arial" w:cs="Arial" w:eastAsia="Arial" w:hAnsi="Arial"/>
          <w:sz w:val="18"/>
          <w:szCs w:val="18"/>
          <w:color w:val="auto"/>
        </w:rPr>
        <w:t>Proceeds from long-term debt</w:t>
      </w:r>
    </w:p>
    <w:p>
      <w:pPr>
        <w:ind w:left="220"/>
        <w:spacing w:after="0" w:line="235" w:lineRule="auto"/>
        <w:rPr>
          <w:sz w:val="20"/>
          <w:szCs w:val="20"/>
          <w:color w:val="auto"/>
        </w:rPr>
      </w:pPr>
      <w:r>
        <w:rPr>
          <w:rFonts w:ascii="Arial" w:cs="Arial" w:eastAsia="Arial" w:hAnsi="Arial"/>
          <w:sz w:val="18"/>
          <w:szCs w:val="18"/>
          <w:color w:val="auto"/>
        </w:rPr>
        <w:t>Payments on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1289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220"/>
        <w:spacing w:after="0" w:line="235" w:lineRule="auto"/>
        <w:rPr>
          <w:sz w:val="20"/>
          <w:szCs w:val="20"/>
          <w:color w:val="auto"/>
        </w:rPr>
      </w:pPr>
      <w:r>
        <w:rPr>
          <w:rFonts w:ascii="Arial" w:cs="Arial" w:eastAsia="Arial" w:hAnsi="Arial"/>
          <w:sz w:val="18"/>
          <w:szCs w:val="18"/>
          <w:color w:val="auto"/>
        </w:rPr>
        <w:t>Dividends paid</w:t>
      </w:r>
    </w:p>
    <w:p>
      <w:pPr>
        <w:ind w:left="220"/>
        <w:spacing w:after="0" w:line="235" w:lineRule="auto"/>
        <w:rPr>
          <w:sz w:val="20"/>
          <w:szCs w:val="20"/>
          <w:color w:val="auto"/>
        </w:rPr>
      </w:pPr>
      <w:r>
        <w:rPr>
          <w:rFonts w:ascii="Arial" w:cs="Arial" w:eastAsia="Arial" w:hAnsi="Arial"/>
          <w:sz w:val="18"/>
          <w:szCs w:val="18"/>
          <w:color w:val="auto"/>
        </w:rPr>
        <w:t>Sales and other common stock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1289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220"/>
        <w:spacing w:after="0" w:line="235" w:lineRule="auto"/>
        <w:rPr>
          <w:sz w:val="20"/>
          <w:szCs w:val="20"/>
          <w:color w:val="auto"/>
        </w:rPr>
      </w:pPr>
      <w:r>
        <w:rPr>
          <w:rFonts w:ascii="Arial" w:cs="Arial" w:eastAsia="Arial" w:hAnsi="Arial"/>
          <w:sz w:val="18"/>
          <w:szCs w:val="18"/>
          <w:color w:val="auto"/>
        </w:rPr>
        <w:t>Excess tax benefit from stock option exercises</w:t>
      </w:r>
    </w:p>
    <w:p>
      <w:pPr>
        <w:ind w:left="220"/>
        <w:spacing w:after="0"/>
        <w:rPr>
          <w:sz w:val="20"/>
          <w:szCs w:val="20"/>
          <w:color w:val="auto"/>
        </w:rPr>
      </w:pPr>
      <w:r>
        <w:rPr>
          <w:rFonts w:ascii="Arial" w:cs="Arial" w:eastAsia="Arial" w:hAnsi="Arial"/>
          <w:sz w:val="18"/>
          <w:szCs w:val="18"/>
          <w:color w:val="auto"/>
        </w:rPr>
        <w:t>Stock repurchases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974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financing activities of continuing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Cash flows from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1289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220"/>
        <w:spacing w:after="0" w:line="234" w:lineRule="auto"/>
        <w:rPr>
          <w:sz w:val="20"/>
          <w:szCs w:val="20"/>
          <w:color w:val="auto"/>
        </w:rPr>
      </w:pPr>
      <w:r>
        <w:rPr>
          <w:rFonts w:ascii="Arial" w:cs="Arial" w:eastAsia="Arial" w:hAnsi="Arial"/>
          <w:sz w:val="18"/>
          <w:szCs w:val="18"/>
          <w:color w:val="auto"/>
        </w:rPr>
        <w:t>Operating activities</w:t>
      </w:r>
    </w:p>
    <w:p>
      <w:pPr>
        <w:ind w:left="220"/>
        <w:spacing w:after="0" w:line="232" w:lineRule="auto"/>
        <w:rPr>
          <w:sz w:val="20"/>
          <w:szCs w:val="20"/>
          <w:color w:val="auto"/>
        </w:rPr>
      </w:pPr>
      <w:r>
        <w:rPr>
          <w:rFonts w:ascii="Arial" w:cs="Arial" w:eastAsia="Arial" w:hAnsi="Arial"/>
          <w:sz w:val="18"/>
          <w:szCs w:val="18"/>
          <w:color w:val="auto"/>
        </w:rPr>
        <w:t>Investing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59"/>
        <w:spacing w:after="0"/>
        <w:rPr>
          <w:sz w:val="20"/>
          <w:szCs w:val="20"/>
          <w:color w:val="auto"/>
        </w:rPr>
      </w:pPr>
      <w:r>
        <w:rPr>
          <w:rFonts w:ascii="Arial" w:cs="Arial" w:eastAsia="Arial" w:hAnsi="Arial"/>
          <w:sz w:val="14"/>
          <w:szCs w:val="14"/>
          <w:b w:val="1"/>
          <w:bCs w:val="1"/>
          <w:color w:val="auto"/>
        </w:rPr>
        <w:t>For the years ended</w:t>
      </w:r>
    </w:p>
    <w:p>
      <w:pPr>
        <w:spacing w:after="0" w:line="4" w:lineRule="exact"/>
        <w:rPr>
          <w:sz w:val="20"/>
          <w:szCs w:val="20"/>
          <w:color w:val="auto"/>
        </w:rPr>
      </w:pPr>
    </w:p>
    <w:p>
      <w:pPr>
        <w:jc w:val="center"/>
        <w:ind w:right="-159"/>
        <w:spacing w:after="0"/>
        <w:rPr>
          <w:sz w:val="20"/>
          <w:szCs w:val="20"/>
          <w:color w:val="auto"/>
        </w:rPr>
      </w:pPr>
      <w:r>
        <w:rPr>
          <w:rFonts w:ascii="Arial" w:cs="Arial" w:eastAsia="Arial" w:hAnsi="Arial"/>
          <w:sz w:val="14"/>
          <w:szCs w:val="14"/>
          <w:b w:val="1"/>
          <w:bCs w:val="1"/>
          <w:color w:val="auto"/>
        </w:rPr>
        <w:t>December 31,</w:t>
      </w:r>
    </w:p>
    <w:p>
      <w:pPr>
        <w:spacing w:after="0" w:line="37" w:lineRule="exact"/>
        <w:rPr>
          <w:sz w:val="20"/>
          <w:szCs w:val="20"/>
          <w:color w:val="auto"/>
        </w:rPr>
      </w:pPr>
    </w:p>
    <w:p>
      <w:pPr>
        <w:ind w:left="320"/>
        <w:spacing w:after="0"/>
        <w:tabs>
          <w:tab w:leader="none" w:pos="1220" w:val="left"/>
          <w:tab w:leader="none" w:pos="2160" w:val="left"/>
        </w:tabs>
        <w:rPr>
          <w:sz w:val="20"/>
          <w:szCs w:val="20"/>
          <w:color w:val="auto"/>
        </w:rPr>
      </w:pPr>
      <w:r>
        <w:rPr>
          <w:rFonts w:ascii="Arial" w:cs="Arial" w:eastAsia="Arial" w:hAnsi="Arial"/>
          <w:sz w:val="18"/>
          <w:szCs w:val="18"/>
          <w:b w:val="1"/>
          <w:bCs w:val="1"/>
          <w:color w:val="auto"/>
        </w:rPr>
        <w:t>2007</w:t>
      </w:r>
      <w:r>
        <w:rPr>
          <w:sz w:val="20"/>
          <w:szCs w:val="20"/>
          <w:color w:val="auto"/>
        </w:rPr>
        <w:tab/>
      </w:r>
      <w:r>
        <w:rPr>
          <w:rFonts w:ascii="Arial" w:cs="Arial" w:eastAsia="Arial" w:hAnsi="Arial"/>
          <w:sz w:val="18"/>
          <w:szCs w:val="18"/>
          <w:b w:val="1"/>
          <w:bCs w:val="1"/>
          <w:color w:val="auto"/>
        </w:rPr>
        <w:t>2006</w:t>
      </w:r>
      <w:r>
        <w:rPr>
          <w:sz w:val="20"/>
          <w:szCs w:val="20"/>
          <w:color w:val="auto"/>
        </w:rPr>
        <w:tab/>
      </w:r>
      <w:r>
        <w:rPr>
          <w:rFonts w:ascii="Arial" w:cs="Arial" w:eastAsia="Arial" w:hAnsi="Arial"/>
          <w:sz w:val="16"/>
          <w:szCs w:val="16"/>
          <w:b w:val="1"/>
          <w:bCs w:val="1"/>
          <w:color w:val="auto"/>
        </w:rPr>
        <w:t>2005</w:t>
      </w:r>
    </w:p>
    <w:p>
      <w:pPr>
        <w:spacing w:after="0" w:line="347" w:lineRule="exact"/>
        <w:rPr>
          <w:sz w:val="20"/>
          <w:szCs w:val="20"/>
          <w:color w:val="auto"/>
        </w:rPr>
      </w:pPr>
    </w:p>
    <w:p>
      <w:pPr>
        <w:ind w:left="380" w:hanging="159"/>
        <w:spacing w:after="0"/>
        <w:tabs>
          <w:tab w:leader="none" w:pos="3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2,657   </w:t>
      </w:r>
      <w:r>
        <w:rPr>
          <w:rFonts w:ascii="Arial" w:cs="Arial" w:eastAsia="Arial" w:hAnsi="Arial"/>
          <w:sz w:val="18"/>
          <w:szCs w:val="18"/>
          <w:color w:val="auto"/>
        </w:rPr>
        <w:t>$ 4,341   $ 2,324</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0" w:type="dxa"/>
            <w:vAlign w:val="bottom"/>
            <w:gridSpan w:val="2"/>
          </w:tcPr>
          <w:p>
            <w:pPr>
              <w:jc w:val="right"/>
              <w:ind w:right="112"/>
              <w:spacing w:after="0"/>
              <w:rPr>
                <w:sz w:val="20"/>
                <w:szCs w:val="20"/>
                <w:color w:val="auto"/>
              </w:rPr>
            </w:pPr>
            <w:r>
              <w:rPr>
                <w:rFonts w:ascii="Arial" w:cs="Arial" w:eastAsia="Arial" w:hAnsi="Arial"/>
                <w:sz w:val="18"/>
                <w:szCs w:val="18"/>
                <w:b w:val="1"/>
                <w:bCs w:val="1"/>
                <w:color w:val="auto"/>
              </w:rPr>
              <w:t>(16)</w:t>
            </w: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(1,703)</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(151)</w:t>
            </w:r>
          </w:p>
        </w:tc>
      </w:tr>
      <w:tr>
        <w:trPr>
          <w:trHeight w:val="203"/>
        </w:trPr>
        <w:tc>
          <w:tcPr>
            <w:tcW w:w="1080" w:type="dxa"/>
            <w:vAlign w:val="bottom"/>
            <w:gridSpan w:val="2"/>
          </w:tcPr>
          <w:p>
            <w:pPr>
              <w:jc w:val="right"/>
              <w:ind w:right="172"/>
              <w:spacing w:after="0" w:line="202" w:lineRule="exact"/>
              <w:rPr>
                <w:sz w:val="20"/>
                <w:szCs w:val="20"/>
                <w:color w:val="auto"/>
              </w:rPr>
            </w:pPr>
            <w:r>
              <w:rPr>
                <w:rFonts w:ascii="Arial" w:cs="Arial" w:eastAsia="Arial" w:hAnsi="Arial"/>
                <w:sz w:val="18"/>
                <w:szCs w:val="18"/>
                <w:b w:val="1"/>
                <w:bCs w:val="1"/>
                <w:color w:val="auto"/>
              </w:rPr>
              <w:t>1,022</w:t>
            </w:r>
          </w:p>
        </w:tc>
        <w:tc>
          <w:tcPr>
            <w:tcW w:w="92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1,052</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1,346</w:t>
            </w:r>
          </w:p>
        </w:tc>
        <w:tc>
          <w:tcPr>
            <w:tcW w:w="60" w:type="dxa"/>
            <w:vAlign w:val="bottom"/>
          </w:tcPr>
          <w:p>
            <w:pPr>
              <w:spacing w:after="0"/>
              <w:rPr>
                <w:sz w:val="17"/>
                <w:szCs w:val="17"/>
                <w:color w:val="auto"/>
              </w:rPr>
            </w:pPr>
          </w:p>
        </w:tc>
      </w:tr>
      <w:tr>
        <w:trPr>
          <w:trHeight w:val="203"/>
        </w:trPr>
        <w:tc>
          <w:tcPr>
            <w:tcW w:w="1080" w:type="dxa"/>
            <w:vAlign w:val="bottom"/>
            <w:gridSpan w:val="2"/>
          </w:tcPr>
          <w:p>
            <w:pPr>
              <w:jc w:val="right"/>
              <w:ind w:right="172"/>
              <w:spacing w:after="0" w:line="202" w:lineRule="exact"/>
              <w:rPr>
                <w:sz w:val="20"/>
                <w:szCs w:val="20"/>
                <w:color w:val="auto"/>
              </w:rPr>
            </w:pPr>
            <w:r>
              <w:rPr>
                <w:rFonts w:ascii="Arial" w:cs="Arial" w:eastAsia="Arial" w:hAnsi="Arial"/>
                <w:sz w:val="18"/>
                <w:szCs w:val="18"/>
                <w:b w:val="1"/>
                <w:bCs w:val="1"/>
                <w:color w:val="auto"/>
              </w:rPr>
              <w:t>280</w:t>
            </w:r>
          </w:p>
        </w:tc>
        <w:tc>
          <w:tcPr>
            <w:tcW w:w="92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332</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175</w:t>
            </w:r>
          </w:p>
        </w:tc>
        <w:tc>
          <w:tcPr>
            <w:tcW w:w="60" w:type="dxa"/>
            <w:vAlign w:val="bottom"/>
          </w:tcPr>
          <w:p>
            <w:pPr>
              <w:spacing w:after="0"/>
              <w:rPr>
                <w:sz w:val="17"/>
                <w:szCs w:val="17"/>
                <w:color w:val="auto"/>
              </w:rPr>
            </w:pPr>
          </w:p>
        </w:tc>
      </w:tr>
      <w:tr>
        <w:trPr>
          <w:trHeight w:val="203"/>
        </w:trPr>
        <w:tc>
          <w:tcPr>
            <w:tcW w:w="1080" w:type="dxa"/>
            <w:vAlign w:val="bottom"/>
            <w:gridSpan w:val="2"/>
          </w:tcPr>
          <w:p>
            <w:pPr>
              <w:jc w:val="right"/>
              <w:ind w:right="172"/>
              <w:spacing w:after="0" w:line="202" w:lineRule="exact"/>
              <w:rPr>
                <w:sz w:val="20"/>
                <w:szCs w:val="20"/>
                <w:color w:val="auto"/>
              </w:rPr>
            </w:pPr>
            <w:r>
              <w:rPr>
                <w:rFonts w:ascii="Arial" w:cs="Arial" w:eastAsia="Arial" w:hAnsi="Arial"/>
                <w:sz w:val="18"/>
                <w:szCs w:val="18"/>
                <w:b w:val="1"/>
                <w:bCs w:val="1"/>
                <w:color w:val="auto"/>
              </w:rPr>
              <w:t>48</w:t>
            </w:r>
          </w:p>
        </w:tc>
        <w:tc>
          <w:tcPr>
            <w:tcW w:w="92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59</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55</w:t>
            </w:r>
          </w:p>
        </w:tc>
        <w:tc>
          <w:tcPr>
            <w:tcW w:w="60" w:type="dxa"/>
            <w:vAlign w:val="bottom"/>
          </w:tcPr>
          <w:p>
            <w:pPr>
              <w:spacing w:after="0"/>
              <w:rPr>
                <w:sz w:val="17"/>
                <w:szCs w:val="17"/>
                <w:color w:val="auto"/>
              </w:rPr>
            </w:pPr>
          </w:p>
        </w:tc>
      </w:tr>
      <w:tr>
        <w:trPr>
          <w:trHeight w:val="203"/>
        </w:trPr>
        <w:tc>
          <w:tcPr>
            <w:tcW w:w="1080" w:type="dxa"/>
            <w:vAlign w:val="bottom"/>
            <w:gridSpan w:val="2"/>
          </w:tcPr>
          <w:p>
            <w:pPr>
              <w:jc w:val="right"/>
              <w:ind w:right="112"/>
              <w:spacing w:after="0" w:line="202" w:lineRule="exact"/>
              <w:rPr>
                <w:sz w:val="20"/>
                <w:szCs w:val="20"/>
                <w:color w:val="auto"/>
              </w:rPr>
            </w:pPr>
            <w:r>
              <w:rPr>
                <w:rFonts w:ascii="Arial" w:cs="Arial" w:eastAsia="Arial" w:hAnsi="Arial"/>
                <w:sz w:val="18"/>
                <w:szCs w:val="18"/>
                <w:b w:val="1"/>
                <w:bCs w:val="1"/>
                <w:color w:val="auto"/>
              </w:rPr>
              <w:t>(39)</w:t>
            </w:r>
          </w:p>
        </w:tc>
        <w:tc>
          <w:tcPr>
            <w:tcW w:w="92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w:t>
            </w:r>
          </w:p>
        </w:tc>
      </w:tr>
      <w:tr>
        <w:trPr>
          <w:trHeight w:val="233"/>
        </w:trPr>
        <w:tc>
          <w:tcPr>
            <w:tcW w:w="1080" w:type="dxa"/>
            <w:vAlign w:val="bottom"/>
            <w:gridSpan w:val="2"/>
          </w:tcPr>
          <w:p>
            <w:pPr>
              <w:jc w:val="right"/>
              <w:ind w:right="172"/>
              <w:spacing w:after="0"/>
              <w:rPr>
                <w:sz w:val="20"/>
                <w:szCs w:val="20"/>
                <w:color w:val="auto"/>
              </w:rPr>
            </w:pPr>
            <w:r>
              <w:rPr>
                <w:rFonts w:ascii="Arial" w:cs="Arial" w:eastAsia="Arial" w:hAnsi="Arial"/>
                <w:sz w:val="18"/>
                <w:szCs w:val="18"/>
                <w:b w:val="1"/>
                <w:bCs w:val="1"/>
                <w:color w:val="auto"/>
              </w:rPr>
              <w:t>34</w:t>
            </w: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(200)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(194)</w:t>
            </w:r>
          </w:p>
        </w:tc>
      </w:tr>
      <w:tr>
        <w:trPr>
          <w:trHeight w:val="375"/>
        </w:trPr>
        <w:tc>
          <w:tcPr>
            <w:tcW w:w="1080" w:type="dxa"/>
            <w:vAlign w:val="bottom"/>
            <w:gridSpan w:val="2"/>
          </w:tcPr>
          <w:p>
            <w:pPr>
              <w:jc w:val="right"/>
              <w:ind w:right="172"/>
              <w:spacing w:after="0"/>
              <w:rPr>
                <w:sz w:val="20"/>
                <w:szCs w:val="20"/>
                <w:color w:val="auto"/>
              </w:rPr>
            </w:pPr>
            <w:r>
              <w:rPr>
                <w:rFonts w:ascii="Arial" w:cs="Arial" w:eastAsia="Arial" w:hAnsi="Arial"/>
                <w:sz w:val="18"/>
                <w:szCs w:val="18"/>
                <w:b w:val="1"/>
                <w:bCs w:val="1"/>
                <w:color w:val="auto"/>
              </w:rPr>
              <w:t>40</w:t>
            </w: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(116)</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(127)</w:t>
            </w:r>
          </w:p>
        </w:tc>
      </w:tr>
      <w:tr>
        <w:trPr>
          <w:trHeight w:val="203"/>
        </w:trPr>
        <w:tc>
          <w:tcPr>
            <w:tcW w:w="1080" w:type="dxa"/>
            <w:vAlign w:val="bottom"/>
            <w:gridSpan w:val="2"/>
          </w:tcPr>
          <w:p>
            <w:pPr>
              <w:jc w:val="right"/>
              <w:ind w:right="172"/>
              <w:spacing w:after="0" w:line="202" w:lineRule="exact"/>
              <w:rPr>
                <w:sz w:val="20"/>
                <w:szCs w:val="20"/>
                <w:color w:val="auto"/>
              </w:rPr>
            </w:pPr>
            <w:r>
              <w:rPr>
                <w:rFonts w:ascii="Arial" w:cs="Arial" w:eastAsia="Arial" w:hAnsi="Arial"/>
                <w:sz w:val="18"/>
                <w:szCs w:val="18"/>
                <w:b w:val="1"/>
                <w:bCs w:val="1"/>
                <w:color w:val="auto"/>
              </w:rPr>
              <w:t>11</w:t>
            </w:r>
          </w:p>
        </w:tc>
        <w:tc>
          <w:tcPr>
            <w:tcW w:w="920" w:type="dxa"/>
            <w:vAlign w:val="bottom"/>
          </w:tcPr>
          <w:p>
            <w:pPr>
              <w:jc w:val="right"/>
              <w:ind w:right="92"/>
              <w:spacing w:after="0" w:line="202" w:lineRule="exact"/>
              <w:rPr>
                <w:sz w:val="20"/>
                <w:szCs w:val="20"/>
                <w:color w:val="auto"/>
              </w:rPr>
            </w:pPr>
            <w:r>
              <w:rPr>
                <w:rFonts w:ascii="Arial" w:cs="Arial" w:eastAsia="Arial" w:hAnsi="Arial"/>
                <w:sz w:val="18"/>
                <w:szCs w:val="18"/>
                <w:color w:val="auto"/>
              </w:rPr>
              <w:t>(248)</w:t>
            </w:r>
          </w:p>
        </w:tc>
        <w:tc>
          <w:tcPr>
            <w:tcW w:w="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(23)</w:t>
            </w:r>
          </w:p>
        </w:tc>
      </w:tr>
      <w:tr>
        <w:trPr>
          <w:trHeight w:val="203"/>
        </w:trPr>
        <w:tc>
          <w:tcPr>
            <w:tcW w:w="1080" w:type="dxa"/>
            <w:vAlign w:val="bottom"/>
            <w:gridSpan w:val="2"/>
          </w:tcPr>
          <w:p>
            <w:pPr>
              <w:jc w:val="right"/>
              <w:ind w:right="172"/>
              <w:spacing w:after="0" w:line="202" w:lineRule="exact"/>
              <w:rPr>
                <w:sz w:val="20"/>
                <w:szCs w:val="20"/>
                <w:color w:val="auto"/>
              </w:rPr>
            </w:pPr>
            <w:r>
              <w:rPr>
                <w:rFonts w:ascii="Arial" w:cs="Arial" w:eastAsia="Arial" w:hAnsi="Arial"/>
                <w:sz w:val="18"/>
                <w:szCs w:val="18"/>
                <w:b w:val="1"/>
                <w:bCs w:val="1"/>
                <w:color w:val="auto"/>
              </w:rPr>
              <w:t>13</w:t>
            </w:r>
          </w:p>
        </w:tc>
        <w:tc>
          <w:tcPr>
            <w:tcW w:w="920" w:type="dxa"/>
            <w:vAlign w:val="bottom"/>
          </w:tcPr>
          <w:p>
            <w:pPr>
              <w:jc w:val="right"/>
              <w:ind w:right="92"/>
              <w:spacing w:after="0" w:line="202" w:lineRule="exact"/>
              <w:rPr>
                <w:sz w:val="20"/>
                <w:szCs w:val="20"/>
                <w:color w:val="auto"/>
              </w:rPr>
            </w:pPr>
            <w:r>
              <w:rPr>
                <w:rFonts w:ascii="Arial" w:cs="Arial" w:eastAsia="Arial" w:hAnsi="Arial"/>
                <w:sz w:val="18"/>
                <w:szCs w:val="18"/>
                <w:color w:val="auto"/>
              </w:rPr>
              <w:t>(95)</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111</w:t>
            </w:r>
          </w:p>
        </w:tc>
        <w:tc>
          <w:tcPr>
            <w:tcW w:w="60" w:type="dxa"/>
            <w:vAlign w:val="bottom"/>
          </w:tcPr>
          <w:p>
            <w:pPr>
              <w:spacing w:after="0"/>
              <w:rPr>
                <w:sz w:val="17"/>
                <w:szCs w:val="17"/>
                <w:color w:val="auto"/>
              </w:rPr>
            </w:pPr>
          </w:p>
        </w:tc>
      </w:tr>
      <w:tr>
        <w:trPr>
          <w:trHeight w:val="203"/>
        </w:trPr>
        <w:tc>
          <w:tcPr>
            <w:tcW w:w="1080" w:type="dxa"/>
            <w:vAlign w:val="bottom"/>
            <w:gridSpan w:val="2"/>
          </w:tcPr>
          <w:p>
            <w:pPr>
              <w:jc w:val="right"/>
              <w:ind w:right="172"/>
              <w:spacing w:after="0" w:line="202" w:lineRule="exact"/>
              <w:rPr>
                <w:sz w:val="20"/>
                <w:szCs w:val="20"/>
                <w:color w:val="auto"/>
              </w:rPr>
            </w:pPr>
            <w:r>
              <w:rPr>
                <w:rFonts w:ascii="Arial" w:cs="Arial" w:eastAsia="Arial" w:hAnsi="Arial"/>
                <w:sz w:val="18"/>
                <w:szCs w:val="18"/>
                <w:b w:val="1"/>
                <w:bCs w:val="1"/>
                <w:color w:val="auto"/>
              </w:rPr>
              <w:t>77</w:t>
            </w:r>
          </w:p>
        </w:tc>
        <w:tc>
          <w:tcPr>
            <w:tcW w:w="920" w:type="dxa"/>
            <w:vAlign w:val="bottom"/>
          </w:tcPr>
          <w:p>
            <w:pPr>
              <w:jc w:val="right"/>
              <w:ind w:right="92"/>
              <w:spacing w:after="0" w:line="202" w:lineRule="exact"/>
              <w:rPr>
                <w:sz w:val="20"/>
                <w:szCs w:val="20"/>
                <w:color w:val="auto"/>
              </w:rPr>
            </w:pPr>
            <w:r>
              <w:rPr>
                <w:rFonts w:ascii="Arial" w:cs="Arial" w:eastAsia="Arial" w:hAnsi="Arial"/>
                <w:sz w:val="18"/>
                <w:szCs w:val="18"/>
                <w:color w:val="auto"/>
              </w:rPr>
              <w:t>(104)</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254</w:t>
            </w:r>
          </w:p>
        </w:tc>
        <w:tc>
          <w:tcPr>
            <w:tcW w:w="60" w:type="dxa"/>
            <w:vAlign w:val="bottom"/>
          </w:tcPr>
          <w:p>
            <w:pPr>
              <w:spacing w:after="0"/>
              <w:rPr>
                <w:sz w:val="17"/>
                <w:szCs w:val="17"/>
                <w:color w:val="auto"/>
              </w:rPr>
            </w:pPr>
          </w:p>
        </w:tc>
      </w:tr>
      <w:tr>
        <w:trPr>
          <w:trHeight w:val="203"/>
        </w:trPr>
        <w:tc>
          <w:tcPr>
            <w:tcW w:w="1080" w:type="dxa"/>
            <w:vAlign w:val="bottom"/>
            <w:gridSpan w:val="2"/>
          </w:tcPr>
          <w:p>
            <w:pPr>
              <w:jc w:val="right"/>
              <w:ind w:right="172"/>
              <w:spacing w:after="0" w:line="202" w:lineRule="exact"/>
              <w:rPr>
                <w:sz w:val="20"/>
                <w:szCs w:val="20"/>
                <w:color w:val="auto"/>
              </w:rPr>
            </w:pPr>
            <w:r>
              <w:rPr>
                <w:rFonts w:ascii="Arial" w:cs="Arial" w:eastAsia="Arial" w:hAnsi="Arial"/>
                <w:sz w:val="18"/>
                <w:szCs w:val="18"/>
                <w:b w:val="1"/>
                <w:bCs w:val="1"/>
                <w:color w:val="auto"/>
              </w:rPr>
              <w:t>188</w:t>
            </w:r>
          </w:p>
        </w:tc>
        <w:tc>
          <w:tcPr>
            <w:tcW w:w="920" w:type="dxa"/>
            <w:vAlign w:val="bottom"/>
          </w:tcPr>
          <w:p>
            <w:pPr>
              <w:jc w:val="right"/>
              <w:ind w:right="92"/>
              <w:spacing w:after="0" w:line="202" w:lineRule="exact"/>
              <w:rPr>
                <w:sz w:val="20"/>
                <w:szCs w:val="20"/>
                <w:color w:val="auto"/>
              </w:rPr>
            </w:pPr>
            <w:r>
              <w:rPr>
                <w:rFonts w:ascii="Arial" w:cs="Arial" w:eastAsia="Arial" w:hAnsi="Arial"/>
                <w:sz w:val="18"/>
                <w:szCs w:val="18"/>
                <w:color w:val="auto"/>
              </w:rPr>
              <w:t>(716)</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35</w:t>
            </w:r>
          </w:p>
        </w:tc>
        <w:tc>
          <w:tcPr>
            <w:tcW w:w="60" w:type="dxa"/>
            <w:vAlign w:val="bottom"/>
          </w:tcPr>
          <w:p>
            <w:pPr>
              <w:spacing w:after="0"/>
              <w:rPr>
                <w:sz w:val="17"/>
                <w:szCs w:val="17"/>
                <w:color w:val="auto"/>
              </w:rPr>
            </w:pPr>
          </w:p>
        </w:tc>
      </w:tr>
      <w:tr>
        <w:trPr>
          <w:trHeight w:val="203"/>
        </w:trPr>
        <w:tc>
          <w:tcPr>
            <w:tcW w:w="1080" w:type="dxa"/>
            <w:vAlign w:val="bottom"/>
            <w:gridSpan w:val="2"/>
          </w:tcPr>
          <w:p>
            <w:pPr>
              <w:jc w:val="right"/>
              <w:ind w:right="172"/>
              <w:spacing w:after="0" w:line="202" w:lineRule="exact"/>
              <w:rPr>
                <w:sz w:val="20"/>
                <w:szCs w:val="20"/>
                <w:color w:val="auto"/>
              </w:rPr>
            </w:pPr>
            <w:r>
              <w:rPr>
                <w:rFonts w:ascii="Arial" w:cs="Arial" w:eastAsia="Arial" w:hAnsi="Arial"/>
                <w:sz w:val="18"/>
                <w:szCs w:val="18"/>
                <w:b w:val="1"/>
                <w:bCs w:val="1"/>
                <w:color w:val="auto"/>
              </w:rPr>
              <w:t>33</w:t>
            </w:r>
          </w:p>
        </w:tc>
        <w:tc>
          <w:tcPr>
            <w:tcW w:w="92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28</w:t>
            </w:r>
          </w:p>
        </w:tc>
        <w:tc>
          <w:tcPr>
            <w:tcW w:w="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(140)</w:t>
            </w:r>
          </w:p>
        </w:tc>
      </w:tr>
      <w:tr>
        <w:trPr>
          <w:trHeight w:val="203"/>
        </w:trPr>
        <w:tc>
          <w:tcPr>
            <w:tcW w:w="1080" w:type="dxa"/>
            <w:vAlign w:val="bottom"/>
            <w:gridSpan w:val="2"/>
          </w:tcPr>
          <w:p>
            <w:pPr>
              <w:jc w:val="right"/>
              <w:ind w:right="112"/>
              <w:spacing w:after="0" w:line="202" w:lineRule="exact"/>
              <w:rPr>
                <w:sz w:val="20"/>
                <w:szCs w:val="20"/>
                <w:color w:val="auto"/>
              </w:rPr>
            </w:pPr>
            <w:r>
              <w:rPr>
                <w:rFonts w:ascii="Arial" w:cs="Arial" w:eastAsia="Arial" w:hAnsi="Arial"/>
                <w:sz w:val="18"/>
                <w:szCs w:val="18"/>
                <w:b w:val="1"/>
                <w:bCs w:val="1"/>
                <w:color w:val="auto"/>
              </w:rPr>
              <w:t>(16)</w:t>
            </w:r>
          </w:p>
        </w:tc>
        <w:tc>
          <w:tcPr>
            <w:tcW w:w="920" w:type="dxa"/>
            <w:vAlign w:val="bottom"/>
          </w:tcPr>
          <w:p>
            <w:pPr>
              <w:jc w:val="right"/>
              <w:ind w:right="92"/>
              <w:spacing w:after="0" w:line="202" w:lineRule="exact"/>
              <w:rPr>
                <w:sz w:val="20"/>
                <w:szCs w:val="20"/>
                <w:color w:val="auto"/>
              </w:rPr>
            </w:pPr>
            <w:r>
              <w:rPr>
                <w:rFonts w:ascii="Arial" w:cs="Arial" w:eastAsia="Arial" w:hAnsi="Arial"/>
                <w:sz w:val="18"/>
                <w:szCs w:val="18"/>
                <w:color w:val="auto"/>
              </w:rPr>
              <w:t>(210)</w:t>
            </w:r>
          </w:p>
        </w:tc>
        <w:tc>
          <w:tcPr>
            <w:tcW w:w="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(154)</w:t>
            </w:r>
          </w:p>
        </w:tc>
      </w:tr>
      <w:tr>
        <w:trPr>
          <w:trHeight w:val="221"/>
        </w:trPr>
        <w:tc>
          <w:tcPr>
            <w:tcW w:w="220" w:type="dxa"/>
            <w:vAlign w:val="bottom"/>
          </w:tcPr>
          <w:p>
            <w:pPr>
              <w:spacing w:after="0"/>
              <w:rPr>
                <w:sz w:val="19"/>
                <w:szCs w:val="19"/>
                <w:color w:val="auto"/>
              </w:rPr>
            </w:pPr>
          </w:p>
        </w:tc>
        <w:tc>
          <w:tcPr>
            <w:tcW w:w="8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74</w:t>
            </w:r>
          </w:p>
        </w:tc>
        <w:tc>
          <w:tcPr>
            <w:tcW w:w="9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34</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60" w:type="dxa"/>
            <w:vAlign w:val="bottom"/>
          </w:tcPr>
          <w:p>
            <w:pPr>
              <w:spacing w:after="0"/>
              <w:rPr>
                <w:sz w:val="19"/>
                <w:szCs w:val="19"/>
                <w:color w:val="auto"/>
              </w:rPr>
            </w:pPr>
          </w:p>
        </w:tc>
      </w:tr>
      <w:tr>
        <w:trPr>
          <w:trHeight w:val="277"/>
        </w:trPr>
        <w:tc>
          <w:tcPr>
            <w:tcW w:w="1080" w:type="dxa"/>
            <w:vAlign w:val="bottom"/>
            <w:gridSpan w:val="2"/>
          </w:tcPr>
          <w:p>
            <w:pPr>
              <w:jc w:val="right"/>
              <w:ind w:right="172"/>
              <w:spacing w:after="0"/>
              <w:rPr>
                <w:sz w:val="20"/>
                <w:szCs w:val="20"/>
                <w:color w:val="auto"/>
              </w:rPr>
            </w:pPr>
            <w:r>
              <w:rPr>
                <w:rFonts w:ascii="Arial" w:cs="Arial" w:eastAsia="Arial" w:hAnsi="Arial"/>
                <w:sz w:val="18"/>
                <w:szCs w:val="18"/>
                <w:b w:val="1"/>
                <w:bCs w:val="1"/>
                <w:color w:val="auto"/>
              </w:rPr>
              <w:t>4,406</w:t>
            </w:r>
          </w:p>
        </w:tc>
        <w:tc>
          <w:tcPr>
            <w:tcW w:w="920" w:type="dxa"/>
            <w:vAlign w:val="bottom"/>
          </w:tcPr>
          <w:p>
            <w:pPr>
              <w:jc w:val="right"/>
              <w:ind w:right="152"/>
              <w:spacing w:after="0"/>
              <w:rPr>
                <w:sz w:val="20"/>
                <w:szCs w:val="20"/>
                <w:color w:val="auto"/>
              </w:rPr>
            </w:pPr>
            <w:r>
              <w:rPr>
                <w:rFonts w:ascii="Arial" w:cs="Arial" w:eastAsia="Arial" w:hAnsi="Arial"/>
                <w:sz w:val="18"/>
                <w:szCs w:val="18"/>
                <w:color w:val="auto"/>
              </w:rPr>
              <w:t>2,454</w:t>
            </w:r>
          </w:p>
        </w:tc>
        <w:tc>
          <w:tcPr>
            <w:tcW w:w="700" w:type="dxa"/>
            <w:vAlign w:val="bottom"/>
          </w:tcPr>
          <w:p>
            <w:pPr>
              <w:jc w:val="right"/>
              <w:spacing w:after="0"/>
              <w:rPr>
                <w:sz w:val="20"/>
                <w:szCs w:val="20"/>
                <w:color w:val="auto"/>
              </w:rPr>
            </w:pPr>
            <w:r>
              <w:rPr>
                <w:rFonts w:ascii="Arial" w:cs="Arial" w:eastAsia="Arial" w:hAnsi="Arial"/>
                <w:sz w:val="18"/>
                <w:szCs w:val="18"/>
                <w:color w:val="auto"/>
              </w:rPr>
              <w:t>3,608</w:t>
            </w:r>
          </w:p>
        </w:tc>
        <w:tc>
          <w:tcPr>
            <w:tcW w:w="60" w:type="dxa"/>
            <w:vAlign w:val="bottom"/>
          </w:tcPr>
          <w:p>
            <w:pPr>
              <w:spacing w:after="0"/>
              <w:rPr>
                <w:sz w:val="24"/>
                <w:szCs w:val="24"/>
                <w:color w:val="auto"/>
              </w:rPr>
            </w:pPr>
          </w:p>
        </w:tc>
      </w:tr>
      <w:tr>
        <w:trPr>
          <w:trHeight w:val="115"/>
        </w:trPr>
        <w:tc>
          <w:tcPr>
            <w:tcW w:w="22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r>
      <w:tr>
        <w:trPr>
          <w:trHeight w:val="203"/>
        </w:trPr>
        <w:tc>
          <w:tcPr>
            <w:tcW w:w="220" w:type="dxa"/>
            <w:vAlign w:val="bottom"/>
            <w:shd w:val="clear" w:color="auto" w:fill="E5E5E5"/>
          </w:tcPr>
          <w:p>
            <w:pPr>
              <w:spacing w:after="0"/>
              <w:rPr>
                <w:sz w:val="17"/>
                <w:szCs w:val="17"/>
                <w:color w:val="auto"/>
              </w:rPr>
            </w:pPr>
          </w:p>
        </w:tc>
        <w:tc>
          <w:tcPr>
            <w:tcW w:w="860" w:type="dxa"/>
            <w:vAlign w:val="bottom"/>
            <w:shd w:val="clear" w:color="auto" w:fill="E5E5E5"/>
          </w:tcPr>
          <w:p>
            <w:pPr>
              <w:spacing w:after="0"/>
              <w:rPr>
                <w:sz w:val="17"/>
                <w:szCs w:val="17"/>
                <w:color w:val="auto"/>
              </w:rPr>
            </w:pPr>
          </w:p>
        </w:tc>
        <w:tc>
          <w:tcPr>
            <w:tcW w:w="920" w:type="dxa"/>
            <w:vAlign w:val="bottom"/>
            <w:shd w:val="clear" w:color="auto" w:fill="E5E5E5"/>
          </w:tcPr>
          <w:p>
            <w:pPr>
              <w:spacing w:after="0"/>
              <w:rPr>
                <w:sz w:val="17"/>
                <w:szCs w:val="17"/>
                <w:color w:val="auto"/>
              </w:rPr>
            </w:pPr>
          </w:p>
        </w:tc>
        <w:tc>
          <w:tcPr>
            <w:tcW w:w="70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r>
      <w:tr>
        <w:trPr>
          <w:trHeight w:val="184"/>
        </w:trPr>
        <w:tc>
          <w:tcPr>
            <w:tcW w:w="1080" w:type="dxa"/>
            <w:vAlign w:val="bottom"/>
            <w:gridSpan w:val="2"/>
          </w:tcPr>
          <w:p>
            <w:pPr>
              <w:jc w:val="right"/>
              <w:ind w:right="112"/>
              <w:spacing w:after="0" w:line="184" w:lineRule="exact"/>
              <w:rPr>
                <w:sz w:val="20"/>
                <w:szCs w:val="20"/>
                <w:color w:val="auto"/>
              </w:rPr>
            </w:pPr>
            <w:r>
              <w:rPr>
                <w:rFonts w:ascii="Arial" w:cs="Arial" w:eastAsia="Arial" w:hAnsi="Arial"/>
                <w:sz w:val="18"/>
                <w:szCs w:val="18"/>
                <w:b w:val="1"/>
                <w:bCs w:val="1"/>
                <w:color w:val="auto"/>
              </w:rPr>
              <w:t>(686)</w:t>
            </w:r>
          </w:p>
        </w:tc>
        <w:tc>
          <w:tcPr>
            <w:tcW w:w="920" w:type="dxa"/>
            <w:vAlign w:val="bottom"/>
          </w:tcPr>
          <w:p>
            <w:pPr>
              <w:jc w:val="right"/>
              <w:ind w:right="92"/>
              <w:spacing w:after="0" w:line="184" w:lineRule="exact"/>
              <w:rPr>
                <w:sz w:val="20"/>
                <w:szCs w:val="20"/>
                <w:color w:val="auto"/>
              </w:rPr>
            </w:pPr>
            <w:r>
              <w:rPr>
                <w:rFonts w:ascii="Arial" w:cs="Arial" w:eastAsia="Arial" w:hAnsi="Arial"/>
                <w:sz w:val="18"/>
                <w:szCs w:val="18"/>
                <w:color w:val="auto"/>
              </w:rPr>
              <w:t>(1,272)</w:t>
            </w:r>
          </w:p>
        </w:tc>
        <w:tc>
          <w:tcPr>
            <w:tcW w:w="760" w:type="dxa"/>
            <w:vAlign w:val="bottom"/>
            <w:gridSpan w:val="2"/>
          </w:tcPr>
          <w:p>
            <w:pPr>
              <w:jc w:val="right"/>
              <w:spacing w:after="0" w:line="184" w:lineRule="exact"/>
              <w:rPr>
                <w:sz w:val="20"/>
                <w:szCs w:val="20"/>
                <w:color w:val="auto"/>
              </w:rPr>
            </w:pPr>
            <w:r>
              <w:rPr>
                <w:rFonts w:ascii="Arial" w:cs="Arial" w:eastAsia="Arial" w:hAnsi="Arial"/>
                <w:sz w:val="18"/>
                <w:szCs w:val="18"/>
                <w:color w:val="auto"/>
              </w:rPr>
              <w:t>(1,288)</w:t>
            </w:r>
          </w:p>
        </w:tc>
      </w:tr>
      <w:tr>
        <w:trPr>
          <w:trHeight w:val="203"/>
        </w:trPr>
        <w:tc>
          <w:tcPr>
            <w:tcW w:w="1080" w:type="dxa"/>
            <w:vAlign w:val="bottom"/>
            <w:gridSpan w:val="2"/>
          </w:tcPr>
          <w:p>
            <w:pPr>
              <w:jc w:val="right"/>
              <w:ind w:right="172"/>
              <w:spacing w:after="0" w:line="202" w:lineRule="exact"/>
              <w:rPr>
                <w:sz w:val="20"/>
                <w:szCs w:val="20"/>
                <w:color w:val="auto"/>
              </w:rPr>
            </w:pPr>
            <w:r>
              <w:rPr>
                <w:rFonts w:ascii="Arial" w:cs="Arial" w:eastAsia="Arial" w:hAnsi="Arial"/>
                <w:sz w:val="18"/>
                <w:szCs w:val="18"/>
                <w:b w:val="1"/>
                <w:bCs w:val="1"/>
                <w:color w:val="auto"/>
              </w:rPr>
              <w:t>61</w:t>
            </w:r>
          </w:p>
        </w:tc>
        <w:tc>
          <w:tcPr>
            <w:tcW w:w="92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3,000</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42</w:t>
            </w:r>
          </w:p>
        </w:tc>
        <w:tc>
          <w:tcPr>
            <w:tcW w:w="60" w:type="dxa"/>
            <w:vAlign w:val="bottom"/>
          </w:tcPr>
          <w:p>
            <w:pPr>
              <w:spacing w:after="0"/>
              <w:rPr>
                <w:sz w:val="17"/>
                <w:szCs w:val="17"/>
                <w:color w:val="auto"/>
              </w:rPr>
            </w:pPr>
          </w:p>
        </w:tc>
      </w:tr>
      <w:tr>
        <w:trPr>
          <w:trHeight w:val="203"/>
        </w:trPr>
        <w:tc>
          <w:tcPr>
            <w:tcW w:w="1080" w:type="dxa"/>
            <w:vAlign w:val="bottom"/>
            <w:gridSpan w:val="2"/>
          </w:tcPr>
          <w:p>
            <w:pPr>
              <w:jc w:val="right"/>
              <w:ind w:right="112"/>
              <w:spacing w:after="0" w:line="202" w:lineRule="exact"/>
              <w:rPr>
                <w:sz w:val="20"/>
                <w:szCs w:val="20"/>
                <w:color w:val="auto"/>
              </w:rPr>
            </w:pPr>
            <w:r>
              <w:rPr>
                <w:rFonts w:ascii="Arial" w:cs="Arial" w:eastAsia="Arial" w:hAnsi="Arial"/>
                <w:sz w:val="18"/>
                <w:szCs w:val="18"/>
                <w:b w:val="1"/>
                <w:bCs w:val="1"/>
                <w:color w:val="auto"/>
              </w:rPr>
              <w:t>(5,035)</w:t>
            </w:r>
          </w:p>
        </w:tc>
        <w:tc>
          <w:tcPr>
            <w:tcW w:w="920" w:type="dxa"/>
            <w:vAlign w:val="bottom"/>
          </w:tcPr>
          <w:p>
            <w:pPr>
              <w:jc w:val="right"/>
              <w:ind w:right="92"/>
              <w:spacing w:after="0" w:line="202" w:lineRule="exact"/>
              <w:rPr>
                <w:sz w:val="20"/>
                <w:szCs w:val="20"/>
                <w:color w:val="auto"/>
              </w:rPr>
            </w:pPr>
            <w:r>
              <w:rPr>
                <w:rFonts w:ascii="Arial" w:cs="Arial" w:eastAsia="Arial" w:hAnsi="Arial"/>
                <w:sz w:val="18"/>
                <w:szCs w:val="18"/>
                <w:color w:val="auto"/>
              </w:rPr>
              <w:t>(6,821)</w:t>
            </w:r>
          </w:p>
        </w:tc>
        <w:tc>
          <w:tcPr>
            <w:tcW w:w="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(5,851)</w:t>
            </w:r>
          </w:p>
        </w:tc>
      </w:tr>
      <w:tr>
        <w:trPr>
          <w:trHeight w:val="203"/>
        </w:trPr>
        <w:tc>
          <w:tcPr>
            <w:tcW w:w="1080" w:type="dxa"/>
            <w:vAlign w:val="bottom"/>
            <w:gridSpan w:val="2"/>
          </w:tcPr>
          <w:p>
            <w:pPr>
              <w:jc w:val="right"/>
              <w:ind w:right="172"/>
              <w:spacing w:after="0" w:line="202" w:lineRule="exact"/>
              <w:rPr>
                <w:sz w:val="20"/>
                <w:szCs w:val="20"/>
                <w:color w:val="auto"/>
              </w:rPr>
            </w:pPr>
            <w:r>
              <w:rPr>
                <w:rFonts w:ascii="Arial" w:cs="Arial" w:eastAsia="Arial" w:hAnsi="Arial"/>
                <w:sz w:val="18"/>
                <w:szCs w:val="18"/>
                <w:b w:val="1"/>
                <w:bCs w:val="1"/>
                <w:color w:val="auto"/>
              </w:rPr>
              <w:t>5,981</w:t>
            </w:r>
          </w:p>
        </w:tc>
        <w:tc>
          <w:tcPr>
            <w:tcW w:w="92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8,418</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5,430</w:t>
            </w:r>
          </w:p>
        </w:tc>
        <w:tc>
          <w:tcPr>
            <w:tcW w:w="60" w:type="dxa"/>
            <w:vAlign w:val="bottom"/>
          </w:tcPr>
          <w:p>
            <w:pPr>
              <w:spacing w:after="0"/>
              <w:rPr>
                <w:sz w:val="17"/>
                <w:szCs w:val="17"/>
                <w:color w:val="auto"/>
              </w:rPr>
            </w:pPr>
          </w:p>
        </w:tc>
      </w:tr>
      <w:tr>
        <w:trPr>
          <w:trHeight w:val="203"/>
        </w:trPr>
        <w:tc>
          <w:tcPr>
            <w:tcW w:w="1080" w:type="dxa"/>
            <w:vAlign w:val="bottom"/>
            <w:gridSpan w:val="2"/>
          </w:tcPr>
          <w:p>
            <w:pPr>
              <w:jc w:val="right"/>
              <w:ind w:right="112"/>
              <w:spacing w:after="0" w:line="202" w:lineRule="exact"/>
              <w:rPr>
                <w:sz w:val="20"/>
                <w:szCs w:val="20"/>
                <w:color w:val="auto"/>
              </w:rPr>
            </w:pPr>
            <w:r>
              <w:rPr>
                <w:rFonts w:ascii="Arial" w:cs="Arial" w:eastAsia="Arial" w:hAnsi="Arial"/>
                <w:sz w:val="18"/>
                <w:szCs w:val="18"/>
                <w:b w:val="1"/>
                <w:bCs w:val="1"/>
                <w:color w:val="auto"/>
              </w:rPr>
              <w:t>(30)</w:t>
            </w:r>
          </w:p>
        </w:tc>
        <w:tc>
          <w:tcPr>
            <w:tcW w:w="920" w:type="dxa"/>
            <w:vAlign w:val="bottom"/>
          </w:tcPr>
          <w:p>
            <w:pPr>
              <w:jc w:val="right"/>
              <w:ind w:right="92"/>
              <w:spacing w:after="0" w:line="202" w:lineRule="exact"/>
              <w:rPr>
                <w:sz w:val="20"/>
                <w:szCs w:val="20"/>
                <w:color w:val="auto"/>
              </w:rPr>
            </w:pPr>
            <w:r>
              <w:rPr>
                <w:rFonts w:ascii="Arial" w:cs="Arial" w:eastAsia="Arial" w:hAnsi="Arial"/>
                <w:sz w:val="18"/>
                <w:szCs w:val="18"/>
                <w:color w:val="auto"/>
              </w:rPr>
              <w:t>(40)</w:t>
            </w:r>
          </w:p>
        </w:tc>
        <w:tc>
          <w:tcPr>
            <w:tcW w:w="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(17)</w:t>
            </w:r>
          </w:p>
        </w:tc>
      </w:tr>
      <w:tr>
        <w:trPr>
          <w:trHeight w:val="203"/>
        </w:trPr>
        <w:tc>
          <w:tcPr>
            <w:tcW w:w="1080" w:type="dxa"/>
            <w:vAlign w:val="bottom"/>
            <w:gridSpan w:val="2"/>
          </w:tcPr>
          <w:p>
            <w:pPr>
              <w:jc w:val="right"/>
              <w:ind w:right="172"/>
              <w:spacing w:after="0" w:line="202" w:lineRule="exact"/>
              <w:rPr>
                <w:sz w:val="20"/>
                <w:szCs w:val="20"/>
                <w:color w:val="auto"/>
              </w:rPr>
            </w:pPr>
            <w:r>
              <w:rPr>
                <w:rFonts w:ascii="Arial" w:cs="Arial" w:eastAsia="Arial" w:hAnsi="Arial"/>
                <w:sz w:val="18"/>
                <w:szCs w:val="18"/>
                <w:b w:val="1"/>
                <w:bCs w:val="1"/>
                <w:color w:val="auto"/>
              </w:rPr>
              <w:t>11</w:t>
            </w:r>
          </w:p>
        </w:tc>
        <w:tc>
          <w:tcPr>
            <w:tcW w:w="92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11</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53</w:t>
            </w:r>
          </w:p>
        </w:tc>
        <w:tc>
          <w:tcPr>
            <w:tcW w:w="60" w:type="dxa"/>
            <w:vAlign w:val="bottom"/>
          </w:tcPr>
          <w:p>
            <w:pPr>
              <w:spacing w:after="0"/>
              <w:rPr>
                <w:sz w:val="17"/>
                <w:szCs w:val="17"/>
                <w:color w:val="auto"/>
              </w:rPr>
            </w:pPr>
          </w:p>
        </w:tc>
      </w:tr>
      <w:tr>
        <w:trPr>
          <w:trHeight w:val="221"/>
        </w:trPr>
        <w:tc>
          <w:tcPr>
            <w:tcW w:w="1080" w:type="dxa"/>
            <w:vAlign w:val="bottom"/>
            <w:gridSpan w:val="2"/>
          </w:tcPr>
          <w:p>
            <w:pPr>
              <w:jc w:val="right"/>
              <w:ind w:right="112"/>
              <w:spacing w:after="0"/>
              <w:rPr>
                <w:sz w:val="20"/>
                <w:szCs w:val="20"/>
                <w:color w:val="auto"/>
              </w:rPr>
            </w:pPr>
            <w:r>
              <w:rPr>
                <w:rFonts w:ascii="Arial" w:cs="Arial" w:eastAsia="Arial" w:hAnsi="Arial"/>
                <w:sz w:val="18"/>
                <w:szCs w:val="18"/>
                <w:b w:val="1"/>
                <w:bCs w:val="1"/>
                <w:color w:val="auto"/>
              </w:rPr>
              <w:t>(87)</w:t>
            </w: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(205)</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115"/>
        </w:trPr>
        <w:tc>
          <w:tcPr>
            <w:tcW w:w="22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r>
      <w:tr>
        <w:trPr>
          <w:trHeight w:val="203"/>
        </w:trPr>
        <w:tc>
          <w:tcPr>
            <w:tcW w:w="1080" w:type="dxa"/>
            <w:vAlign w:val="bottom"/>
            <w:gridSpan w:val="2"/>
            <w:shd w:val="clear" w:color="auto" w:fill="E5E5E5"/>
          </w:tcPr>
          <w:p>
            <w:pPr>
              <w:jc w:val="right"/>
              <w:ind w:right="172"/>
              <w:spacing w:after="0" w:line="202" w:lineRule="exact"/>
              <w:rPr>
                <w:sz w:val="20"/>
                <w:szCs w:val="20"/>
                <w:color w:val="auto"/>
              </w:rPr>
            </w:pPr>
            <w:r>
              <w:rPr>
                <w:rFonts w:ascii="Arial" w:cs="Arial" w:eastAsia="Arial" w:hAnsi="Arial"/>
                <w:sz w:val="18"/>
                <w:szCs w:val="18"/>
                <w:b w:val="1"/>
                <w:bCs w:val="1"/>
                <w:color w:val="auto"/>
              </w:rPr>
              <w:t>215</w:t>
            </w:r>
          </w:p>
        </w:tc>
        <w:tc>
          <w:tcPr>
            <w:tcW w:w="920" w:type="dxa"/>
            <w:vAlign w:val="bottom"/>
            <w:shd w:val="clear" w:color="auto" w:fill="E5E5E5"/>
          </w:tcPr>
          <w:p>
            <w:pPr>
              <w:jc w:val="right"/>
              <w:ind w:right="152"/>
              <w:spacing w:after="0" w:line="202" w:lineRule="exact"/>
              <w:rPr>
                <w:sz w:val="20"/>
                <w:szCs w:val="20"/>
                <w:color w:val="auto"/>
              </w:rPr>
            </w:pPr>
            <w:r>
              <w:rPr>
                <w:rFonts w:ascii="Arial" w:cs="Arial" w:eastAsia="Arial" w:hAnsi="Arial"/>
                <w:sz w:val="18"/>
                <w:szCs w:val="18"/>
                <w:color w:val="auto"/>
              </w:rPr>
              <w:t>3,091</w:t>
            </w:r>
          </w:p>
        </w:tc>
        <w:tc>
          <w:tcPr>
            <w:tcW w:w="76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(1,631)</w:t>
            </w:r>
          </w:p>
        </w:tc>
      </w:tr>
      <w:tr>
        <w:trPr>
          <w:trHeight w:val="501"/>
        </w:trPr>
        <w:tc>
          <w:tcPr>
            <w:tcW w:w="220" w:type="dxa"/>
            <w:vAlign w:val="bottom"/>
          </w:tcPr>
          <w:p>
            <w:pPr>
              <w:spacing w:after="0"/>
              <w:rPr>
                <w:sz w:val="24"/>
                <w:szCs w:val="24"/>
                <w:color w:val="auto"/>
              </w:rPr>
            </w:pPr>
          </w:p>
        </w:tc>
        <w:tc>
          <w:tcPr>
            <w:tcW w:w="860" w:type="dxa"/>
            <w:vAlign w:val="bottom"/>
            <w:tcBorders>
              <w:top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60" w:type="dxa"/>
            <w:vAlign w:val="bottom"/>
          </w:tcPr>
          <w:p>
            <w:pPr>
              <w:spacing w:after="0"/>
              <w:rPr>
                <w:sz w:val="24"/>
                <w:szCs w:val="24"/>
                <w:color w:val="auto"/>
              </w:rPr>
            </w:pPr>
          </w:p>
        </w:tc>
      </w:tr>
      <w:tr>
        <w:trPr>
          <w:trHeight w:val="203"/>
        </w:trPr>
        <w:tc>
          <w:tcPr>
            <w:tcW w:w="1080" w:type="dxa"/>
            <w:vAlign w:val="bottom"/>
            <w:gridSpan w:val="2"/>
          </w:tcPr>
          <w:p>
            <w:pPr>
              <w:jc w:val="right"/>
              <w:ind w:right="112"/>
              <w:spacing w:after="0" w:line="202" w:lineRule="exact"/>
              <w:rPr>
                <w:sz w:val="20"/>
                <w:szCs w:val="20"/>
                <w:color w:val="auto"/>
              </w:rPr>
            </w:pPr>
            <w:r>
              <w:rPr>
                <w:rFonts w:ascii="Arial" w:cs="Arial" w:eastAsia="Arial" w:hAnsi="Arial"/>
                <w:sz w:val="18"/>
                <w:szCs w:val="18"/>
                <w:b w:val="1"/>
                <w:bCs w:val="1"/>
                <w:color w:val="auto"/>
              </w:rPr>
              <w:t>(43)</w:t>
            </w:r>
          </w:p>
        </w:tc>
        <w:tc>
          <w:tcPr>
            <w:tcW w:w="920" w:type="dxa"/>
            <w:vAlign w:val="bottom"/>
          </w:tcPr>
          <w:p>
            <w:pPr>
              <w:jc w:val="right"/>
              <w:ind w:right="92"/>
              <w:spacing w:after="0" w:line="202" w:lineRule="exact"/>
              <w:rPr>
                <w:sz w:val="20"/>
                <w:szCs w:val="20"/>
                <w:color w:val="auto"/>
              </w:rPr>
            </w:pPr>
            <w:r>
              <w:rPr>
                <w:rFonts w:ascii="Arial" w:cs="Arial" w:eastAsia="Arial" w:hAnsi="Arial"/>
                <w:sz w:val="18"/>
                <w:szCs w:val="18"/>
                <w:color w:val="auto"/>
              </w:rPr>
              <w:t>(586)</w:t>
            </w:r>
          </w:p>
        </w:tc>
        <w:tc>
          <w:tcPr>
            <w:tcW w:w="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w:t>
            </w:r>
          </w:p>
        </w:tc>
      </w:tr>
      <w:tr>
        <w:trPr>
          <w:trHeight w:val="203"/>
        </w:trPr>
        <w:tc>
          <w:tcPr>
            <w:tcW w:w="1080" w:type="dxa"/>
            <w:vAlign w:val="bottom"/>
            <w:gridSpan w:val="2"/>
          </w:tcPr>
          <w:p>
            <w:pPr>
              <w:jc w:val="right"/>
              <w:ind w:right="112"/>
              <w:spacing w:after="0" w:line="202" w:lineRule="exact"/>
              <w:rPr>
                <w:sz w:val="20"/>
                <w:szCs w:val="20"/>
                <w:color w:val="auto"/>
              </w:rPr>
            </w:pPr>
            <w:r>
              <w:rPr>
                <w:rFonts w:ascii="Arial" w:cs="Arial" w:eastAsia="Arial" w:hAnsi="Arial"/>
                <w:sz w:val="18"/>
                <w:szCs w:val="18"/>
                <w:b w:val="1"/>
                <w:bCs w:val="1"/>
                <w:color w:val="auto"/>
              </w:rPr>
              <w:t>(425)</w:t>
            </w:r>
          </w:p>
        </w:tc>
        <w:tc>
          <w:tcPr>
            <w:tcW w:w="920" w:type="dxa"/>
            <w:vAlign w:val="bottom"/>
          </w:tcPr>
          <w:p>
            <w:pPr>
              <w:jc w:val="right"/>
              <w:ind w:right="92"/>
              <w:spacing w:after="0" w:line="202" w:lineRule="exact"/>
              <w:rPr>
                <w:sz w:val="20"/>
                <w:szCs w:val="20"/>
                <w:color w:val="auto"/>
              </w:rPr>
            </w:pPr>
            <w:r>
              <w:rPr>
                <w:rFonts w:ascii="Arial" w:cs="Arial" w:eastAsia="Arial" w:hAnsi="Arial"/>
                <w:sz w:val="18"/>
                <w:szCs w:val="18"/>
                <w:color w:val="auto"/>
              </w:rPr>
              <w:t>(199)</w:t>
            </w:r>
          </w:p>
        </w:tc>
        <w:tc>
          <w:tcPr>
            <w:tcW w:w="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(173)</w:t>
            </w:r>
          </w:p>
        </w:tc>
      </w:tr>
      <w:tr>
        <w:trPr>
          <w:trHeight w:val="203"/>
        </w:trPr>
        <w:tc>
          <w:tcPr>
            <w:tcW w:w="1080" w:type="dxa"/>
            <w:vAlign w:val="bottom"/>
            <w:gridSpan w:val="2"/>
          </w:tcPr>
          <w:p>
            <w:pPr>
              <w:jc w:val="right"/>
              <w:ind w:right="172"/>
              <w:spacing w:after="0" w:line="202" w:lineRule="exact"/>
              <w:rPr>
                <w:sz w:val="20"/>
                <w:szCs w:val="20"/>
                <w:color w:val="auto"/>
              </w:rPr>
            </w:pPr>
            <w:r>
              <w:rPr>
                <w:rFonts w:ascii="Arial" w:cs="Arial" w:eastAsia="Arial" w:hAnsi="Arial"/>
                <w:sz w:val="18"/>
                <w:szCs w:val="18"/>
                <w:b w:val="1"/>
                <w:bCs w:val="1"/>
                <w:color w:val="auto"/>
              </w:rPr>
              <w:t>761</w:t>
            </w:r>
          </w:p>
        </w:tc>
        <w:tc>
          <w:tcPr>
            <w:tcW w:w="92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418</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461</w:t>
            </w:r>
          </w:p>
        </w:tc>
        <w:tc>
          <w:tcPr>
            <w:tcW w:w="60" w:type="dxa"/>
            <w:vAlign w:val="bottom"/>
          </w:tcPr>
          <w:p>
            <w:pPr>
              <w:spacing w:after="0"/>
              <w:rPr>
                <w:sz w:val="17"/>
                <w:szCs w:val="17"/>
                <w:color w:val="auto"/>
              </w:rPr>
            </w:pPr>
          </w:p>
        </w:tc>
      </w:tr>
      <w:tr>
        <w:trPr>
          <w:trHeight w:val="203"/>
        </w:trPr>
        <w:tc>
          <w:tcPr>
            <w:tcW w:w="1080" w:type="dxa"/>
            <w:vAlign w:val="bottom"/>
            <w:gridSpan w:val="2"/>
          </w:tcPr>
          <w:p>
            <w:pPr>
              <w:jc w:val="right"/>
              <w:ind w:right="172"/>
              <w:spacing w:after="0" w:line="202" w:lineRule="exact"/>
              <w:rPr>
                <w:sz w:val="20"/>
                <w:szCs w:val="20"/>
                <w:color w:val="auto"/>
              </w:rPr>
            </w:pPr>
            <w:r>
              <w:rPr>
                <w:rFonts w:ascii="Arial" w:cs="Arial" w:eastAsia="Arial" w:hAnsi="Arial"/>
                <w:sz w:val="18"/>
                <w:szCs w:val="18"/>
                <w:b w:val="1"/>
                <w:bCs w:val="1"/>
                <w:color w:val="auto"/>
              </w:rPr>
              <w:t>116</w:t>
            </w:r>
          </w:p>
        </w:tc>
        <w:tc>
          <w:tcPr>
            <w:tcW w:w="92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100</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59</w:t>
            </w:r>
          </w:p>
        </w:tc>
        <w:tc>
          <w:tcPr>
            <w:tcW w:w="60" w:type="dxa"/>
            <w:vAlign w:val="bottom"/>
          </w:tcPr>
          <w:p>
            <w:pPr>
              <w:spacing w:after="0"/>
              <w:rPr>
                <w:sz w:val="17"/>
                <w:szCs w:val="17"/>
                <w:color w:val="auto"/>
              </w:rPr>
            </w:pPr>
          </w:p>
        </w:tc>
      </w:tr>
      <w:tr>
        <w:trPr>
          <w:trHeight w:val="221"/>
        </w:trPr>
        <w:tc>
          <w:tcPr>
            <w:tcW w:w="1080" w:type="dxa"/>
            <w:vAlign w:val="bottom"/>
            <w:gridSpan w:val="2"/>
          </w:tcPr>
          <w:p>
            <w:pPr>
              <w:jc w:val="right"/>
              <w:ind w:right="112"/>
              <w:spacing w:after="0"/>
              <w:rPr>
                <w:sz w:val="20"/>
                <w:szCs w:val="20"/>
                <w:color w:val="auto"/>
              </w:rPr>
            </w:pPr>
            <w:r>
              <w:rPr>
                <w:rFonts w:ascii="Arial" w:cs="Arial" w:eastAsia="Arial" w:hAnsi="Arial"/>
                <w:sz w:val="18"/>
                <w:szCs w:val="18"/>
                <w:b w:val="1"/>
                <w:bCs w:val="1"/>
                <w:color w:val="auto"/>
              </w:rPr>
              <w:t>(4,886)</w:t>
            </w: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(5,302)</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(4,151)</w:t>
            </w:r>
          </w:p>
        </w:tc>
      </w:tr>
      <w:tr>
        <w:trPr>
          <w:trHeight w:val="115"/>
        </w:trPr>
        <w:tc>
          <w:tcPr>
            <w:tcW w:w="22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r>
      <w:tr>
        <w:trPr>
          <w:trHeight w:val="203"/>
        </w:trPr>
        <w:tc>
          <w:tcPr>
            <w:tcW w:w="1080" w:type="dxa"/>
            <w:vAlign w:val="bottom"/>
            <w:gridSpan w:val="2"/>
            <w:shd w:val="clear" w:color="auto" w:fill="E5E5E5"/>
          </w:tcPr>
          <w:p>
            <w:pPr>
              <w:jc w:val="right"/>
              <w:ind w:right="112"/>
              <w:spacing w:after="0" w:line="202" w:lineRule="exact"/>
              <w:rPr>
                <w:sz w:val="20"/>
                <w:szCs w:val="20"/>
                <w:color w:val="auto"/>
              </w:rPr>
            </w:pPr>
            <w:r>
              <w:rPr>
                <w:rFonts w:ascii="Arial" w:cs="Arial" w:eastAsia="Arial" w:hAnsi="Arial"/>
                <w:sz w:val="18"/>
                <w:szCs w:val="18"/>
                <w:b w:val="1"/>
                <w:bCs w:val="1"/>
                <w:color w:val="auto"/>
              </w:rPr>
              <w:t>(4,477)</w:t>
            </w:r>
          </w:p>
        </w:tc>
        <w:tc>
          <w:tcPr>
            <w:tcW w:w="920" w:type="dxa"/>
            <w:vAlign w:val="bottom"/>
            <w:shd w:val="clear" w:color="auto" w:fill="E5E5E5"/>
          </w:tcPr>
          <w:p>
            <w:pPr>
              <w:jc w:val="right"/>
              <w:ind w:right="92"/>
              <w:spacing w:after="0" w:line="202" w:lineRule="exact"/>
              <w:rPr>
                <w:sz w:val="20"/>
                <w:szCs w:val="20"/>
                <w:color w:val="auto"/>
              </w:rPr>
            </w:pPr>
            <w:r>
              <w:rPr>
                <w:rFonts w:ascii="Arial" w:cs="Arial" w:eastAsia="Arial" w:hAnsi="Arial"/>
                <w:sz w:val="18"/>
                <w:szCs w:val="18"/>
                <w:color w:val="auto"/>
              </w:rPr>
              <w:t>(5,569)</w:t>
            </w:r>
          </w:p>
        </w:tc>
        <w:tc>
          <w:tcPr>
            <w:tcW w:w="76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(3,540)</w:t>
            </w:r>
          </w:p>
        </w:tc>
      </w:tr>
      <w:tr>
        <w:trPr>
          <w:trHeight w:val="501"/>
        </w:trPr>
        <w:tc>
          <w:tcPr>
            <w:tcW w:w="220" w:type="dxa"/>
            <w:vAlign w:val="bottom"/>
          </w:tcPr>
          <w:p>
            <w:pPr>
              <w:spacing w:after="0"/>
              <w:rPr>
                <w:sz w:val="24"/>
                <w:szCs w:val="24"/>
                <w:color w:val="auto"/>
              </w:rPr>
            </w:pPr>
          </w:p>
        </w:tc>
        <w:tc>
          <w:tcPr>
            <w:tcW w:w="860" w:type="dxa"/>
            <w:vAlign w:val="bottom"/>
            <w:tcBorders>
              <w:top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7</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60" w:type="dxa"/>
            <w:vAlign w:val="bottom"/>
          </w:tcPr>
          <w:p>
            <w:pPr>
              <w:spacing w:after="0"/>
              <w:rPr>
                <w:sz w:val="24"/>
                <w:szCs w:val="24"/>
                <w:color w:val="auto"/>
              </w:rPr>
            </w:pPr>
          </w:p>
        </w:tc>
      </w:tr>
      <w:tr>
        <w:trPr>
          <w:trHeight w:val="221"/>
        </w:trPr>
        <w:tc>
          <w:tcPr>
            <w:tcW w:w="220" w:type="dxa"/>
            <w:vAlign w:val="bottom"/>
          </w:tcPr>
          <w:p>
            <w:pPr>
              <w:spacing w:after="0"/>
              <w:rPr>
                <w:sz w:val="19"/>
                <w:szCs w:val="19"/>
                <w:color w:val="auto"/>
              </w:rPr>
            </w:pPr>
          </w:p>
        </w:tc>
        <w:tc>
          <w:tcPr>
            <w:tcW w:w="860" w:type="dxa"/>
            <w:vAlign w:val="bottom"/>
          </w:tcPr>
          <w:p>
            <w:pPr>
              <w:jc w:val="right"/>
              <w:ind w:right="172"/>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(16)</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(56)</w:t>
            </w:r>
          </w:p>
        </w:tc>
      </w:tr>
    </w:tbl>
    <w:p>
      <w:pPr>
        <w:spacing w:after="0" w:line="1" w:lineRule="exact"/>
        <w:rPr>
          <w:sz w:val="20"/>
          <w:szCs w:val="20"/>
          <w:color w:val="auto"/>
        </w:rPr>
      </w:pPr>
    </w:p>
    <w:p>
      <w:pPr>
        <w:sectPr>
          <w:pgSz w:w="11900" w:h="16838" w:orient="portrait"/>
          <w:cols w:equalWidth="0" w:num="2">
            <w:col w:w="8080" w:space="580"/>
            <w:col w:w="2760"/>
          </w:cols>
          <w:pgMar w:left="240" w:top="269" w:right="239" w:bottom="1440" w:gutter="0" w:footer="0" w:header="0"/>
        </w:sectPr>
      </w:pPr>
    </w:p>
    <w:tbl>
      <w:tblPr>
        <w:tblLayout w:type="fixed"/>
        <w:tblInd w:w="0" w:type="dxa"/>
        <w:tblCellMar>
          <w:top w:w="0" w:type="dxa"/>
          <w:left w:w="0" w:type="dxa"/>
          <w:bottom w:w="0" w:type="dxa"/>
          <w:right w:w="0" w:type="dxa"/>
        </w:tblCellMar>
      </w:tblPr>
      <w:tr>
        <w:trPr>
          <w:trHeight w:val="318"/>
        </w:trPr>
        <w:tc>
          <w:tcPr>
            <w:tcW w:w="8660" w:type="dxa"/>
            <w:vAlign w:val="bottom"/>
            <w:shd w:val="clear" w:color="auto" w:fill="E5E5E5"/>
          </w:tcPr>
          <w:p>
            <w:pPr>
              <w:spacing w:after="0"/>
              <w:rPr>
                <w:sz w:val="20"/>
                <w:szCs w:val="20"/>
                <w:color w:val="auto"/>
              </w:rPr>
            </w:pPr>
            <w:r>
              <w:rPr>
                <w:rFonts w:ascii="Arial" w:cs="Arial" w:eastAsia="Arial" w:hAnsi="Arial"/>
                <w:sz w:val="18"/>
                <w:szCs w:val="18"/>
                <w:color w:val="auto"/>
              </w:rPr>
              <w:t>Net cash (used in) provided by discontinued operations</w:t>
            </w:r>
          </w:p>
        </w:tc>
        <w:tc>
          <w:tcPr>
            <w:tcW w:w="220" w:type="dxa"/>
            <w:vAlign w:val="bottom"/>
            <w:shd w:val="clear" w:color="auto" w:fill="E5E5E5"/>
          </w:tcPr>
          <w:p>
            <w:pPr>
              <w:spacing w:after="0"/>
              <w:rPr>
                <w:sz w:val="24"/>
                <w:szCs w:val="24"/>
                <w:color w:val="auto"/>
              </w:rPr>
            </w:pPr>
          </w:p>
        </w:tc>
        <w:tc>
          <w:tcPr>
            <w:tcW w:w="760" w:type="dxa"/>
            <w:vAlign w:val="bottom"/>
            <w:tcBorders>
              <w:top w:val="single" w:sz="8" w:color="auto"/>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b w:val="1"/>
                <w:bCs w:val="1"/>
                <w:color w:val="auto"/>
              </w:rPr>
              <w:t>—</w:t>
            </w:r>
          </w:p>
        </w:tc>
        <w:tc>
          <w:tcPr>
            <w:tcW w:w="960" w:type="dxa"/>
            <w:vAlign w:val="bottom"/>
            <w:tcBorders>
              <w:top w:val="single" w:sz="8" w:color="auto"/>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(9)</w:t>
            </w:r>
          </w:p>
        </w:tc>
        <w:tc>
          <w:tcPr>
            <w:tcW w:w="76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108</w:t>
            </w:r>
          </w:p>
        </w:tc>
        <w:tc>
          <w:tcPr>
            <w:tcW w:w="60" w:type="dxa"/>
            <w:vAlign w:val="bottom"/>
            <w:shd w:val="clear" w:color="auto" w:fill="E5E5E5"/>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866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220" w:type="dxa"/>
            <w:vAlign w:val="bottom"/>
          </w:tcPr>
          <w:p>
            <w:pPr>
              <w:spacing w:after="0"/>
              <w:rPr>
                <w:sz w:val="24"/>
                <w:szCs w:val="24"/>
                <w:color w:val="auto"/>
              </w:rPr>
            </w:pPr>
          </w:p>
        </w:tc>
        <w:tc>
          <w:tcPr>
            <w:tcW w:w="7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1</w:t>
            </w:r>
          </w:p>
        </w:tc>
        <w:tc>
          <w:tcPr>
            <w:tcW w:w="9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6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Net increase (decrease) in cash and cash equivalents</w:t>
            </w:r>
          </w:p>
        </w:tc>
        <w:tc>
          <w:tcPr>
            <w:tcW w:w="980" w:type="dxa"/>
            <w:vAlign w:val="bottom"/>
            <w:gridSpan w:val="2"/>
            <w:shd w:val="clear" w:color="auto" w:fill="E5E5E5"/>
          </w:tcPr>
          <w:p>
            <w:pPr>
              <w:jc w:val="right"/>
              <w:ind w:right="72"/>
              <w:spacing w:after="0" w:line="202" w:lineRule="exact"/>
              <w:rPr>
                <w:sz w:val="20"/>
                <w:szCs w:val="20"/>
                <w:color w:val="auto"/>
              </w:rPr>
            </w:pPr>
            <w:r>
              <w:rPr>
                <w:rFonts w:ascii="Arial" w:cs="Arial" w:eastAsia="Arial" w:hAnsi="Arial"/>
                <w:sz w:val="18"/>
                <w:szCs w:val="18"/>
                <w:b w:val="1"/>
                <w:bCs w:val="1"/>
                <w:color w:val="auto"/>
              </w:rPr>
              <w:t>145</w:t>
            </w:r>
          </w:p>
        </w:tc>
        <w:tc>
          <w:tcPr>
            <w:tcW w:w="960" w:type="dxa"/>
            <w:vAlign w:val="bottom"/>
            <w:shd w:val="clear" w:color="auto" w:fill="E5E5E5"/>
          </w:tcPr>
          <w:p>
            <w:pPr>
              <w:jc w:val="right"/>
              <w:ind w:right="32"/>
              <w:spacing w:after="0" w:line="202" w:lineRule="exact"/>
              <w:rPr>
                <w:sz w:val="20"/>
                <w:szCs w:val="20"/>
                <w:color w:val="auto"/>
              </w:rPr>
            </w:pPr>
            <w:r>
              <w:rPr>
                <w:rFonts w:ascii="Arial" w:cs="Arial" w:eastAsia="Arial" w:hAnsi="Arial"/>
                <w:sz w:val="18"/>
                <w:szCs w:val="18"/>
                <w:color w:val="auto"/>
              </w:rPr>
              <w:t>(31)</w:t>
            </w:r>
          </w:p>
        </w:tc>
        <w:tc>
          <w:tcPr>
            <w:tcW w:w="82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(1,449)</w:t>
            </w:r>
          </w:p>
        </w:tc>
        <w:tc>
          <w:tcPr>
            <w:tcW w:w="0" w:type="dxa"/>
            <w:vAlign w:val="bottom"/>
          </w:tcPr>
          <w:p>
            <w:pPr>
              <w:spacing w:after="0"/>
              <w:rPr>
                <w:sz w:val="1"/>
                <w:szCs w:val="1"/>
                <w:color w:val="auto"/>
              </w:rPr>
            </w:pPr>
          </w:p>
        </w:tc>
      </w:tr>
      <w:tr>
        <w:trPr>
          <w:trHeight w:val="210"/>
        </w:trPr>
        <w:tc>
          <w:tcPr>
            <w:tcW w:w="8660" w:type="dxa"/>
            <w:vAlign w:val="bottom"/>
          </w:tcPr>
          <w:p>
            <w:pPr>
              <w:spacing w:after="0" w:line="202" w:lineRule="exact"/>
              <w:rPr>
                <w:sz w:val="20"/>
                <w:szCs w:val="20"/>
                <w:color w:val="auto"/>
              </w:rPr>
            </w:pPr>
            <w:r>
              <w:rPr>
                <w:rFonts w:ascii="Arial" w:cs="Arial" w:eastAsia="Arial" w:hAnsi="Arial"/>
                <w:sz w:val="18"/>
                <w:szCs w:val="18"/>
                <w:color w:val="auto"/>
              </w:rPr>
              <w:t>Cash and cash equivalents at beginning of year</w:t>
            </w:r>
          </w:p>
        </w:tc>
        <w:tc>
          <w:tcPr>
            <w:tcW w:w="220" w:type="dxa"/>
            <w:vAlign w:val="bottom"/>
          </w:tcPr>
          <w:p>
            <w:pPr>
              <w:spacing w:after="0"/>
              <w:rPr>
                <w:sz w:val="18"/>
                <w:szCs w:val="18"/>
                <w:color w:val="auto"/>
              </w:rPr>
            </w:pPr>
          </w:p>
        </w:tc>
        <w:tc>
          <w:tcPr>
            <w:tcW w:w="760" w:type="dxa"/>
            <w:vAlign w:val="bottom"/>
            <w:tcBorders>
              <w:bottom w:val="single" w:sz="8" w:color="auto"/>
            </w:tcBorders>
          </w:tcPr>
          <w:p>
            <w:pPr>
              <w:jc w:val="right"/>
              <w:ind w:right="72"/>
              <w:spacing w:after="0" w:line="202" w:lineRule="exact"/>
              <w:rPr>
                <w:sz w:val="20"/>
                <w:szCs w:val="20"/>
                <w:color w:val="auto"/>
              </w:rPr>
            </w:pPr>
            <w:r>
              <w:rPr>
                <w:rFonts w:ascii="Arial" w:cs="Arial" w:eastAsia="Arial" w:hAnsi="Arial"/>
                <w:sz w:val="18"/>
                <w:szCs w:val="18"/>
                <w:b w:val="1"/>
                <w:bCs w:val="1"/>
                <w:color w:val="auto"/>
              </w:rPr>
              <w:t>1,183</w:t>
            </w:r>
          </w:p>
        </w:tc>
        <w:tc>
          <w:tcPr>
            <w:tcW w:w="960" w:type="dxa"/>
            <w:vAlign w:val="bottom"/>
            <w:tcBorders>
              <w:bottom w:val="single" w:sz="8" w:color="auto"/>
            </w:tcBorders>
          </w:tcPr>
          <w:p>
            <w:pPr>
              <w:jc w:val="right"/>
              <w:ind w:right="92"/>
              <w:spacing w:after="0" w:line="202" w:lineRule="exact"/>
              <w:rPr>
                <w:sz w:val="20"/>
                <w:szCs w:val="20"/>
                <w:color w:val="auto"/>
              </w:rPr>
            </w:pPr>
            <w:r>
              <w:rPr>
                <w:rFonts w:ascii="Arial" w:cs="Arial" w:eastAsia="Arial" w:hAnsi="Arial"/>
                <w:sz w:val="18"/>
                <w:szCs w:val="18"/>
                <w:color w:val="auto"/>
              </w:rPr>
              <w:t>1,214</w:t>
            </w: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6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Cash and cash equivalents at end of year</w:t>
            </w:r>
          </w:p>
        </w:tc>
        <w:tc>
          <w:tcPr>
            <w:tcW w:w="980" w:type="dxa"/>
            <w:vAlign w:val="bottom"/>
            <w:gridSpan w:val="2"/>
            <w:shd w:val="clear" w:color="auto" w:fill="E5E5E5"/>
          </w:tcPr>
          <w:p>
            <w:pPr>
              <w:jc w:val="right"/>
              <w:ind w:right="72"/>
              <w:spacing w:after="0" w:line="202" w:lineRule="exact"/>
              <w:rPr>
                <w:sz w:val="20"/>
                <w:szCs w:val="20"/>
                <w:color w:val="auto"/>
              </w:rPr>
            </w:pPr>
            <w:r>
              <w:rPr>
                <w:rFonts w:ascii="Arial" w:cs="Arial" w:eastAsia="Arial" w:hAnsi="Arial"/>
                <w:sz w:val="18"/>
                <w:szCs w:val="18"/>
                <w:b w:val="1"/>
                <w:bCs w:val="1"/>
                <w:color w:val="auto"/>
              </w:rPr>
              <w:t>$ 1,328</w:t>
            </w:r>
          </w:p>
        </w:tc>
        <w:tc>
          <w:tcPr>
            <w:tcW w:w="960" w:type="dxa"/>
            <w:vAlign w:val="bottom"/>
            <w:shd w:val="clear" w:color="auto" w:fill="E5E5E5"/>
          </w:tcPr>
          <w:p>
            <w:pPr>
              <w:jc w:val="right"/>
              <w:ind w:right="92"/>
              <w:spacing w:after="0" w:line="202" w:lineRule="exact"/>
              <w:rPr>
                <w:sz w:val="20"/>
                <w:szCs w:val="20"/>
                <w:color w:val="auto"/>
              </w:rPr>
            </w:pPr>
            <w:r>
              <w:rPr>
                <w:rFonts w:ascii="Arial" w:cs="Arial" w:eastAsia="Arial" w:hAnsi="Arial"/>
                <w:sz w:val="18"/>
                <w:szCs w:val="18"/>
                <w:color w:val="auto"/>
              </w:rPr>
              <w:t>$ 1,183</w:t>
            </w:r>
          </w:p>
        </w:tc>
        <w:tc>
          <w:tcPr>
            <w:tcW w:w="7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$ 1,214</w:t>
            </w:r>
          </w:p>
        </w:tc>
        <w:tc>
          <w:tcPr>
            <w:tcW w:w="6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60" w:type="dxa"/>
            <w:vAlign w:val="bottom"/>
            <w:vMerge w:val="restart"/>
          </w:tcPr>
          <w:p>
            <w:pPr>
              <w:spacing w:after="0"/>
              <w:rPr>
                <w:sz w:val="20"/>
                <w:szCs w:val="20"/>
                <w:color w:val="auto"/>
              </w:rPr>
            </w:pPr>
            <w:r>
              <w:rPr>
                <w:rFonts w:ascii="Arial" w:cs="Arial" w:eastAsia="Arial" w:hAnsi="Arial"/>
                <w:sz w:val="14"/>
                <w:szCs w:val="14"/>
                <w:color w:val="auto"/>
              </w:rPr>
              <w:t>See accompanying notes.</w:t>
            </w: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1"/>
        </w:trPr>
        <w:tc>
          <w:tcPr>
            <w:tcW w:w="8660" w:type="dxa"/>
            <w:vAlign w:val="bottom"/>
          </w:tcPr>
          <w:p>
            <w:pPr>
              <w:spacing w:after="0"/>
              <w:rPr>
                <w:sz w:val="20"/>
                <w:szCs w:val="20"/>
                <w:color w:val="auto"/>
              </w:rPr>
            </w:pPr>
            <w:r>
              <w:rPr>
                <w:rFonts w:ascii="Arial" w:cs="Arial" w:eastAsia="Arial" w:hAnsi="Arial"/>
                <w:sz w:val="14"/>
                <w:szCs w:val="14"/>
                <w:color w:val="auto"/>
              </w:rPr>
              <w:t>TEXAS INSTRUMENTS 2007 ANNUAL REPORT</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bl>
    <w:p>
      <w:pPr>
        <w:sectPr>
          <w:pgSz w:w="11900" w:h="16838" w:orient="portrait"/>
          <w:cols w:equalWidth="0" w:num="1">
            <w:col w:w="11420"/>
          </w:cols>
          <w:pgMar w:left="240" w:top="269" w:right="2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CONSOLIDATED STATEMENTS OF STOCKHOLDERS’ EQUITY</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(Millions of dollars, except per-share amounts)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40" w:type="dxa"/>
            <w:vAlign w:val="bottom"/>
            <w:shd w:val="clear" w:color="auto" w:fill="E5E5E5"/>
          </w:tcPr>
          <w:p>
            <w:pPr>
              <w:spacing w:after="0"/>
              <w:rPr>
                <w:sz w:val="14"/>
                <w:szCs w:val="14"/>
                <w:color w:val="auto"/>
              </w:rPr>
            </w:pPr>
          </w:p>
        </w:tc>
        <w:tc>
          <w:tcPr>
            <w:tcW w:w="74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680" w:type="dxa"/>
            <w:vAlign w:val="bottom"/>
            <w:shd w:val="clear" w:color="auto" w:fill="E5E5E5"/>
          </w:tcPr>
          <w:p>
            <w:pPr>
              <w:spacing w:after="0"/>
              <w:rPr>
                <w:sz w:val="14"/>
                <w:szCs w:val="14"/>
                <w:color w:val="auto"/>
              </w:rPr>
            </w:pPr>
          </w:p>
        </w:tc>
        <w:tc>
          <w:tcPr>
            <w:tcW w:w="260" w:type="dxa"/>
            <w:vAlign w:val="bottom"/>
            <w:shd w:val="clear" w:color="auto" w:fill="E5E5E5"/>
          </w:tcPr>
          <w:p>
            <w:pPr>
              <w:spacing w:after="0"/>
              <w:rPr>
                <w:sz w:val="14"/>
                <w:szCs w:val="14"/>
                <w:color w:val="auto"/>
              </w:rPr>
            </w:pPr>
          </w:p>
        </w:tc>
        <w:tc>
          <w:tcPr>
            <w:tcW w:w="580" w:type="dxa"/>
            <w:vAlign w:val="bottom"/>
            <w:shd w:val="clear" w:color="auto" w:fill="E5E5E5"/>
          </w:tcPr>
          <w:p>
            <w:pPr>
              <w:spacing w:after="0"/>
              <w:rPr>
                <w:sz w:val="14"/>
                <w:szCs w:val="14"/>
                <w:color w:val="auto"/>
              </w:rPr>
            </w:pPr>
          </w:p>
        </w:tc>
        <w:tc>
          <w:tcPr>
            <w:tcW w:w="300" w:type="dxa"/>
            <w:vAlign w:val="bottom"/>
            <w:shd w:val="clear" w:color="auto" w:fill="E5E5E5"/>
          </w:tcPr>
          <w:p>
            <w:pPr>
              <w:spacing w:after="0"/>
              <w:rPr>
                <w:sz w:val="14"/>
                <w:szCs w:val="14"/>
                <w:color w:val="auto"/>
              </w:rPr>
            </w:pPr>
          </w:p>
        </w:tc>
        <w:tc>
          <w:tcPr>
            <w:tcW w:w="800" w:type="dxa"/>
            <w:vAlign w:val="bottom"/>
            <w:shd w:val="clear" w:color="auto" w:fill="E5E5E5"/>
          </w:tcPr>
          <w:p>
            <w:pPr>
              <w:spacing w:after="0"/>
              <w:rPr>
                <w:sz w:val="14"/>
                <w:szCs w:val="14"/>
                <w:color w:val="auto"/>
              </w:rPr>
            </w:pPr>
          </w:p>
        </w:tc>
        <w:tc>
          <w:tcPr>
            <w:tcW w:w="240" w:type="dxa"/>
            <w:vAlign w:val="bottom"/>
            <w:shd w:val="clear" w:color="auto" w:fill="E5E5E5"/>
          </w:tcPr>
          <w:p>
            <w:pPr>
              <w:spacing w:after="0"/>
              <w:rPr>
                <w:sz w:val="14"/>
                <w:szCs w:val="14"/>
                <w:color w:val="auto"/>
              </w:rPr>
            </w:pPr>
          </w:p>
        </w:tc>
        <w:tc>
          <w:tcPr>
            <w:tcW w:w="900" w:type="dxa"/>
            <w:vAlign w:val="bottom"/>
            <w:shd w:val="clear" w:color="auto" w:fill="E5E5E5"/>
          </w:tcPr>
          <w:p>
            <w:pPr>
              <w:spacing w:after="0"/>
              <w:rPr>
                <w:sz w:val="14"/>
                <w:szCs w:val="14"/>
                <w:color w:val="auto"/>
              </w:rPr>
            </w:pPr>
          </w:p>
        </w:tc>
        <w:tc>
          <w:tcPr>
            <w:tcW w:w="1240" w:type="dxa"/>
            <w:vAlign w:val="bottom"/>
            <w:gridSpan w:val="3"/>
            <w:shd w:val="clear" w:color="auto" w:fill="E5E5E5"/>
          </w:tcPr>
          <w:p>
            <w:pPr>
              <w:jc w:val="center"/>
              <w:ind w:left="2"/>
              <w:spacing w:after="0"/>
              <w:rPr>
                <w:sz w:val="20"/>
                <w:szCs w:val="20"/>
                <w:color w:val="auto"/>
              </w:rPr>
            </w:pPr>
            <w:r>
              <w:rPr>
                <w:rFonts w:ascii="Arial" w:cs="Arial" w:eastAsia="Arial" w:hAnsi="Arial"/>
                <w:sz w:val="14"/>
                <w:szCs w:val="14"/>
                <w:b w:val="1"/>
                <w:bCs w:val="1"/>
                <w:color w:val="auto"/>
                <w:w w:val="95"/>
              </w:rPr>
              <w:t>Accumulated</w:t>
            </w:r>
          </w:p>
        </w:tc>
      </w:tr>
      <w:tr>
        <w:trPr>
          <w:trHeight w:val="149"/>
        </w:trPr>
        <w:tc>
          <w:tcPr>
            <w:tcW w:w="20" w:type="dxa"/>
            <w:vAlign w:val="bottom"/>
          </w:tcPr>
          <w:p>
            <w:pPr>
              <w:spacing w:after="0"/>
              <w:rPr>
                <w:sz w:val="12"/>
                <w:szCs w:val="12"/>
                <w:color w:val="auto"/>
              </w:rPr>
            </w:pPr>
          </w:p>
        </w:tc>
        <w:tc>
          <w:tcPr>
            <w:tcW w:w="5540" w:type="dxa"/>
            <w:vAlign w:val="bottom"/>
            <w:shd w:val="clear" w:color="auto" w:fill="E5E5E5"/>
          </w:tcPr>
          <w:p>
            <w:pPr>
              <w:spacing w:after="0"/>
              <w:rPr>
                <w:sz w:val="12"/>
                <w:szCs w:val="12"/>
                <w:color w:val="auto"/>
              </w:rPr>
            </w:pPr>
          </w:p>
        </w:tc>
        <w:tc>
          <w:tcPr>
            <w:tcW w:w="740" w:type="dxa"/>
            <w:vAlign w:val="bottom"/>
            <w:shd w:val="clear" w:color="auto" w:fill="E5E5E5"/>
          </w:tcPr>
          <w:p>
            <w:pPr>
              <w:spacing w:after="0"/>
              <w:rPr>
                <w:sz w:val="12"/>
                <w:szCs w:val="12"/>
                <w:color w:val="auto"/>
              </w:rPr>
            </w:pPr>
          </w:p>
        </w:tc>
        <w:tc>
          <w:tcPr>
            <w:tcW w:w="120" w:type="dxa"/>
            <w:vAlign w:val="bottom"/>
            <w:shd w:val="clear" w:color="auto" w:fill="E5E5E5"/>
          </w:tcPr>
          <w:p>
            <w:pPr>
              <w:spacing w:after="0"/>
              <w:rPr>
                <w:sz w:val="12"/>
                <w:szCs w:val="12"/>
                <w:color w:val="auto"/>
              </w:rPr>
            </w:pPr>
          </w:p>
        </w:tc>
        <w:tc>
          <w:tcPr>
            <w:tcW w:w="680" w:type="dxa"/>
            <w:vAlign w:val="bottom"/>
            <w:shd w:val="clear" w:color="auto" w:fill="E5E5E5"/>
          </w:tcPr>
          <w:p>
            <w:pPr>
              <w:spacing w:after="0"/>
              <w:rPr>
                <w:sz w:val="12"/>
                <w:szCs w:val="12"/>
                <w:color w:val="auto"/>
              </w:rPr>
            </w:pPr>
          </w:p>
        </w:tc>
        <w:tc>
          <w:tcPr>
            <w:tcW w:w="260" w:type="dxa"/>
            <w:vAlign w:val="bottom"/>
            <w:shd w:val="clear" w:color="auto" w:fill="E5E5E5"/>
          </w:tcPr>
          <w:p>
            <w:pPr>
              <w:spacing w:after="0"/>
              <w:rPr>
                <w:sz w:val="12"/>
                <w:szCs w:val="12"/>
                <w:color w:val="auto"/>
              </w:rPr>
            </w:pPr>
          </w:p>
        </w:tc>
        <w:tc>
          <w:tcPr>
            <w:tcW w:w="580" w:type="dxa"/>
            <w:vAlign w:val="bottom"/>
            <w:shd w:val="clear" w:color="auto" w:fill="E5E5E5"/>
          </w:tcPr>
          <w:p>
            <w:pPr>
              <w:spacing w:after="0"/>
              <w:rPr>
                <w:sz w:val="12"/>
                <w:szCs w:val="12"/>
                <w:color w:val="auto"/>
              </w:rPr>
            </w:pPr>
          </w:p>
        </w:tc>
        <w:tc>
          <w:tcPr>
            <w:tcW w:w="300" w:type="dxa"/>
            <w:vAlign w:val="bottom"/>
            <w:shd w:val="clear" w:color="auto" w:fill="E5E5E5"/>
          </w:tcPr>
          <w:p>
            <w:pPr>
              <w:spacing w:after="0"/>
              <w:rPr>
                <w:sz w:val="12"/>
                <w:szCs w:val="12"/>
                <w:color w:val="auto"/>
              </w:rPr>
            </w:pPr>
          </w:p>
        </w:tc>
        <w:tc>
          <w:tcPr>
            <w:tcW w:w="80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900" w:type="dxa"/>
            <w:vAlign w:val="bottom"/>
            <w:shd w:val="clear" w:color="auto" w:fill="E5E5E5"/>
          </w:tcPr>
          <w:p>
            <w:pPr>
              <w:jc w:val="center"/>
              <w:ind w:right="214"/>
              <w:spacing w:after="0" w:line="149" w:lineRule="exact"/>
              <w:rPr>
                <w:sz w:val="20"/>
                <w:szCs w:val="20"/>
                <w:color w:val="auto"/>
              </w:rPr>
            </w:pPr>
            <w:r>
              <w:rPr>
                <w:rFonts w:ascii="Arial" w:cs="Arial" w:eastAsia="Arial" w:hAnsi="Arial"/>
                <w:sz w:val="14"/>
                <w:szCs w:val="14"/>
                <w:b w:val="1"/>
                <w:bCs w:val="1"/>
                <w:color w:val="auto"/>
                <w:w w:val="94"/>
              </w:rPr>
              <w:t>Treasury</w:t>
            </w:r>
          </w:p>
        </w:tc>
        <w:tc>
          <w:tcPr>
            <w:tcW w:w="360" w:type="dxa"/>
            <w:vAlign w:val="bottom"/>
            <w:shd w:val="clear" w:color="auto" w:fill="E5E5E5"/>
          </w:tcPr>
          <w:p>
            <w:pPr>
              <w:spacing w:after="0"/>
              <w:rPr>
                <w:sz w:val="12"/>
                <w:szCs w:val="12"/>
                <w:color w:val="auto"/>
              </w:rPr>
            </w:pPr>
          </w:p>
        </w:tc>
        <w:tc>
          <w:tcPr>
            <w:tcW w:w="880" w:type="dxa"/>
            <w:vAlign w:val="bottom"/>
            <w:gridSpan w:val="2"/>
            <w:shd w:val="clear" w:color="auto" w:fill="E5E5E5"/>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Other</w:t>
            </w:r>
          </w:p>
        </w:tc>
      </w:tr>
      <w:tr>
        <w:trPr>
          <w:trHeight w:val="149"/>
        </w:trPr>
        <w:tc>
          <w:tcPr>
            <w:tcW w:w="20" w:type="dxa"/>
            <w:vAlign w:val="bottom"/>
          </w:tcPr>
          <w:p>
            <w:pPr>
              <w:spacing w:after="0"/>
              <w:rPr>
                <w:sz w:val="12"/>
                <w:szCs w:val="12"/>
                <w:color w:val="auto"/>
              </w:rPr>
            </w:pPr>
          </w:p>
        </w:tc>
        <w:tc>
          <w:tcPr>
            <w:tcW w:w="5540" w:type="dxa"/>
            <w:vAlign w:val="bottom"/>
            <w:shd w:val="clear" w:color="auto" w:fill="E5E5E5"/>
          </w:tcPr>
          <w:p>
            <w:pPr>
              <w:spacing w:after="0"/>
              <w:rPr>
                <w:sz w:val="12"/>
                <w:szCs w:val="12"/>
                <w:color w:val="auto"/>
              </w:rPr>
            </w:pPr>
          </w:p>
        </w:tc>
        <w:tc>
          <w:tcPr>
            <w:tcW w:w="740" w:type="dxa"/>
            <w:vAlign w:val="bottom"/>
            <w:shd w:val="clear" w:color="auto" w:fill="E5E5E5"/>
          </w:tcPr>
          <w:p>
            <w:pPr>
              <w:spacing w:after="0"/>
              <w:rPr>
                <w:sz w:val="12"/>
                <w:szCs w:val="12"/>
                <w:color w:val="auto"/>
              </w:rPr>
            </w:pPr>
          </w:p>
        </w:tc>
        <w:tc>
          <w:tcPr>
            <w:tcW w:w="800" w:type="dxa"/>
            <w:vAlign w:val="bottom"/>
            <w:gridSpan w:val="2"/>
            <w:shd w:val="clear" w:color="auto" w:fill="E5E5E5"/>
          </w:tcPr>
          <w:p>
            <w:pPr>
              <w:jc w:val="right"/>
              <w:ind w:right="93"/>
              <w:spacing w:after="0" w:line="149" w:lineRule="exact"/>
              <w:rPr>
                <w:sz w:val="20"/>
                <w:szCs w:val="20"/>
                <w:color w:val="auto"/>
              </w:rPr>
            </w:pPr>
            <w:r>
              <w:rPr>
                <w:rFonts w:ascii="Arial" w:cs="Arial" w:eastAsia="Arial" w:hAnsi="Arial"/>
                <w:sz w:val="14"/>
                <w:szCs w:val="14"/>
                <w:b w:val="1"/>
                <w:bCs w:val="1"/>
                <w:color w:val="auto"/>
                <w:w w:val="98"/>
              </w:rPr>
              <w:t>Common</w:t>
            </w:r>
          </w:p>
        </w:tc>
        <w:tc>
          <w:tcPr>
            <w:tcW w:w="840" w:type="dxa"/>
            <w:vAlign w:val="bottom"/>
            <w:gridSpan w:val="2"/>
            <w:shd w:val="clear" w:color="auto" w:fill="E5E5E5"/>
          </w:tcPr>
          <w:p>
            <w:pPr>
              <w:ind w:left="160"/>
              <w:spacing w:after="0" w:line="149" w:lineRule="exact"/>
              <w:rPr>
                <w:sz w:val="20"/>
                <w:szCs w:val="20"/>
                <w:color w:val="auto"/>
              </w:rPr>
            </w:pPr>
            <w:r>
              <w:rPr>
                <w:rFonts w:ascii="Arial" w:cs="Arial" w:eastAsia="Arial" w:hAnsi="Arial"/>
                <w:sz w:val="14"/>
                <w:szCs w:val="14"/>
                <w:b w:val="1"/>
                <w:bCs w:val="1"/>
                <w:color w:val="auto"/>
              </w:rPr>
              <w:t>Paid-in</w:t>
            </w:r>
          </w:p>
        </w:tc>
        <w:tc>
          <w:tcPr>
            <w:tcW w:w="1100" w:type="dxa"/>
            <w:vAlign w:val="bottom"/>
            <w:gridSpan w:val="2"/>
            <w:shd w:val="clear" w:color="auto" w:fill="E5E5E5"/>
          </w:tcPr>
          <w:p>
            <w:pPr>
              <w:jc w:val="right"/>
              <w:ind w:right="212"/>
              <w:spacing w:after="0" w:line="149" w:lineRule="exact"/>
              <w:rPr>
                <w:sz w:val="20"/>
                <w:szCs w:val="20"/>
                <w:color w:val="auto"/>
              </w:rPr>
            </w:pPr>
            <w:r>
              <w:rPr>
                <w:rFonts w:ascii="Arial" w:cs="Arial" w:eastAsia="Arial" w:hAnsi="Arial"/>
                <w:sz w:val="14"/>
                <w:szCs w:val="14"/>
                <w:b w:val="1"/>
                <w:bCs w:val="1"/>
                <w:color w:val="auto"/>
              </w:rPr>
              <w:t>Retained</w:t>
            </w:r>
          </w:p>
        </w:tc>
        <w:tc>
          <w:tcPr>
            <w:tcW w:w="240" w:type="dxa"/>
            <w:vAlign w:val="bottom"/>
            <w:shd w:val="clear" w:color="auto" w:fill="E5E5E5"/>
          </w:tcPr>
          <w:p>
            <w:pPr>
              <w:spacing w:after="0"/>
              <w:rPr>
                <w:sz w:val="12"/>
                <w:szCs w:val="12"/>
                <w:color w:val="auto"/>
              </w:rPr>
            </w:pPr>
          </w:p>
        </w:tc>
        <w:tc>
          <w:tcPr>
            <w:tcW w:w="900" w:type="dxa"/>
            <w:vAlign w:val="bottom"/>
            <w:shd w:val="clear" w:color="auto" w:fill="E5E5E5"/>
          </w:tcPr>
          <w:p>
            <w:pPr>
              <w:jc w:val="center"/>
              <w:ind w:right="234"/>
              <w:spacing w:after="0" w:line="149" w:lineRule="exact"/>
              <w:rPr>
                <w:sz w:val="20"/>
                <w:szCs w:val="20"/>
                <w:color w:val="auto"/>
              </w:rPr>
            </w:pPr>
            <w:r>
              <w:rPr>
                <w:rFonts w:ascii="Arial" w:cs="Arial" w:eastAsia="Arial" w:hAnsi="Arial"/>
                <w:sz w:val="14"/>
                <w:szCs w:val="14"/>
                <w:b w:val="1"/>
                <w:bCs w:val="1"/>
                <w:color w:val="auto"/>
                <w:w w:val="95"/>
              </w:rPr>
              <w:t>Common</w:t>
            </w:r>
          </w:p>
        </w:tc>
        <w:tc>
          <w:tcPr>
            <w:tcW w:w="1240" w:type="dxa"/>
            <w:vAlign w:val="bottom"/>
            <w:gridSpan w:val="3"/>
            <w:shd w:val="clear" w:color="auto" w:fill="E5E5E5"/>
          </w:tcPr>
          <w:p>
            <w:pPr>
              <w:jc w:val="center"/>
              <w:ind w:left="2"/>
              <w:spacing w:after="0" w:line="149" w:lineRule="exact"/>
              <w:rPr>
                <w:sz w:val="20"/>
                <w:szCs w:val="20"/>
                <w:color w:val="auto"/>
              </w:rPr>
            </w:pPr>
            <w:r>
              <w:rPr>
                <w:rFonts w:ascii="Arial" w:cs="Arial" w:eastAsia="Arial" w:hAnsi="Arial"/>
                <w:sz w:val="14"/>
                <w:szCs w:val="14"/>
                <w:b w:val="1"/>
                <w:bCs w:val="1"/>
                <w:color w:val="auto"/>
                <w:w w:val="95"/>
              </w:rPr>
              <w:t>Comprehensive</w:t>
            </w:r>
          </w:p>
        </w:tc>
      </w:tr>
      <w:tr>
        <w:trPr>
          <w:trHeight w:val="165"/>
        </w:trPr>
        <w:tc>
          <w:tcPr>
            <w:tcW w:w="20" w:type="dxa"/>
            <w:vAlign w:val="bottom"/>
          </w:tcPr>
          <w:p>
            <w:pPr>
              <w:spacing w:after="0"/>
              <w:rPr>
                <w:sz w:val="14"/>
                <w:szCs w:val="14"/>
                <w:color w:val="auto"/>
              </w:rPr>
            </w:pPr>
          </w:p>
        </w:tc>
        <w:tc>
          <w:tcPr>
            <w:tcW w:w="5540" w:type="dxa"/>
            <w:vAlign w:val="bottom"/>
            <w:shd w:val="clear" w:color="auto" w:fill="E5E5E5"/>
          </w:tcPr>
          <w:p>
            <w:pPr>
              <w:spacing w:after="0"/>
              <w:rPr>
                <w:sz w:val="14"/>
                <w:szCs w:val="14"/>
                <w:color w:val="auto"/>
              </w:rPr>
            </w:pPr>
          </w:p>
        </w:tc>
        <w:tc>
          <w:tcPr>
            <w:tcW w:w="74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680" w:type="dxa"/>
            <w:vAlign w:val="bottom"/>
            <w:shd w:val="clear" w:color="auto" w:fill="E5E5E5"/>
          </w:tcPr>
          <w:p>
            <w:pPr>
              <w:jc w:val="right"/>
              <w:ind w:right="213"/>
              <w:spacing w:after="0"/>
              <w:rPr>
                <w:sz w:val="20"/>
                <w:szCs w:val="20"/>
                <w:color w:val="auto"/>
              </w:rPr>
            </w:pPr>
            <w:r>
              <w:rPr>
                <w:rFonts w:ascii="Arial" w:cs="Arial" w:eastAsia="Arial" w:hAnsi="Arial"/>
                <w:sz w:val="14"/>
                <w:szCs w:val="14"/>
                <w:b w:val="1"/>
                <w:bCs w:val="1"/>
                <w:color w:val="auto"/>
                <w:w w:val="94"/>
              </w:rPr>
              <w:t>Stock</w:t>
            </w:r>
          </w:p>
        </w:tc>
        <w:tc>
          <w:tcPr>
            <w:tcW w:w="840" w:type="dxa"/>
            <w:vAlign w:val="bottom"/>
            <w:gridSpan w:val="2"/>
            <w:shd w:val="clear" w:color="auto" w:fill="E5E5E5"/>
          </w:tcPr>
          <w:p>
            <w:pPr>
              <w:ind w:left="160"/>
              <w:spacing w:after="0"/>
              <w:rPr>
                <w:sz w:val="20"/>
                <w:szCs w:val="20"/>
                <w:color w:val="auto"/>
              </w:rPr>
            </w:pPr>
            <w:r>
              <w:rPr>
                <w:rFonts w:ascii="Arial" w:cs="Arial" w:eastAsia="Arial" w:hAnsi="Arial"/>
                <w:sz w:val="14"/>
                <w:szCs w:val="14"/>
                <w:b w:val="1"/>
                <w:bCs w:val="1"/>
                <w:color w:val="auto"/>
              </w:rPr>
              <w:t>Capital</w:t>
            </w:r>
          </w:p>
        </w:tc>
        <w:tc>
          <w:tcPr>
            <w:tcW w:w="1100" w:type="dxa"/>
            <w:vAlign w:val="bottom"/>
            <w:gridSpan w:val="2"/>
            <w:shd w:val="clear" w:color="auto" w:fill="E5E5E5"/>
          </w:tcPr>
          <w:p>
            <w:pPr>
              <w:jc w:val="right"/>
              <w:ind w:right="212"/>
              <w:spacing w:after="0"/>
              <w:rPr>
                <w:sz w:val="20"/>
                <w:szCs w:val="20"/>
                <w:color w:val="auto"/>
              </w:rPr>
            </w:pPr>
            <w:r>
              <w:rPr>
                <w:rFonts w:ascii="Arial" w:cs="Arial" w:eastAsia="Arial" w:hAnsi="Arial"/>
                <w:sz w:val="14"/>
                <w:szCs w:val="14"/>
                <w:b w:val="1"/>
                <w:bCs w:val="1"/>
                <w:color w:val="auto"/>
              </w:rPr>
              <w:t>Earnings</w:t>
            </w:r>
          </w:p>
        </w:tc>
        <w:tc>
          <w:tcPr>
            <w:tcW w:w="240" w:type="dxa"/>
            <w:vAlign w:val="bottom"/>
            <w:shd w:val="clear" w:color="auto" w:fill="E5E5E5"/>
          </w:tcPr>
          <w:p>
            <w:pPr>
              <w:spacing w:after="0"/>
              <w:rPr>
                <w:sz w:val="14"/>
                <w:szCs w:val="14"/>
                <w:color w:val="auto"/>
              </w:rPr>
            </w:pPr>
          </w:p>
        </w:tc>
        <w:tc>
          <w:tcPr>
            <w:tcW w:w="900" w:type="dxa"/>
            <w:vAlign w:val="bottom"/>
            <w:shd w:val="clear" w:color="auto" w:fill="E5E5E5"/>
          </w:tcPr>
          <w:p>
            <w:pPr>
              <w:jc w:val="center"/>
              <w:ind w:right="214"/>
              <w:spacing w:after="0"/>
              <w:rPr>
                <w:sz w:val="20"/>
                <w:szCs w:val="20"/>
                <w:color w:val="auto"/>
              </w:rPr>
            </w:pPr>
            <w:r>
              <w:rPr>
                <w:rFonts w:ascii="Arial" w:cs="Arial" w:eastAsia="Arial" w:hAnsi="Arial"/>
                <w:sz w:val="14"/>
                <w:szCs w:val="14"/>
                <w:b w:val="1"/>
                <w:bCs w:val="1"/>
                <w:color w:val="auto"/>
                <w:w w:val="94"/>
              </w:rPr>
              <w:t>Stock</w:t>
            </w:r>
          </w:p>
        </w:tc>
        <w:tc>
          <w:tcPr>
            <w:tcW w:w="360" w:type="dxa"/>
            <w:vAlign w:val="bottom"/>
            <w:shd w:val="clear" w:color="auto" w:fill="E5E5E5"/>
          </w:tcPr>
          <w:p>
            <w:pPr>
              <w:spacing w:after="0"/>
              <w:rPr>
                <w:sz w:val="14"/>
                <w:szCs w:val="14"/>
                <w:color w:val="auto"/>
              </w:rPr>
            </w:pPr>
          </w:p>
        </w:tc>
        <w:tc>
          <w:tcPr>
            <w:tcW w:w="880" w:type="dxa"/>
            <w:vAlign w:val="bottom"/>
            <w:gridSpan w:val="2"/>
            <w:shd w:val="clear" w:color="auto" w:fill="E5E5E5"/>
          </w:tcPr>
          <w:p>
            <w:pPr>
              <w:jc w:val="center"/>
              <w:ind w:right="280"/>
              <w:spacing w:after="0"/>
              <w:rPr>
                <w:sz w:val="20"/>
                <w:szCs w:val="20"/>
                <w:color w:val="auto"/>
              </w:rPr>
            </w:pPr>
            <w:r>
              <w:rPr>
                <w:rFonts w:ascii="Arial" w:cs="Arial" w:eastAsia="Arial" w:hAnsi="Arial"/>
                <w:sz w:val="14"/>
                <w:szCs w:val="14"/>
                <w:b w:val="1"/>
                <w:bCs w:val="1"/>
                <w:color w:val="auto"/>
                <w:w w:val="97"/>
              </w:rPr>
              <w:t>Loss</w:t>
            </w:r>
          </w:p>
        </w:tc>
      </w:tr>
      <w:tr>
        <w:trPr>
          <w:trHeight w:val="318"/>
        </w:trPr>
        <w:tc>
          <w:tcPr>
            <w:tcW w:w="5560" w:type="dxa"/>
            <w:vAlign w:val="bottom"/>
            <w:gridSpan w:val="2"/>
          </w:tcPr>
          <w:p>
            <w:pPr>
              <w:spacing w:after="0"/>
              <w:rPr>
                <w:sz w:val="20"/>
                <w:szCs w:val="20"/>
                <w:color w:val="auto"/>
              </w:rPr>
            </w:pPr>
            <w:r>
              <w:rPr>
                <w:rFonts w:ascii="Arial" w:cs="Arial" w:eastAsia="Arial" w:hAnsi="Arial"/>
                <w:sz w:val="18"/>
                <w:szCs w:val="18"/>
                <w:color w:val="auto"/>
              </w:rPr>
              <w:t>Balance, December 31, 2004</w:t>
            </w:r>
          </w:p>
        </w:tc>
        <w:tc>
          <w:tcPr>
            <w:tcW w:w="7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73"/>
              <w:spacing w:after="0"/>
              <w:rPr>
                <w:sz w:val="20"/>
                <w:szCs w:val="20"/>
                <w:color w:val="auto"/>
              </w:rPr>
            </w:pPr>
            <w:r>
              <w:rPr>
                <w:rFonts w:ascii="Arial" w:cs="Arial" w:eastAsia="Arial" w:hAnsi="Arial"/>
                <w:sz w:val="18"/>
                <w:szCs w:val="18"/>
                <w:color w:val="auto"/>
              </w:rPr>
              <w:t>1,738</w:t>
            </w:r>
          </w:p>
        </w:tc>
        <w:tc>
          <w:tcPr>
            <w:tcW w:w="260" w:type="dxa"/>
            <w:vAlign w:val="bottom"/>
          </w:tcPr>
          <w:p>
            <w:pPr>
              <w:ind w:left="14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112"/>
              <w:spacing w:after="0"/>
              <w:rPr>
                <w:sz w:val="20"/>
                <w:szCs w:val="20"/>
                <w:color w:val="auto"/>
              </w:rPr>
            </w:pPr>
            <w:r>
              <w:rPr>
                <w:rFonts w:ascii="Arial" w:cs="Arial" w:eastAsia="Arial" w:hAnsi="Arial"/>
                <w:sz w:val="18"/>
                <w:szCs w:val="18"/>
                <w:color w:val="auto"/>
              </w:rPr>
              <w:t>746</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2"/>
              <w:spacing w:after="0"/>
              <w:rPr>
                <w:sz w:val="20"/>
                <w:szCs w:val="20"/>
                <w:color w:val="auto"/>
              </w:rPr>
            </w:pPr>
            <w:r>
              <w:rPr>
                <w:rFonts w:ascii="Arial" w:cs="Arial" w:eastAsia="Arial" w:hAnsi="Arial"/>
                <w:sz w:val="18"/>
                <w:szCs w:val="18"/>
                <w:color w:val="auto"/>
              </w:rPr>
              <w:t>11,242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4"/>
              <w:spacing w:after="0"/>
              <w:rPr>
                <w:sz w:val="20"/>
                <w:szCs w:val="20"/>
                <w:color w:val="auto"/>
              </w:rPr>
            </w:pPr>
            <w:r>
              <w:rPr>
                <w:rFonts w:ascii="Arial" w:cs="Arial" w:eastAsia="Arial" w:hAnsi="Arial"/>
                <w:sz w:val="18"/>
                <w:szCs w:val="18"/>
                <w:color w:val="auto"/>
              </w:rPr>
              <w:t>(480)</w:t>
            </w:r>
          </w:p>
        </w:tc>
        <w:tc>
          <w:tcPr>
            <w:tcW w:w="360" w:type="dxa"/>
            <w:vAlign w:val="bottom"/>
          </w:tcPr>
          <w:p>
            <w:pPr>
              <w:jc w:val="right"/>
              <w:ind w:right="42"/>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(183)</w:t>
            </w:r>
          </w:p>
        </w:tc>
      </w:tr>
      <w:tr>
        <w:trPr>
          <w:trHeight w:val="203"/>
        </w:trPr>
        <w:tc>
          <w:tcPr>
            <w:tcW w:w="20" w:type="dxa"/>
            <w:vAlign w:val="bottom"/>
          </w:tcPr>
          <w:p>
            <w:pPr>
              <w:spacing w:after="0"/>
              <w:rPr>
                <w:sz w:val="17"/>
                <w:szCs w:val="17"/>
                <w:color w:val="auto"/>
              </w:rPr>
            </w:pPr>
          </w:p>
        </w:tc>
        <w:tc>
          <w:tcPr>
            <w:tcW w:w="5540" w:type="dxa"/>
            <w:vAlign w:val="bottom"/>
            <w:shd w:val="clear" w:color="auto" w:fill="E5E5E5"/>
          </w:tcPr>
          <w:p>
            <w:pPr>
              <w:ind w:left="200"/>
              <w:spacing w:after="0" w:line="202" w:lineRule="exact"/>
              <w:rPr>
                <w:sz w:val="20"/>
                <w:szCs w:val="20"/>
                <w:color w:val="auto"/>
              </w:rPr>
            </w:pPr>
            <w:r>
              <w:rPr>
                <w:rFonts w:ascii="Arial" w:cs="Arial" w:eastAsia="Arial" w:hAnsi="Arial"/>
                <w:sz w:val="18"/>
                <w:szCs w:val="18"/>
                <w:color w:val="auto"/>
              </w:rPr>
              <w:t>Net income</w:t>
            </w:r>
          </w:p>
        </w:tc>
        <w:tc>
          <w:tcPr>
            <w:tcW w:w="740" w:type="dxa"/>
            <w:vAlign w:val="bottom"/>
            <w:shd w:val="clear" w:color="auto" w:fill="E5E5E5"/>
          </w:tcPr>
          <w:p>
            <w:pPr>
              <w:spacing w:after="0"/>
              <w:rPr>
                <w:sz w:val="17"/>
                <w:szCs w:val="17"/>
                <w:color w:val="auto"/>
              </w:rPr>
            </w:pPr>
          </w:p>
        </w:tc>
        <w:tc>
          <w:tcPr>
            <w:tcW w:w="120" w:type="dxa"/>
            <w:vAlign w:val="bottom"/>
            <w:tcBorders>
              <w:top w:val="single" w:sz="8" w:color="auto"/>
            </w:tcBorders>
            <w:shd w:val="clear" w:color="auto" w:fill="E5E5E5"/>
          </w:tcPr>
          <w:p>
            <w:pPr>
              <w:spacing w:after="0"/>
              <w:rPr>
                <w:sz w:val="17"/>
                <w:szCs w:val="17"/>
                <w:color w:val="auto"/>
              </w:rPr>
            </w:pPr>
          </w:p>
        </w:tc>
        <w:tc>
          <w:tcPr>
            <w:tcW w:w="680" w:type="dxa"/>
            <w:vAlign w:val="bottom"/>
            <w:tcBorders>
              <w:top w:val="single" w:sz="8" w:color="auto"/>
            </w:tcBorders>
            <w:shd w:val="clear" w:color="auto" w:fill="E5E5E5"/>
          </w:tcPr>
          <w:p>
            <w:pPr>
              <w:jc w:val="right"/>
              <w:ind w:right="73"/>
              <w:spacing w:after="0" w:line="202"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auto"/>
            </w:tcBorders>
            <w:shd w:val="clear" w:color="auto" w:fill="E5E5E5"/>
          </w:tcPr>
          <w:p>
            <w:pPr>
              <w:spacing w:after="0"/>
              <w:rPr>
                <w:sz w:val="17"/>
                <w:szCs w:val="17"/>
                <w:color w:val="auto"/>
              </w:rPr>
            </w:pPr>
          </w:p>
        </w:tc>
        <w:tc>
          <w:tcPr>
            <w:tcW w:w="580" w:type="dxa"/>
            <w:vAlign w:val="bottom"/>
            <w:tcBorders>
              <w:top w:val="single" w:sz="8" w:color="auto"/>
            </w:tcBorders>
            <w:shd w:val="clear" w:color="auto" w:fill="E5E5E5"/>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shd w:val="clear" w:color="auto" w:fill="E5E5E5"/>
          </w:tcPr>
          <w:p>
            <w:pPr>
              <w:spacing w:after="0"/>
              <w:rPr>
                <w:sz w:val="17"/>
                <w:szCs w:val="17"/>
                <w:color w:val="auto"/>
              </w:rPr>
            </w:pPr>
          </w:p>
        </w:tc>
        <w:tc>
          <w:tcPr>
            <w:tcW w:w="800" w:type="dxa"/>
            <w:vAlign w:val="bottom"/>
            <w:tcBorders>
              <w:top w:val="single" w:sz="8" w:color="auto"/>
            </w:tcBorders>
            <w:shd w:val="clear" w:color="auto" w:fill="E5E5E5"/>
          </w:tcPr>
          <w:p>
            <w:pPr>
              <w:jc w:val="right"/>
              <w:ind w:right="132"/>
              <w:spacing w:after="0" w:line="202" w:lineRule="exact"/>
              <w:rPr>
                <w:sz w:val="20"/>
                <w:szCs w:val="20"/>
                <w:color w:val="auto"/>
              </w:rPr>
            </w:pPr>
            <w:r>
              <w:rPr>
                <w:rFonts w:ascii="Arial" w:cs="Arial" w:eastAsia="Arial" w:hAnsi="Arial"/>
                <w:sz w:val="18"/>
                <w:szCs w:val="18"/>
                <w:color w:val="auto"/>
              </w:rPr>
              <w:t>2,324</w:t>
            </w:r>
          </w:p>
        </w:tc>
        <w:tc>
          <w:tcPr>
            <w:tcW w:w="240" w:type="dxa"/>
            <w:vAlign w:val="bottom"/>
            <w:tcBorders>
              <w:top w:val="single" w:sz="8" w:color="auto"/>
            </w:tcBorders>
            <w:shd w:val="clear" w:color="auto" w:fill="E5E5E5"/>
          </w:tcPr>
          <w:p>
            <w:pPr>
              <w:spacing w:after="0"/>
              <w:rPr>
                <w:sz w:val="17"/>
                <w:szCs w:val="17"/>
                <w:color w:val="auto"/>
              </w:rPr>
            </w:pPr>
          </w:p>
        </w:tc>
        <w:tc>
          <w:tcPr>
            <w:tcW w:w="900" w:type="dxa"/>
            <w:vAlign w:val="bottom"/>
            <w:tcBorders>
              <w:top w:val="single" w:sz="8" w:color="auto"/>
            </w:tcBorders>
            <w:shd w:val="clear" w:color="auto" w:fill="E5E5E5"/>
          </w:tcPr>
          <w:p>
            <w:pPr>
              <w:jc w:val="right"/>
              <w:ind w:right="114"/>
              <w:spacing w:after="0" w:line="202" w:lineRule="exact"/>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E5E5E5"/>
          </w:tcPr>
          <w:p>
            <w:pPr>
              <w:spacing w:after="0"/>
              <w:rPr>
                <w:sz w:val="17"/>
                <w:szCs w:val="17"/>
                <w:color w:val="auto"/>
              </w:rPr>
            </w:pPr>
          </w:p>
        </w:tc>
        <w:tc>
          <w:tcPr>
            <w:tcW w:w="820" w:type="dxa"/>
            <w:vAlign w:val="bottom"/>
            <w:tcBorders>
              <w:top w:val="single" w:sz="8" w:color="auto"/>
            </w:tcBorders>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E5E5E5"/>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540" w:type="dxa"/>
            <w:vAlign w:val="bottom"/>
          </w:tcPr>
          <w:p>
            <w:pPr>
              <w:ind w:left="200"/>
              <w:spacing w:after="0" w:line="202" w:lineRule="exact"/>
              <w:rPr>
                <w:sz w:val="20"/>
                <w:szCs w:val="20"/>
                <w:color w:val="auto"/>
              </w:rPr>
            </w:pPr>
            <w:r>
              <w:rPr>
                <w:rFonts w:ascii="Arial" w:cs="Arial" w:eastAsia="Arial" w:hAnsi="Arial"/>
                <w:sz w:val="18"/>
                <w:szCs w:val="18"/>
                <w:color w:val="auto"/>
              </w:rPr>
              <w:t>Dividends declared on common stock ($.105 per share)</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ind w:right="73"/>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58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800" w:type="dxa"/>
            <w:vAlign w:val="bottom"/>
          </w:tcPr>
          <w:p>
            <w:pPr>
              <w:jc w:val="right"/>
              <w:ind w:right="72"/>
              <w:spacing w:after="0" w:line="202" w:lineRule="exact"/>
              <w:rPr>
                <w:sz w:val="20"/>
                <w:szCs w:val="20"/>
                <w:color w:val="auto"/>
              </w:rPr>
            </w:pPr>
            <w:r>
              <w:rPr>
                <w:rFonts w:ascii="Arial" w:cs="Arial" w:eastAsia="Arial" w:hAnsi="Arial"/>
                <w:sz w:val="18"/>
                <w:szCs w:val="18"/>
                <w:color w:val="auto"/>
              </w:rPr>
              <w:t>(173)</w:t>
            </w:r>
          </w:p>
        </w:tc>
        <w:tc>
          <w:tcPr>
            <w:tcW w:w="240" w:type="dxa"/>
            <w:vAlign w:val="bottom"/>
          </w:tcPr>
          <w:p>
            <w:pPr>
              <w:spacing w:after="0"/>
              <w:rPr>
                <w:sz w:val="17"/>
                <w:szCs w:val="17"/>
                <w:color w:val="auto"/>
              </w:rPr>
            </w:pPr>
          </w:p>
        </w:tc>
        <w:tc>
          <w:tcPr>
            <w:tcW w:w="90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8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540" w:type="dxa"/>
            <w:vAlign w:val="bottom"/>
            <w:shd w:val="clear" w:color="auto" w:fill="E5E5E5"/>
          </w:tcPr>
          <w:p>
            <w:pPr>
              <w:ind w:left="200"/>
              <w:spacing w:after="0" w:line="202" w:lineRule="exact"/>
              <w:rPr>
                <w:sz w:val="20"/>
                <w:szCs w:val="20"/>
                <w:color w:val="auto"/>
              </w:rPr>
            </w:pPr>
            <w:r>
              <w:rPr>
                <w:rFonts w:ascii="Arial" w:cs="Arial" w:eastAsia="Arial" w:hAnsi="Arial"/>
                <w:sz w:val="18"/>
                <w:szCs w:val="18"/>
                <w:color w:val="auto"/>
              </w:rPr>
              <w:t>Common stock issued on exercise of stock options</w:t>
            </w:r>
          </w:p>
        </w:tc>
        <w:tc>
          <w:tcPr>
            <w:tcW w:w="74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680" w:type="dxa"/>
            <w:vAlign w:val="bottom"/>
            <w:shd w:val="clear" w:color="auto" w:fill="E5E5E5"/>
          </w:tcPr>
          <w:p>
            <w:pPr>
              <w:jc w:val="right"/>
              <w:ind w:right="73"/>
              <w:spacing w:after="0" w:line="202" w:lineRule="exact"/>
              <w:rPr>
                <w:sz w:val="20"/>
                <w:szCs w:val="20"/>
                <w:color w:val="auto"/>
              </w:rPr>
            </w:pPr>
            <w:r>
              <w:rPr>
                <w:rFonts w:ascii="Arial" w:cs="Arial" w:eastAsia="Arial" w:hAnsi="Arial"/>
                <w:sz w:val="18"/>
                <w:szCs w:val="18"/>
                <w:color w:val="auto"/>
              </w:rPr>
              <w:t>1</w:t>
            </w:r>
          </w:p>
        </w:tc>
        <w:tc>
          <w:tcPr>
            <w:tcW w:w="260" w:type="dxa"/>
            <w:vAlign w:val="bottom"/>
            <w:shd w:val="clear" w:color="auto" w:fill="E5E5E5"/>
          </w:tcPr>
          <w:p>
            <w:pPr>
              <w:spacing w:after="0"/>
              <w:rPr>
                <w:sz w:val="17"/>
                <w:szCs w:val="17"/>
                <w:color w:val="auto"/>
              </w:rPr>
            </w:pPr>
          </w:p>
        </w:tc>
        <w:tc>
          <w:tcPr>
            <w:tcW w:w="580" w:type="dxa"/>
            <w:vAlign w:val="bottom"/>
            <w:shd w:val="clear" w:color="auto" w:fill="E5E5E5"/>
          </w:tcPr>
          <w:p>
            <w:pPr>
              <w:jc w:val="right"/>
              <w:ind w:right="52"/>
              <w:spacing w:after="0" w:line="202" w:lineRule="exact"/>
              <w:rPr>
                <w:sz w:val="20"/>
                <w:szCs w:val="20"/>
                <w:color w:val="auto"/>
              </w:rPr>
            </w:pPr>
            <w:r>
              <w:rPr>
                <w:rFonts w:ascii="Arial" w:cs="Arial" w:eastAsia="Arial" w:hAnsi="Arial"/>
                <w:sz w:val="18"/>
                <w:szCs w:val="18"/>
                <w:color w:val="auto"/>
                <w:w w:val="99"/>
              </w:rPr>
              <w:t>(338)</w:t>
            </w:r>
          </w:p>
        </w:tc>
        <w:tc>
          <w:tcPr>
            <w:tcW w:w="300" w:type="dxa"/>
            <w:vAlign w:val="bottom"/>
            <w:shd w:val="clear" w:color="auto" w:fill="E5E5E5"/>
          </w:tcPr>
          <w:p>
            <w:pPr>
              <w:spacing w:after="0"/>
              <w:rPr>
                <w:sz w:val="17"/>
                <w:szCs w:val="17"/>
                <w:color w:val="auto"/>
              </w:rPr>
            </w:pPr>
          </w:p>
        </w:tc>
        <w:tc>
          <w:tcPr>
            <w:tcW w:w="800" w:type="dxa"/>
            <w:vAlign w:val="bottom"/>
            <w:shd w:val="clear" w:color="auto" w:fill="E5E5E5"/>
          </w:tcPr>
          <w:p>
            <w:pPr>
              <w:jc w:val="right"/>
              <w:ind w:right="132"/>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7"/>
                <w:szCs w:val="17"/>
                <w:color w:val="auto"/>
              </w:rPr>
            </w:pPr>
          </w:p>
        </w:tc>
        <w:tc>
          <w:tcPr>
            <w:tcW w:w="900" w:type="dxa"/>
            <w:vAlign w:val="bottom"/>
            <w:shd w:val="clear" w:color="auto" w:fill="E5E5E5"/>
          </w:tcPr>
          <w:p>
            <w:pPr>
              <w:jc w:val="right"/>
              <w:ind w:right="114"/>
              <w:spacing w:after="0" w:line="202" w:lineRule="exact"/>
              <w:rPr>
                <w:sz w:val="20"/>
                <w:szCs w:val="20"/>
                <w:color w:val="auto"/>
              </w:rPr>
            </w:pPr>
            <w:r>
              <w:rPr>
                <w:rFonts w:ascii="Arial" w:cs="Arial" w:eastAsia="Arial" w:hAnsi="Arial"/>
                <w:sz w:val="18"/>
                <w:szCs w:val="18"/>
                <w:color w:val="auto"/>
              </w:rPr>
              <w:t>815</w:t>
            </w:r>
          </w:p>
        </w:tc>
        <w:tc>
          <w:tcPr>
            <w:tcW w:w="360" w:type="dxa"/>
            <w:vAlign w:val="bottom"/>
            <w:shd w:val="clear" w:color="auto" w:fill="E5E5E5"/>
          </w:tcPr>
          <w:p>
            <w:pPr>
              <w:spacing w:after="0"/>
              <w:rPr>
                <w:sz w:val="17"/>
                <w:szCs w:val="17"/>
                <w:color w:val="auto"/>
              </w:rPr>
            </w:pPr>
          </w:p>
        </w:tc>
        <w:tc>
          <w:tcPr>
            <w:tcW w:w="88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540" w:type="dxa"/>
            <w:vAlign w:val="bottom"/>
          </w:tcPr>
          <w:p>
            <w:pPr>
              <w:ind w:left="200"/>
              <w:spacing w:after="0" w:line="202" w:lineRule="exact"/>
              <w:rPr>
                <w:sz w:val="20"/>
                <w:szCs w:val="20"/>
                <w:color w:val="auto"/>
              </w:rPr>
            </w:pPr>
            <w:r>
              <w:rPr>
                <w:rFonts w:ascii="Arial" w:cs="Arial" w:eastAsia="Arial" w:hAnsi="Arial"/>
                <w:sz w:val="18"/>
                <w:szCs w:val="18"/>
                <w:color w:val="auto"/>
              </w:rPr>
              <w:t>Stock repurchases</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ind w:right="73"/>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58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80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900" w:type="dxa"/>
            <w:vAlign w:val="bottom"/>
          </w:tcPr>
          <w:p>
            <w:pPr>
              <w:jc w:val="right"/>
              <w:ind w:right="54"/>
              <w:spacing w:after="0" w:line="202" w:lineRule="exact"/>
              <w:rPr>
                <w:sz w:val="20"/>
                <w:szCs w:val="20"/>
                <w:color w:val="auto"/>
              </w:rPr>
            </w:pPr>
            <w:r>
              <w:rPr>
                <w:rFonts w:ascii="Arial" w:cs="Arial" w:eastAsia="Arial" w:hAnsi="Arial"/>
                <w:sz w:val="18"/>
                <w:szCs w:val="18"/>
                <w:color w:val="auto"/>
              </w:rPr>
              <w:t>(4,191)</w:t>
            </w:r>
          </w:p>
        </w:tc>
        <w:tc>
          <w:tcPr>
            <w:tcW w:w="360" w:type="dxa"/>
            <w:vAlign w:val="bottom"/>
          </w:tcPr>
          <w:p>
            <w:pPr>
              <w:spacing w:after="0"/>
              <w:rPr>
                <w:sz w:val="17"/>
                <w:szCs w:val="17"/>
                <w:color w:val="auto"/>
              </w:rPr>
            </w:pPr>
          </w:p>
        </w:tc>
        <w:tc>
          <w:tcPr>
            <w:tcW w:w="8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540" w:type="dxa"/>
            <w:vAlign w:val="bottom"/>
            <w:shd w:val="clear" w:color="auto" w:fill="E5E5E5"/>
          </w:tcPr>
          <w:p>
            <w:pPr>
              <w:ind w:left="200"/>
              <w:spacing w:after="0" w:line="202" w:lineRule="exact"/>
              <w:rPr>
                <w:sz w:val="20"/>
                <w:szCs w:val="20"/>
                <w:color w:val="auto"/>
              </w:rPr>
            </w:pPr>
            <w:r>
              <w:rPr>
                <w:rFonts w:ascii="Arial" w:cs="Arial" w:eastAsia="Arial" w:hAnsi="Arial"/>
                <w:sz w:val="18"/>
                <w:szCs w:val="18"/>
                <w:color w:val="auto"/>
              </w:rPr>
              <w:t>Stock-based compensation transactions</w:t>
            </w:r>
          </w:p>
        </w:tc>
        <w:tc>
          <w:tcPr>
            <w:tcW w:w="74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680" w:type="dxa"/>
            <w:vAlign w:val="bottom"/>
            <w:shd w:val="clear" w:color="auto" w:fill="E5E5E5"/>
          </w:tcPr>
          <w:p>
            <w:pPr>
              <w:jc w:val="right"/>
              <w:ind w:right="73"/>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7"/>
                <w:szCs w:val="17"/>
                <w:color w:val="auto"/>
              </w:rPr>
            </w:pPr>
          </w:p>
        </w:tc>
        <w:tc>
          <w:tcPr>
            <w:tcW w:w="580" w:type="dxa"/>
            <w:vAlign w:val="bottom"/>
            <w:shd w:val="clear" w:color="auto" w:fill="E5E5E5"/>
          </w:tcPr>
          <w:p>
            <w:pPr>
              <w:jc w:val="right"/>
              <w:ind w:right="112"/>
              <w:spacing w:after="0" w:line="202" w:lineRule="exact"/>
              <w:rPr>
                <w:sz w:val="20"/>
                <w:szCs w:val="20"/>
                <w:color w:val="auto"/>
              </w:rPr>
            </w:pPr>
            <w:r>
              <w:rPr>
                <w:rFonts w:ascii="Arial" w:cs="Arial" w:eastAsia="Arial" w:hAnsi="Arial"/>
                <w:sz w:val="18"/>
                <w:szCs w:val="18"/>
                <w:color w:val="auto"/>
              </w:rPr>
              <w:t>198</w:t>
            </w:r>
          </w:p>
        </w:tc>
        <w:tc>
          <w:tcPr>
            <w:tcW w:w="300" w:type="dxa"/>
            <w:vAlign w:val="bottom"/>
            <w:shd w:val="clear" w:color="auto" w:fill="E5E5E5"/>
          </w:tcPr>
          <w:p>
            <w:pPr>
              <w:spacing w:after="0"/>
              <w:rPr>
                <w:sz w:val="17"/>
                <w:szCs w:val="17"/>
                <w:color w:val="auto"/>
              </w:rPr>
            </w:pPr>
          </w:p>
        </w:tc>
        <w:tc>
          <w:tcPr>
            <w:tcW w:w="800" w:type="dxa"/>
            <w:vAlign w:val="bottom"/>
            <w:shd w:val="clear" w:color="auto" w:fill="E5E5E5"/>
          </w:tcPr>
          <w:p>
            <w:pPr>
              <w:jc w:val="right"/>
              <w:ind w:right="132"/>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7"/>
                <w:szCs w:val="17"/>
                <w:color w:val="auto"/>
              </w:rPr>
            </w:pPr>
          </w:p>
        </w:tc>
        <w:tc>
          <w:tcPr>
            <w:tcW w:w="900" w:type="dxa"/>
            <w:vAlign w:val="bottom"/>
            <w:shd w:val="clear" w:color="auto" w:fill="E5E5E5"/>
          </w:tcPr>
          <w:p>
            <w:pPr>
              <w:jc w:val="right"/>
              <w:ind w:right="114"/>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7"/>
                <w:szCs w:val="17"/>
                <w:color w:val="auto"/>
              </w:rPr>
            </w:pPr>
          </w:p>
        </w:tc>
        <w:tc>
          <w:tcPr>
            <w:tcW w:w="88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540" w:type="dxa"/>
            <w:vAlign w:val="bottom"/>
          </w:tcPr>
          <w:p>
            <w:pPr>
              <w:ind w:left="200"/>
              <w:spacing w:after="0" w:line="202" w:lineRule="exact"/>
              <w:rPr>
                <w:sz w:val="20"/>
                <w:szCs w:val="20"/>
                <w:color w:val="auto"/>
              </w:rPr>
            </w:pPr>
            <w:r>
              <w:rPr>
                <w:rFonts w:ascii="Arial" w:cs="Arial" w:eastAsia="Arial" w:hAnsi="Arial"/>
                <w:sz w:val="18"/>
                <w:szCs w:val="18"/>
                <w:color w:val="auto"/>
              </w:rPr>
              <w:t>Tax benefit from exercise of options</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ind w:right="73"/>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58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132</w:t>
            </w:r>
          </w:p>
        </w:tc>
        <w:tc>
          <w:tcPr>
            <w:tcW w:w="300" w:type="dxa"/>
            <w:vAlign w:val="bottom"/>
          </w:tcPr>
          <w:p>
            <w:pPr>
              <w:spacing w:after="0"/>
              <w:rPr>
                <w:sz w:val="17"/>
                <w:szCs w:val="17"/>
                <w:color w:val="auto"/>
              </w:rPr>
            </w:pPr>
          </w:p>
        </w:tc>
        <w:tc>
          <w:tcPr>
            <w:tcW w:w="80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90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8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540" w:type="dxa"/>
            <w:vAlign w:val="bottom"/>
            <w:shd w:val="clear" w:color="auto" w:fill="E5E5E5"/>
          </w:tcPr>
          <w:p>
            <w:pPr>
              <w:ind w:left="200"/>
              <w:spacing w:after="0" w:line="202" w:lineRule="exact"/>
              <w:rPr>
                <w:sz w:val="20"/>
                <w:szCs w:val="20"/>
                <w:color w:val="auto"/>
              </w:rPr>
            </w:pPr>
            <w:r>
              <w:rPr>
                <w:rFonts w:ascii="Arial" w:cs="Arial" w:eastAsia="Arial" w:hAnsi="Arial"/>
                <w:sz w:val="18"/>
                <w:szCs w:val="18"/>
                <w:color w:val="auto"/>
              </w:rPr>
              <w:t>Other comprehensive income, net of tax</w:t>
            </w:r>
          </w:p>
        </w:tc>
        <w:tc>
          <w:tcPr>
            <w:tcW w:w="74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680" w:type="dxa"/>
            <w:vAlign w:val="bottom"/>
            <w:shd w:val="clear" w:color="auto" w:fill="E5E5E5"/>
          </w:tcPr>
          <w:p>
            <w:pPr>
              <w:jc w:val="right"/>
              <w:ind w:right="73"/>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7"/>
                <w:szCs w:val="17"/>
                <w:color w:val="auto"/>
              </w:rPr>
            </w:pPr>
          </w:p>
        </w:tc>
        <w:tc>
          <w:tcPr>
            <w:tcW w:w="580" w:type="dxa"/>
            <w:vAlign w:val="bottom"/>
            <w:shd w:val="clear" w:color="auto" w:fill="E5E5E5"/>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7"/>
                <w:szCs w:val="17"/>
                <w:color w:val="auto"/>
              </w:rPr>
            </w:pPr>
          </w:p>
        </w:tc>
        <w:tc>
          <w:tcPr>
            <w:tcW w:w="800" w:type="dxa"/>
            <w:vAlign w:val="bottom"/>
            <w:shd w:val="clear" w:color="auto" w:fill="E5E5E5"/>
          </w:tcPr>
          <w:p>
            <w:pPr>
              <w:jc w:val="right"/>
              <w:ind w:right="132"/>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7"/>
                <w:szCs w:val="17"/>
                <w:color w:val="auto"/>
              </w:rPr>
            </w:pPr>
          </w:p>
        </w:tc>
        <w:tc>
          <w:tcPr>
            <w:tcW w:w="900" w:type="dxa"/>
            <w:vAlign w:val="bottom"/>
            <w:shd w:val="clear" w:color="auto" w:fill="E5E5E5"/>
          </w:tcPr>
          <w:p>
            <w:pPr>
              <w:jc w:val="right"/>
              <w:ind w:right="114"/>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7"/>
                <w:szCs w:val="17"/>
                <w:color w:val="auto"/>
              </w:rPr>
            </w:pPr>
          </w:p>
        </w:tc>
        <w:tc>
          <w:tcPr>
            <w:tcW w:w="8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102</w:t>
            </w:r>
          </w:p>
        </w:tc>
        <w:tc>
          <w:tcPr>
            <w:tcW w:w="60" w:type="dxa"/>
            <w:vAlign w:val="bottom"/>
            <w:shd w:val="clear" w:color="auto" w:fill="E5E5E5"/>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5540" w:type="dxa"/>
            <w:vAlign w:val="bottom"/>
          </w:tcPr>
          <w:p>
            <w:pPr>
              <w:ind w:left="200"/>
              <w:spacing w:after="0" w:line="202" w:lineRule="exact"/>
              <w:rPr>
                <w:sz w:val="20"/>
                <w:szCs w:val="20"/>
                <w:color w:val="auto"/>
              </w:rPr>
            </w:pPr>
            <w:r>
              <w:rPr>
                <w:rFonts w:ascii="Arial" w:cs="Arial" w:eastAsia="Arial" w:hAnsi="Arial"/>
                <w:sz w:val="18"/>
                <w:szCs w:val="18"/>
                <w:color w:val="auto"/>
              </w:rPr>
              <w:t>Other</w:t>
            </w:r>
          </w:p>
        </w:tc>
        <w:tc>
          <w:tcPr>
            <w:tcW w:w="7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73"/>
              <w:spacing w:after="0" w:line="202"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12"/>
              <w:spacing w:after="0" w:line="202" w:lineRule="exact"/>
              <w:rPr>
                <w:sz w:val="20"/>
                <w:szCs w:val="20"/>
                <w:color w:val="auto"/>
              </w:rPr>
            </w:pPr>
            <w:r>
              <w:rPr>
                <w:rFonts w:ascii="Arial" w:cs="Arial" w:eastAsia="Arial" w:hAnsi="Arial"/>
                <w:sz w:val="18"/>
                <w:szCs w:val="18"/>
                <w:color w:val="auto"/>
              </w:rPr>
              <w:t>3</w:t>
            </w: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32"/>
              <w:spacing w:after="0" w:line="202" w:lineRule="exact"/>
              <w:rPr>
                <w:sz w:val="20"/>
                <w:szCs w:val="20"/>
                <w:color w:val="auto"/>
              </w:rPr>
            </w:pPr>
            <w:r>
              <w:rPr>
                <w:rFonts w:ascii="Arial" w:cs="Arial" w:eastAsia="Arial" w:hAnsi="Arial"/>
                <w:sz w:val="18"/>
                <w:szCs w:val="18"/>
                <w:color w:val="auto"/>
              </w:rPr>
              <w:t>1</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14"/>
              <w:spacing w:after="0" w:line="202" w:lineRule="exact"/>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5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Balance, December 31, 2005</w:t>
            </w:r>
          </w:p>
        </w:tc>
        <w:tc>
          <w:tcPr>
            <w:tcW w:w="74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680" w:type="dxa"/>
            <w:vAlign w:val="bottom"/>
            <w:shd w:val="clear" w:color="auto" w:fill="E5E5E5"/>
          </w:tcPr>
          <w:p>
            <w:pPr>
              <w:jc w:val="right"/>
              <w:ind w:right="73"/>
              <w:spacing w:after="0" w:line="202" w:lineRule="exact"/>
              <w:rPr>
                <w:sz w:val="20"/>
                <w:szCs w:val="20"/>
                <w:color w:val="auto"/>
              </w:rPr>
            </w:pPr>
            <w:r>
              <w:rPr>
                <w:rFonts w:ascii="Arial" w:cs="Arial" w:eastAsia="Arial" w:hAnsi="Arial"/>
                <w:sz w:val="18"/>
                <w:szCs w:val="18"/>
                <w:color w:val="auto"/>
              </w:rPr>
              <w:t>1,739</w:t>
            </w:r>
          </w:p>
        </w:tc>
        <w:tc>
          <w:tcPr>
            <w:tcW w:w="260" w:type="dxa"/>
            <w:vAlign w:val="bottom"/>
            <w:shd w:val="clear" w:color="auto" w:fill="E5E5E5"/>
          </w:tcPr>
          <w:p>
            <w:pPr>
              <w:spacing w:after="0"/>
              <w:rPr>
                <w:sz w:val="17"/>
                <w:szCs w:val="17"/>
                <w:color w:val="auto"/>
              </w:rPr>
            </w:pPr>
          </w:p>
        </w:tc>
        <w:tc>
          <w:tcPr>
            <w:tcW w:w="580" w:type="dxa"/>
            <w:vAlign w:val="bottom"/>
            <w:shd w:val="clear" w:color="auto" w:fill="E5E5E5"/>
          </w:tcPr>
          <w:p>
            <w:pPr>
              <w:jc w:val="right"/>
              <w:ind w:right="112"/>
              <w:spacing w:after="0" w:line="202" w:lineRule="exact"/>
              <w:rPr>
                <w:sz w:val="20"/>
                <w:szCs w:val="20"/>
                <w:color w:val="auto"/>
              </w:rPr>
            </w:pPr>
            <w:r>
              <w:rPr>
                <w:rFonts w:ascii="Arial" w:cs="Arial" w:eastAsia="Arial" w:hAnsi="Arial"/>
                <w:sz w:val="18"/>
                <w:szCs w:val="18"/>
                <w:color w:val="auto"/>
              </w:rPr>
              <w:t>741</w:t>
            </w:r>
          </w:p>
        </w:tc>
        <w:tc>
          <w:tcPr>
            <w:tcW w:w="300" w:type="dxa"/>
            <w:vAlign w:val="bottom"/>
            <w:shd w:val="clear" w:color="auto" w:fill="E5E5E5"/>
          </w:tcPr>
          <w:p>
            <w:pPr>
              <w:spacing w:after="0"/>
              <w:rPr>
                <w:sz w:val="17"/>
                <w:szCs w:val="17"/>
                <w:color w:val="auto"/>
              </w:rPr>
            </w:pPr>
          </w:p>
        </w:tc>
        <w:tc>
          <w:tcPr>
            <w:tcW w:w="800" w:type="dxa"/>
            <w:vAlign w:val="bottom"/>
            <w:shd w:val="clear" w:color="auto" w:fill="E5E5E5"/>
          </w:tcPr>
          <w:p>
            <w:pPr>
              <w:jc w:val="right"/>
              <w:ind w:right="132"/>
              <w:spacing w:after="0" w:line="202" w:lineRule="exact"/>
              <w:rPr>
                <w:sz w:val="20"/>
                <w:szCs w:val="20"/>
                <w:color w:val="auto"/>
              </w:rPr>
            </w:pPr>
            <w:r>
              <w:rPr>
                <w:rFonts w:ascii="Arial" w:cs="Arial" w:eastAsia="Arial" w:hAnsi="Arial"/>
                <w:sz w:val="18"/>
                <w:szCs w:val="18"/>
                <w:color w:val="auto"/>
              </w:rPr>
              <w:t>13,394</w:t>
            </w:r>
          </w:p>
        </w:tc>
        <w:tc>
          <w:tcPr>
            <w:tcW w:w="240" w:type="dxa"/>
            <w:vAlign w:val="bottom"/>
            <w:shd w:val="clear" w:color="auto" w:fill="E5E5E5"/>
          </w:tcPr>
          <w:p>
            <w:pPr>
              <w:spacing w:after="0"/>
              <w:rPr>
                <w:sz w:val="17"/>
                <w:szCs w:val="17"/>
                <w:color w:val="auto"/>
              </w:rPr>
            </w:pPr>
          </w:p>
        </w:tc>
        <w:tc>
          <w:tcPr>
            <w:tcW w:w="900" w:type="dxa"/>
            <w:vAlign w:val="bottom"/>
            <w:shd w:val="clear" w:color="auto" w:fill="E5E5E5"/>
          </w:tcPr>
          <w:p>
            <w:pPr>
              <w:jc w:val="right"/>
              <w:ind w:right="54"/>
              <w:spacing w:after="0" w:line="202" w:lineRule="exact"/>
              <w:rPr>
                <w:sz w:val="20"/>
                <w:szCs w:val="20"/>
                <w:color w:val="auto"/>
              </w:rPr>
            </w:pPr>
            <w:r>
              <w:rPr>
                <w:rFonts w:ascii="Arial" w:cs="Arial" w:eastAsia="Arial" w:hAnsi="Arial"/>
                <w:sz w:val="18"/>
                <w:szCs w:val="18"/>
                <w:color w:val="auto"/>
              </w:rPr>
              <w:t>(3,856)</w:t>
            </w:r>
          </w:p>
        </w:tc>
        <w:tc>
          <w:tcPr>
            <w:tcW w:w="360" w:type="dxa"/>
            <w:vAlign w:val="bottom"/>
            <w:shd w:val="clear" w:color="auto" w:fill="E5E5E5"/>
          </w:tcPr>
          <w:p>
            <w:pPr>
              <w:spacing w:after="0"/>
              <w:rPr>
                <w:sz w:val="17"/>
                <w:szCs w:val="17"/>
                <w:color w:val="auto"/>
              </w:rPr>
            </w:pPr>
          </w:p>
        </w:tc>
        <w:tc>
          <w:tcPr>
            <w:tcW w:w="88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(81)</w:t>
            </w:r>
          </w:p>
        </w:tc>
      </w:tr>
      <w:tr>
        <w:trPr>
          <w:trHeight w:val="210"/>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7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4,341</w:t>
            </w: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14"/>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540" w:type="dxa"/>
            <w:vAlign w:val="bottom"/>
            <w:shd w:val="clear" w:color="auto" w:fill="E5E5E5"/>
          </w:tcPr>
          <w:p>
            <w:pPr>
              <w:ind w:left="200"/>
              <w:spacing w:after="0" w:line="202" w:lineRule="exact"/>
              <w:rPr>
                <w:sz w:val="20"/>
                <w:szCs w:val="20"/>
                <w:color w:val="auto"/>
              </w:rPr>
            </w:pPr>
            <w:r>
              <w:rPr>
                <w:rFonts w:ascii="Arial" w:cs="Arial" w:eastAsia="Arial" w:hAnsi="Arial"/>
                <w:sz w:val="18"/>
                <w:szCs w:val="18"/>
                <w:color w:val="auto"/>
              </w:rPr>
              <w:t>Dividends declared on common stock ($.130 per share)</w:t>
            </w:r>
          </w:p>
        </w:tc>
        <w:tc>
          <w:tcPr>
            <w:tcW w:w="74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680" w:type="dxa"/>
            <w:vAlign w:val="bottom"/>
            <w:shd w:val="clear" w:color="auto" w:fill="E5E5E5"/>
          </w:tcPr>
          <w:p>
            <w:pPr>
              <w:jc w:val="right"/>
              <w:ind w:right="73"/>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7"/>
                <w:szCs w:val="17"/>
                <w:color w:val="auto"/>
              </w:rPr>
            </w:pPr>
          </w:p>
        </w:tc>
        <w:tc>
          <w:tcPr>
            <w:tcW w:w="580" w:type="dxa"/>
            <w:vAlign w:val="bottom"/>
            <w:shd w:val="clear" w:color="auto" w:fill="E5E5E5"/>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7"/>
                <w:szCs w:val="17"/>
                <w:color w:val="auto"/>
              </w:rPr>
            </w:pPr>
          </w:p>
        </w:tc>
        <w:tc>
          <w:tcPr>
            <w:tcW w:w="800" w:type="dxa"/>
            <w:vAlign w:val="bottom"/>
            <w:shd w:val="clear" w:color="auto" w:fill="E5E5E5"/>
          </w:tcPr>
          <w:p>
            <w:pPr>
              <w:jc w:val="right"/>
              <w:ind w:right="72"/>
              <w:spacing w:after="0" w:line="202" w:lineRule="exact"/>
              <w:rPr>
                <w:sz w:val="20"/>
                <w:szCs w:val="20"/>
                <w:color w:val="auto"/>
              </w:rPr>
            </w:pPr>
            <w:r>
              <w:rPr>
                <w:rFonts w:ascii="Arial" w:cs="Arial" w:eastAsia="Arial" w:hAnsi="Arial"/>
                <w:sz w:val="18"/>
                <w:szCs w:val="18"/>
                <w:color w:val="auto"/>
              </w:rPr>
              <w:t>(199)</w:t>
            </w:r>
          </w:p>
        </w:tc>
        <w:tc>
          <w:tcPr>
            <w:tcW w:w="240" w:type="dxa"/>
            <w:vAlign w:val="bottom"/>
            <w:shd w:val="clear" w:color="auto" w:fill="E5E5E5"/>
          </w:tcPr>
          <w:p>
            <w:pPr>
              <w:spacing w:after="0"/>
              <w:rPr>
                <w:sz w:val="17"/>
                <w:szCs w:val="17"/>
                <w:color w:val="auto"/>
              </w:rPr>
            </w:pPr>
          </w:p>
        </w:tc>
        <w:tc>
          <w:tcPr>
            <w:tcW w:w="900" w:type="dxa"/>
            <w:vAlign w:val="bottom"/>
            <w:shd w:val="clear" w:color="auto" w:fill="E5E5E5"/>
          </w:tcPr>
          <w:p>
            <w:pPr>
              <w:jc w:val="right"/>
              <w:ind w:right="114"/>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7"/>
                <w:szCs w:val="17"/>
                <w:color w:val="auto"/>
              </w:rPr>
            </w:pPr>
          </w:p>
        </w:tc>
        <w:tc>
          <w:tcPr>
            <w:tcW w:w="88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540" w:type="dxa"/>
            <w:vAlign w:val="bottom"/>
          </w:tcPr>
          <w:p>
            <w:pPr>
              <w:ind w:left="200"/>
              <w:spacing w:after="0" w:line="202" w:lineRule="exact"/>
              <w:rPr>
                <w:sz w:val="20"/>
                <w:szCs w:val="20"/>
                <w:color w:val="auto"/>
              </w:rPr>
            </w:pPr>
            <w:r>
              <w:rPr>
                <w:rFonts w:ascii="Arial" w:cs="Arial" w:eastAsia="Arial" w:hAnsi="Arial"/>
                <w:sz w:val="18"/>
                <w:szCs w:val="18"/>
                <w:color w:val="auto"/>
              </w:rPr>
              <w:t>Common stock issued on exercise of stock options</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ind w:right="73"/>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580" w:type="dxa"/>
            <w:vAlign w:val="bottom"/>
          </w:tcPr>
          <w:p>
            <w:pPr>
              <w:jc w:val="right"/>
              <w:ind w:right="52"/>
              <w:spacing w:after="0" w:line="202" w:lineRule="exact"/>
              <w:rPr>
                <w:sz w:val="20"/>
                <w:szCs w:val="20"/>
                <w:color w:val="auto"/>
              </w:rPr>
            </w:pPr>
            <w:r>
              <w:rPr>
                <w:rFonts w:ascii="Arial" w:cs="Arial" w:eastAsia="Arial" w:hAnsi="Arial"/>
                <w:sz w:val="18"/>
                <w:szCs w:val="18"/>
                <w:color w:val="auto"/>
                <w:w w:val="99"/>
              </w:rPr>
              <w:t>(329)</w:t>
            </w:r>
          </w:p>
        </w:tc>
        <w:tc>
          <w:tcPr>
            <w:tcW w:w="300" w:type="dxa"/>
            <w:vAlign w:val="bottom"/>
          </w:tcPr>
          <w:p>
            <w:pPr>
              <w:spacing w:after="0"/>
              <w:rPr>
                <w:sz w:val="17"/>
                <w:szCs w:val="17"/>
                <w:color w:val="auto"/>
              </w:rPr>
            </w:pPr>
          </w:p>
        </w:tc>
        <w:tc>
          <w:tcPr>
            <w:tcW w:w="80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90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754</w:t>
            </w:r>
          </w:p>
        </w:tc>
        <w:tc>
          <w:tcPr>
            <w:tcW w:w="360" w:type="dxa"/>
            <w:vAlign w:val="bottom"/>
          </w:tcPr>
          <w:p>
            <w:pPr>
              <w:spacing w:after="0"/>
              <w:rPr>
                <w:sz w:val="17"/>
                <w:szCs w:val="17"/>
                <w:color w:val="auto"/>
              </w:rPr>
            </w:pPr>
          </w:p>
        </w:tc>
        <w:tc>
          <w:tcPr>
            <w:tcW w:w="8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540" w:type="dxa"/>
            <w:vAlign w:val="bottom"/>
            <w:shd w:val="clear" w:color="auto" w:fill="E5E5E5"/>
          </w:tcPr>
          <w:p>
            <w:pPr>
              <w:ind w:left="200"/>
              <w:spacing w:after="0" w:line="202" w:lineRule="exact"/>
              <w:rPr>
                <w:sz w:val="20"/>
                <w:szCs w:val="20"/>
                <w:color w:val="auto"/>
              </w:rPr>
            </w:pPr>
            <w:r>
              <w:rPr>
                <w:rFonts w:ascii="Arial" w:cs="Arial" w:eastAsia="Arial" w:hAnsi="Arial"/>
                <w:sz w:val="18"/>
                <w:szCs w:val="18"/>
                <w:color w:val="auto"/>
              </w:rPr>
              <w:t>Stock repurchases</w:t>
            </w:r>
          </w:p>
        </w:tc>
        <w:tc>
          <w:tcPr>
            <w:tcW w:w="74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680" w:type="dxa"/>
            <w:vAlign w:val="bottom"/>
            <w:shd w:val="clear" w:color="auto" w:fill="E5E5E5"/>
          </w:tcPr>
          <w:p>
            <w:pPr>
              <w:jc w:val="right"/>
              <w:ind w:right="73"/>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7"/>
                <w:szCs w:val="17"/>
                <w:color w:val="auto"/>
              </w:rPr>
            </w:pPr>
          </w:p>
        </w:tc>
        <w:tc>
          <w:tcPr>
            <w:tcW w:w="580" w:type="dxa"/>
            <w:vAlign w:val="bottom"/>
            <w:shd w:val="clear" w:color="auto" w:fill="E5E5E5"/>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7"/>
                <w:szCs w:val="17"/>
                <w:color w:val="auto"/>
              </w:rPr>
            </w:pPr>
          </w:p>
        </w:tc>
        <w:tc>
          <w:tcPr>
            <w:tcW w:w="800" w:type="dxa"/>
            <w:vAlign w:val="bottom"/>
            <w:shd w:val="clear" w:color="auto" w:fill="E5E5E5"/>
          </w:tcPr>
          <w:p>
            <w:pPr>
              <w:jc w:val="right"/>
              <w:ind w:right="132"/>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7"/>
                <w:szCs w:val="17"/>
                <w:color w:val="auto"/>
              </w:rPr>
            </w:pPr>
          </w:p>
        </w:tc>
        <w:tc>
          <w:tcPr>
            <w:tcW w:w="900" w:type="dxa"/>
            <w:vAlign w:val="bottom"/>
            <w:shd w:val="clear" w:color="auto" w:fill="E5E5E5"/>
          </w:tcPr>
          <w:p>
            <w:pPr>
              <w:jc w:val="right"/>
              <w:ind w:right="54"/>
              <w:spacing w:after="0" w:line="202" w:lineRule="exact"/>
              <w:rPr>
                <w:sz w:val="20"/>
                <w:szCs w:val="20"/>
                <w:color w:val="auto"/>
              </w:rPr>
            </w:pPr>
            <w:r>
              <w:rPr>
                <w:rFonts w:ascii="Arial" w:cs="Arial" w:eastAsia="Arial" w:hAnsi="Arial"/>
                <w:sz w:val="18"/>
                <w:szCs w:val="18"/>
                <w:color w:val="auto"/>
              </w:rPr>
              <w:t>(5,328)</w:t>
            </w:r>
          </w:p>
        </w:tc>
        <w:tc>
          <w:tcPr>
            <w:tcW w:w="360" w:type="dxa"/>
            <w:vAlign w:val="bottom"/>
            <w:shd w:val="clear" w:color="auto" w:fill="E5E5E5"/>
          </w:tcPr>
          <w:p>
            <w:pPr>
              <w:spacing w:after="0"/>
              <w:rPr>
                <w:sz w:val="17"/>
                <w:szCs w:val="17"/>
                <w:color w:val="auto"/>
              </w:rPr>
            </w:pPr>
          </w:p>
        </w:tc>
        <w:tc>
          <w:tcPr>
            <w:tcW w:w="88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540" w:type="dxa"/>
            <w:vAlign w:val="bottom"/>
          </w:tcPr>
          <w:p>
            <w:pPr>
              <w:ind w:left="200"/>
              <w:spacing w:after="0" w:line="202" w:lineRule="exact"/>
              <w:rPr>
                <w:sz w:val="20"/>
                <w:szCs w:val="20"/>
                <w:color w:val="auto"/>
              </w:rPr>
            </w:pPr>
            <w:r>
              <w:rPr>
                <w:rFonts w:ascii="Arial" w:cs="Arial" w:eastAsia="Arial" w:hAnsi="Arial"/>
                <w:sz w:val="18"/>
                <w:szCs w:val="18"/>
                <w:color w:val="auto"/>
              </w:rPr>
              <w:t>Stock-based compensation transactions</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ind w:right="73"/>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58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332</w:t>
            </w:r>
          </w:p>
        </w:tc>
        <w:tc>
          <w:tcPr>
            <w:tcW w:w="300" w:type="dxa"/>
            <w:vAlign w:val="bottom"/>
          </w:tcPr>
          <w:p>
            <w:pPr>
              <w:spacing w:after="0"/>
              <w:rPr>
                <w:sz w:val="17"/>
                <w:szCs w:val="17"/>
                <w:color w:val="auto"/>
              </w:rPr>
            </w:pPr>
          </w:p>
        </w:tc>
        <w:tc>
          <w:tcPr>
            <w:tcW w:w="80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90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8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540" w:type="dxa"/>
            <w:vAlign w:val="bottom"/>
            <w:shd w:val="clear" w:color="auto" w:fill="E5E5E5"/>
          </w:tcPr>
          <w:p>
            <w:pPr>
              <w:ind w:left="200"/>
              <w:spacing w:after="0" w:line="202" w:lineRule="exact"/>
              <w:rPr>
                <w:sz w:val="20"/>
                <w:szCs w:val="20"/>
                <w:color w:val="auto"/>
              </w:rPr>
            </w:pPr>
            <w:r>
              <w:rPr>
                <w:rFonts w:ascii="Arial" w:cs="Arial" w:eastAsia="Arial" w:hAnsi="Arial"/>
                <w:sz w:val="18"/>
                <w:szCs w:val="18"/>
                <w:color w:val="auto"/>
              </w:rPr>
              <w:t>Tax benefit from exercise of options</w:t>
            </w:r>
          </w:p>
        </w:tc>
        <w:tc>
          <w:tcPr>
            <w:tcW w:w="74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680" w:type="dxa"/>
            <w:vAlign w:val="bottom"/>
            <w:shd w:val="clear" w:color="auto" w:fill="E5E5E5"/>
          </w:tcPr>
          <w:p>
            <w:pPr>
              <w:jc w:val="right"/>
              <w:ind w:right="73"/>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7"/>
                <w:szCs w:val="17"/>
                <w:color w:val="auto"/>
              </w:rPr>
            </w:pPr>
          </w:p>
        </w:tc>
        <w:tc>
          <w:tcPr>
            <w:tcW w:w="580" w:type="dxa"/>
            <w:vAlign w:val="bottom"/>
            <w:shd w:val="clear" w:color="auto" w:fill="E5E5E5"/>
          </w:tcPr>
          <w:p>
            <w:pPr>
              <w:jc w:val="right"/>
              <w:ind w:right="112"/>
              <w:spacing w:after="0" w:line="202" w:lineRule="exact"/>
              <w:rPr>
                <w:sz w:val="20"/>
                <w:szCs w:val="20"/>
                <w:color w:val="auto"/>
              </w:rPr>
            </w:pPr>
            <w:r>
              <w:rPr>
                <w:rFonts w:ascii="Arial" w:cs="Arial" w:eastAsia="Arial" w:hAnsi="Arial"/>
                <w:sz w:val="18"/>
                <w:szCs w:val="18"/>
                <w:color w:val="auto"/>
              </w:rPr>
              <w:t>146</w:t>
            </w:r>
          </w:p>
        </w:tc>
        <w:tc>
          <w:tcPr>
            <w:tcW w:w="300" w:type="dxa"/>
            <w:vAlign w:val="bottom"/>
            <w:shd w:val="clear" w:color="auto" w:fill="E5E5E5"/>
          </w:tcPr>
          <w:p>
            <w:pPr>
              <w:spacing w:after="0"/>
              <w:rPr>
                <w:sz w:val="17"/>
                <w:szCs w:val="17"/>
                <w:color w:val="auto"/>
              </w:rPr>
            </w:pPr>
          </w:p>
        </w:tc>
        <w:tc>
          <w:tcPr>
            <w:tcW w:w="800" w:type="dxa"/>
            <w:vAlign w:val="bottom"/>
            <w:shd w:val="clear" w:color="auto" w:fill="E5E5E5"/>
          </w:tcPr>
          <w:p>
            <w:pPr>
              <w:jc w:val="right"/>
              <w:ind w:right="132"/>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7"/>
                <w:szCs w:val="17"/>
                <w:color w:val="auto"/>
              </w:rPr>
            </w:pPr>
          </w:p>
        </w:tc>
        <w:tc>
          <w:tcPr>
            <w:tcW w:w="900" w:type="dxa"/>
            <w:vAlign w:val="bottom"/>
            <w:shd w:val="clear" w:color="auto" w:fill="E5E5E5"/>
          </w:tcPr>
          <w:p>
            <w:pPr>
              <w:jc w:val="right"/>
              <w:ind w:right="114"/>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7"/>
                <w:szCs w:val="17"/>
                <w:color w:val="auto"/>
              </w:rPr>
            </w:pPr>
          </w:p>
        </w:tc>
        <w:tc>
          <w:tcPr>
            <w:tcW w:w="88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540" w:type="dxa"/>
            <w:vAlign w:val="bottom"/>
          </w:tcPr>
          <w:p>
            <w:pPr>
              <w:ind w:left="200"/>
              <w:spacing w:after="0" w:line="202" w:lineRule="exact"/>
              <w:rPr>
                <w:sz w:val="20"/>
                <w:szCs w:val="20"/>
                <w:color w:val="auto"/>
              </w:rPr>
            </w:pPr>
            <w:r>
              <w:rPr>
                <w:rFonts w:ascii="Arial" w:cs="Arial" w:eastAsia="Arial" w:hAnsi="Arial"/>
                <w:sz w:val="18"/>
                <w:szCs w:val="18"/>
                <w:color w:val="auto"/>
              </w:rPr>
              <w:t>Other comprehensive income, net of tax</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ind w:right="73"/>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58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80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90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8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52</w:t>
            </w:r>
          </w:p>
        </w:tc>
      </w:tr>
      <w:tr>
        <w:trPr>
          <w:trHeight w:val="203"/>
        </w:trPr>
        <w:tc>
          <w:tcPr>
            <w:tcW w:w="20" w:type="dxa"/>
            <w:vAlign w:val="bottom"/>
          </w:tcPr>
          <w:p>
            <w:pPr>
              <w:spacing w:after="0"/>
              <w:rPr>
                <w:sz w:val="17"/>
                <w:szCs w:val="17"/>
                <w:color w:val="auto"/>
              </w:rPr>
            </w:pPr>
          </w:p>
        </w:tc>
        <w:tc>
          <w:tcPr>
            <w:tcW w:w="5540" w:type="dxa"/>
            <w:vAlign w:val="bottom"/>
            <w:shd w:val="clear" w:color="auto" w:fill="E5E5E5"/>
          </w:tcPr>
          <w:p>
            <w:pPr>
              <w:ind w:left="200"/>
              <w:spacing w:after="0" w:line="202" w:lineRule="exact"/>
              <w:rPr>
                <w:sz w:val="20"/>
                <w:szCs w:val="20"/>
                <w:color w:val="auto"/>
              </w:rPr>
            </w:pPr>
            <w:r>
              <w:rPr>
                <w:rFonts w:ascii="Arial" w:cs="Arial" w:eastAsia="Arial" w:hAnsi="Arial"/>
                <w:sz w:val="18"/>
                <w:szCs w:val="18"/>
                <w:color w:val="auto"/>
              </w:rPr>
              <w:t>Adjustment for implementation of SFAS 158 (a)</w:t>
            </w:r>
          </w:p>
        </w:tc>
        <w:tc>
          <w:tcPr>
            <w:tcW w:w="74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680" w:type="dxa"/>
            <w:vAlign w:val="bottom"/>
            <w:shd w:val="clear" w:color="auto" w:fill="E5E5E5"/>
          </w:tcPr>
          <w:p>
            <w:pPr>
              <w:jc w:val="right"/>
              <w:ind w:right="73"/>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7"/>
                <w:szCs w:val="17"/>
                <w:color w:val="auto"/>
              </w:rPr>
            </w:pPr>
          </w:p>
        </w:tc>
        <w:tc>
          <w:tcPr>
            <w:tcW w:w="580" w:type="dxa"/>
            <w:vAlign w:val="bottom"/>
            <w:shd w:val="clear" w:color="auto" w:fill="E5E5E5"/>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7"/>
                <w:szCs w:val="17"/>
                <w:color w:val="auto"/>
              </w:rPr>
            </w:pPr>
          </w:p>
        </w:tc>
        <w:tc>
          <w:tcPr>
            <w:tcW w:w="800" w:type="dxa"/>
            <w:vAlign w:val="bottom"/>
            <w:shd w:val="clear" w:color="auto" w:fill="E5E5E5"/>
          </w:tcPr>
          <w:p>
            <w:pPr>
              <w:jc w:val="right"/>
              <w:ind w:right="72"/>
              <w:spacing w:after="0" w:line="202" w:lineRule="exact"/>
              <w:rPr>
                <w:sz w:val="20"/>
                <w:szCs w:val="20"/>
                <w:color w:val="auto"/>
              </w:rPr>
            </w:pPr>
            <w:r>
              <w:rPr>
                <w:rFonts w:ascii="Arial" w:cs="Arial" w:eastAsia="Arial" w:hAnsi="Arial"/>
                <w:sz w:val="18"/>
                <w:szCs w:val="18"/>
                <w:color w:val="auto"/>
              </w:rPr>
              <w:t>(6)</w:t>
            </w:r>
          </w:p>
        </w:tc>
        <w:tc>
          <w:tcPr>
            <w:tcW w:w="240" w:type="dxa"/>
            <w:vAlign w:val="bottom"/>
            <w:shd w:val="clear" w:color="auto" w:fill="E5E5E5"/>
          </w:tcPr>
          <w:p>
            <w:pPr>
              <w:spacing w:after="0"/>
              <w:rPr>
                <w:sz w:val="17"/>
                <w:szCs w:val="17"/>
                <w:color w:val="auto"/>
              </w:rPr>
            </w:pPr>
          </w:p>
        </w:tc>
        <w:tc>
          <w:tcPr>
            <w:tcW w:w="900" w:type="dxa"/>
            <w:vAlign w:val="bottom"/>
            <w:shd w:val="clear" w:color="auto" w:fill="E5E5E5"/>
          </w:tcPr>
          <w:p>
            <w:pPr>
              <w:jc w:val="right"/>
              <w:ind w:right="114"/>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7"/>
                <w:szCs w:val="17"/>
                <w:color w:val="auto"/>
              </w:rPr>
            </w:pPr>
          </w:p>
        </w:tc>
        <w:tc>
          <w:tcPr>
            <w:tcW w:w="88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(334)</w:t>
            </w:r>
          </w:p>
        </w:tc>
      </w:tr>
      <w:tr>
        <w:trPr>
          <w:trHeight w:val="210"/>
        </w:trPr>
        <w:tc>
          <w:tcPr>
            <w:tcW w:w="20" w:type="dxa"/>
            <w:vAlign w:val="bottom"/>
          </w:tcPr>
          <w:p>
            <w:pPr>
              <w:spacing w:after="0"/>
              <w:rPr>
                <w:sz w:val="18"/>
                <w:szCs w:val="18"/>
                <w:color w:val="auto"/>
              </w:rPr>
            </w:pPr>
          </w:p>
        </w:tc>
        <w:tc>
          <w:tcPr>
            <w:tcW w:w="5540" w:type="dxa"/>
            <w:vAlign w:val="bottom"/>
          </w:tcPr>
          <w:p>
            <w:pPr>
              <w:ind w:left="200"/>
              <w:spacing w:after="0" w:line="202" w:lineRule="exact"/>
              <w:rPr>
                <w:sz w:val="20"/>
                <w:szCs w:val="20"/>
                <w:color w:val="auto"/>
              </w:rPr>
            </w:pPr>
            <w:r>
              <w:rPr>
                <w:rFonts w:ascii="Arial" w:cs="Arial" w:eastAsia="Arial" w:hAnsi="Arial"/>
                <w:sz w:val="18"/>
                <w:szCs w:val="18"/>
                <w:color w:val="auto"/>
              </w:rPr>
              <w:t>Other</w:t>
            </w:r>
          </w:p>
        </w:tc>
        <w:tc>
          <w:tcPr>
            <w:tcW w:w="7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73"/>
              <w:spacing w:after="0" w:line="202"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52"/>
              <w:spacing w:after="0" w:line="202" w:lineRule="exact"/>
              <w:rPr>
                <w:sz w:val="20"/>
                <w:szCs w:val="20"/>
                <w:color w:val="auto"/>
              </w:rPr>
            </w:pPr>
            <w:r>
              <w:rPr>
                <w:rFonts w:ascii="Arial" w:cs="Arial" w:eastAsia="Arial" w:hAnsi="Arial"/>
                <w:sz w:val="18"/>
                <w:szCs w:val="18"/>
                <w:color w:val="auto"/>
              </w:rPr>
              <w:t>(5)</w:t>
            </w: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72"/>
              <w:spacing w:after="0" w:line="202" w:lineRule="exact"/>
              <w:rPr>
                <w:sz w:val="20"/>
                <w:szCs w:val="20"/>
                <w:color w:val="auto"/>
              </w:rPr>
            </w:pPr>
            <w:r>
              <w:rPr>
                <w:rFonts w:ascii="Arial" w:cs="Arial" w:eastAsia="Arial" w:hAnsi="Arial"/>
                <w:sz w:val="18"/>
                <w:szCs w:val="18"/>
                <w:color w:val="auto"/>
              </w:rPr>
              <w:t>(1)</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14"/>
              <w:spacing w:after="0" w:line="202" w:lineRule="exact"/>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5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Balance, December 31, 2006</w:t>
            </w:r>
          </w:p>
        </w:tc>
        <w:tc>
          <w:tcPr>
            <w:tcW w:w="74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680" w:type="dxa"/>
            <w:vAlign w:val="bottom"/>
            <w:shd w:val="clear" w:color="auto" w:fill="E5E5E5"/>
          </w:tcPr>
          <w:p>
            <w:pPr>
              <w:jc w:val="right"/>
              <w:ind w:right="73"/>
              <w:spacing w:after="0" w:line="202" w:lineRule="exact"/>
              <w:rPr>
                <w:sz w:val="20"/>
                <w:szCs w:val="20"/>
                <w:color w:val="auto"/>
              </w:rPr>
            </w:pPr>
            <w:r>
              <w:rPr>
                <w:rFonts w:ascii="Arial" w:cs="Arial" w:eastAsia="Arial" w:hAnsi="Arial"/>
                <w:sz w:val="18"/>
                <w:szCs w:val="18"/>
                <w:color w:val="auto"/>
              </w:rPr>
              <w:t>1,739</w:t>
            </w:r>
          </w:p>
        </w:tc>
        <w:tc>
          <w:tcPr>
            <w:tcW w:w="260" w:type="dxa"/>
            <w:vAlign w:val="bottom"/>
            <w:shd w:val="clear" w:color="auto" w:fill="E5E5E5"/>
          </w:tcPr>
          <w:p>
            <w:pPr>
              <w:spacing w:after="0"/>
              <w:rPr>
                <w:sz w:val="17"/>
                <w:szCs w:val="17"/>
                <w:color w:val="auto"/>
              </w:rPr>
            </w:pPr>
          </w:p>
        </w:tc>
        <w:tc>
          <w:tcPr>
            <w:tcW w:w="580" w:type="dxa"/>
            <w:vAlign w:val="bottom"/>
            <w:shd w:val="clear" w:color="auto" w:fill="E5E5E5"/>
          </w:tcPr>
          <w:p>
            <w:pPr>
              <w:jc w:val="right"/>
              <w:ind w:right="112"/>
              <w:spacing w:after="0" w:line="202" w:lineRule="exact"/>
              <w:rPr>
                <w:sz w:val="20"/>
                <w:szCs w:val="20"/>
                <w:color w:val="auto"/>
              </w:rPr>
            </w:pPr>
            <w:r>
              <w:rPr>
                <w:rFonts w:ascii="Arial" w:cs="Arial" w:eastAsia="Arial" w:hAnsi="Arial"/>
                <w:sz w:val="18"/>
                <w:szCs w:val="18"/>
                <w:color w:val="auto"/>
              </w:rPr>
              <w:t>885</w:t>
            </w:r>
          </w:p>
        </w:tc>
        <w:tc>
          <w:tcPr>
            <w:tcW w:w="300" w:type="dxa"/>
            <w:vAlign w:val="bottom"/>
            <w:shd w:val="clear" w:color="auto" w:fill="E5E5E5"/>
          </w:tcPr>
          <w:p>
            <w:pPr>
              <w:spacing w:after="0"/>
              <w:rPr>
                <w:sz w:val="17"/>
                <w:szCs w:val="17"/>
                <w:color w:val="auto"/>
              </w:rPr>
            </w:pPr>
          </w:p>
        </w:tc>
        <w:tc>
          <w:tcPr>
            <w:tcW w:w="800" w:type="dxa"/>
            <w:vAlign w:val="bottom"/>
            <w:shd w:val="clear" w:color="auto" w:fill="E5E5E5"/>
          </w:tcPr>
          <w:p>
            <w:pPr>
              <w:jc w:val="right"/>
              <w:ind w:right="132"/>
              <w:spacing w:after="0" w:line="202" w:lineRule="exact"/>
              <w:rPr>
                <w:sz w:val="20"/>
                <w:szCs w:val="20"/>
                <w:color w:val="auto"/>
              </w:rPr>
            </w:pPr>
            <w:r>
              <w:rPr>
                <w:rFonts w:ascii="Arial" w:cs="Arial" w:eastAsia="Arial" w:hAnsi="Arial"/>
                <w:sz w:val="18"/>
                <w:szCs w:val="18"/>
                <w:color w:val="auto"/>
              </w:rPr>
              <w:t>17,529</w:t>
            </w:r>
          </w:p>
        </w:tc>
        <w:tc>
          <w:tcPr>
            <w:tcW w:w="240" w:type="dxa"/>
            <w:vAlign w:val="bottom"/>
            <w:shd w:val="clear" w:color="auto" w:fill="E5E5E5"/>
          </w:tcPr>
          <w:p>
            <w:pPr>
              <w:spacing w:after="0"/>
              <w:rPr>
                <w:sz w:val="17"/>
                <w:szCs w:val="17"/>
                <w:color w:val="auto"/>
              </w:rPr>
            </w:pPr>
          </w:p>
        </w:tc>
        <w:tc>
          <w:tcPr>
            <w:tcW w:w="900" w:type="dxa"/>
            <w:vAlign w:val="bottom"/>
            <w:shd w:val="clear" w:color="auto" w:fill="E5E5E5"/>
          </w:tcPr>
          <w:p>
            <w:pPr>
              <w:jc w:val="right"/>
              <w:ind w:right="54"/>
              <w:spacing w:after="0" w:line="202" w:lineRule="exact"/>
              <w:rPr>
                <w:sz w:val="20"/>
                <w:szCs w:val="20"/>
                <w:color w:val="auto"/>
              </w:rPr>
            </w:pPr>
            <w:r>
              <w:rPr>
                <w:rFonts w:ascii="Arial" w:cs="Arial" w:eastAsia="Arial" w:hAnsi="Arial"/>
                <w:sz w:val="18"/>
                <w:szCs w:val="18"/>
                <w:color w:val="auto"/>
              </w:rPr>
              <w:t>(8,430)</w:t>
            </w:r>
          </w:p>
        </w:tc>
        <w:tc>
          <w:tcPr>
            <w:tcW w:w="360" w:type="dxa"/>
            <w:vAlign w:val="bottom"/>
            <w:shd w:val="clear" w:color="auto" w:fill="E5E5E5"/>
          </w:tcPr>
          <w:p>
            <w:pPr>
              <w:spacing w:after="0"/>
              <w:rPr>
                <w:sz w:val="17"/>
                <w:szCs w:val="17"/>
                <w:color w:val="auto"/>
              </w:rPr>
            </w:pPr>
          </w:p>
        </w:tc>
        <w:tc>
          <w:tcPr>
            <w:tcW w:w="88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(363)</w:t>
            </w:r>
          </w:p>
        </w:tc>
      </w:tr>
      <w:tr>
        <w:trPr>
          <w:trHeight w:val="318"/>
        </w:trPr>
        <w:tc>
          <w:tcPr>
            <w:tcW w:w="20" w:type="dxa"/>
            <w:vAlign w:val="bottom"/>
          </w:tcPr>
          <w:p>
            <w:pPr>
              <w:spacing w:after="0"/>
              <w:rPr>
                <w:sz w:val="24"/>
                <w:szCs w:val="24"/>
                <w:color w:val="auto"/>
              </w:rPr>
            </w:pPr>
          </w:p>
        </w:tc>
        <w:tc>
          <w:tcPr>
            <w:tcW w:w="5540" w:type="dxa"/>
            <w:vAlign w:val="bottom"/>
          </w:tcPr>
          <w:p>
            <w:pPr>
              <w:ind w:left="200"/>
              <w:spacing w:after="0"/>
              <w:rPr>
                <w:sz w:val="20"/>
                <w:szCs w:val="20"/>
                <w:color w:val="auto"/>
              </w:rPr>
            </w:pPr>
            <w:r>
              <w:rPr>
                <w:rFonts w:ascii="Arial" w:cs="Arial" w:eastAsia="Arial" w:hAnsi="Arial"/>
                <w:sz w:val="18"/>
                <w:szCs w:val="18"/>
                <w:b w:val="1"/>
                <w:bCs w:val="1"/>
                <w:color w:val="auto"/>
              </w:rPr>
              <w:t>Net income</w:t>
            </w:r>
          </w:p>
        </w:tc>
        <w:tc>
          <w:tcPr>
            <w:tcW w:w="7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w:t>
            </w:r>
          </w:p>
        </w:tc>
        <w:tc>
          <w:tcPr>
            <w:tcW w:w="26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w:t>
            </w:r>
          </w:p>
        </w:tc>
        <w:tc>
          <w:tcPr>
            <w:tcW w:w="3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2,657</w:t>
            </w: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jc w:val="right"/>
              <w:ind w:right="114"/>
              <w:spacing w:after="0"/>
              <w:rPr>
                <w:sz w:val="20"/>
                <w:szCs w:val="20"/>
                <w:color w:val="auto"/>
              </w:rPr>
            </w:pPr>
            <w:r>
              <w:rPr>
                <w:rFonts w:ascii="Arial" w:cs="Arial" w:eastAsia="Arial" w:hAnsi="Arial"/>
                <w:sz w:val="18"/>
                <w:szCs w:val="18"/>
                <w:b w:val="1"/>
                <w:bCs w:val="1"/>
                <w:color w:val="auto"/>
              </w:rPr>
              <w:t>—</w:t>
            </w:r>
          </w:p>
        </w:tc>
        <w:tc>
          <w:tcPr>
            <w:tcW w:w="3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5540" w:type="dxa"/>
            <w:vAlign w:val="bottom"/>
            <w:shd w:val="clear" w:color="auto" w:fill="E5E5E5"/>
          </w:tcPr>
          <w:p>
            <w:pPr>
              <w:ind w:left="200"/>
              <w:spacing w:after="0" w:line="202" w:lineRule="exact"/>
              <w:rPr>
                <w:sz w:val="20"/>
                <w:szCs w:val="20"/>
                <w:color w:val="auto"/>
              </w:rPr>
            </w:pPr>
            <w:r>
              <w:rPr>
                <w:rFonts w:ascii="Arial" w:cs="Arial" w:eastAsia="Arial" w:hAnsi="Arial"/>
                <w:sz w:val="18"/>
                <w:szCs w:val="18"/>
                <w:b w:val="1"/>
                <w:bCs w:val="1"/>
                <w:color w:val="auto"/>
              </w:rPr>
              <w:t>Dividends declared on common stock ($.300 per share)</w:t>
            </w:r>
          </w:p>
        </w:tc>
        <w:tc>
          <w:tcPr>
            <w:tcW w:w="74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680" w:type="dxa"/>
            <w:vAlign w:val="bottom"/>
            <w:shd w:val="clear" w:color="auto" w:fill="E5E5E5"/>
          </w:tcPr>
          <w:p>
            <w:pPr>
              <w:jc w:val="right"/>
              <w:ind w:right="73"/>
              <w:spacing w:after="0" w:line="202" w:lineRule="exact"/>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E5E5E5"/>
          </w:tcPr>
          <w:p>
            <w:pPr>
              <w:spacing w:after="0"/>
              <w:rPr>
                <w:sz w:val="17"/>
                <w:szCs w:val="17"/>
                <w:color w:val="auto"/>
              </w:rPr>
            </w:pPr>
          </w:p>
        </w:tc>
        <w:tc>
          <w:tcPr>
            <w:tcW w:w="580" w:type="dxa"/>
            <w:vAlign w:val="bottom"/>
            <w:shd w:val="clear" w:color="auto" w:fill="E5E5E5"/>
          </w:tcPr>
          <w:p>
            <w:pPr>
              <w:jc w:val="right"/>
              <w:ind w:right="112"/>
              <w:spacing w:after="0" w:line="202" w:lineRule="exact"/>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E5E5E5"/>
          </w:tcPr>
          <w:p>
            <w:pPr>
              <w:spacing w:after="0"/>
              <w:rPr>
                <w:sz w:val="17"/>
                <w:szCs w:val="17"/>
                <w:color w:val="auto"/>
              </w:rPr>
            </w:pPr>
          </w:p>
        </w:tc>
        <w:tc>
          <w:tcPr>
            <w:tcW w:w="800" w:type="dxa"/>
            <w:vAlign w:val="bottom"/>
            <w:shd w:val="clear" w:color="auto" w:fill="E5E5E5"/>
          </w:tcPr>
          <w:p>
            <w:pPr>
              <w:jc w:val="right"/>
              <w:ind w:right="72"/>
              <w:spacing w:after="0" w:line="202" w:lineRule="exact"/>
              <w:rPr>
                <w:sz w:val="20"/>
                <w:szCs w:val="20"/>
                <w:color w:val="auto"/>
              </w:rPr>
            </w:pPr>
            <w:r>
              <w:rPr>
                <w:rFonts w:ascii="Arial" w:cs="Arial" w:eastAsia="Arial" w:hAnsi="Arial"/>
                <w:sz w:val="18"/>
                <w:szCs w:val="18"/>
                <w:b w:val="1"/>
                <w:bCs w:val="1"/>
                <w:color w:val="auto"/>
              </w:rPr>
              <w:t>(425)</w:t>
            </w:r>
          </w:p>
        </w:tc>
        <w:tc>
          <w:tcPr>
            <w:tcW w:w="240" w:type="dxa"/>
            <w:vAlign w:val="bottom"/>
            <w:shd w:val="clear" w:color="auto" w:fill="E5E5E5"/>
          </w:tcPr>
          <w:p>
            <w:pPr>
              <w:spacing w:after="0"/>
              <w:rPr>
                <w:sz w:val="17"/>
                <w:szCs w:val="17"/>
                <w:color w:val="auto"/>
              </w:rPr>
            </w:pPr>
          </w:p>
        </w:tc>
        <w:tc>
          <w:tcPr>
            <w:tcW w:w="900" w:type="dxa"/>
            <w:vAlign w:val="bottom"/>
            <w:shd w:val="clear" w:color="auto" w:fill="E5E5E5"/>
          </w:tcPr>
          <w:p>
            <w:pPr>
              <w:jc w:val="right"/>
              <w:ind w:right="114"/>
              <w:spacing w:after="0" w:line="202" w:lineRule="exact"/>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E5E5E5"/>
          </w:tcPr>
          <w:p>
            <w:pPr>
              <w:spacing w:after="0"/>
              <w:rPr>
                <w:sz w:val="17"/>
                <w:szCs w:val="17"/>
                <w:color w:val="auto"/>
              </w:rPr>
            </w:pPr>
          </w:p>
        </w:tc>
        <w:tc>
          <w:tcPr>
            <w:tcW w:w="88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b w:val="1"/>
                <w:bCs w:val="1"/>
                <w:color w:val="auto"/>
              </w:rPr>
              <w:t>—</w:t>
            </w:r>
          </w:p>
        </w:tc>
      </w:tr>
      <w:tr>
        <w:trPr>
          <w:trHeight w:val="203"/>
        </w:trPr>
        <w:tc>
          <w:tcPr>
            <w:tcW w:w="20" w:type="dxa"/>
            <w:vAlign w:val="bottom"/>
          </w:tcPr>
          <w:p>
            <w:pPr>
              <w:spacing w:after="0"/>
              <w:rPr>
                <w:sz w:val="17"/>
                <w:szCs w:val="17"/>
                <w:color w:val="auto"/>
              </w:rPr>
            </w:pPr>
          </w:p>
        </w:tc>
        <w:tc>
          <w:tcPr>
            <w:tcW w:w="5540" w:type="dxa"/>
            <w:vAlign w:val="bottom"/>
          </w:tcPr>
          <w:p>
            <w:pPr>
              <w:ind w:left="200"/>
              <w:spacing w:after="0" w:line="202" w:lineRule="exact"/>
              <w:rPr>
                <w:sz w:val="20"/>
                <w:szCs w:val="20"/>
                <w:color w:val="auto"/>
              </w:rPr>
            </w:pPr>
            <w:r>
              <w:rPr>
                <w:rFonts w:ascii="Arial" w:cs="Arial" w:eastAsia="Arial" w:hAnsi="Arial"/>
                <w:sz w:val="18"/>
                <w:szCs w:val="18"/>
                <w:b w:val="1"/>
                <w:bCs w:val="1"/>
                <w:color w:val="auto"/>
              </w:rPr>
              <w:t>Common stock issued on exercise of stock options</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ind w:right="73"/>
              <w:spacing w:after="0" w:line="202" w:lineRule="exact"/>
              <w:rPr>
                <w:sz w:val="20"/>
                <w:szCs w:val="20"/>
                <w:color w:val="auto"/>
              </w:rPr>
            </w:pPr>
            <w:r>
              <w:rPr>
                <w:rFonts w:ascii="Arial" w:cs="Arial" w:eastAsia="Arial" w:hAnsi="Arial"/>
                <w:sz w:val="18"/>
                <w:szCs w:val="18"/>
                <w:b w:val="1"/>
                <w:bCs w:val="1"/>
                <w:color w:val="auto"/>
              </w:rPr>
              <w:t>1</w:t>
            </w:r>
          </w:p>
        </w:tc>
        <w:tc>
          <w:tcPr>
            <w:tcW w:w="260" w:type="dxa"/>
            <w:vAlign w:val="bottom"/>
          </w:tcPr>
          <w:p>
            <w:pPr>
              <w:spacing w:after="0"/>
              <w:rPr>
                <w:sz w:val="17"/>
                <w:szCs w:val="17"/>
                <w:color w:val="auto"/>
              </w:rPr>
            </w:pPr>
          </w:p>
        </w:tc>
        <w:tc>
          <w:tcPr>
            <w:tcW w:w="580" w:type="dxa"/>
            <w:vAlign w:val="bottom"/>
          </w:tcPr>
          <w:p>
            <w:pPr>
              <w:jc w:val="right"/>
              <w:ind w:right="52"/>
              <w:spacing w:after="0" w:line="202" w:lineRule="exact"/>
              <w:rPr>
                <w:sz w:val="20"/>
                <w:szCs w:val="20"/>
                <w:color w:val="auto"/>
              </w:rPr>
            </w:pPr>
            <w:r>
              <w:rPr>
                <w:rFonts w:ascii="Arial" w:cs="Arial" w:eastAsia="Arial" w:hAnsi="Arial"/>
                <w:sz w:val="18"/>
                <w:szCs w:val="18"/>
                <w:b w:val="1"/>
                <w:bCs w:val="1"/>
                <w:color w:val="auto"/>
                <w:w w:val="99"/>
              </w:rPr>
              <w:t>(437)</w:t>
            </w:r>
          </w:p>
        </w:tc>
        <w:tc>
          <w:tcPr>
            <w:tcW w:w="300" w:type="dxa"/>
            <w:vAlign w:val="bottom"/>
          </w:tcPr>
          <w:p>
            <w:pPr>
              <w:spacing w:after="0"/>
              <w:rPr>
                <w:sz w:val="17"/>
                <w:szCs w:val="17"/>
                <w:color w:val="auto"/>
              </w:rPr>
            </w:pPr>
          </w:p>
        </w:tc>
        <w:tc>
          <w:tcPr>
            <w:tcW w:w="800" w:type="dxa"/>
            <w:vAlign w:val="bottom"/>
          </w:tcPr>
          <w:p>
            <w:pPr>
              <w:jc w:val="right"/>
              <w:ind w:right="132"/>
              <w:spacing w:after="0" w:line="202" w:lineRule="exact"/>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7"/>
                <w:szCs w:val="17"/>
                <w:color w:val="auto"/>
              </w:rPr>
            </w:pPr>
          </w:p>
        </w:tc>
        <w:tc>
          <w:tcPr>
            <w:tcW w:w="900" w:type="dxa"/>
            <w:vAlign w:val="bottom"/>
          </w:tcPr>
          <w:p>
            <w:pPr>
              <w:jc w:val="right"/>
              <w:ind w:right="114"/>
              <w:spacing w:after="0" w:line="202" w:lineRule="exact"/>
              <w:rPr>
                <w:sz w:val="20"/>
                <w:szCs w:val="20"/>
                <w:color w:val="auto"/>
              </w:rPr>
            </w:pPr>
            <w:r>
              <w:rPr>
                <w:rFonts w:ascii="Arial" w:cs="Arial" w:eastAsia="Arial" w:hAnsi="Arial"/>
                <w:sz w:val="18"/>
                <w:szCs w:val="18"/>
                <w:b w:val="1"/>
                <w:bCs w:val="1"/>
                <w:color w:val="auto"/>
              </w:rPr>
              <w:t>1,191</w:t>
            </w:r>
          </w:p>
        </w:tc>
        <w:tc>
          <w:tcPr>
            <w:tcW w:w="360" w:type="dxa"/>
            <w:vAlign w:val="bottom"/>
          </w:tcPr>
          <w:p>
            <w:pPr>
              <w:spacing w:after="0"/>
              <w:rPr>
                <w:sz w:val="17"/>
                <w:szCs w:val="17"/>
                <w:color w:val="auto"/>
              </w:rPr>
            </w:pPr>
          </w:p>
        </w:tc>
        <w:tc>
          <w:tcPr>
            <w:tcW w:w="88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w:t>
            </w:r>
          </w:p>
        </w:tc>
      </w:tr>
      <w:tr>
        <w:trPr>
          <w:trHeight w:val="203"/>
        </w:trPr>
        <w:tc>
          <w:tcPr>
            <w:tcW w:w="20" w:type="dxa"/>
            <w:vAlign w:val="bottom"/>
          </w:tcPr>
          <w:p>
            <w:pPr>
              <w:spacing w:after="0"/>
              <w:rPr>
                <w:sz w:val="17"/>
                <w:szCs w:val="17"/>
                <w:color w:val="auto"/>
              </w:rPr>
            </w:pPr>
          </w:p>
        </w:tc>
        <w:tc>
          <w:tcPr>
            <w:tcW w:w="5540" w:type="dxa"/>
            <w:vAlign w:val="bottom"/>
            <w:shd w:val="clear" w:color="auto" w:fill="E5E5E5"/>
          </w:tcPr>
          <w:p>
            <w:pPr>
              <w:ind w:left="200"/>
              <w:spacing w:after="0" w:line="202" w:lineRule="exact"/>
              <w:rPr>
                <w:sz w:val="20"/>
                <w:szCs w:val="20"/>
                <w:color w:val="auto"/>
              </w:rPr>
            </w:pPr>
            <w:r>
              <w:rPr>
                <w:rFonts w:ascii="Arial" w:cs="Arial" w:eastAsia="Arial" w:hAnsi="Arial"/>
                <w:sz w:val="18"/>
                <w:szCs w:val="18"/>
                <w:b w:val="1"/>
                <w:bCs w:val="1"/>
                <w:color w:val="auto"/>
              </w:rPr>
              <w:t>Stock repurchases</w:t>
            </w:r>
          </w:p>
        </w:tc>
        <w:tc>
          <w:tcPr>
            <w:tcW w:w="74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680" w:type="dxa"/>
            <w:vAlign w:val="bottom"/>
            <w:shd w:val="clear" w:color="auto" w:fill="E5E5E5"/>
          </w:tcPr>
          <w:p>
            <w:pPr>
              <w:jc w:val="right"/>
              <w:ind w:right="73"/>
              <w:spacing w:after="0" w:line="202" w:lineRule="exact"/>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E5E5E5"/>
          </w:tcPr>
          <w:p>
            <w:pPr>
              <w:spacing w:after="0"/>
              <w:rPr>
                <w:sz w:val="17"/>
                <w:szCs w:val="17"/>
                <w:color w:val="auto"/>
              </w:rPr>
            </w:pPr>
          </w:p>
        </w:tc>
        <w:tc>
          <w:tcPr>
            <w:tcW w:w="580" w:type="dxa"/>
            <w:vAlign w:val="bottom"/>
            <w:shd w:val="clear" w:color="auto" w:fill="E5E5E5"/>
          </w:tcPr>
          <w:p>
            <w:pPr>
              <w:jc w:val="right"/>
              <w:ind w:right="112"/>
              <w:spacing w:after="0" w:line="202" w:lineRule="exact"/>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E5E5E5"/>
          </w:tcPr>
          <w:p>
            <w:pPr>
              <w:spacing w:after="0"/>
              <w:rPr>
                <w:sz w:val="17"/>
                <w:szCs w:val="17"/>
                <w:color w:val="auto"/>
              </w:rPr>
            </w:pPr>
          </w:p>
        </w:tc>
        <w:tc>
          <w:tcPr>
            <w:tcW w:w="800" w:type="dxa"/>
            <w:vAlign w:val="bottom"/>
            <w:shd w:val="clear" w:color="auto" w:fill="E5E5E5"/>
          </w:tcPr>
          <w:p>
            <w:pPr>
              <w:jc w:val="right"/>
              <w:ind w:right="132"/>
              <w:spacing w:after="0" w:line="202" w:lineRule="exact"/>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E5E5E5"/>
          </w:tcPr>
          <w:p>
            <w:pPr>
              <w:spacing w:after="0"/>
              <w:rPr>
                <w:sz w:val="17"/>
                <w:szCs w:val="17"/>
                <w:color w:val="auto"/>
              </w:rPr>
            </w:pPr>
          </w:p>
        </w:tc>
        <w:tc>
          <w:tcPr>
            <w:tcW w:w="900" w:type="dxa"/>
            <w:vAlign w:val="bottom"/>
            <w:shd w:val="clear" w:color="auto" w:fill="E5E5E5"/>
          </w:tcPr>
          <w:p>
            <w:pPr>
              <w:jc w:val="right"/>
              <w:ind w:right="54"/>
              <w:spacing w:after="0" w:line="202" w:lineRule="exact"/>
              <w:rPr>
                <w:sz w:val="20"/>
                <w:szCs w:val="20"/>
                <w:color w:val="auto"/>
              </w:rPr>
            </w:pPr>
            <w:r>
              <w:rPr>
                <w:rFonts w:ascii="Arial" w:cs="Arial" w:eastAsia="Arial" w:hAnsi="Arial"/>
                <w:sz w:val="18"/>
                <w:szCs w:val="18"/>
                <w:b w:val="1"/>
                <w:bCs w:val="1"/>
                <w:color w:val="auto"/>
              </w:rPr>
              <w:t>(4,921)</w:t>
            </w:r>
          </w:p>
        </w:tc>
        <w:tc>
          <w:tcPr>
            <w:tcW w:w="360" w:type="dxa"/>
            <w:vAlign w:val="bottom"/>
            <w:shd w:val="clear" w:color="auto" w:fill="E5E5E5"/>
          </w:tcPr>
          <w:p>
            <w:pPr>
              <w:spacing w:after="0"/>
              <w:rPr>
                <w:sz w:val="17"/>
                <w:szCs w:val="17"/>
                <w:color w:val="auto"/>
              </w:rPr>
            </w:pPr>
          </w:p>
        </w:tc>
        <w:tc>
          <w:tcPr>
            <w:tcW w:w="88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b w:val="1"/>
                <w:bCs w:val="1"/>
                <w:color w:val="auto"/>
              </w:rPr>
              <w:t>—</w:t>
            </w:r>
          </w:p>
        </w:tc>
      </w:tr>
      <w:tr>
        <w:trPr>
          <w:trHeight w:val="203"/>
        </w:trPr>
        <w:tc>
          <w:tcPr>
            <w:tcW w:w="20" w:type="dxa"/>
            <w:vAlign w:val="bottom"/>
          </w:tcPr>
          <w:p>
            <w:pPr>
              <w:spacing w:after="0"/>
              <w:rPr>
                <w:sz w:val="17"/>
                <w:szCs w:val="17"/>
                <w:color w:val="auto"/>
              </w:rPr>
            </w:pPr>
          </w:p>
        </w:tc>
        <w:tc>
          <w:tcPr>
            <w:tcW w:w="5540" w:type="dxa"/>
            <w:vAlign w:val="bottom"/>
          </w:tcPr>
          <w:p>
            <w:pPr>
              <w:ind w:left="200"/>
              <w:spacing w:after="0" w:line="202" w:lineRule="exact"/>
              <w:rPr>
                <w:sz w:val="20"/>
                <w:szCs w:val="20"/>
                <w:color w:val="auto"/>
              </w:rPr>
            </w:pPr>
            <w:r>
              <w:rPr>
                <w:rFonts w:ascii="Arial" w:cs="Arial" w:eastAsia="Arial" w:hAnsi="Arial"/>
                <w:sz w:val="18"/>
                <w:szCs w:val="18"/>
                <w:b w:val="1"/>
                <w:bCs w:val="1"/>
                <w:color w:val="auto"/>
              </w:rPr>
              <w:t>Stock-based compensation transactions</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ind w:right="73"/>
              <w:spacing w:after="0" w:line="202" w:lineRule="exact"/>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7"/>
                <w:szCs w:val="17"/>
                <w:color w:val="auto"/>
              </w:rPr>
            </w:pPr>
          </w:p>
        </w:tc>
        <w:tc>
          <w:tcPr>
            <w:tcW w:w="580" w:type="dxa"/>
            <w:vAlign w:val="bottom"/>
          </w:tcPr>
          <w:p>
            <w:pPr>
              <w:jc w:val="right"/>
              <w:ind w:right="112"/>
              <w:spacing w:after="0" w:line="202" w:lineRule="exact"/>
              <w:rPr>
                <w:sz w:val="20"/>
                <w:szCs w:val="20"/>
                <w:color w:val="auto"/>
              </w:rPr>
            </w:pPr>
            <w:r>
              <w:rPr>
                <w:rFonts w:ascii="Arial" w:cs="Arial" w:eastAsia="Arial" w:hAnsi="Arial"/>
                <w:sz w:val="18"/>
                <w:szCs w:val="18"/>
                <w:b w:val="1"/>
                <w:bCs w:val="1"/>
                <w:color w:val="auto"/>
              </w:rPr>
              <w:t>280</w:t>
            </w:r>
          </w:p>
        </w:tc>
        <w:tc>
          <w:tcPr>
            <w:tcW w:w="300" w:type="dxa"/>
            <w:vAlign w:val="bottom"/>
          </w:tcPr>
          <w:p>
            <w:pPr>
              <w:spacing w:after="0"/>
              <w:rPr>
                <w:sz w:val="17"/>
                <w:szCs w:val="17"/>
                <w:color w:val="auto"/>
              </w:rPr>
            </w:pPr>
          </w:p>
        </w:tc>
        <w:tc>
          <w:tcPr>
            <w:tcW w:w="800" w:type="dxa"/>
            <w:vAlign w:val="bottom"/>
          </w:tcPr>
          <w:p>
            <w:pPr>
              <w:jc w:val="right"/>
              <w:ind w:right="132"/>
              <w:spacing w:after="0" w:line="202" w:lineRule="exact"/>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7"/>
                <w:szCs w:val="17"/>
                <w:color w:val="auto"/>
              </w:rPr>
            </w:pPr>
          </w:p>
        </w:tc>
        <w:tc>
          <w:tcPr>
            <w:tcW w:w="900" w:type="dxa"/>
            <w:vAlign w:val="bottom"/>
          </w:tcPr>
          <w:p>
            <w:pPr>
              <w:jc w:val="right"/>
              <w:ind w:right="114"/>
              <w:spacing w:after="0" w:line="202" w:lineRule="exact"/>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7"/>
                <w:szCs w:val="17"/>
                <w:color w:val="auto"/>
              </w:rPr>
            </w:pPr>
          </w:p>
        </w:tc>
        <w:tc>
          <w:tcPr>
            <w:tcW w:w="88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w:t>
            </w:r>
          </w:p>
        </w:tc>
      </w:tr>
      <w:tr>
        <w:trPr>
          <w:trHeight w:val="203"/>
        </w:trPr>
        <w:tc>
          <w:tcPr>
            <w:tcW w:w="20" w:type="dxa"/>
            <w:vAlign w:val="bottom"/>
          </w:tcPr>
          <w:p>
            <w:pPr>
              <w:spacing w:after="0"/>
              <w:rPr>
                <w:sz w:val="17"/>
                <w:szCs w:val="17"/>
                <w:color w:val="auto"/>
              </w:rPr>
            </w:pPr>
          </w:p>
        </w:tc>
        <w:tc>
          <w:tcPr>
            <w:tcW w:w="5540" w:type="dxa"/>
            <w:vAlign w:val="bottom"/>
            <w:shd w:val="clear" w:color="auto" w:fill="E5E5E5"/>
          </w:tcPr>
          <w:p>
            <w:pPr>
              <w:ind w:left="200"/>
              <w:spacing w:after="0" w:line="202" w:lineRule="exact"/>
              <w:rPr>
                <w:sz w:val="20"/>
                <w:szCs w:val="20"/>
                <w:color w:val="auto"/>
              </w:rPr>
            </w:pPr>
            <w:r>
              <w:rPr>
                <w:rFonts w:ascii="Arial" w:cs="Arial" w:eastAsia="Arial" w:hAnsi="Arial"/>
                <w:sz w:val="18"/>
                <w:szCs w:val="18"/>
                <w:b w:val="1"/>
                <w:bCs w:val="1"/>
                <w:color w:val="auto"/>
              </w:rPr>
              <w:t>Tax benefit from exercise of options</w:t>
            </w:r>
          </w:p>
        </w:tc>
        <w:tc>
          <w:tcPr>
            <w:tcW w:w="74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680" w:type="dxa"/>
            <w:vAlign w:val="bottom"/>
            <w:shd w:val="clear" w:color="auto" w:fill="E5E5E5"/>
          </w:tcPr>
          <w:p>
            <w:pPr>
              <w:jc w:val="right"/>
              <w:ind w:right="73"/>
              <w:spacing w:after="0" w:line="202" w:lineRule="exact"/>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E5E5E5"/>
          </w:tcPr>
          <w:p>
            <w:pPr>
              <w:spacing w:after="0"/>
              <w:rPr>
                <w:sz w:val="17"/>
                <w:szCs w:val="17"/>
                <w:color w:val="auto"/>
              </w:rPr>
            </w:pPr>
          </w:p>
        </w:tc>
        <w:tc>
          <w:tcPr>
            <w:tcW w:w="580" w:type="dxa"/>
            <w:vAlign w:val="bottom"/>
            <w:shd w:val="clear" w:color="auto" w:fill="E5E5E5"/>
          </w:tcPr>
          <w:p>
            <w:pPr>
              <w:jc w:val="right"/>
              <w:ind w:right="112"/>
              <w:spacing w:after="0" w:line="202" w:lineRule="exact"/>
              <w:rPr>
                <w:sz w:val="20"/>
                <w:szCs w:val="20"/>
                <w:color w:val="auto"/>
              </w:rPr>
            </w:pPr>
            <w:r>
              <w:rPr>
                <w:rFonts w:ascii="Arial" w:cs="Arial" w:eastAsia="Arial" w:hAnsi="Arial"/>
                <w:sz w:val="18"/>
                <w:szCs w:val="18"/>
                <w:b w:val="1"/>
                <w:bCs w:val="1"/>
                <w:color w:val="auto"/>
              </w:rPr>
              <w:t>204</w:t>
            </w:r>
          </w:p>
        </w:tc>
        <w:tc>
          <w:tcPr>
            <w:tcW w:w="300" w:type="dxa"/>
            <w:vAlign w:val="bottom"/>
            <w:shd w:val="clear" w:color="auto" w:fill="E5E5E5"/>
          </w:tcPr>
          <w:p>
            <w:pPr>
              <w:spacing w:after="0"/>
              <w:rPr>
                <w:sz w:val="17"/>
                <w:szCs w:val="17"/>
                <w:color w:val="auto"/>
              </w:rPr>
            </w:pPr>
          </w:p>
        </w:tc>
        <w:tc>
          <w:tcPr>
            <w:tcW w:w="800" w:type="dxa"/>
            <w:vAlign w:val="bottom"/>
            <w:shd w:val="clear" w:color="auto" w:fill="E5E5E5"/>
          </w:tcPr>
          <w:p>
            <w:pPr>
              <w:jc w:val="right"/>
              <w:ind w:right="132"/>
              <w:spacing w:after="0" w:line="202" w:lineRule="exact"/>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E5E5E5"/>
          </w:tcPr>
          <w:p>
            <w:pPr>
              <w:spacing w:after="0"/>
              <w:rPr>
                <w:sz w:val="17"/>
                <w:szCs w:val="17"/>
                <w:color w:val="auto"/>
              </w:rPr>
            </w:pPr>
          </w:p>
        </w:tc>
        <w:tc>
          <w:tcPr>
            <w:tcW w:w="900" w:type="dxa"/>
            <w:vAlign w:val="bottom"/>
            <w:shd w:val="clear" w:color="auto" w:fill="E5E5E5"/>
          </w:tcPr>
          <w:p>
            <w:pPr>
              <w:jc w:val="right"/>
              <w:ind w:right="114"/>
              <w:spacing w:after="0" w:line="202" w:lineRule="exact"/>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E5E5E5"/>
          </w:tcPr>
          <w:p>
            <w:pPr>
              <w:spacing w:after="0"/>
              <w:rPr>
                <w:sz w:val="17"/>
                <w:szCs w:val="17"/>
                <w:color w:val="auto"/>
              </w:rPr>
            </w:pPr>
          </w:p>
        </w:tc>
        <w:tc>
          <w:tcPr>
            <w:tcW w:w="88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b w:val="1"/>
                <w:bCs w:val="1"/>
                <w:color w:val="auto"/>
              </w:rPr>
              <w:t>—</w:t>
            </w:r>
          </w:p>
        </w:tc>
      </w:tr>
      <w:tr>
        <w:trPr>
          <w:trHeight w:val="203"/>
        </w:trPr>
        <w:tc>
          <w:tcPr>
            <w:tcW w:w="20" w:type="dxa"/>
            <w:vAlign w:val="bottom"/>
          </w:tcPr>
          <w:p>
            <w:pPr>
              <w:spacing w:after="0"/>
              <w:rPr>
                <w:sz w:val="17"/>
                <w:szCs w:val="17"/>
                <w:color w:val="auto"/>
              </w:rPr>
            </w:pPr>
          </w:p>
        </w:tc>
        <w:tc>
          <w:tcPr>
            <w:tcW w:w="5540" w:type="dxa"/>
            <w:vAlign w:val="bottom"/>
          </w:tcPr>
          <w:p>
            <w:pPr>
              <w:ind w:left="200"/>
              <w:spacing w:after="0" w:line="202" w:lineRule="exact"/>
              <w:rPr>
                <w:sz w:val="20"/>
                <w:szCs w:val="20"/>
                <w:color w:val="auto"/>
              </w:rPr>
            </w:pPr>
            <w:r>
              <w:rPr>
                <w:rFonts w:ascii="Arial" w:cs="Arial" w:eastAsia="Arial" w:hAnsi="Arial"/>
                <w:sz w:val="18"/>
                <w:szCs w:val="18"/>
                <w:b w:val="1"/>
                <w:bCs w:val="1"/>
                <w:color w:val="auto"/>
              </w:rPr>
              <w:t>Other comprehensive income, net of tax</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ind w:right="73"/>
              <w:spacing w:after="0" w:line="202" w:lineRule="exact"/>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7"/>
                <w:szCs w:val="17"/>
                <w:color w:val="auto"/>
              </w:rPr>
            </w:pPr>
          </w:p>
        </w:tc>
        <w:tc>
          <w:tcPr>
            <w:tcW w:w="580" w:type="dxa"/>
            <w:vAlign w:val="bottom"/>
          </w:tcPr>
          <w:p>
            <w:pPr>
              <w:jc w:val="right"/>
              <w:ind w:right="112"/>
              <w:spacing w:after="0" w:line="202" w:lineRule="exact"/>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7"/>
                <w:szCs w:val="17"/>
                <w:color w:val="auto"/>
              </w:rPr>
            </w:pPr>
          </w:p>
        </w:tc>
        <w:tc>
          <w:tcPr>
            <w:tcW w:w="800" w:type="dxa"/>
            <w:vAlign w:val="bottom"/>
          </w:tcPr>
          <w:p>
            <w:pPr>
              <w:jc w:val="right"/>
              <w:ind w:right="132"/>
              <w:spacing w:after="0" w:line="202" w:lineRule="exact"/>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7"/>
                <w:szCs w:val="17"/>
                <w:color w:val="auto"/>
              </w:rPr>
            </w:pPr>
          </w:p>
        </w:tc>
        <w:tc>
          <w:tcPr>
            <w:tcW w:w="900" w:type="dxa"/>
            <w:vAlign w:val="bottom"/>
          </w:tcPr>
          <w:p>
            <w:pPr>
              <w:jc w:val="right"/>
              <w:ind w:right="114"/>
              <w:spacing w:after="0" w:line="202" w:lineRule="exact"/>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39</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540" w:type="dxa"/>
            <w:vAlign w:val="bottom"/>
            <w:shd w:val="clear" w:color="auto" w:fill="E5E5E5"/>
          </w:tcPr>
          <w:p>
            <w:pPr>
              <w:ind w:left="200"/>
              <w:spacing w:after="0" w:line="202" w:lineRule="exact"/>
              <w:rPr>
                <w:sz w:val="20"/>
                <w:szCs w:val="20"/>
                <w:color w:val="auto"/>
              </w:rPr>
            </w:pPr>
            <w:r>
              <w:rPr>
                <w:rFonts w:ascii="Arial" w:cs="Arial" w:eastAsia="Arial" w:hAnsi="Arial"/>
                <w:sz w:val="18"/>
                <w:szCs w:val="18"/>
                <w:b w:val="1"/>
                <w:bCs w:val="1"/>
                <w:color w:val="auto"/>
              </w:rPr>
              <w:t>Adjustment for implementation of FIN 48 (b)</w:t>
            </w:r>
          </w:p>
        </w:tc>
        <w:tc>
          <w:tcPr>
            <w:tcW w:w="74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680" w:type="dxa"/>
            <w:vAlign w:val="bottom"/>
            <w:shd w:val="clear" w:color="auto" w:fill="E5E5E5"/>
          </w:tcPr>
          <w:p>
            <w:pPr>
              <w:jc w:val="right"/>
              <w:ind w:right="73"/>
              <w:spacing w:after="0" w:line="202" w:lineRule="exact"/>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E5E5E5"/>
          </w:tcPr>
          <w:p>
            <w:pPr>
              <w:spacing w:after="0"/>
              <w:rPr>
                <w:sz w:val="17"/>
                <w:szCs w:val="17"/>
                <w:color w:val="auto"/>
              </w:rPr>
            </w:pPr>
          </w:p>
        </w:tc>
        <w:tc>
          <w:tcPr>
            <w:tcW w:w="580" w:type="dxa"/>
            <w:vAlign w:val="bottom"/>
            <w:shd w:val="clear" w:color="auto" w:fill="E5E5E5"/>
          </w:tcPr>
          <w:p>
            <w:pPr>
              <w:jc w:val="right"/>
              <w:ind w:right="112"/>
              <w:spacing w:after="0" w:line="202" w:lineRule="exact"/>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E5E5E5"/>
          </w:tcPr>
          <w:p>
            <w:pPr>
              <w:spacing w:after="0"/>
              <w:rPr>
                <w:sz w:val="17"/>
                <w:szCs w:val="17"/>
                <w:color w:val="auto"/>
              </w:rPr>
            </w:pPr>
          </w:p>
        </w:tc>
        <w:tc>
          <w:tcPr>
            <w:tcW w:w="800" w:type="dxa"/>
            <w:vAlign w:val="bottom"/>
            <w:shd w:val="clear" w:color="auto" w:fill="E5E5E5"/>
          </w:tcPr>
          <w:p>
            <w:pPr>
              <w:jc w:val="right"/>
              <w:ind w:right="132"/>
              <w:spacing w:after="0" w:line="202" w:lineRule="exact"/>
              <w:rPr>
                <w:sz w:val="20"/>
                <w:szCs w:val="20"/>
                <w:color w:val="auto"/>
              </w:rPr>
            </w:pPr>
            <w:r>
              <w:rPr>
                <w:rFonts w:ascii="Arial" w:cs="Arial" w:eastAsia="Arial" w:hAnsi="Arial"/>
                <w:sz w:val="18"/>
                <w:szCs w:val="18"/>
                <w:b w:val="1"/>
                <w:bCs w:val="1"/>
                <w:color w:val="auto"/>
              </w:rPr>
              <w:t>29</w:t>
            </w:r>
          </w:p>
        </w:tc>
        <w:tc>
          <w:tcPr>
            <w:tcW w:w="240" w:type="dxa"/>
            <w:vAlign w:val="bottom"/>
            <w:shd w:val="clear" w:color="auto" w:fill="E5E5E5"/>
          </w:tcPr>
          <w:p>
            <w:pPr>
              <w:spacing w:after="0"/>
              <w:rPr>
                <w:sz w:val="17"/>
                <w:szCs w:val="17"/>
                <w:color w:val="auto"/>
              </w:rPr>
            </w:pPr>
          </w:p>
        </w:tc>
        <w:tc>
          <w:tcPr>
            <w:tcW w:w="900" w:type="dxa"/>
            <w:vAlign w:val="bottom"/>
            <w:shd w:val="clear" w:color="auto" w:fill="E5E5E5"/>
          </w:tcPr>
          <w:p>
            <w:pPr>
              <w:jc w:val="right"/>
              <w:ind w:right="114"/>
              <w:spacing w:after="0" w:line="202" w:lineRule="exact"/>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E5E5E5"/>
          </w:tcPr>
          <w:p>
            <w:pPr>
              <w:spacing w:after="0"/>
              <w:rPr>
                <w:sz w:val="17"/>
                <w:szCs w:val="17"/>
                <w:color w:val="auto"/>
              </w:rPr>
            </w:pPr>
          </w:p>
        </w:tc>
        <w:tc>
          <w:tcPr>
            <w:tcW w:w="88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b w:val="1"/>
                <w:bCs w:val="1"/>
                <w:color w:val="auto"/>
              </w:rPr>
              <w:t>—</w:t>
            </w:r>
          </w:p>
        </w:tc>
      </w:tr>
      <w:tr>
        <w:trPr>
          <w:trHeight w:val="210"/>
        </w:trPr>
        <w:tc>
          <w:tcPr>
            <w:tcW w:w="20" w:type="dxa"/>
            <w:vAlign w:val="bottom"/>
          </w:tcPr>
          <w:p>
            <w:pPr>
              <w:spacing w:after="0"/>
              <w:rPr>
                <w:sz w:val="18"/>
                <w:szCs w:val="18"/>
                <w:color w:val="auto"/>
              </w:rPr>
            </w:pPr>
          </w:p>
        </w:tc>
        <w:tc>
          <w:tcPr>
            <w:tcW w:w="5540" w:type="dxa"/>
            <w:vAlign w:val="bottom"/>
          </w:tcPr>
          <w:p>
            <w:pPr>
              <w:ind w:left="200"/>
              <w:spacing w:after="0" w:line="202" w:lineRule="exact"/>
              <w:rPr>
                <w:sz w:val="20"/>
                <w:szCs w:val="20"/>
                <w:color w:val="auto"/>
              </w:rPr>
            </w:pPr>
            <w:r>
              <w:rPr>
                <w:rFonts w:ascii="Arial" w:cs="Arial" w:eastAsia="Arial" w:hAnsi="Arial"/>
                <w:sz w:val="18"/>
                <w:szCs w:val="18"/>
                <w:b w:val="1"/>
                <w:bCs w:val="1"/>
                <w:color w:val="auto"/>
              </w:rPr>
              <w:t>Other</w:t>
            </w:r>
          </w:p>
        </w:tc>
        <w:tc>
          <w:tcPr>
            <w:tcW w:w="7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73"/>
              <w:spacing w:after="0" w:line="202" w:lineRule="exact"/>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52"/>
              <w:spacing w:after="0" w:line="202" w:lineRule="exact"/>
              <w:rPr>
                <w:sz w:val="20"/>
                <w:szCs w:val="20"/>
                <w:color w:val="auto"/>
              </w:rPr>
            </w:pPr>
            <w:r>
              <w:rPr>
                <w:rFonts w:ascii="Arial" w:cs="Arial" w:eastAsia="Arial" w:hAnsi="Arial"/>
                <w:sz w:val="18"/>
                <w:szCs w:val="18"/>
                <w:b w:val="1"/>
                <w:bCs w:val="1"/>
                <w:color w:val="auto"/>
              </w:rPr>
              <w:t>(1)</w:t>
            </w: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72"/>
              <w:spacing w:after="0" w:line="202" w:lineRule="exact"/>
              <w:rPr>
                <w:sz w:val="20"/>
                <w:szCs w:val="20"/>
                <w:color w:val="auto"/>
              </w:rPr>
            </w:pPr>
            <w:r>
              <w:rPr>
                <w:rFonts w:ascii="Arial" w:cs="Arial" w:eastAsia="Arial" w:hAnsi="Arial"/>
                <w:sz w:val="18"/>
                <w:szCs w:val="18"/>
                <w:b w:val="1"/>
                <w:bCs w:val="1"/>
                <w:color w:val="auto"/>
              </w:rPr>
              <w:t>(2)</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14"/>
              <w:spacing w:after="0" w:line="202" w:lineRule="exact"/>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540" w:type="dxa"/>
            <w:vAlign w:val="bottom"/>
            <w:shd w:val="clear" w:color="auto" w:fill="E5E5E5"/>
          </w:tcPr>
          <w:p>
            <w:pPr>
              <w:spacing w:after="0" w:line="202" w:lineRule="exact"/>
              <w:rPr>
                <w:sz w:val="20"/>
                <w:szCs w:val="20"/>
                <w:color w:val="auto"/>
              </w:rPr>
            </w:pPr>
            <w:r>
              <w:rPr>
                <w:rFonts w:ascii="Arial" w:cs="Arial" w:eastAsia="Arial" w:hAnsi="Arial"/>
                <w:sz w:val="18"/>
                <w:szCs w:val="18"/>
                <w:b w:val="1"/>
                <w:bCs w:val="1"/>
                <w:color w:val="auto"/>
              </w:rPr>
              <w:t>Balance, December 31, 2007</w:t>
            </w:r>
          </w:p>
        </w:tc>
        <w:tc>
          <w:tcPr>
            <w:tcW w:w="86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E5E5E5"/>
          </w:tcPr>
          <w:p>
            <w:pPr>
              <w:jc w:val="right"/>
              <w:ind w:right="73"/>
              <w:spacing w:after="0" w:line="202" w:lineRule="exact"/>
              <w:rPr>
                <w:sz w:val="20"/>
                <w:szCs w:val="20"/>
                <w:color w:val="auto"/>
              </w:rPr>
            </w:pPr>
            <w:r>
              <w:rPr>
                <w:rFonts w:ascii="Arial" w:cs="Arial" w:eastAsia="Arial" w:hAnsi="Arial"/>
                <w:sz w:val="18"/>
                <w:szCs w:val="18"/>
                <w:b w:val="1"/>
                <w:bCs w:val="1"/>
                <w:color w:val="auto"/>
              </w:rPr>
              <w:t>1,740</w:t>
            </w:r>
          </w:p>
        </w:tc>
        <w:tc>
          <w:tcPr>
            <w:tcW w:w="260" w:type="dxa"/>
            <w:vAlign w:val="bottom"/>
            <w:shd w:val="clear" w:color="auto" w:fill="E5E5E5"/>
          </w:tcPr>
          <w:p>
            <w:pPr>
              <w:ind w:left="140"/>
              <w:spacing w:after="0" w:line="202" w:lineRule="exact"/>
              <w:rPr>
                <w:sz w:val="20"/>
                <w:szCs w:val="20"/>
                <w:color w:val="auto"/>
              </w:rPr>
            </w:pPr>
            <w:r>
              <w:rPr>
                <w:rFonts w:ascii="Arial" w:cs="Arial" w:eastAsia="Arial" w:hAnsi="Arial"/>
                <w:sz w:val="18"/>
                <w:szCs w:val="18"/>
                <w:b w:val="1"/>
                <w:bCs w:val="1"/>
                <w:color w:val="auto"/>
                <w:w w:val="99"/>
              </w:rPr>
              <w:t>$</w:t>
            </w:r>
          </w:p>
        </w:tc>
        <w:tc>
          <w:tcPr>
            <w:tcW w:w="580" w:type="dxa"/>
            <w:vAlign w:val="bottom"/>
            <w:shd w:val="clear" w:color="auto" w:fill="E5E5E5"/>
          </w:tcPr>
          <w:p>
            <w:pPr>
              <w:jc w:val="right"/>
              <w:ind w:right="112"/>
              <w:spacing w:after="0" w:line="202" w:lineRule="exact"/>
              <w:rPr>
                <w:sz w:val="20"/>
                <w:szCs w:val="20"/>
                <w:color w:val="auto"/>
              </w:rPr>
            </w:pPr>
            <w:r>
              <w:rPr>
                <w:rFonts w:ascii="Arial" w:cs="Arial" w:eastAsia="Arial" w:hAnsi="Arial"/>
                <w:sz w:val="18"/>
                <w:szCs w:val="18"/>
                <w:b w:val="1"/>
                <w:bCs w:val="1"/>
                <w:color w:val="auto"/>
              </w:rPr>
              <w:t>931</w:t>
            </w:r>
          </w:p>
        </w:tc>
        <w:tc>
          <w:tcPr>
            <w:tcW w:w="3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E5E5E5"/>
          </w:tcPr>
          <w:p>
            <w:pPr>
              <w:jc w:val="right"/>
              <w:ind w:right="132"/>
              <w:spacing w:after="0" w:line="202" w:lineRule="exact"/>
              <w:rPr>
                <w:sz w:val="20"/>
                <w:szCs w:val="20"/>
                <w:color w:val="auto"/>
              </w:rPr>
            </w:pPr>
            <w:r>
              <w:rPr>
                <w:rFonts w:ascii="Arial" w:cs="Arial" w:eastAsia="Arial" w:hAnsi="Arial"/>
                <w:sz w:val="18"/>
                <w:szCs w:val="18"/>
                <w:b w:val="1"/>
                <w:bCs w:val="1"/>
                <w:color w:val="auto"/>
              </w:rPr>
              <w:t>19,788</w:t>
            </w:r>
          </w:p>
        </w:tc>
        <w:tc>
          <w:tcPr>
            <w:tcW w:w="2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E5E5E5"/>
          </w:tcPr>
          <w:p>
            <w:pPr>
              <w:jc w:val="right"/>
              <w:ind w:right="54"/>
              <w:spacing w:after="0" w:line="202" w:lineRule="exact"/>
              <w:rPr>
                <w:sz w:val="20"/>
                <w:szCs w:val="20"/>
                <w:color w:val="auto"/>
              </w:rPr>
            </w:pPr>
            <w:r>
              <w:rPr>
                <w:rFonts w:ascii="Arial" w:cs="Arial" w:eastAsia="Arial" w:hAnsi="Arial"/>
                <w:sz w:val="18"/>
                <w:szCs w:val="18"/>
                <w:b w:val="1"/>
                <w:bCs w:val="1"/>
                <w:color w:val="auto"/>
              </w:rPr>
              <w:t>(12,160)</w:t>
            </w:r>
          </w:p>
        </w:tc>
        <w:tc>
          <w:tcPr>
            <w:tcW w:w="360" w:type="dxa"/>
            <w:vAlign w:val="bottom"/>
            <w:shd w:val="clear" w:color="auto" w:fill="E5E5E5"/>
          </w:tcPr>
          <w:p>
            <w:pPr>
              <w:jc w:val="right"/>
              <w:ind w:right="42"/>
              <w:spacing w:after="0" w:line="202" w:lineRule="exact"/>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(324)</w:t>
            </w: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64"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Reflects the impact of recording the funded status of pension and other postretirement plans and the change in measurement date of non-U.S. pension plans (see Note 10).</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Reflects the impact of recording the reduction of the liability for uncertain tax positions and related accrued interest expense (see Note 12).</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w:t>
      </w:r>
    </w:p>
    <w:p>
      <w:pPr>
        <w:spacing w:after="0" w:line="136" w:lineRule="exact"/>
        <w:rPr>
          <w:sz w:val="20"/>
          <w:szCs w:val="20"/>
          <w:color w:val="auto"/>
        </w:rPr>
      </w:pPr>
    </w:p>
    <w:p>
      <w:pPr>
        <w:spacing w:after="0"/>
        <w:tabs>
          <w:tab w:leader="none" w:pos="8420" w:val="left"/>
        </w:tabs>
        <w:rPr>
          <w:sz w:val="20"/>
          <w:szCs w:val="20"/>
          <w:color w:val="auto"/>
        </w:rPr>
      </w:pPr>
      <w:r>
        <w:rPr>
          <w:rFonts w:ascii="Arial" w:cs="Arial" w:eastAsia="Arial" w:hAnsi="Arial"/>
          <w:sz w:val="12"/>
          <w:szCs w:val="12"/>
          <w:color w:val="auto"/>
        </w:rPr>
        <w:t>10</w:t>
      </w:r>
      <w:r>
        <w:rPr>
          <w:sz w:val="20"/>
          <w:szCs w:val="20"/>
          <w:color w:val="auto"/>
        </w:rPr>
        <w:tab/>
      </w:r>
      <w:r>
        <w:rPr>
          <w:rFonts w:ascii="Arial" w:cs="Arial" w:eastAsia="Arial" w:hAnsi="Arial"/>
          <w:sz w:val="12"/>
          <w:szCs w:val="12"/>
          <w:color w:val="auto"/>
        </w:rPr>
        <w:t>TEXAS INSTRUMENTS 2007 ANNUAL REPORT</w:t>
      </w:r>
    </w:p>
    <w:p>
      <w:pPr>
        <w:sectPr>
          <w:pgSz w:w="11900" w:h="16838" w:orient="portrait"/>
          <w:cols w:equalWidth="0" w:num="1">
            <w:col w:w="11420"/>
          </w:cols>
          <w:pgMar w:left="240" w:top="269"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Significant Accounting Policies and Practices</w:t>
      </w:r>
    </w:p>
    <w:p>
      <w:pPr>
        <w:spacing w:after="0" w:line="180" w:lineRule="exact"/>
        <w:rPr>
          <w:sz w:val="20"/>
          <w:szCs w:val="20"/>
          <w:color w:val="auto"/>
        </w:rPr>
      </w:pPr>
    </w:p>
    <w:p>
      <w:pPr>
        <w:ind w:right="200"/>
        <w:spacing w:after="0" w:line="236" w:lineRule="auto"/>
        <w:rPr>
          <w:sz w:val="20"/>
          <w:szCs w:val="20"/>
          <w:color w:val="auto"/>
        </w:rPr>
      </w:pPr>
      <w:r>
        <w:rPr>
          <w:rFonts w:ascii="Arial" w:cs="Arial" w:eastAsia="Arial" w:hAnsi="Arial"/>
          <w:sz w:val="18"/>
          <w:szCs w:val="18"/>
          <w:u w:val="single" w:color="auto"/>
          <w:color w:val="auto"/>
        </w:rPr>
        <w:t>Business</w:t>
      </w:r>
      <w:r>
        <w:rPr>
          <w:rFonts w:ascii="Arial" w:cs="Arial" w:eastAsia="Arial" w:hAnsi="Arial"/>
          <w:sz w:val="18"/>
          <w:szCs w:val="18"/>
          <w:color w:val="auto"/>
        </w:rPr>
        <w:t>: Texas Instruments (TI) makes, markets and sells high-technology components; more than 50,000 customers all over the world buy our products. We have two reportable operating segments: Semiconductor, which accounted for 96 percent of our revenue in 2007, and Education Technology. Over time, Semiconductor averages a higher growth rate than Education Technology, although the semiconductor market is characterized by wide swings in growth rates from year to year. The former Sensors &amp; Controls business has been reflected as discontinued operations (see below and Note 2).</w:t>
      </w:r>
    </w:p>
    <w:p>
      <w:pPr>
        <w:spacing w:after="0" w:line="139" w:lineRule="exact"/>
        <w:rPr>
          <w:sz w:val="20"/>
          <w:szCs w:val="20"/>
          <w:color w:val="auto"/>
        </w:rPr>
      </w:pPr>
    </w:p>
    <w:p>
      <w:pPr>
        <w:ind w:right="160"/>
        <w:spacing w:after="0" w:line="247" w:lineRule="auto"/>
        <w:rPr>
          <w:sz w:val="20"/>
          <w:szCs w:val="20"/>
          <w:color w:val="auto"/>
        </w:rPr>
      </w:pPr>
      <w:r>
        <w:rPr>
          <w:rFonts w:ascii="Arial" w:cs="Arial" w:eastAsia="Arial" w:hAnsi="Arial"/>
          <w:sz w:val="18"/>
          <w:szCs w:val="18"/>
          <w:i w:val="1"/>
          <w:iCs w:val="1"/>
          <w:color w:val="auto"/>
        </w:rPr>
        <w:t xml:space="preserve">Acquisitions </w:t>
      </w:r>
      <w:r>
        <w:rPr>
          <w:rFonts w:ascii="Arial" w:cs="Arial" w:eastAsia="Arial" w:hAnsi="Arial"/>
          <w:sz w:val="18"/>
          <w:szCs w:val="18"/>
          <w:color w:val="auto"/>
        </w:rPr>
        <w:t>– During 2007, we made three acquisitions, including an asset acquisition, for net cash of $87 million. These acquisitions were made</w:t>
      </w:r>
      <w:r>
        <w:rPr>
          <w:rFonts w:ascii="Arial" w:cs="Arial" w:eastAsia="Arial" w:hAnsi="Arial"/>
          <w:sz w:val="18"/>
          <w:szCs w:val="18"/>
          <w:i w:val="1"/>
          <w:iCs w:val="1"/>
          <w:color w:val="auto"/>
        </w:rPr>
        <w:t xml:space="preserve"> </w:t>
      </w:r>
      <w:r>
        <w:rPr>
          <w:rFonts w:ascii="Arial" w:cs="Arial" w:eastAsia="Arial" w:hAnsi="Arial"/>
          <w:sz w:val="18"/>
          <w:szCs w:val="18"/>
          <w:color w:val="auto"/>
        </w:rPr>
        <w:t>to obtain design expertise and technology. These acquisitions were integrated into the Semiconductor business segment. As a result of these acquisitions, we recognized $48 million in goodwill and $45 million of other acquisition-related intangible assets.</w:t>
      </w:r>
    </w:p>
    <w:p>
      <w:pPr>
        <w:spacing w:after="0" w:line="149"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In January 2006, we acquired 100 percent of the equity of Chipcon Group ASA (Chipcon), a leading company in the design of short-range, low-power wireless radio frequency semiconductors, based in Oslo, Norway, for net cash of $177 million. The acquisition was accounted for as a purchase business combination, and the results of operations of this business have been included in the Semiconductor segment of our consolidated statements of income from the date of acquisition. As a result of the acquisition, we recorded a $5 million charge for in-process research and development (R&amp;D) in Corporate in 2006. We also recognized $115 million of goodwill and $86 million of other acquisition-related intangible assets, acquired $6 million of cash and assumed $29 million of other net liabilities. We also made an acquisition in the second quarter of 2006, primarily to obtain a patent portfolio. This acquisition was also integrated into the Semiconductor segment.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Pro forma information has not been presented for these acquisitions as it would not be materially different from amounts reported.</w:t>
      </w:r>
    </w:p>
    <w:p>
      <w:pPr>
        <w:spacing w:after="0" w:line="140"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i w:val="1"/>
          <w:iCs w:val="1"/>
          <w:color w:val="auto"/>
        </w:rPr>
        <w:t xml:space="preserve">Dispositions </w:t>
      </w:r>
      <w:r>
        <w:rPr>
          <w:rFonts w:ascii="Arial" w:cs="Arial" w:eastAsia="Arial" w:hAnsi="Arial"/>
          <w:sz w:val="18"/>
          <w:szCs w:val="18"/>
          <w:color w:val="auto"/>
        </w:rPr>
        <w:t>– On July 31, 2007, we completed the sale of our broadband digital subscriber line (DSL) customer-premises equipment</w:t>
      </w:r>
      <w:r>
        <w:rPr>
          <w:rFonts w:ascii="Arial" w:cs="Arial" w:eastAsia="Arial" w:hAnsi="Arial"/>
          <w:sz w:val="18"/>
          <w:szCs w:val="18"/>
          <w:i w:val="1"/>
          <w:iCs w:val="1"/>
          <w:color w:val="auto"/>
        </w:rPr>
        <w:t xml:space="preserve"> </w:t>
      </w:r>
      <w:r>
        <w:rPr>
          <w:rFonts w:ascii="Arial" w:cs="Arial" w:eastAsia="Arial" w:hAnsi="Arial"/>
          <w:sz w:val="18"/>
          <w:szCs w:val="18"/>
          <w:color w:val="auto"/>
        </w:rPr>
        <w:t>semiconductor product line to Infineon Technologies AG for $61 million and recognized in cost of revenue a pretax gain of $39 million in Corporate. Contingent consideration of up to $16 million may be received or may be required to be paid, depending upon the level of revenue generated by this product line subsequent to the closing date, which could increase or decrease the gain on sale. The resolution of the contingent consideration will be concluded by the third quarter of 2008.</w:t>
      </w:r>
    </w:p>
    <w:p>
      <w:pPr>
        <w:spacing w:after="0" w:line="154"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In January 2006, we entered into a definitive agreement to sell substantially all of our Sensors &amp; Controls segment, excluding the radio frequency identification (RFID) systems operations, to an affiliate of Bain Capital, LLC, a global private equity investment firm, for $3 billion in cash. The sale was completed on April 27, 2006. The operations and cash flows of the former Sensors &amp; Controls business have been eliminated from our ongoing operations, and we have no significant continuing involvement in the operations of the sold business. Beginning in the first quarter of 2006, the former Sensors &amp; Controls business has been presented as a discontinued operation (see Note 2 for detailed information on discontinued operations).</w:t>
      </w:r>
    </w:p>
    <w:p>
      <w:pPr>
        <w:spacing w:after="0" w:line="156" w:lineRule="exact"/>
        <w:rPr>
          <w:sz w:val="20"/>
          <w:szCs w:val="20"/>
          <w:color w:val="auto"/>
        </w:rPr>
      </w:pPr>
    </w:p>
    <w:p>
      <w:pPr>
        <w:ind w:right="200"/>
        <w:spacing w:after="0" w:line="299" w:lineRule="auto"/>
        <w:rPr>
          <w:sz w:val="20"/>
          <w:szCs w:val="20"/>
          <w:color w:val="auto"/>
        </w:rPr>
      </w:pPr>
      <w:r>
        <w:rPr>
          <w:rFonts w:ascii="Arial" w:cs="Arial" w:eastAsia="Arial" w:hAnsi="Arial"/>
          <w:sz w:val="16"/>
          <w:szCs w:val="16"/>
          <w:u w:val="single" w:color="auto"/>
          <w:color w:val="auto"/>
        </w:rPr>
        <w:t>Basis of Presentation</w:t>
      </w:r>
      <w:r>
        <w:rPr>
          <w:rFonts w:ascii="Arial" w:cs="Arial" w:eastAsia="Arial" w:hAnsi="Arial"/>
          <w:sz w:val="16"/>
          <w:szCs w:val="16"/>
          <w:color w:val="auto"/>
        </w:rPr>
        <w:t>: The consolidated financial statements have been prepared in accordance with accounting principles generally accepted in the United States (U.S. GAAP). The basis of these financial statements is comparable for all periods presented herein, except for:</w:t>
      </w:r>
    </w:p>
    <w:p>
      <w:pPr>
        <w:spacing w:after="0" w:line="145"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adoption of a new accounting standard for income tax uncertainties as of January 1, 2007 (see the discussion in Note 12),</w:t>
      </w:r>
    </w:p>
    <w:p>
      <w:pPr>
        <w:ind w:left="900" w:right="20" w:hanging="446"/>
        <w:spacing w:after="0" w:line="234"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adoption of a new accounting standard on pensions and other postretirement benefits as of December 31, 2006 (see the discussion in Note 10),</w:t>
      </w:r>
    </w:p>
    <w:p>
      <w:pPr>
        <w:spacing w:after="0" w:line="1" w:lineRule="exact"/>
        <w:rPr>
          <w:rFonts w:ascii="Arial" w:cs="Arial" w:eastAsia="Arial" w:hAnsi="Arial"/>
          <w:sz w:val="18"/>
          <w:szCs w:val="18"/>
          <w:color w:val="auto"/>
        </w:rPr>
      </w:pPr>
    </w:p>
    <w:p>
      <w:pPr>
        <w:ind w:left="900" w:hanging="446"/>
        <w:spacing w:after="0" w:line="234"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change in depreciation method beginning January 1, 2006 (see Change in Depreciation Method below), and</w:t>
      </w:r>
    </w:p>
    <w:p>
      <w:pPr>
        <w:ind w:left="900" w:right="540" w:hanging="446"/>
        <w:spacing w:after="0" w:line="239"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adoption of a new accounting standard for the expensing of stock options beginning July 1, 2005 (see Effects of Stock-based Compensation below and the discussion in Note 9).</w:t>
      </w:r>
    </w:p>
    <w:p>
      <w:pPr>
        <w:spacing w:after="0" w:line="155"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consolidated financial statements include the accounts of all subsidiaries. All intercompany balances and transactions have been eliminated in consolidation. All dollar amounts in the financial statements and tables in the notes, except per-share amounts, are stated in millions of U.S. dollars unless otherwise indicated. All amounts in the notes reference continuing operations unless otherwise indicated. Certain amounts in the prior periods’ financial statements have been reclassified to conform to the 2007 presentation.</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120" w:type="dxa"/>
            <w:vAlign w:val="bottom"/>
          </w:tcPr>
          <w:p>
            <w:pPr>
              <w:spacing w:after="0"/>
              <w:rPr>
                <w:sz w:val="20"/>
                <w:szCs w:val="20"/>
                <w:color w:val="auto"/>
              </w:rPr>
            </w:pPr>
            <w:r>
              <w:rPr>
                <w:rFonts w:ascii="Arial" w:cs="Arial" w:eastAsia="Arial" w:hAnsi="Arial"/>
                <w:sz w:val="14"/>
                <w:szCs w:val="14"/>
                <w:color w:val="auto"/>
              </w:rPr>
              <w:t>TEXAS INSTRUMENTS 2007 ANNUAL REPORT</w:t>
            </w:r>
          </w:p>
        </w:tc>
        <w:tc>
          <w:tcPr>
            <w:tcW w:w="4300" w:type="dxa"/>
            <w:vAlign w:val="bottom"/>
          </w:tcPr>
          <w:p>
            <w:pPr>
              <w:jc w:val="right"/>
              <w:spacing w:after="0"/>
              <w:rPr>
                <w:sz w:val="20"/>
                <w:szCs w:val="20"/>
                <w:color w:val="auto"/>
              </w:rPr>
            </w:pPr>
            <w:r>
              <w:rPr>
                <w:rFonts w:ascii="Arial" w:cs="Arial" w:eastAsia="Arial" w:hAnsi="Arial"/>
                <w:sz w:val="14"/>
                <w:szCs w:val="14"/>
                <w:color w:val="auto"/>
              </w:rPr>
              <w:t>11</w:t>
            </w:r>
          </w:p>
        </w:tc>
      </w:tr>
    </w:tbl>
    <w:p>
      <w:pPr>
        <w:sectPr>
          <w:pgSz w:w="11900" w:h="16838" w:orient="portrait"/>
          <w:cols w:equalWidth="0" w:num="1">
            <w:col w:w="11420"/>
          </w:cols>
          <w:pgMar w:left="240" w:top="269" w:right="239" w:bottom="1440" w:gutter="0" w:footer="0" w:header="0"/>
        </w:sectPr>
      </w:pPr>
    </w:p>
    <w:bookmarkStart w:id="31" w:name="page32"/>
    <w:bookmarkEnd w:id="31"/>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preparation of financial statements requires the use of estimates from which final results may vary.</w:t>
      </w:r>
    </w:p>
    <w:p>
      <w:pPr>
        <w:spacing w:after="0" w:line="158"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u w:val="single" w:color="auto"/>
          <w:color w:val="auto"/>
        </w:rPr>
        <w:t>Foreign Currency</w:t>
      </w:r>
      <w:r>
        <w:rPr>
          <w:rFonts w:ascii="Arial" w:cs="Arial" w:eastAsia="Arial" w:hAnsi="Arial"/>
          <w:sz w:val="18"/>
          <w:szCs w:val="18"/>
          <w:color w:val="auto"/>
        </w:rPr>
        <w:t>: The functional currency for our non-U.S. subsidiaries is the U.S. dollar. Accounts recorded in currencies other than the U.S. dollar are remeasured into the functional currency. Current assets (except inventories), deferred income taxes, other assets, current liabilities and long-term liabilities are remeasured at exchange rates in effect at the end of each reporting period. Inventories and property, plant and equipment and depreciation thereon are remeasured at historic exchange rates. Revenue and expense accounts other than depreciation for each month are remeasured at the appropriate daily rate of exchange. Net currency exchange gains and losses from remeasurement are credited or charged on a current basis to other income (expense) net.</w:t>
      </w:r>
    </w:p>
    <w:p>
      <w:pPr>
        <w:spacing w:after="0" w:line="156"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u w:val="single" w:color="auto"/>
          <w:color w:val="auto"/>
        </w:rPr>
        <w:t>Derivatives</w:t>
      </w:r>
      <w:r>
        <w:rPr>
          <w:rFonts w:ascii="Arial" w:cs="Arial" w:eastAsia="Arial" w:hAnsi="Arial"/>
          <w:sz w:val="18"/>
          <w:szCs w:val="18"/>
          <w:color w:val="auto"/>
        </w:rPr>
        <w:t>: We use derivative financial instruments to manage exposure to foreign exchange risk. We do not apply hedge accounting to our foreign currency derivative instruments. These instruments are primarily forward foreign currency exchange contracts that are used as economic hedges to minimize the impact to earnings from exchange rate fluctuations on our non-U.S. dollar net balance sheet exposures or for specified non-U.S. dollar forecasted transactions. Gains and losses from changes in the fair value of these forward foreign currency exchange contracts are credited or charged on a current basis to other income (expense) net.</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 do not use derivatives for speculative or trading purposes.</w:t>
      </w:r>
    </w:p>
    <w:p>
      <w:pPr>
        <w:spacing w:after="0" w:line="158"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u w:val="single" w:color="auto"/>
          <w:color w:val="auto"/>
        </w:rPr>
        <w:t>Revenue Recognition</w:t>
      </w:r>
      <w:r>
        <w:rPr>
          <w:rFonts w:ascii="Arial" w:cs="Arial" w:eastAsia="Arial" w:hAnsi="Arial"/>
          <w:sz w:val="18"/>
          <w:szCs w:val="18"/>
          <w:color w:val="auto"/>
        </w:rPr>
        <w:t>: Revenue from sales of our products, including shipping fees, is recognized when title to the products is transferred to the customer, which usually occurs upon shipment or delivery, depending upon the terms of the sales order. Estimates of returns for product quality reasons and of price allowances (calculated based upon historical experience, analysis of product shipments and contractual arrangements with customers), are recorded when revenue is recognized. Allowances include discounts for prompt payment, as well as volume-based incentives and special pricing arrangements. In addition, allowances for doubtful accounts are recorded for estimated amounts of accounts receivable that may not be collected.</w:t>
      </w:r>
    </w:p>
    <w:p>
      <w:pPr>
        <w:spacing w:after="0" w:line="156"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Revenue from sales of our products to distributors is recognized, net of allowances, based upon delivery of the products to the distributors. At the time of delivery, title transfers to the distributors and payment from the distributors is due on our standard commercial terms; payment terms are not contingent upon resale of the products. Credit allowances for the distributors are calculated based on historical data, current economic conditions and contractual terms. For instance, we sell our products to distributors at standard published prices, but we may grant price adjustment credits to distributors in response to individual competitive opportunities they may have. To estimate allowances for this type of credit, we use statistical percentages of revenue, determined quarterly, based upon recent historical adjustment trends.</w:t>
      </w:r>
    </w:p>
    <w:p>
      <w:pPr>
        <w:spacing w:after="0" w:line="156"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We also provide distributors an allowance to scrap certain slow-moving or obsolete products in their inventory, estimated as a negotiated fixed percentage of each distributor’s purchases from us. In addition, if we publish a new price for a product that is lower than that paid by distributors for the same product still in distributor on-hand inventory, we may credit the distributors for the difference between those prices. The allowance for this type of credit is based on the identified product price difference applied to estimated distributor on-hand inventory of that product.</w:t>
      </w:r>
    </w:p>
    <w:p>
      <w:pPr>
        <w:spacing w:after="0" w:line="1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 believe we can reasonably and reliably estimate allowances for credits to distributors in a timely manner.</w:t>
      </w:r>
    </w:p>
    <w:p>
      <w:pPr>
        <w:spacing w:after="0" w:line="158" w:lineRule="exact"/>
        <w:rPr>
          <w:sz w:val="20"/>
          <w:szCs w:val="20"/>
          <w:color w:val="auto"/>
        </w:rPr>
      </w:pPr>
    </w:p>
    <w:p>
      <w:pPr>
        <w:ind w:right="220"/>
        <w:spacing w:after="0" w:line="236" w:lineRule="auto"/>
        <w:rPr>
          <w:sz w:val="20"/>
          <w:szCs w:val="20"/>
          <w:color w:val="auto"/>
        </w:rPr>
      </w:pPr>
      <w:r>
        <w:rPr>
          <w:rFonts w:ascii="Arial" w:cs="Arial" w:eastAsia="Arial" w:hAnsi="Arial"/>
          <w:sz w:val="18"/>
          <w:szCs w:val="18"/>
          <w:color w:val="auto"/>
        </w:rPr>
        <w:t>Our contractual agreements with our intellectual property licensees determine the amount and timing of royalty revenue. Royalty revenue is recognized when earned according to the terms of the agreements and when realization of payment is considered probable by management. Where royalties are based upon licensee sales, we recognize royalty revenue upon the sale by the licensee of royalty-bearing products, as estimated by us based on historical experience and analysis of annual sales results of licensees. Where warranted, revenue from licensees may be recognized on a cash basis.</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Shipping and handling costs are included in cost of revenue.</w:t>
      </w:r>
    </w:p>
    <w:p>
      <w:pPr>
        <w:spacing w:after="0" w:line="158"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u w:val="single" w:color="auto"/>
          <w:color w:val="auto"/>
        </w:rPr>
        <w:t>Advertising Costs</w:t>
      </w:r>
      <w:r>
        <w:rPr>
          <w:rFonts w:ascii="Arial" w:cs="Arial" w:eastAsia="Arial" w:hAnsi="Arial"/>
          <w:sz w:val="18"/>
          <w:szCs w:val="18"/>
          <w:color w:val="auto"/>
        </w:rPr>
        <w:t>: Advertising and other promotional costs are expensed as incurred. This expense was $194 million in 2007, $216 million in 2006 and $126 million in 2005.</w:t>
      </w:r>
    </w:p>
    <w:p>
      <w:pPr>
        <w:spacing w:after="0" w:line="138" w:lineRule="exact"/>
        <w:rPr>
          <w:sz w:val="20"/>
          <w:szCs w:val="20"/>
          <w:color w:val="auto"/>
        </w:rPr>
      </w:pPr>
    </w:p>
    <w:p>
      <w:pPr>
        <w:spacing w:after="0"/>
        <w:tabs>
          <w:tab w:leader="none" w:pos="8420" w:val="left"/>
        </w:tabs>
        <w:rPr>
          <w:sz w:val="20"/>
          <w:szCs w:val="20"/>
          <w:color w:val="auto"/>
        </w:rPr>
      </w:pPr>
      <w:r>
        <w:rPr>
          <w:rFonts w:ascii="Arial" w:cs="Arial" w:eastAsia="Arial" w:hAnsi="Arial"/>
          <w:sz w:val="12"/>
          <w:szCs w:val="12"/>
          <w:color w:val="auto"/>
        </w:rPr>
        <w:t>12</w:t>
      </w:r>
      <w:r>
        <w:rPr>
          <w:sz w:val="20"/>
          <w:szCs w:val="20"/>
          <w:color w:val="auto"/>
        </w:rPr>
        <w:tab/>
      </w:r>
      <w:r>
        <w:rPr>
          <w:rFonts w:ascii="Arial" w:cs="Arial" w:eastAsia="Arial" w:hAnsi="Arial"/>
          <w:sz w:val="12"/>
          <w:szCs w:val="12"/>
          <w:color w:val="auto"/>
        </w:rPr>
        <w:t>TEXAS INSTRUMENTS 2007 ANNUAL REPORT</w:t>
      </w:r>
    </w:p>
    <w:p>
      <w:pPr>
        <w:sectPr>
          <w:pgSz w:w="11900" w:h="16838" w:orient="portrait"/>
          <w:cols w:equalWidth="0" w:num="1">
            <w:col w:w="11420"/>
          </w:cols>
          <w:pgMar w:left="240" w:top="291" w:right="239" w:bottom="1440" w:gutter="0" w:footer="0" w:header="0"/>
        </w:sectPr>
      </w:pPr>
    </w:p>
    <w:bookmarkStart w:id="32" w:name="page33"/>
    <w:bookmarkEnd w:id="32"/>
    <w:p>
      <w:pPr>
        <w:ind w:right="240"/>
        <w:spacing w:after="0" w:line="236"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Impairments of Long-lived Assets</w:t>
      </w:r>
      <w:r>
        <w:rPr>
          <w:rFonts w:ascii="Arial" w:cs="Arial" w:eastAsia="Arial" w:hAnsi="Arial"/>
          <w:sz w:val="18"/>
          <w:szCs w:val="18"/>
          <w:color w:val="auto"/>
        </w:rPr>
        <w:t>: Reviews are regularly performed to determine whether facts or circumstances exist that indicate the carrying values of property, plant and equipment or intangible assets are impaired. We assess the recoverability of assets by comparing the projected undiscounted net cash flows associated with those assets to their respective carrying amounts. Impairment, if any, is based on the excess of the carrying amount over the fair value of those assets. Fair value is determined by available market valuations, if applicable, or by discounted cash flows.</w:t>
      </w:r>
    </w:p>
    <w:p>
      <w:pPr>
        <w:spacing w:after="0" w:line="157" w:lineRule="exact"/>
        <w:rPr>
          <w:sz w:val="20"/>
          <w:szCs w:val="20"/>
          <w:color w:val="auto"/>
        </w:rPr>
      </w:pPr>
    </w:p>
    <w:p>
      <w:pPr>
        <w:ind w:right="300"/>
        <w:spacing w:after="0" w:line="237" w:lineRule="auto"/>
        <w:rPr>
          <w:sz w:val="20"/>
          <w:szCs w:val="20"/>
          <w:color w:val="auto"/>
        </w:rPr>
      </w:pPr>
      <w:r>
        <w:rPr>
          <w:rFonts w:ascii="Arial" w:cs="Arial" w:eastAsia="Arial" w:hAnsi="Arial"/>
          <w:sz w:val="18"/>
          <w:szCs w:val="18"/>
          <w:u w:val="single" w:color="auto"/>
          <w:color w:val="auto"/>
        </w:rPr>
        <w:t>Income Taxes</w:t>
      </w:r>
      <w:r>
        <w:rPr>
          <w:rFonts w:ascii="Arial" w:cs="Arial" w:eastAsia="Arial" w:hAnsi="Arial"/>
          <w:sz w:val="18"/>
          <w:szCs w:val="18"/>
          <w:color w:val="auto"/>
        </w:rPr>
        <w:t>: We account for income taxes using an asset and liability approach. We record the amount of taxes payable or refundable for the current year and the deferred tax assets and liabilities for the future tax consequences of events that have been recognized in the financial statements or tax returns. When it is more likely than not that some portion or all of the deferred tax assets will not be realized, a valuation allowance is recorded.</w:t>
      </w:r>
    </w:p>
    <w:p>
      <w:pPr>
        <w:spacing w:after="0" w:line="137" w:lineRule="exact"/>
        <w:rPr>
          <w:sz w:val="20"/>
          <w:szCs w:val="20"/>
          <w:color w:val="auto"/>
        </w:rPr>
      </w:pPr>
    </w:p>
    <w:p>
      <w:pPr>
        <w:ind w:right="300"/>
        <w:spacing w:after="0" w:line="322" w:lineRule="auto"/>
        <w:rPr>
          <w:sz w:val="20"/>
          <w:szCs w:val="20"/>
          <w:color w:val="auto"/>
        </w:rPr>
      </w:pPr>
      <w:r>
        <w:rPr>
          <w:rFonts w:ascii="Arial" w:cs="Arial" w:eastAsia="Arial" w:hAnsi="Arial"/>
          <w:sz w:val="16"/>
          <w:szCs w:val="16"/>
          <w:color w:val="auto"/>
        </w:rPr>
        <w:t xml:space="preserve">In July 2006, the Financial Accounting Standards Board (FASB) issued FASB Interpretation (FIN) No. 48, </w:t>
      </w:r>
      <w:r>
        <w:rPr>
          <w:rFonts w:ascii="Arial" w:cs="Arial" w:eastAsia="Arial" w:hAnsi="Arial"/>
          <w:sz w:val="16"/>
          <w:szCs w:val="16"/>
          <w:i w:val="1"/>
          <w:iCs w:val="1"/>
          <w:color w:val="auto"/>
        </w:rPr>
        <w:t>“Accounting for Uncertainty in Income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Taxes–An Interpretation of FASB Statement No. 109.” </w:t>
      </w:r>
      <w:r>
        <w:rPr>
          <w:rFonts w:ascii="Arial" w:cs="Arial" w:eastAsia="Arial" w:hAnsi="Arial"/>
          <w:sz w:val="16"/>
          <w:szCs w:val="16"/>
          <w:color w:val="auto"/>
        </w:rPr>
        <w:t>We adopted the provisions of FIN 48 effective January 1, 2007 (see Note 12).</w:t>
      </w:r>
    </w:p>
    <w:p>
      <w:pPr>
        <w:spacing w:after="0" w:line="92" w:lineRule="exact"/>
        <w:rPr>
          <w:sz w:val="20"/>
          <w:szCs w:val="20"/>
          <w:color w:val="auto"/>
        </w:rPr>
      </w:pPr>
    </w:p>
    <w:p>
      <w:pPr>
        <w:jc w:val="both"/>
        <w:ind w:right="160"/>
        <w:spacing w:after="0" w:line="237" w:lineRule="auto"/>
        <w:rPr>
          <w:sz w:val="20"/>
          <w:szCs w:val="20"/>
          <w:color w:val="auto"/>
        </w:rPr>
      </w:pPr>
      <w:r>
        <w:rPr>
          <w:rFonts w:ascii="Arial" w:cs="Arial" w:eastAsia="Arial" w:hAnsi="Arial"/>
          <w:sz w:val="18"/>
          <w:szCs w:val="18"/>
          <w:u w:val="single" w:color="auto"/>
          <w:color w:val="auto"/>
        </w:rPr>
        <w:t>Other Assessed Taxes</w:t>
      </w:r>
      <w:r>
        <w:rPr>
          <w:rFonts w:ascii="Arial" w:cs="Arial" w:eastAsia="Arial" w:hAnsi="Arial"/>
          <w:sz w:val="18"/>
          <w:szCs w:val="18"/>
          <w:color w:val="auto"/>
        </w:rPr>
        <w:t xml:space="preserve">: In some transactions, we are responsible for collecting from our customers, taxes such as sales, value-added and excise taxes. These transactions are presented in our statements of income on a net (excluded from revenue) basis in accordance with the provisions of Emerging Issues Task Force (EITF) Issue No. 06-3, </w:t>
      </w:r>
      <w:r>
        <w:rPr>
          <w:rFonts w:ascii="Arial" w:cs="Arial" w:eastAsia="Arial" w:hAnsi="Arial"/>
          <w:sz w:val="18"/>
          <w:szCs w:val="18"/>
          <w:i w:val="1"/>
          <w:iCs w:val="1"/>
          <w:color w:val="auto"/>
        </w:rPr>
        <w:t>“How Taxes Collected from Customers and Remitted to Governmental Authorities Should Be</w:t>
      </w:r>
      <w:r>
        <w:rPr>
          <w:rFonts w:ascii="Arial" w:cs="Arial" w:eastAsia="Arial" w:hAnsi="Arial"/>
          <w:sz w:val="18"/>
          <w:szCs w:val="18"/>
          <w:color w:val="auto"/>
        </w:rPr>
        <w:t xml:space="preserve"> </w:t>
      </w:r>
      <w:r>
        <w:rPr>
          <w:rFonts w:ascii="Arial" w:cs="Arial" w:eastAsia="Arial" w:hAnsi="Arial"/>
          <w:sz w:val="18"/>
          <w:szCs w:val="18"/>
          <w:i w:val="1"/>
          <w:iCs w:val="1"/>
          <w:color w:val="auto"/>
        </w:rPr>
        <w:t>Presented in the Income Statement (That Is, Gross Versus Net Presentation).”</w:t>
      </w:r>
    </w:p>
    <w:p>
      <w:pPr>
        <w:spacing w:after="0" w:line="155" w:lineRule="exact"/>
        <w:rPr>
          <w:sz w:val="20"/>
          <w:szCs w:val="20"/>
          <w:color w:val="auto"/>
        </w:rPr>
      </w:pPr>
    </w:p>
    <w:p>
      <w:pPr>
        <w:jc w:val="both"/>
        <w:ind w:right="380"/>
        <w:spacing w:after="0" w:line="239" w:lineRule="auto"/>
        <w:rPr>
          <w:sz w:val="20"/>
          <w:szCs w:val="20"/>
          <w:color w:val="auto"/>
        </w:rPr>
      </w:pPr>
      <w:r>
        <w:rPr>
          <w:rFonts w:ascii="Arial" w:cs="Arial" w:eastAsia="Arial" w:hAnsi="Arial"/>
          <w:sz w:val="18"/>
          <w:szCs w:val="18"/>
          <w:u w:val="single" w:color="auto"/>
          <w:color w:val="auto"/>
        </w:rPr>
        <w:t>Earnings per Share (EPS)</w:t>
      </w:r>
      <w:r>
        <w:rPr>
          <w:rFonts w:ascii="Arial" w:cs="Arial" w:eastAsia="Arial" w:hAnsi="Arial"/>
          <w:sz w:val="18"/>
          <w:szCs w:val="18"/>
          <w:color w:val="auto"/>
        </w:rPr>
        <w:t>: Computation and reconciliation of earnings per common share from continuing operations are as follows (shares 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6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880" w:type="dxa"/>
            <w:vAlign w:val="bottom"/>
            <w:gridSpan w:val="2"/>
            <w:vMerge w:val="restart"/>
            <w:shd w:val="clear" w:color="auto" w:fill="E5E5E5"/>
          </w:tcPr>
          <w:p>
            <w:pPr>
              <w:ind w:left="20"/>
              <w:spacing w:after="0"/>
              <w:rPr>
                <w:sz w:val="20"/>
                <w:szCs w:val="20"/>
                <w:color w:val="auto"/>
              </w:rPr>
            </w:pPr>
            <w:r>
              <w:rPr>
                <w:rFonts w:ascii="Arial" w:cs="Arial" w:eastAsia="Arial" w:hAnsi="Arial"/>
                <w:sz w:val="14"/>
                <w:szCs w:val="14"/>
                <w:b w:val="1"/>
                <w:bCs w:val="1"/>
                <w:color w:val="auto"/>
                <w:w w:val="99"/>
              </w:rPr>
              <w:t>Income from</w:t>
            </w:r>
          </w:p>
        </w:tc>
        <w:tc>
          <w:tcPr>
            <w:tcW w:w="680" w:type="dxa"/>
            <w:vAlign w:val="bottom"/>
            <w:shd w:val="clear" w:color="auto" w:fill="E5E5E5"/>
          </w:tcPr>
          <w:p>
            <w:pPr>
              <w:jc w:val="right"/>
              <w:ind w:right="176"/>
              <w:spacing w:after="0"/>
              <w:rPr>
                <w:sz w:val="20"/>
                <w:szCs w:val="20"/>
                <w:color w:val="auto"/>
              </w:rPr>
            </w:pPr>
            <w:r>
              <w:rPr>
                <w:rFonts w:ascii="Arial" w:cs="Arial" w:eastAsia="Arial" w:hAnsi="Arial"/>
                <w:sz w:val="18"/>
                <w:szCs w:val="18"/>
                <w:b w:val="1"/>
                <w:bCs w:val="1"/>
                <w:color w:val="auto"/>
                <w:w w:val="99"/>
              </w:rPr>
              <w:t>2007</w:t>
            </w:r>
          </w:p>
        </w:tc>
        <w:tc>
          <w:tcPr>
            <w:tcW w:w="220" w:type="dxa"/>
            <w:vAlign w:val="bottom"/>
            <w:shd w:val="clear" w:color="auto" w:fill="E5E5E5"/>
          </w:tcPr>
          <w:p>
            <w:pPr>
              <w:spacing w:after="0"/>
              <w:rPr>
                <w:sz w:val="17"/>
                <w:szCs w:val="17"/>
                <w:color w:val="auto"/>
              </w:rPr>
            </w:pPr>
          </w:p>
        </w:tc>
        <w:tc>
          <w:tcPr>
            <w:tcW w:w="540" w:type="dxa"/>
            <w:vAlign w:val="bottom"/>
            <w:shd w:val="clear" w:color="auto" w:fill="E5E5E5"/>
          </w:tcPr>
          <w:p>
            <w:pPr>
              <w:spacing w:after="0"/>
              <w:rPr>
                <w:sz w:val="17"/>
                <w:szCs w:val="17"/>
                <w:color w:val="auto"/>
              </w:rPr>
            </w:pPr>
          </w:p>
        </w:tc>
        <w:tc>
          <w:tcPr>
            <w:tcW w:w="960" w:type="dxa"/>
            <w:vAlign w:val="bottom"/>
            <w:gridSpan w:val="2"/>
            <w:vMerge w:val="restart"/>
            <w:shd w:val="clear" w:color="auto" w:fill="E5E5E5"/>
          </w:tcPr>
          <w:p>
            <w:pPr>
              <w:ind w:left="100"/>
              <w:spacing w:after="0"/>
              <w:rPr>
                <w:sz w:val="20"/>
                <w:szCs w:val="20"/>
                <w:color w:val="auto"/>
              </w:rPr>
            </w:pPr>
            <w:r>
              <w:rPr>
                <w:rFonts w:ascii="Arial" w:cs="Arial" w:eastAsia="Arial" w:hAnsi="Arial"/>
                <w:sz w:val="14"/>
                <w:szCs w:val="14"/>
                <w:b w:val="1"/>
                <w:bCs w:val="1"/>
                <w:color w:val="auto"/>
                <w:w w:val="99"/>
              </w:rPr>
              <w:t>Income from</w:t>
            </w:r>
          </w:p>
        </w:tc>
        <w:tc>
          <w:tcPr>
            <w:tcW w:w="700" w:type="dxa"/>
            <w:vAlign w:val="bottom"/>
            <w:shd w:val="clear" w:color="auto" w:fill="E5E5E5"/>
          </w:tcPr>
          <w:p>
            <w:pPr>
              <w:jc w:val="right"/>
              <w:ind w:right="196"/>
              <w:spacing w:after="0"/>
              <w:rPr>
                <w:sz w:val="20"/>
                <w:szCs w:val="20"/>
                <w:color w:val="auto"/>
              </w:rPr>
            </w:pPr>
            <w:r>
              <w:rPr>
                <w:rFonts w:ascii="Arial" w:cs="Arial" w:eastAsia="Arial" w:hAnsi="Arial"/>
                <w:sz w:val="18"/>
                <w:szCs w:val="18"/>
                <w:b w:val="1"/>
                <w:bCs w:val="1"/>
                <w:color w:val="auto"/>
                <w:w w:val="99"/>
              </w:rPr>
              <w:t>2006</w:t>
            </w:r>
          </w:p>
        </w:tc>
        <w:tc>
          <w:tcPr>
            <w:tcW w:w="200" w:type="dxa"/>
            <w:vAlign w:val="bottom"/>
            <w:shd w:val="clear" w:color="auto" w:fill="E5E5E5"/>
          </w:tcPr>
          <w:p>
            <w:pPr>
              <w:spacing w:after="0"/>
              <w:rPr>
                <w:sz w:val="17"/>
                <w:szCs w:val="17"/>
                <w:color w:val="auto"/>
              </w:rPr>
            </w:pPr>
          </w:p>
        </w:tc>
        <w:tc>
          <w:tcPr>
            <w:tcW w:w="540" w:type="dxa"/>
            <w:vAlign w:val="bottom"/>
            <w:shd w:val="clear" w:color="auto" w:fill="E5E5E5"/>
          </w:tcPr>
          <w:p>
            <w:pPr>
              <w:spacing w:after="0"/>
              <w:rPr>
                <w:sz w:val="17"/>
                <w:szCs w:val="17"/>
                <w:color w:val="auto"/>
              </w:rPr>
            </w:pPr>
          </w:p>
        </w:tc>
        <w:tc>
          <w:tcPr>
            <w:tcW w:w="960" w:type="dxa"/>
            <w:vAlign w:val="bottom"/>
            <w:gridSpan w:val="2"/>
            <w:vMerge w:val="restart"/>
            <w:shd w:val="clear" w:color="auto" w:fill="E5E5E5"/>
          </w:tcPr>
          <w:p>
            <w:pPr>
              <w:ind w:left="100"/>
              <w:spacing w:after="0"/>
              <w:rPr>
                <w:sz w:val="20"/>
                <w:szCs w:val="20"/>
                <w:color w:val="auto"/>
              </w:rPr>
            </w:pPr>
            <w:r>
              <w:rPr>
                <w:rFonts w:ascii="Arial" w:cs="Arial" w:eastAsia="Arial" w:hAnsi="Arial"/>
                <w:sz w:val="14"/>
                <w:szCs w:val="14"/>
                <w:b w:val="1"/>
                <w:bCs w:val="1"/>
                <w:color w:val="auto"/>
                <w:w w:val="99"/>
              </w:rPr>
              <w:t>Income from</w:t>
            </w:r>
          </w:p>
        </w:tc>
        <w:tc>
          <w:tcPr>
            <w:tcW w:w="700" w:type="dxa"/>
            <w:vAlign w:val="bottom"/>
            <w:shd w:val="clear" w:color="auto" w:fill="E5E5E5"/>
          </w:tcPr>
          <w:p>
            <w:pPr>
              <w:jc w:val="right"/>
              <w:ind w:right="176"/>
              <w:spacing w:after="0"/>
              <w:rPr>
                <w:sz w:val="20"/>
                <w:szCs w:val="20"/>
                <w:color w:val="auto"/>
              </w:rPr>
            </w:pPr>
            <w:r>
              <w:rPr>
                <w:rFonts w:ascii="Arial" w:cs="Arial" w:eastAsia="Arial" w:hAnsi="Arial"/>
                <w:sz w:val="18"/>
                <w:szCs w:val="18"/>
                <w:b w:val="1"/>
                <w:bCs w:val="1"/>
                <w:color w:val="auto"/>
              </w:rPr>
              <w:t>2005</w:t>
            </w:r>
          </w:p>
        </w:tc>
        <w:tc>
          <w:tcPr>
            <w:tcW w:w="220" w:type="dxa"/>
            <w:vAlign w:val="bottom"/>
            <w:shd w:val="clear" w:color="auto" w:fill="E5E5E5"/>
          </w:tcPr>
          <w:p>
            <w:pPr>
              <w:spacing w:after="0"/>
              <w:rPr>
                <w:sz w:val="17"/>
                <w:szCs w:val="17"/>
                <w:color w:val="auto"/>
              </w:rPr>
            </w:pPr>
          </w:p>
        </w:tc>
        <w:tc>
          <w:tcPr>
            <w:tcW w:w="42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4160" w:type="dxa"/>
            <w:vAlign w:val="bottom"/>
            <w:shd w:val="clear" w:color="auto" w:fill="E5E5E5"/>
          </w:tcPr>
          <w:p>
            <w:pPr>
              <w:spacing w:after="0"/>
              <w:rPr>
                <w:sz w:val="11"/>
                <w:szCs w:val="11"/>
                <w:color w:val="auto"/>
              </w:rPr>
            </w:pPr>
          </w:p>
        </w:tc>
        <w:tc>
          <w:tcPr>
            <w:tcW w:w="180" w:type="dxa"/>
            <w:vAlign w:val="bottom"/>
            <w:shd w:val="clear" w:color="auto" w:fill="E5E5E5"/>
          </w:tcPr>
          <w:p>
            <w:pPr>
              <w:spacing w:after="0"/>
              <w:rPr>
                <w:sz w:val="11"/>
                <w:szCs w:val="11"/>
                <w:color w:val="auto"/>
              </w:rPr>
            </w:pPr>
          </w:p>
        </w:tc>
        <w:tc>
          <w:tcPr>
            <w:tcW w:w="880" w:type="dxa"/>
            <w:vAlign w:val="bottom"/>
            <w:gridSpan w:val="2"/>
            <w:vMerge w:val="continue"/>
            <w:shd w:val="clear" w:color="auto" w:fill="E5E5E5"/>
          </w:tcPr>
          <w:p>
            <w:pPr>
              <w:spacing w:after="0"/>
              <w:rPr>
                <w:sz w:val="11"/>
                <w:szCs w:val="11"/>
                <w:color w:val="auto"/>
              </w:rPr>
            </w:pPr>
          </w:p>
        </w:tc>
        <w:tc>
          <w:tcPr>
            <w:tcW w:w="680" w:type="dxa"/>
            <w:vAlign w:val="bottom"/>
            <w:shd w:val="clear" w:color="auto" w:fill="E5E5E5"/>
          </w:tcPr>
          <w:p>
            <w:pPr>
              <w:spacing w:after="0"/>
              <w:rPr>
                <w:sz w:val="11"/>
                <w:szCs w:val="11"/>
                <w:color w:val="auto"/>
              </w:rPr>
            </w:pPr>
          </w:p>
        </w:tc>
        <w:tc>
          <w:tcPr>
            <w:tcW w:w="220" w:type="dxa"/>
            <w:vAlign w:val="bottom"/>
            <w:shd w:val="clear" w:color="auto" w:fill="E5E5E5"/>
          </w:tcPr>
          <w:p>
            <w:pPr>
              <w:spacing w:after="0"/>
              <w:rPr>
                <w:sz w:val="11"/>
                <w:szCs w:val="11"/>
                <w:color w:val="auto"/>
              </w:rPr>
            </w:pPr>
          </w:p>
        </w:tc>
        <w:tc>
          <w:tcPr>
            <w:tcW w:w="540" w:type="dxa"/>
            <w:vAlign w:val="bottom"/>
            <w:shd w:val="clear" w:color="auto" w:fill="E5E5E5"/>
          </w:tcPr>
          <w:p>
            <w:pPr>
              <w:spacing w:after="0"/>
              <w:rPr>
                <w:sz w:val="11"/>
                <w:szCs w:val="11"/>
                <w:color w:val="auto"/>
              </w:rPr>
            </w:pPr>
          </w:p>
        </w:tc>
        <w:tc>
          <w:tcPr>
            <w:tcW w:w="960" w:type="dxa"/>
            <w:vAlign w:val="bottom"/>
            <w:gridSpan w:val="2"/>
            <w:vMerge w:val="continue"/>
            <w:shd w:val="clear" w:color="auto" w:fill="E5E5E5"/>
          </w:tcPr>
          <w:p>
            <w:pPr>
              <w:spacing w:after="0"/>
              <w:rPr>
                <w:sz w:val="11"/>
                <w:szCs w:val="11"/>
                <w:color w:val="auto"/>
              </w:rPr>
            </w:pPr>
          </w:p>
        </w:tc>
        <w:tc>
          <w:tcPr>
            <w:tcW w:w="700" w:type="dxa"/>
            <w:vAlign w:val="bottom"/>
            <w:shd w:val="clear" w:color="auto" w:fill="E5E5E5"/>
          </w:tcPr>
          <w:p>
            <w:pPr>
              <w:spacing w:after="0"/>
              <w:rPr>
                <w:sz w:val="11"/>
                <w:szCs w:val="11"/>
                <w:color w:val="auto"/>
              </w:rPr>
            </w:pPr>
          </w:p>
        </w:tc>
        <w:tc>
          <w:tcPr>
            <w:tcW w:w="200" w:type="dxa"/>
            <w:vAlign w:val="bottom"/>
            <w:shd w:val="clear" w:color="auto" w:fill="E5E5E5"/>
          </w:tcPr>
          <w:p>
            <w:pPr>
              <w:spacing w:after="0"/>
              <w:rPr>
                <w:sz w:val="11"/>
                <w:szCs w:val="11"/>
                <w:color w:val="auto"/>
              </w:rPr>
            </w:pPr>
          </w:p>
        </w:tc>
        <w:tc>
          <w:tcPr>
            <w:tcW w:w="540" w:type="dxa"/>
            <w:vAlign w:val="bottom"/>
            <w:shd w:val="clear" w:color="auto" w:fill="E5E5E5"/>
          </w:tcPr>
          <w:p>
            <w:pPr>
              <w:spacing w:after="0"/>
              <w:rPr>
                <w:sz w:val="11"/>
                <w:szCs w:val="11"/>
                <w:color w:val="auto"/>
              </w:rPr>
            </w:pPr>
          </w:p>
        </w:tc>
        <w:tc>
          <w:tcPr>
            <w:tcW w:w="960" w:type="dxa"/>
            <w:vAlign w:val="bottom"/>
            <w:gridSpan w:val="2"/>
            <w:vMerge w:val="continue"/>
            <w:shd w:val="clear" w:color="auto" w:fill="E5E5E5"/>
          </w:tcPr>
          <w:p>
            <w:pPr>
              <w:spacing w:after="0"/>
              <w:rPr>
                <w:sz w:val="11"/>
                <w:szCs w:val="11"/>
                <w:color w:val="auto"/>
              </w:rPr>
            </w:pPr>
          </w:p>
        </w:tc>
        <w:tc>
          <w:tcPr>
            <w:tcW w:w="700" w:type="dxa"/>
            <w:vAlign w:val="bottom"/>
            <w:shd w:val="clear" w:color="auto" w:fill="E5E5E5"/>
          </w:tcPr>
          <w:p>
            <w:pPr>
              <w:spacing w:after="0"/>
              <w:rPr>
                <w:sz w:val="11"/>
                <w:szCs w:val="11"/>
                <w:color w:val="auto"/>
              </w:rPr>
            </w:pPr>
          </w:p>
        </w:tc>
        <w:tc>
          <w:tcPr>
            <w:tcW w:w="220" w:type="dxa"/>
            <w:vAlign w:val="bottom"/>
            <w:shd w:val="clear" w:color="auto" w:fill="E5E5E5"/>
          </w:tcPr>
          <w:p>
            <w:pPr>
              <w:spacing w:after="0"/>
              <w:rPr>
                <w:sz w:val="11"/>
                <w:szCs w:val="11"/>
                <w:color w:val="auto"/>
              </w:rPr>
            </w:pPr>
          </w:p>
        </w:tc>
        <w:tc>
          <w:tcPr>
            <w:tcW w:w="420" w:type="dxa"/>
            <w:vAlign w:val="bottom"/>
            <w:shd w:val="clear" w:color="auto" w:fill="E5E5E5"/>
          </w:tcPr>
          <w:p>
            <w:pPr>
              <w:spacing w:after="0"/>
              <w:rPr>
                <w:sz w:val="11"/>
                <w:szCs w:val="11"/>
                <w:color w:val="auto"/>
              </w:rPr>
            </w:pPr>
          </w:p>
        </w:tc>
        <w:tc>
          <w:tcPr>
            <w:tcW w:w="60" w:type="dxa"/>
            <w:vAlign w:val="bottom"/>
            <w:shd w:val="clear" w:color="auto" w:fill="E5E5E5"/>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16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880" w:type="dxa"/>
            <w:vAlign w:val="bottom"/>
            <w:gridSpan w:val="2"/>
            <w:shd w:val="clear" w:color="auto" w:fill="E5E5E5"/>
          </w:tcPr>
          <w:p>
            <w:pPr>
              <w:jc w:val="right"/>
              <w:ind w:right="12"/>
              <w:spacing w:after="0" w:line="149" w:lineRule="exact"/>
              <w:rPr>
                <w:sz w:val="20"/>
                <w:szCs w:val="20"/>
                <w:color w:val="auto"/>
              </w:rPr>
            </w:pPr>
            <w:r>
              <w:rPr>
                <w:rFonts w:ascii="Arial" w:cs="Arial" w:eastAsia="Arial" w:hAnsi="Arial"/>
                <w:sz w:val="14"/>
                <w:szCs w:val="14"/>
                <w:b w:val="1"/>
                <w:bCs w:val="1"/>
                <w:color w:val="auto"/>
              </w:rPr>
              <w:t>Continuing</w:t>
            </w:r>
          </w:p>
        </w:tc>
        <w:tc>
          <w:tcPr>
            <w:tcW w:w="680" w:type="dxa"/>
            <w:vAlign w:val="bottom"/>
            <w:shd w:val="clear" w:color="auto" w:fill="E5E5E5"/>
          </w:tcPr>
          <w:p>
            <w:pPr>
              <w:spacing w:after="0"/>
              <w:rPr>
                <w:sz w:val="12"/>
                <w:szCs w:val="12"/>
                <w:color w:val="auto"/>
              </w:rPr>
            </w:pPr>
          </w:p>
        </w:tc>
        <w:tc>
          <w:tcPr>
            <w:tcW w:w="220" w:type="dxa"/>
            <w:vAlign w:val="bottom"/>
            <w:shd w:val="clear" w:color="auto" w:fill="E5E5E5"/>
          </w:tcPr>
          <w:p>
            <w:pPr>
              <w:spacing w:after="0"/>
              <w:rPr>
                <w:sz w:val="12"/>
                <w:szCs w:val="12"/>
                <w:color w:val="auto"/>
              </w:rPr>
            </w:pPr>
          </w:p>
        </w:tc>
        <w:tc>
          <w:tcPr>
            <w:tcW w:w="540" w:type="dxa"/>
            <w:vAlign w:val="bottom"/>
            <w:shd w:val="clear" w:color="auto" w:fill="E5E5E5"/>
          </w:tcPr>
          <w:p>
            <w:pPr>
              <w:spacing w:after="0"/>
              <w:rPr>
                <w:sz w:val="12"/>
                <w:szCs w:val="12"/>
                <w:color w:val="auto"/>
              </w:rPr>
            </w:pPr>
          </w:p>
        </w:tc>
        <w:tc>
          <w:tcPr>
            <w:tcW w:w="960" w:type="dxa"/>
            <w:vAlign w:val="bottom"/>
            <w:gridSpan w:val="2"/>
            <w:shd w:val="clear" w:color="auto" w:fill="E5E5E5"/>
          </w:tcPr>
          <w:p>
            <w:pPr>
              <w:ind w:left="140"/>
              <w:spacing w:after="0" w:line="149" w:lineRule="exact"/>
              <w:rPr>
                <w:sz w:val="20"/>
                <w:szCs w:val="20"/>
                <w:color w:val="auto"/>
              </w:rPr>
            </w:pPr>
            <w:r>
              <w:rPr>
                <w:rFonts w:ascii="Arial" w:cs="Arial" w:eastAsia="Arial" w:hAnsi="Arial"/>
                <w:sz w:val="14"/>
                <w:szCs w:val="14"/>
                <w:b w:val="1"/>
                <w:bCs w:val="1"/>
                <w:color w:val="auto"/>
              </w:rPr>
              <w:t>Continuing</w:t>
            </w:r>
          </w:p>
        </w:tc>
        <w:tc>
          <w:tcPr>
            <w:tcW w:w="700" w:type="dxa"/>
            <w:vAlign w:val="bottom"/>
            <w:shd w:val="clear" w:color="auto" w:fill="E5E5E5"/>
          </w:tcPr>
          <w:p>
            <w:pPr>
              <w:spacing w:after="0"/>
              <w:rPr>
                <w:sz w:val="12"/>
                <w:szCs w:val="12"/>
                <w:color w:val="auto"/>
              </w:rPr>
            </w:pPr>
          </w:p>
        </w:tc>
        <w:tc>
          <w:tcPr>
            <w:tcW w:w="200" w:type="dxa"/>
            <w:vAlign w:val="bottom"/>
            <w:shd w:val="clear" w:color="auto" w:fill="E5E5E5"/>
          </w:tcPr>
          <w:p>
            <w:pPr>
              <w:spacing w:after="0"/>
              <w:rPr>
                <w:sz w:val="12"/>
                <w:szCs w:val="12"/>
                <w:color w:val="auto"/>
              </w:rPr>
            </w:pPr>
          </w:p>
        </w:tc>
        <w:tc>
          <w:tcPr>
            <w:tcW w:w="540" w:type="dxa"/>
            <w:vAlign w:val="bottom"/>
            <w:shd w:val="clear" w:color="auto" w:fill="E5E5E5"/>
          </w:tcPr>
          <w:p>
            <w:pPr>
              <w:spacing w:after="0"/>
              <w:rPr>
                <w:sz w:val="12"/>
                <w:szCs w:val="12"/>
                <w:color w:val="auto"/>
              </w:rPr>
            </w:pPr>
          </w:p>
        </w:tc>
        <w:tc>
          <w:tcPr>
            <w:tcW w:w="960" w:type="dxa"/>
            <w:vAlign w:val="bottom"/>
            <w:gridSpan w:val="2"/>
            <w:shd w:val="clear" w:color="auto" w:fill="E5E5E5"/>
          </w:tcPr>
          <w:p>
            <w:pPr>
              <w:ind w:left="140"/>
              <w:spacing w:after="0" w:line="149" w:lineRule="exact"/>
              <w:rPr>
                <w:sz w:val="20"/>
                <w:szCs w:val="20"/>
                <w:color w:val="auto"/>
              </w:rPr>
            </w:pPr>
            <w:r>
              <w:rPr>
                <w:rFonts w:ascii="Arial" w:cs="Arial" w:eastAsia="Arial" w:hAnsi="Arial"/>
                <w:sz w:val="14"/>
                <w:szCs w:val="14"/>
                <w:b w:val="1"/>
                <w:bCs w:val="1"/>
                <w:color w:val="auto"/>
              </w:rPr>
              <w:t>Continuing</w:t>
            </w:r>
          </w:p>
        </w:tc>
        <w:tc>
          <w:tcPr>
            <w:tcW w:w="700" w:type="dxa"/>
            <w:vAlign w:val="bottom"/>
            <w:shd w:val="clear" w:color="auto" w:fill="E5E5E5"/>
          </w:tcPr>
          <w:p>
            <w:pPr>
              <w:spacing w:after="0"/>
              <w:rPr>
                <w:sz w:val="12"/>
                <w:szCs w:val="12"/>
                <w:color w:val="auto"/>
              </w:rPr>
            </w:pPr>
          </w:p>
        </w:tc>
        <w:tc>
          <w:tcPr>
            <w:tcW w:w="220" w:type="dxa"/>
            <w:vAlign w:val="bottom"/>
            <w:shd w:val="clear" w:color="auto" w:fill="E5E5E5"/>
          </w:tcPr>
          <w:p>
            <w:pPr>
              <w:spacing w:after="0"/>
              <w:rPr>
                <w:sz w:val="12"/>
                <w:szCs w:val="12"/>
                <w:color w:val="auto"/>
              </w:rPr>
            </w:pPr>
          </w:p>
        </w:tc>
        <w:tc>
          <w:tcPr>
            <w:tcW w:w="420" w:type="dxa"/>
            <w:vAlign w:val="bottom"/>
            <w:shd w:val="clear" w:color="auto" w:fill="E5E5E5"/>
          </w:tcPr>
          <w:p>
            <w:pPr>
              <w:spacing w:after="0"/>
              <w:rPr>
                <w:sz w:val="12"/>
                <w:szCs w:val="12"/>
                <w:color w:val="auto"/>
              </w:rPr>
            </w:pPr>
          </w:p>
        </w:tc>
        <w:tc>
          <w:tcPr>
            <w:tcW w:w="60" w:type="dxa"/>
            <w:vAlign w:val="bottom"/>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160" w:type="dxa"/>
            <w:vAlign w:val="bottom"/>
            <w:shd w:val="clear" w:color="auto" w:fill="E5E5E5"/>
          </w:tcPr>
          <w:p>
            <w:pPr>
              <w:spacing w:after="0"/>
              <w:rPr>
                <w:sz w:val="15"/>
                <w:szCs w:val="15"/>
                <w:color w:val="auto"/>
              </w:rPr>
            </w:pPr>
          </w:p>
        </w:tc>
        <w:tc>
          <w:tcPr>
            <w:tcW w:w="180" w:type="dxa"/>
            <w:vAlign w:val="bottom"/>
            <w:shd w:val="clear" w:color="auto" w:fill="E5E5E5"/>
          </w:tcPr>
          <w:p>
            <w:pPr>
              <w:spacing w:after="0"/>
              <w:rPr>
                <w:sz w:val="15"/>
                <w:szCs w:val="15"/>
                <w:color w:val="auto"/>
              </w:rPr>
            </w:pPr>
          </w:p>
        </w:tc>
        <w:tc>
          <w:tcPr>
            <w:tcW w:w="880" w:type="dxa"/>
            <w:vAlign w:val="bottom"/>
            <w:gridSpan w:val="2"/>
            <w:shd w:val="clear" w:color="auto" w:fill="E5E5E5"/>
          </w:tcPr>
          <w:p>
            <w:pPr>
              <w:jc w:val="right"/>
              <w:ind w:right="12"/>
              <w:spacing w:after="0"/>
              <w:rPr>
                <w:sz w:val="20"/>
                <w:szCs w:val="20"/>
                <w:color w:val="auto"/>
              </w:rPr>
            </w:pPr>
            <w:r>
              <w:rPr>
                <w:rFonts w:ascii="Arial" w:cs="Arial" w:eastAsia="Arial" w:hAnsi="Arial"/>
                <w:sz w:val="14"/>
                <w:szCs w:val="14"/>
                <w:b w:val="1"/>
                <w:bCs w:val="1"/>
                <w:color w:val="auto"/>
              </w:rPr>
              <w:t>Operations</w:t>
            </w:r>
          </w:p>
        </w:tc>
        <w:tc>
          <w:tcPr>
            <w:tcW w:w="680" w:type="dxa"/>
            <w:vAlign w:val="bottom"/>
            <w:shd w:val="clear" w:color="auto" w:fill="E5E5E5"/>
          </w:tcPr>
          <w:p>
            <w:pPr>
              <w:jc w:val="right"/>
              <w:spacing w:after="0"/>
              <w:rPr>
                <w:sz w:val="20"/>
                <w:szCs w:val="20"/>
                <w:color w:val="auto"/>
              </w:rPr>
            </w:pPr>
            <w:r>
              <w:rPr>
                <w:rFonts w:ascii="Arial" w:cs="Arial" w:eastAsia="Arial" w:hAnsi="Arial"/>
                <w:sz w:val="14"/>
                <w:szCs w:val="14"/>
                <w:b w:val="1"/>
                <w:bCs w:val="1"/>
                <w:color w:val="auto"/>
              </w:rPr>
              <w:t>Shares</w:t>
            </w:r>
          </w:p>
        </w:tc>
        <w:tc>
          <w:tcPr>
            <w:tcW w:w="220" w:type="dxa"/>
            <w:vAlign w:val="bottom"/>
            <w:shd w:val="clear" w:color="auto" w:fill="E5E5E5"/>
          </w:tcPr>
          <w:p>
            <w:pPr>
              <w:spacing w:after="0"/>
              <w:rPr>
                <w:sz w:val="15"/>
                <w:szCs w:val="15"/>
                <w:color w:val="auto"/>
              </w:rPr>
            </w:pPr>
          </w:p>
        </w:tc>
        <w:tc>
          <w:tcPr>
            <w:tcW w:w="540" w:type="dxa"/>
            <w:vAlign w:val="bottom"/>
            <w:shd w:val="clear" w:color="auto" w:fill="E5E5E5"/>
          </w:tcPr>
          <w:p>
            <w:pPr>
              <w:jc w:val="right"/>
              <w:ind w:right="159"/>
              <w:spacing w:after="0"/>
              <w:rPr>
                <w:sz w:val="20"/>
                <w:szCs w:val="20"/>
                <w:color w:val="auto"/>
              </w:rPr>
            </w:pPr>
            <w:r>
              <w:rPr>
                <w:rFonts w:ascii="Arial" w:cs="Arial" w:eastAsia="Arial" w:hAnsi="Arial"/>
                <w:sz w:val="14"/>
                <w:szCs w:val="14"/>
                <w:b w:val="1"/>
                <w:bCs w:val="1"/>
                <w:color w:val="auto"/>
                <w:w w:val="99"/>
              </w:rPr>
              <w:t>EPS</w:t>
            </w:r>
          </w:p>
        </w:tc>
        <w:tc>
          <w:tcPr>
            <w:tcW w:w="960" w:type="dxa"/>
            <w:vAlign w:val="bottom"/>
            <w:gridSpan w:val="2"/>
            <w:shd w:val="clear" w:color="auto" w:fill="E5E5E5"/>
          </w:tcPr>
          <w:p>
            <w:pPr>
              <w:ind w:left="140"/>
              <w:spacing w:after="0"/>
              <w:rPr>
                <w:sz w:val="20"/>
                <w:szCs w:val="20"/>
                <w:color w:val="auto"/>
              </w:rPr>
            </w:pPr>
            <w:r>
              <w:rPr>
                <w:rFonts w:ascii="Arial" w:cs="Arial" w:eastAsia="Arial" w:hAnsi="Arial"/>
                <w:sz w:val="14"/>
                <w:szCs w:val="14"/>
                <w:b w:val="1"/>
                <w:bCs w:val="1"/>
                <w:color w:val="auto"/>
              </w:rPr>
              <w:t>Operations</w:t>
            </w:r>
          </w:p>
        </w:tc>
        <w:tc>
          <w:tcPr>
            <w:tcW w:w="700" w:type="dxa"/>
            <w:vAlign w:val="bottom"/>
            <w:shd w:val="clear" w:color="auto" w:fill="E5E5E5"/>
          </w:tcPr>
          <w:p>
            <w:pPr>
              <w:jc w:val="right"/>
              <w:ind w:right="16"/>
              <w:spacing w:after="0"/>
              <w:rPr>
                <w:sz w:val="20"/>
                <w:szCs w:val="20"/>
                <w:color w:val="auto"/>
              </w:rPr>
            </w:pPr>
            <w:r>
              <w:rPr>
                <w:rFonts w:ascii="Arial" w:cs="Arial" w:eastAsia="Arial" w:hAnsi="Arial"/>
                <w:sz w:val="14"/>
                <w:szCs w:val="14"/>
                <w:b w:val="1"/>
                <w:bCs w:val="1"/>
                <w:color w:val="auto"/>
              </w:rPr>
              <w:t>Shares</w:t>
            </w:r>
          </w:p>
        </w:tc>
        <w:tc>
          <w:tcPr>
            <w:tcW w:w="200" w:type="dxa"/>
            <w:vAlign w:val="bottom"/>
            <w:shd w:val="clear" w:color="auto" w:fill="E5E5E5"/>
          </w:tcPr>
          <w:p>
            <w:pPr>
              <w:spacing w:after="0"/>
              <w:rPr>
                <w:sz w:val="15"/>
                <w:szCs w:val="15"/>
                <w:color w:val="auto"/>
              </w:rPr>
            </w:pPr>
          </w:p>
        </w:tc>
        <w:tc>
          <w:tcPr>
            <w:tcW w:w="540" w:type="dxa"/>
            <w:vAlign w:val="bottom"/>
            <w:shd w:val="clear" w:color="auto" w:fill="E5E5E5"/>
          </w:tcPr>
          <w:p>
            <w:pPr>
              <w:jc w:val="right"/>
              <w:ind w:right="159"/>
              <w:spacing w:after="0"/>
              <w:rPr>
                <w:sz w:val="20"/>
                <w:szCs w:val="20"/>
                <w:color w:val="auto"/>
              </w:rPr>
            </w:pPr>
            <w:r>
              <w:rPr>
                <w:rFonts w:ascii="Arial" w:cs="Arial" w:eastAsia="Arial" w:hAnsi="Arial"/>
                <w:sz w:val="14"/>
                <w:szCs w:val="14"/>
                <w:b w:val="1"/>
                <w:bCs w:val="1"/>
                <w:color w:val="auto"/>
                <w:w w:val="99"/>
              </w:rPr>
              <w:t>EPS</w:t>
            </w:r>
          </w:p>
        </w:tc>
        <w:tc>
          <w:tcPr>
            <w:tcW w:w="960" w:type="dxa"/>
            <w:vAlign w:val="bottom"/>
            <w:gridSpan w:val="2"/>
            <w:shd w:val="clear" w:color="auto" w:fill="E5E5E5"/>
          </w:tcPr>
          <w:p>
            <w:pPr>
              <w:ind w:left="140"/>
              <w:spacing w:after="0"/>
              <w:rPr>
                <w:sz w:val="20"/>
                <w:szCs w:val="20"/>
                <w:color w:val="auto"/>
              </w:rPr>
            </w:pPr>
            <w:r>
              <w:rPr>
                <w:rFonts w:ascii="Arial" w:cs="Arial" w:eastAsia="Arial" w:hAnsi="Arial"/>
                <w:sz w:val="14"/>
                <w:szCs w:val="14"/>
                <w:b w:val="1"/>
                <w:bCs w:val="1"/>
                <w:color w:val="auto"/>
              </w:rPr>
              <w:t>Operations</w:t>
            </w:r>
          </w:p>
        </w:tc>
        <w:tc>
          <w:tcPr>
            <w:tcW w:w="700" w:type="dxa"/>
            <w:vAlign w:val="bottom"/>
            <w:shd w:val="clear" w:color="auto" w:fill="E5E5E5"/>
          </w:tcPr>
          <w:p>
            <w:pPr>
              <w:jc w:val="right"/>
              <w:ind w:right="16"/>
              <w:spacing w:after="0"/>
              <w:rPr>
                <w:sz w:val="20"/>
                <w:szCs w:val="20"/>
                <w:color w:val="auto"/>
              </w:rPr>
            </w:pPr>
            <w:r>
              <w:rPr>
                <w:rFonts w:ascii="Arial" w:cs="Arial" w:eastAsia="Arial" w:hAnsi="Arial"/>
                <w:sz w:val="14"/>
                <w:szCs w:val="14"/>
                <w:b w:val="1"/>
                <w:bCs w:val="1"/>
                <w:color w:val="auto"/>
              </w:rPr>
              <w:t>Shares</w:t>
            </w:r>
          </w:p>
        </w:tc>
        <w:tc>
          <w:tcPr>
            <w:tcW w:w="220" w:type="dxa"/>
            <w:vAlign w:val="bottom"/>
            <w:shd w:val="clear" w:color="auto" w:fill="E5E5E5"/>
          </w:tcPr>
          <w:p>
            <w:pPr>
              <w:spacing w:after="0"/>
              <w:rPr>
                <w:sz w:val="15"/>
                <w:szCs w:val="15"/>
                <w:color w:val="auto"/>
              </w:rPr>
            </w:pPr>
          </w:p>
        </w:tc>
        <w:tc>
          <w:tcPr>
            <w:tcW w:w="480" w:type="dxa"/>
            <w:vAlign w:val="bottom"/>
            <w:gridSpan w:val="2"/>
            <w:shd w:val="clear" w:color="auto" w:fill="E5E5E5"/>
          </w:tcPr>
          <w:p>
            <w:pPr>
              <w:jc w:val="right"/>
              <w:ind w:right="200"/>
              <w:spacing w:after="0"/>
              <w:rPr>
                <w:sz w:val="20"/>
                <w:szCs w:val="20"/>
                <w:color w:val="auto"/>
              </w:rPr>
            </w:pPr>
            <w:r>
              <w:rPr>
                <w:rFonts w:ascii="Arial" w:cs="Arial" w:eastAsia="Arial" w:hAnsi="Arial"/>
                <w:sz w:val="14"/>
                <w:szCs w:val="14"/>
                <w:b w:val="1"/>
                <w:bCs w:val="1"/>
                <w:color w:val="auto"/>
                <w:w w:val="92"/>
              </w:rPr>
              <w:t>EPS</w:t>
            </w:r>
          </w:p>
        </w:tc>
        <w:tc>
          <w:tcPr>
            <w:tcW w:w="0" w:type="dxa"/>
            <w:vAlign w:val="bottom"/>
          </w:tcPr>
          <w:p>
            <w:pPr>
              <w:spacing w:after="0"/>
              <w:rPr>
                <w:sz w:val="1"/>
                <w:szCs w:val="1"/>
                <w:color w:val="auto"/>
              </w:rPr>
            </w:pPr>
          </w:p>
        </w:tc>
      </w:tr>
      <w:tr>
        <w:trPr>
          <w:trHeight w:val="311"/>
        </w:trPr>
        <w:tc>
          <w:tcPr>
            <w:tcW w:w="4160" w:type="dxa"/>
            <w:vAlign w:val="bottom"/>
          </w:tcPr>
          <w:p>
            <w:pPr>
              <w:spacing w:after="0"/>
              <w:rPr>
                <w:sz w:val="20"/>
                <w:szCs w:val="20"/>
                <w:color w:val="auto"/>
              </w:rPr>
            </w:pPr>
            <w:r>
              <w:rPr>
                <w:rFonts w:ascii="Arial" w:cs="Arial" w:eastAsia="Arial" w:hAnsi="Arial"/>
                <w:sz w:val="18"/>
                <w:szCs w:val="18"/>
                <w:color w:val="auto"/>
              </w:rPr>
              <w:t>Basic EPS</w:t>
            </w:r>
          </w:p>
        </w:tc>
        <w:tc>
          <w:tcPr>
            <w:tcW w:w="420" w:type="dxa"/>
            <w:vAlign w:val="bottom"/>
            <w:gridSpan w:val="2"/>
          </w:tcPr>
          <w:p>
            <w:pPr>
              <w:ind w:left="180"/>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2,641</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1,417</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jc w:val="right"/>
              <w:ind w:right="19"/>
              <w:spacing w:after="0"/>
              <w:rPr>
                <w:sz w:val="20"/>
                <w:szCs w:val="20"/>
                <w:color w:val="auto"/>
              </w:rPr>
            </w:pPr>
            <w:r>
              <w:rPr>
                <w:rFonts w:ascii="Arial" w:cs="Arial" w:eastAsia="Arial" w:hAnsi="Arial"/>
                <w:sz w:val="18"/>
                <w:szCs w:val="18"/>
                <w:b w:val="1"/>
                <w:bCs w:val="1"/>
                <w:color w:val="auto"/>
              </w:rPr>
              <w:t>1.86</w:t>
            </w:r>
          </w:p>
        </w:tc>
        <w:tc>
          <w:tcPr>
            <w:tcW w:w="320" w:type="dxa"/>
            <w:vAlign w:val="bottom"/>
          </w:tcPr>
          <w:p>
            <w:pPr>
              <w:ind w:lef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2,638</w:t>
            </w:r>
          </w:p>
        </w:tc>
        <w:tc>
          <w:tcPr>
            <w:tcW w:w="700" w:type="dxa"/>
            <w:vAlign w:val="bottom"/>
          </w:tcPr>
          <w:p>
            <w:pPr>
              <w:jc w:val="right"/>
              <w:ind w:right="16"/>
              <w:spacing w:after="0"/>
              <w:rPr>
                <w:sz w:val="20"/>
                <w:szCs w:val="20"/>
                <w:color w:val="auto"/>
              </w:rPr>
            </w:pPr>
            <w:r>
              <w:rPr>
                <w:rFonts w:ascii="Arial" w:cs="Arial" w:eastAsia="Arial" w:hAnsi="Arial"/>
                <w:sz w:val="18"/>
                <w:szCs w:val="18"/>
                <w:color w:val="auto"/>
              </w:rPr>
              <w:t>1,528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9"/>
              <w:spacing w:after="0"/>
              <w:rPr>
                <w:sz w:val="20"/>
                <w:szCs w:val="20"/>
                <w:color w:val="auto"/>
              </w:rPr>
            </w:pPr>
            <w:r>
              <w:rPr>
                <w:rFonts w:ascii="Arial" w:cs="Arial" w:eastAsia="Arial" w:hAnsi="Arial"/>
                <w:sz w:val="18"/>
                <w:szCs w:val="18"/>
                <w:color w:val="auto"/>
              </w:rPr>
              <w:t>1.73</w:t>
            </w:r>
          </w:p>
        </w:tc>
        <w:tc>
          <w:tcPr>
            <w:tcW w:w="340" w:type="dxa"/>
            <w:vAlign w:val="bottom"/>
          </w:tcPr>
          <w:p>
            <w:pPr>
              <w:ind w:left="1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2,173</w:t>
            </w:r>
          </w:p>
        </w:tc>
        <w:tc>
          <w:tcPr>
            <w:tcW w:w="700" w:type="dxa"/>
            <w:vAlign w:val="bottom"/>
          </w:tcPr>
          <w:p>
            <w:pPr>
              <w:jc w:val="right"/>
              <w:ind w:right="16"/>
              <w:spacing w:after="0"/>
              <w:rPr>
                <w:sz w:val="20"/>
                <w:szCs w:val="20"/>
                <w:color w:val="auto"/>
              </w:rPr>
            </w:pPr>
            <w:r>
              <w:rPr>
                <w:rFonts w:ascii="Arial" w:cs="Arial" w:eastAsia="Arial" w:hAnsi="Arial"/>
                <w:sz w:val="18"/>
                <w:szCs w:val="18"/>
                <w:color w:val="auto"/>
              </w:rPr>
              <w:t>1,640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3"/>
        </w:trPr>
        <w:tc>
          <w:tcPr>
            <w:tcW w:w="41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Dilutives:</w:t>
            </w:r>
          </w:p>
        </w:tc>
        <w:tc>
          <w:tcPr>
            <w:tcW w:w="18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640" w:type="dxa"/>
            <w:vAlign w:val="bottom"/>
            <w:shd w:val="clear" w:color="auto" w:fill="E5E5E5"/>
          </w:tcPr>
          <w:p>
            <w:pPr>
              <w:spacing w:after="0"/>
              <w:rPr>
                <w:sz w:val="17"/>
                <w:szCs w:val="17"/>
                <w:color w:val="auto"/>
              </w:rPr>
            </w:pPr>
          </w:p>
        </w:tc>
        <w:tc>
          <w:tcPr>
            <w:tcW w:w="68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54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640" w:type="dxa"/>
            <w:vAlign w:val="bottom"/>
            <w:shd w:val="clear" w:color="auto" w:fill="E5E5E5"/>
          </w:tcPr>
          <w:p>
            <w:pPr>
              <w:spacing w:after="0"/>
              <w:rPr>
                <w:sz w:val="17"/>
                <w:szCs w:val="17"/>
                <w:color w:val="auto"/>
              </w:rPr>
            </w:pPr>
          </w:p>
        </w:tc>
        <w:tc>
          <w:tcPr>
            <w:tcW w:w="70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54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620" w:type="dxa"/>
            <w:vAlign w:val="bottom"/>
            <w:shd w:val="clear" w:color="auto" w:fill="E5E5E5"/>
          </w:tcPr>
          <w:p>
            <w:pPr>
              <w:spacing w:after="0"/>
              <w:rPr>
                <w:sz w:val="17"/>
                <w:szCs w:val="17"/>
                <w:color w:val="auto"/>
              </w:rPr>
            </w:pPr>
          </w:p>
        </w:tc>
        <w:tc>
          <w:tcPr>
            <w:tcW w:w="70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42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160" w:type="dxa"/>
            <w:vAlign w:val="bottom"/>
          </w:tcPr>
          <w:p>
            <w:pPr>
              <w:ind w:left="220"/>
              <w:spacing w:after="0" w:line="202" w:lineRule="exact"/>
              <w:rPr>
                <w:sz w:val="20"/>
                <w:szCs w:val="20"/>
                <w:color w:val="auto"/>
              </w:rPr>
            </w:pPr>
            <w:r>
              <w:rPr>
                <w:rFonts w:ascii="Arial" w:cs="Arial" w:eastAsia="Arial" w:hAnsi="Arial"/>
                <w:sz w:val="18"/>
                <w:szCs w:val="18"/>
                <w:color w:val="auto"/>
              </w:rPr>
              <w:t>Stock-based compensation plans</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29</w:t>
            </w:r>
          </w:p>
        </w:tc>
        <w:tc>
          <w:tcPr>
            <w:tcW w:w="2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16"/>
              <w:spacing w:after="0" w:line="202" w:lineRule="exact"/>
              <w:rPr>
                <w:sz w:val="20"/>
                <w:szCs w:val="20"/>
                <w:color w:val="auto"/>
              </w:rPr>
            </w:pPr>
            <w:r>
              <w:rPr>
                <w:rFonts w:ascii="Arial" w:cs="Arial" w:eastAsia="Arial" w:hAnsi="Arial"/>
                <w:sz w:val="18"/>
                <w:szCs w:val="18"/>
                <w:color w:val="auto"/>
              </w:rPr>
              <w:t>32</w:t>
            </w:r>
          </w:p>
        </w:tc>
        <w:tc>
          <w:tcPr>
            <w:tcW w:w="2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16"/>
              <w:spacing w:after="0" w:line="202" w:lineRule="exact"/>
              <w:rPr>
                <w:sz w:val="20"/>
                <w:szCs w:val="20"/>
                <w:color w:val="auto"/>
              </w:rPr>
            </w:pPr>
            <w:r>
              <w:rPr>
                <w:rFonts w:ascii="Arial" w:cs="Arial" w:eastAsia="Arial" w:hAnsi="Arial"/>
                <w:sz w:val="18"/>
                <w:szCs w:val="18"/>
                <w:color w:val="auto"/>
              </w:rPr>
              <w:t>31</w:t>
            </w:r>
          </w:p>
        </w:tc>
        <w:tc>
          <w:tcPr>
            <w:tcW w:w="2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1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Diluted EPS</w:t>
            </w:r>
          </w:p>
        </w:tc>
        <w:tc>
          <w:tcPr>
            <w:tcW w:w="420" w:type="dxa"/>
            <w:vAlign w:val="bottom"/>
            <w:gridSpan w:val="2"/>
            <w:shd w:val="clear" w:color="auto" w:fill="E5E5E5"/>
          </w:tcPr>
          <w:p>
            <w:pPr>
              <w:ind w:left="180"/>
              <w:spacing w:after="0" w:line="202" w:lineRule="exact"/>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2,641</w:t>
            </w:r>
          </w:p>
        </w:tc>
        <w:tc>
          <w:tcPr>
            <w:tcW w:w="6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1,446</w:t>
            </w:r>
          </w:p>
        </w:tc>
        <w:tc>
          <w:tcPr>
            <w:tcW w:w="2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E5E5E5"/>
          </w:tcPr>
          <w:p>
            <w:pPr>
              <w:jc w:val="right"/>
              <w:ind w:right="19"/>
              <w:spacing w:after="0" w:line="202" w:lineRule="exact"/>
              <w:rPr>
                <w:sz w:val="20"/>
                <w:szCs w:val="20"/>
                <w:color w:val="auto"/>
              </w:rPr>
            </w:pPr>
            <w:r>
              <w:rPr>
                <w:rFonts w:ascii="Arial" w:cs="Arial" w:eastAsia="Arial" w:hAnsi="Arial"/>
                <w:sz w:val="18"/>
                <w:szCs w:val="18"/>
                <w:b w:val="1"/>
                <w:bCs w:val="1"/>
                <w:color w:val="auto"/>
              </w:rPr>
              <w:t>1.83</w:t>
            </w:r>
          </w:p>
        </w:tc>
        <w:tc>
          <w:tcPr>
            <w:tcW w:w="32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2,638</w:t>
            </w:r>
          </w:p>
        </w:tc>
        <w:tc>
          <w:tcPr>
            <w:tcW w:w="700" w:type="dxa"/>
            <w:vAlign w:val="bottom"/>
            <w:shd w:val="clear" w:color="auto" w:fill="E5E5E5"/>
          </w:tcPr>
          <w:p>
            <w:pPr>
              <w:jc w:val="right"/>
              <w:ind w:right="16"/>
              <w:spacing w:after="0" w:line="202" w:lineRule="exact"/>
              <w:rPr>
                <w:sz w:val="20"/>
                <w:szCs w:val="20"/>
                <w:color w:val="auto"/>
              </w:rPr>
            </w:pPr>
            <w:r>
              <w:rPr>
                <w:rFonts w:ascii="Arial" w:cs="Arial" w:eastAsia="Arial" w:hAnsi="Arial"/>
                <w:sz w:val="18"/>
                <w:szCs w:val="18"/>
                <w:color w:val="auto"/>
              </w:rPr>
              <w:t>1,560</w:t>
            </w:r>
          </w:p>
        </w:tc>
        <w:tc>
          <w:tcPr>
            <w:tcW w:w="2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E5E5E5"/>
          </w:tcPr>
          <w:p>
            <w:pPr>
              <w:jc w:val="right"/>
              <w:ind w:right="19"/>
              <w:spacing w:after="0" w:line="202" w:lineRule="exact"/>
              <w:rPr>
                <w:sz w:val="20"/>
                <w:szCs w:val="20"/>
                <w:color w:val="auto"/>
              </w:rPr>
            </w:pPr>
            <w:r>
              <w:rPr>
                <w:rFonts w:ascii="Arial" w:cs="Arial" w:eastAsia="Arial" w:hAnsi="Arial"/>
                <w:sz w:val="18"/>
                <w:szCs w:val="18"/>
                <w:color w:val="auto"/>
              </w:rPr>
              <w:t>1.69</w:t>
            </w:r>
          </w:p>
        </w:tc>
        <w:tc>
          <w:tcPr>
            <w:tcW w:w="340" w:type="dxa"/>
            <w:vAlign w:val="bottom"/>
            <w:shd w:val="clear" w:color="auto" w:fill="E5E5E5"/>
          </w:tcPr>
          <w:p>
            <w:pPr>
              <w:ind w:left="100"/>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2,173</w:t>
            </w:r>
          </w:p>
        </w:tc>
        <w:tc>
          <w:tcPr>
            <w:tcW w:w="700" w:type="dxa"/>
            <w:vAlign w:val="bottom"/>
            <w:shd w:val="clear" w:color="auto" w:fill="E5E5E5"/>
          </w:tcPr>
          <w:p>
            <w:pPr>
              <w:jc w:val="right"/>
              <w:ind w:right="16"/>
              <w:spacing w:after="0" w:line="202" w:lineRule="exact"/>
              <w:rPr>
                <w:sz w:val="20"/>
                <w:szCs w:val="20"/>
                <w:color w:val="auto"/>
              </w:rPr>
            </w:pPr>
            <w:r>
              <w:rPr>
                <w:rFonts w:ascii="Arial" w:cs="Arial" w:eastAsia="Arial" w:hAnsi="Arial"/>
                <w:sz w:val="18"/>
                <w:szCs w:val="18"/>
                <w:color w:val="auto"/>
              </w:rPr>
              <w:t>1,671</w:t>
            </w:r>
          </w:p>
        </w:tc>
        <w:tc>
          <w:tcPr>
            <w:tcW w:w="2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48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7" w:lineRule="exact"/>
        <w:rPr>
          <w:sz w:val="20"/>
          <w:szCs w:val="20"/>
          <w:color w:val="auto"/>
        </w:rPr>
      </w:pPr>
    </w:p>
    <w:p>
      <w:pPr>
        <w:jc w:val="both"/>
        <w:ind w:right="380"/>
        <w:spacing w:after="0" w:line="238" w:lineRule="auto"/>
        <w:rPr>
          <w:sz w:val="20"/>
          <w:szCs w:val="20"/>
          <w:color w:val="auto"/>
        </w:rPr>
      </w:pPr>
      <w:r>
        <w:rPr>
          <w:rFonts w:ascii="Arial" w:cs="Arial" w:eastAsia="Arial" w:hAnsi="Arial"/>
          <w:sz w:val="18"/>
          <w:szCs w:val="18"/>
          <w:color w:val="auto"/>
        </w:rPr>
        <w:t>Options to purchase 46 million, 93 million and 82 million shares of common stock were outstanding during 2007, 2006 and 2005 that were not included in the computation of diluted earnings per share because the options’ exercise price was greater than the average market price of the common shares and, therefore, the effect would be anti-dilutive.</w:t>
      </w:r>
    </w:p>
    <w:p>
      <w:pPr>
        <w:spacing w:after="0" w:line="154" w:lineRule="exact"/>
        <w:rPr>
          <w:sz w:val="20"/>
          <w:szCs w:val="20"/>
          <w:color w:val="auto"/>
        </w:rPr>
      </w:pPr>
    </w:p>
    <w:p>
      <w:pPr>
        <w:spacing w:after="0" w:line="236" w:lineRule="auto"/>
        <w:rPr>
          <w:sz w:val="20"/>
          <w:szCs w:val="20"/>
          <w:color w:val="auto"/>
        </w:rPr>
      </w:pPr>
      <w:r>
        <w:rPr>
          <w:rFonts w:ascii="Arial" w:cs="Arial" w:eastAsia="Arial" w:hAnsi="Arial"/>
          <w:sz w:val="18"/>
          <w:szCs w:val="18"/>
          <w:u w:val="single" w:color="auto"/>
          <w:color w:val="auto"/>
        </w:rPr>
        <w:t>Effects of Stock-based Compensation</w:t>
      </w:r>
      <w:r>
        <w:rPr>
          <w:rFonts w:ascii="Arial" w:cs="Arial" w:eastAsia="Arial" w:hAnsi="Arial"/>
          <w:sz w:val="18"/>
          <w:szCs w:val="18"/>
          <w:color w:val="auto"/>
        </w:rPr>
        <w:t xml:space="preserve">: We have several stock-based employee compensation plans, which are more fully described in Note 9. Prior to July 1, 2005, we accounted for awards granted under those plans following the recognition and measurement principles of Accounting Principles Board (APB) Opinion No. 25, </w:t>
      </w:r>
      <w:r>
        <w:rPr>
          <w:rFonts w:ascii="Arial" w:cs="Arial" w:eastAsia="Arial" w:hAnsi="Arial"/>
          <w:sz w:val="18"/>
          <w:szCs w:val="18"/>
          <w:i w:val="1"/>
          <w:iCs w:val="1"/>
          <w:color w:val="auto"/>
        </w:rPr>
        <w:t>“Accounting for Stock Issued to Employees,”</w:t>
      </w:r>
      <w:r>
        <w:rPr>
          <w:rFonts w:ascii="Arial" w:cs="Arial" w:eastAsia="Arial" w:hAnsi="Arial"/>
          <w:sz w:val="18"/>
          <w:szCs w:val="18"/>
          <w:color w:val="auto"/>
        </w:rPr>
        <w:t xml:space="preserve"> and related interpretations. No compensation cost was reflected in net income for stock options, as all options granted under the plans have an exercise price equal to the market value of the underlying common stock on the date of the grant (except options granted under employee stock purchase plans and acquisition-related stock option awards). Compensation cost has previously been recognized for restricted stock units (RSUs).</w:t>
      </w:r>
    </w:p>
    <w:p>
      <w:pPr>
        <w:spacing w:after="0" w:line="156" w:lineRule="exact"/>
        <w:rPr>
          <w:sz w:val="20"/>
          <w:szCs w:val="20"/>
          <w:color w:val="auto"/>
        </w:rPr>
      </w:pPr>
    </w:p>
    <w:p>
      <w:pPr>
        <w:ind w:right="100"/>
        <w:spacing w:after="0" w:line="271" w:lineRule="auto"/>
        <w:rPr>
          <w:sz w:val="20"/>
          <w:szCs w:val="20"/>
          <w:color w:val="auto"/>
        </w:rPr>
      </w:pPr>
      <w:r>
        <w:rPr>
          <w:rFonts w:ascii="Arial" w:cs="Arial" w:eastAsia="Arial" w:hAnsi="Arial"/>
          <w:sz w:val="16"/>
          <w:szCs w:val="16"/>
          <w:color w:val="auto"/>
        </w:rPr>
        <w:t xml:space="preserve">Effective July 1, 2005, we adopted the fair value recognition provisions of FASB Statement of Financial Accounting Standards (SFAS) No. 123(R), </w:t>
      </w:r>
      <w:r>
        <w:rPr>
          <w:rFonts w:ascii="Arial" w:cs="Arial" w:eastAsia="Arial" w:hAnsi="Arial"/>
          <w:sz w:val="16"/>
          <w:szCs w:val="16"/>
          <w:i w:val="1"/>
          <w:iCs w:val="1"/>
          <w:color w:val="auto"/>
        </w:rPr>
        <w:t xml:space="preserve">“Share-Based Payments,” </w:t>
      </w:r>
      <w:r>
        <w:rPr>
          <w:rFonts w:ascii="Arial" w:cs="Arial" w:eastAsia="Arial" w:hAnsi="Arial"/>
          <w:sz w:val="16"/>
          <w:szCs w:val="16"/>
          <w:color w:val="auto"/>
        </w:rPr>
        <w:t>using the modified prospective application method. Under this transition method, compensation cost recognized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years ended December 31, 2007, 2006 and 2005, includes the applicable amounts of: (a) compensation cost of all stock-based payments granted prior to, but not yet vested as of July 1, 2005 (based on the grant-date fair value estimated in accordance with the original provisions of SFAS 123 and previously presented in pro forma footnote disclosures), and (b) compensation cost for all stock-based payments granted subsequent to July 1, 2005 (based on the grant-date fair value estimated in accordance with the new provisions of SFAS 123(R)).</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120" w:type="dxa"/>
            <w:vAlign w:val="bottom"/>
          </w:tcPr>
          <w:p>
            <w:pPr>
              <w:spacing w:after="0"/>
              <w:rPr>
                <w:sz w:val="20"/>
                <w:szCs w:val="20"/>
                <w:color w:val="auto"/>
              </w:rPr>
            </w:pPr>
            <w:r>
              <w:rPr>
                <w:rFonts w:ascii="Arial" w:cs="Arial" w:eastAsia="Arial" w:hAnsi="Arial"/>
                <w:sz w:val="14"/>
                <w:szCs w:val="14"/>
                <w:color w:val="auto"/>
              </w:rPr>
              <w:t>TEXAS INSTRUMENTS 2007 ANNUAL REPORT</w:t>
            </w:r>
          </w:p>
        </w:tc>
        <w:tc>
          <w:tcPr>
            <w:tcW w:w="4300" w:type="dxa"/>
            <w:vAlign w:val="bottom"/>
          </w:tcPr>
          <w:p>
            <w:pPr>
              <w:jc w:val="right"/>
              <w:spacing w:after="0"/>
              <w:rPr>
                <w:sz w:val="20"/>
                <w:szCs w:val="20"/>
                <w:color w:val="auto"/>
              </w:rPr>
            </w:pPr>
            <w:r>
              <w:rPr>
                <w:rFonts w:ascii="Arial" w:cs="Arial" w:eastAsia="Arial" w:hAnsi="Arial"/>
                <w:sz w:val="14"/>
                <w:szCs w:val="14"/>
                <w:color w:val="auto"/>
              </w:rPr>
              <w:t>13</w:t>
            </w:r>
          </w:p>
        </w:tc>
      </w:tr>
    </w:tbl>
    <w:p>
      <w:pPr>
        <w:sectPr>
          <w:pgSz w:w="11900" w:h="16838" w:orient="portrait"/>
          <w:cols w:equalWidth="0" w:num="1">
            <w:col w:w="11420"/>
          </w:cols>
          <w:pgMar w:left="240" w:top="291" w:right="239" w:bottom="1440" w:gutter="0" w:footer="0" w:header="0"/>
        </w:sectPr>
      </w:pPr>
    </w:p>
    <w:bookmarkStart w:id="33" w:name="page34"/>
    <w:bookmarkEnd w:id="3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1"/>
        </w:trPr>
        <w:tc>
          <w:tcPr>
            <w:tcW w:w="9320" w:type="dxa"/>
            <w:vAlign w:val="bottom"/>
          </w:tcPr>
          <w:p>
            <w:pPr>
              <w:ind w:left="20"/>
              <w:spacing w:after="0"/>
              <w:rPr>
                <w:sz w:val="20"/>
                <w:szCs w:val="20"/>
                <w:color w:val="auto"/>
              </w:rPr>
            </w:pPr>
            <w:r>
              <w:rPr>
                <w:rFonts w:ascii="Arial" w:cs="Arial" w:eastAsia="Arial" w:hAnsi="Arial"/>
                <w:sz w:val="18"/>
                <w:szCs w:val="18"/>
                <w:color w:val="auto"/>
              </w:rPr>
              <w:t>The amounts of stock-based compensation expense recognized in the periods presented are as follows: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1"/>
        </w:trPr>
        <w:tc>
          <w:tcPr>
            <w:tcW w:w="9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60" w:type="dxa"/>
            <w:vAlign w:val="bottom"/>
            <w:gridSpan w:val="2"/>
          </w:tcPr>
          <w:p>
            <w:pPr>
              <w:spacing w:after="0"/>
              <w:rPr>
                <w:sz w:val="16"/>
                <w:szCs w:val="16"/>
                <w:color w:val="auto"/>
              </w:rPr>
            </w:pPr>
          </w:p>
        </w:tc>
        <w:tc>
          <w:tcPr>
            <w:tcW w:w="600" w:type="dxa"/>
            <w:vAlign w:val="bottom"/>
            <w:gridSpan w:val="2"/>
          </w:tcPr>
          <w:p>
            <w:pPr>
              <w:spacing w:after="0"/>
              <w:rPr>
                <w:sz w:val="16"/>
                <w:szCs w:val="16"/>
                <w:color w:val="auto"/>
              </w:rPr>
            </w:pPr>
          </w:p>
        </w:tc>
        <w:tc>
          <w:tcPr>
            <w:tcW w:w="60" w:type="dxa"/>
            <w:vAlign w:val="bottom"/>
          </w:tcPr>
          <w:p>
            <w:pPr>
              <w:spacing w:after="0"/>
              <w:rPr>
                <w:sz w:val="16"/>
                <w:szCs w:val="16"/>
                <w:color w:val="auto"/>
              </w:rPr>
            </w:pPr>
          </w:p>
        </w:tc>
      </w:tr>
      <w:tr>
        <w:trPr>
          <w:trHeight w:val="203"/>
        </w:trPr>
        <w:tc>
          <w:tcPr>
            <w:tcW w:w="932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580" w:type="dxa"/>
            <w:vAlign w:val="bottom"/>
            <w:shd w:val="clear" w:color="auto" w:fill="E5E5E5"/>
          </w:tcPr>
          <w:p>
            <w:pPr>
              <w:jc w:val="right"/>
              <w:ind w:right="92"/>
              <w:spacing w:after="0" w:line="202" w:lineRule="exact"/>
              <w:rPr>
                <w:sz w:val="20"/>
                <w:szCs w:val="20"/>
                <w:color w:val="auto"/>
              </w:rPr>
            </w:pPr>
            <w:r>
              <w:rPr>
                <w:rFonts w:ascii="Arial" w:cs="Arial" w:eastAsia="Arial" w:hAnsi="Arial"/>
                <w:sz w:val="18"/>
                <w:szCs w:val="18"/>
                <w:b w:val="1"/>
                <w:bCs w:val="1"/>
                <w:color w:val="auto"/>
                <w:w w:val="94"/>
              </w:rPr>
              <w:t>2007</w:t>
            </w:r>
          </w:p>
        </w:tc>
        <w:tc>
          <w:tcPr>
            <w:tcW w:w="760" w:type="dxa"/>
            <w:vAlign w:val="bottom"/>
            <w:gridSpan w:val="2"/>
            <w:shd w:val="clear" w:color="auto" w:fill="E5E5E5"/>
          </w:tcPr>
          <w:p>
            <w:pPr>
              <w:jc w:val="right"/>
              <w:ind w:right="72"/>
              <w:spacing w:after="0" w:line="202" w:lineRule="exact"/>
              <w:rPr>
                <w:sz w:val="20"/>
                <w:szCs w:val="20"/>
                <w:color w:val="auto"/>
              </w:rPr>
            </w:pPr>
            <w:r>
              <w:rPr>
                <w:rFonts w:ascii="Arial" w:cs="Arial" w:eastAsia="Arial" w:hAnsi="Arial"/>
                <w:sz w:val="18"/>
                <w:szCs w:val="18"/>
                <w:b w:val="1"/>
                <w:bCs w:val="1"/>
                <w:color w:val="auto"/>
              </w:rPr>
              <w:t>2006</w:t>
            </w:r>
          </w:p>
        </w:tc>
        <w:tc>
          <w:tcPr>
            <w:tcW w:w="60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2005</w:t>
            </w:r>
          </w:p>
        </w:tc>
        <w:tc>
          <w:tcPr>
            <w:tcW w:w="60" w:type="dxa"/>
            <w:vAlign w:val="bottom"/>
            <w:shd w:val="clear" w:color="auto" w:fill="E5E5E5"/>
          </w:tcPr>
          <w:p>
            <w:pPr>
              <w:spacing w:after="0"/>
              <w:rPr>
                <w:sz w:val="17"/>
                <w:szCs w:val="17"/>
                <w:color w:val="auto"/>
              </w:rPr>
            </w:pPr>
          </w:p>
        </w:tc>
      </w:tr>
      <w:tr>
        <w:trPr>
          <w:trHeight w:val="203"/>
        </w:trPr>
        <w:tc>
          <w:tcPr>
            <w:tcW w:w="9320" w:type="dxa"/>
            <w:vAlign w:val="bottom"/>
          </w:tcPr>
          <w:p>
            <w:pPr>
              <w:spacing w:after="0" w:line="202" w:lineRule="exact"/>
              <w:rPr>
                <w:sz w:val="20"/>
                <w:szCs w:val="20"/>
                <w:color w:val="auto"/>
              </w:rPr>
            </w:pPr>
            <w:r>
              <w:rPr>
                <w:rFonts w:ascii="Arial" w:cs="Arial" w:eastAsia="Arial" w:hAnsi="Arial"/>
                <w:sz w:val="18"/>
                <w:szCs w:val="18"/>
                <w:color w:val="auto"/>
              </w:rPr>
              <w:t>Stock-based compensation expense recognized: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932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Cost of revenue</w:t>
            </w:r>
          </w:p>
        </w:tc>
        <w:tc>
          <w:tcPr>
            <w:tcW w:w="10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580" w:type="dxa"/>
            <w:vAlign w:val="bottom"/>
            <w:shd w:val="clear" w:color="auto" w:fill="E5E5E5"/>
          </w:tcPr>
          <w:p>
            <w:pPr>
              <w:jc w:val="right"/>
              <w:ind w:right="72"/>
              <w:spacing w:after="0" w:line="202" w:lineRule="exact"/>
              <w:rPr>
                <w:sz w:val="20"/>
                <w:szCs w:val="20"/>
                <w:color w:val="auto"/>
              </w:rPr>
            </w:pPr>
            <w:r>
              <w:rPr>
                <w:rFonts w:ascii="Arial" w:cs="Arial" w:eastAsia="Arial" w:hAnsi="Arial"/>
                <w:sz w:val="18"/>
                <w:szCs w:val="18"/>
                <w:b w:val="1"/>
                <w:bCs w:val="1"/>
                <w:color w:val="auto"/>
              </w:rPr>
              <w:t>53</w:t>
            </w:r>
          </w:p>
        </w:tc>
        <w:tc>
          <w:tcPr>
            <w:tcW w:w="3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E5E5E5"/>
          </w:tcPr>
          <w:p>
            <w:pPr>
              <w:jc w:val="right"/>
              <w:ind w:right="12"/>
              <w:spacing w:after="0" w:line="202" w:lineRule="exact"/>
              <w:rPr>
                <w:sz w:val="20"/>
                <w:szCs w:val="20"/>
                <w:color w:val="auto"/>
              </w:rPr>
            </w:pPr>
            <w:r>
              <w:rPr>
                <w:rFonts w:ascii="Arial" w:cs="Arial" w:eastAsia="Arial" w:hAnsi="Arial"/>
                <w:sz w:val="18"/>
                <w:szCs w:val="18"/>
                <w:color w:val="auto"/>
              </w:rPr>
              <w:t>64</w:t>
            </w:r>
          </w:p>
        </w:tc>
        <w:tc>
          <w:tcPr>
            <w:tcW w:w="2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40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32</w:t>
            </w:r>
          </w:p>
        </w:tc>
      </w:tr>
      <w:tr>
        <w:trPr>
          <w:trHeight w:val="203"/>
        </w:trPr>
        <w:tc>
          <w:tcPr>
            <w:tcW w:w="9320" w:type="dxa"/>
            <w:vAlign w:val="bottom"/>
          </w:tcPr>
          <w:p>
            <w:pPr>
              <w:ind w:left="220"/>
              <w:spacing w:after="0" w:line="202" w:lineRule="exact"/>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ind w:right="72"/>
              <w:spacing w:after="0" w:line="202" w:lineRule="exact"/>
              <w:rPr>
                <w:sz w:val="20"/>
                <w:szCs w:val="20"/>
                <w:color w:val="auto"/>
              </w:rPr>
            </w:pPr>
            <w:r>
              <w:rPr>
                <w:rFonts w:ascii="Arial" w:cs="Arial" w:eastAsia="Arial" w:hAnsi="Arial"/>
                <w:sz w:val="18"/>
                <w:szCs w:val="18"/>
                <w:b w:val="1"/>
                <w:bCs w:val="1"/>
                <w:color w:val="auto"/>
              </w:rPr>
              <w:t>83</w:t>
            </w:r>
          </w:p>
        </w:tc>
        <w:tc>
          <w:tcPr>
            <w:tcW w:w="300" w:type="dxa"/>
            <w:vAlign w:val="bottom"/>
          </w:tcPr>
          <w:p>
            <w:pPr>
              <w:spacing w:after="0"/>
              <w:rPr>
                <w:sz w:val="17"/>
                <w:szCs w:val="17"/>
                <w:color w:val="auto"/>
              </w:rPr>
            </w:pPr>
          </w:p>
        </w:tc>
        <w:tc>
          <w:tcPr>
            <w:tcW w:w="4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101</w:t>
            </w:r>
          </w:p>
        </w:tc>
        <w:tc>
          <w:tcPr>
            <w:tcW w:w="260" w:type="dxa"/>
            <w:vAlign w:val="bottom"/>
          </w:tcPr>
          <w:p>
            <w:pPr>
              <w:spacing w:after="0"/>
              <w:rPr>
                <w:sz w:val="17"/>
                <w:szCs w:val="17"/>
                <w:color w:val="auto"/>
              </w:rPr>
            </w:pP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53</w:t>
            </w:r>
          </w:p>
        </w:tc>
        <w:tc>
          <w:tcPr>
            <w:tcW w:w="60" w:type="dxa"/>
            <w:vAlign w:val="bottom"/>
          </w:tcPr>
          <w:p>
            <w:pPr>
              <w:spacing w:after="0"/>
              <w:rPr>
                <w:sz w:val="17"/>
                <w:szCs w:val="17"/>
                <w:color w:val="auto"/>
              </w:rPr>
            </w:pPr>
          </w:p>
        </w:tc>
      </w:tr>
      <w:tr>
        <w:trPr>
          <w:trHeight w:val="203"/>
        </w:trPr>
        <w:tc>
          <w:tcPr>
            <w:tcW w:w="932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E5E5E5"/>
          </w:tcPr>
          <w:p>
            <w:pPr>
              <w:spacing w:after="0"/>
              <w:rPr>
                <w:sz w:val="17"/>
                <w:szCs w:val="17"/>
                <w:color w:val="auto"/>
              </w:rPr>
            </w:pPr>
          </w:p>
        </w:tc>
        <w:tc>
          <w:tcPr>
            <w:tcW w:w="80" w:type="dxa"/>
            <w:vAlign w:val="bottom"/>
            <w:tcBorders>
              <w:bottom w:val="single" w:sz="8" w:color="auto"/>
            </w:tcBorders>
            <w:shd w:val="clear" w:color="auto" w:fill="E5E5E5"/>
          </w:tcPr>
          <w:p>
            <w:pPr>
              <w:spacing w:after="0"/>
              <w:rPr>
                <w:sz w:val="17"/>
                <w:szCs w:val="17"/>
                <w:color w:val="auto"/>
              </w:rPr>
            </w:pPr>
          </w:p>
        </w:tc>
        <w:tc>
          <w:tcPr>
            <w:tcW w:w="580" w:type="dxa"/>
            <w:vAlign w:val="bottom"/>
            <w:tcBorders>
              <w:bottom w:val="single" w:sz="8" w:color="auto"/>
            </w:tcBorders>
            <w:shd w:val="clear" w:color="auto" w:fill="E5E5E5"/>
          </w:tcPr>
          <w:p>
            <w:pPr>
              <w:jc w:val="right"/>
              <w:ind w:right="72"/>
              <w:spacing w:after="0" w:line="202" w:lineRule="exact"/>
              <w:rPr>
                <w:sz w:val="20"/>
                <w:szCs w:val="20"/>
                <w:color w:val="auto"/>
              </w:rPr>
            </w:pPr>
            <w:r>
              <w:rPr>
                <w:rFonts w:ascii="Arial" w:cs="Arial" w:eastAsia="Arial" w:hAnsi="Arial"/>
                <w:sz w:val="18"/>
                <w:szCs w:val="18"/>
                <w:b w:val="1"/>
                <w:bCs w:val="1"/>
                <w:color w:val="auto"/>
              </w:rPr>
              <w:t>144</w:t>
            </w:r>
          </w:p>
        </w:tc>
        <w:tc>
          <w:tcPr>
            <w:tcW w:w="300" w:type="dxa"/>
            <w:vAlign w:val="bottom"/>
            <w:tcBorders>
              <w:bottom w:val="single" w:sz="8" w:color="auto"/>
            </w:tcBorders>
            <w:shd w:val="clear" w:color="auto" w:fill="E5E5E5"/>
          </w:tcPr>
          <w:p>
            <w:pPr>
              <w:spacing w:after="0"/>
              <w:rPr>
                <w:sz w:val="17"/>
                <w:szCs w:val="17"/>
                <w:color w:val="auto"/>
              </w:rPr>
            </w:pPr>
          </w:p>
        </w:tc>
        <w:tc>
          <w:tcPr>
            <w:tcW w:w="460" w:type="dxa"/>
            <w:vAlign w:val="bottom"/>
            <w:tcBorders>
              <w:bottom w:val="single" w:sz="8" w:color="auto"/>
            </w:tcBorders>
            <w:shd w:val="clear" w:color="auto" w:fill="E5E5E5"/>
          </w:tcPr>
          <w:p>
            <w:pPr>
              <w:jc w:val="right"/>
              <w:ind w:right="12"/>
              <w:spacing w:after="0" w:line="202" w:lineRule="exact"/>
              <w:rPr>
                <w:sz w:val="20"/>
                <w:szCs w:val="20"/>
                <w:color w:val="auto"/>
              </w:rPr>
            </w:pPr>
            <w:r>
              <w:rPr>
                <w:rFonts w:ascii="Arial" w:cs="Arial" w:eastAsia="Arial" w:hAnsi="Arial"/>
                <w:sz w:val="18"/>
                <w:szCs w:val="18"/>
                <w:color w:val="auto"/>
              </w:rPr>
              <w:t>167</w:t>
            </w:r>
          </w:p>
        </w:tc>
        <w:tc>
          <w:tcPr>
            <w:tcW w:w="260" w:type="dxa"/>
            <w:vAlign w:val="bottom"/>
            <w:tcBorders>
              <w:bottom w:val="single" w:sz="8" w:color="auto"/>
            </w:tcBorders>
            <w:shd w:val="clear" w:color="auto" w:fill="E5E5E5"/>
          </w:tcPr>
          <w:p>
            <w:pPr>
              <w:spacing w:after="0"/>
              <w:rPr>
                <w:sz w:val="17"/>
                <w:szCs w:val="17"/>
                <w:color w:val="auto"/>
              </w:rPr>
            </w:pPr>
          </w:p>
        </w:tc>
        <w:tc>
          <w:tcPr>
            <w:tcW w:w="340" w:type="dxa"/>
            <w:vAlign w:val="bottom"/>
            <w:tcBorders>
              <w:bottom w:val="single" w:sz="8" w:color="auto"/>
            </w:tcBorders>
            <w:shd w:val="clear" w:color="auto" w:fill="E5E5E5"/>
          </w:tcPr>
          <w:p>
            <w:pPr>
              <w:jc w:val="right"/>
              <w:spacing w:after="0" w:line="202" w:lineRule="exact"/>
              <w:rPr>
                <w:sz w:val="20"/>
                <w:szCs w:val="20"/>
                <w:color w:val="auto"/>
              </w:rPr>
            </w:pPr>
            <w:r>
              <w:rPr>
                <w:rFonts w:ascii="Arial" w:cs="Arial" w:eastAsia="Arial" w:hAnsi="Arial"/>
                <w:sz w:val="18"/>
                <w:szCs w:val="18"/>
                <w:color w:val="auto"/>
              </w:rPr>
              <w:t>90</w:t>
            </w:r>
          </w:p>
        </w:tc>
        <w:tc>
          <w:tcPr>
            <w:tcW w:w="60" w:type="dxa"/>
            <w:vAlign w:val="bottom"/>
            <w:shd w:val="clear" w:color="auto" w:fill="E5E5E5"/>
          </w:tcPr>
          <w:p>
            <w:pPr>
              <w:spacing w:after="0"/>
              <w:rPr>
                <w:sz w:val="17"/>
                <w:szCs w:val="17"/>
                <w:color w:val="auto"/>
              </w:rPr>
            </w:pPr>
          </w:p>
        </w:tc>
      </w:tr>
      <w:tr>
        <w:trPr>
          <w:trHeight w:val="210"/>
        </w:trPr>
        <w:tc>
          <w:tcPr>
            <w:tcW w:w="9320" w:type="dxa"/>
            <w:vAlign w:val="bottom"/>
          </w:tcPr>
          <w:p>
            <w:pPr>
              <w:ind w:left="22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280</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332</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60" w:type="dxa"/>
            <w:vAlign w:val="bottom"/>
          </w:tcPr>
          <w:p>
            <w:pPr>
              <w:spacing w:after="0"/>
              <w:rPr>
                <w:sz w:val="18"/>
                <w:szCs w:val="18"/>
                <w:color w:val="auto"/>
              </w:rPr>
            </w:pPr>
          </w:p>
        </w:tc>
      </w:tr>
      <w:tr>
        <w:trPr>
          <w:trHeight w:val="20"/>
        </w:trPr>
        <w:tc>
          <w:tcPr>
            <w:tcW w:w="9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7" w:lineRule="exact"/>
        <w:rPr>
          <w:sz w:val="20"/>
          <w:szCs w:val="20"/>
          <w:color w:val="auto"/>
        </w:rPr>
      </w:pPr>
    </w:p>
    <w:p>
      <w:pPr>
        <w:ind w:right="520"/>
        <w:spacing w:after="0" w:line="239" w:lineRule="auto"/>
        <w:rPr>
          <w:sz w:val="20"/>
          <w:szCs w:val="20"/>
          <w:color w:val="auto"/>
        </w:rPr>
      </w:pPr>
      <w:r>
        <w:rPr>
          <w:rFonts w:ascii="Arial" w:cs="Arial" w:eastAsia="Arial" w:hAnsi="Arial"/>
          <w:sz w:val="18"/>
          <w:szCs w:val="18"/>
          <w:color w:val="auto"/>
        </w:rPr>
        <w:t>The amounts above include the impact of recognizing compensation expense related to RSUs, non-qualified stock options and stock options offered under the employee stock purchase plans.</w:t>
      </w:r>
    </w:p>
    <w:p>
      <w:pPr>
        <w:spacing w:after="0" w:line="155" w:lineRule="exact"/>
        <w:rPr>
          <w:sz w:val="20"/>
          <w:szCs w:val="20"/>
          <w:color w:val="auto"/>
        </w:rPr>
      </w:pPr>
    </w:p>
    <w:p>
      <w:pPr>
        <w:ind w:right="220"/>
        <w:spacing w:after="0" w:line="299" w:lineRule="auto"/>
        <w:rPr>
          <w:sz w:val="20"/>
          <w:szCs w:val="20"/>
          <w:color w:val="auto"/>
        </w:rPr>
      </w:pPr>
      <w:r>
        <w:rPr>
          <w:rFonts w:ascii="Arial" w:cs="Arial" w:eastAsia="Arial" w:hAnsi="Arial"/>
          <w:sz w:val="16"/>
          <w:szCs w:val="16"/>
          <w:color w:val="auto"/>
        </w:rPr>
        <w:t>We issue awards of non-qualified stock options generally with graded vesting provisions (e.g., 25 percent per year for four years). In such cases, we recognize the related compensation cost on a straight-line basis over the minimum service period required for vesting of the award.</w:t>
      </w:r>
    </w:p>
    <w:p>
      <w:pPr>
        <w:spacing w:after="0" w:line="109"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For awards to employees who are retirement eligible or nearing retirement eligibility, we recognize compensation cost on a straight-line basis over the service period required to be performed by the employee in order to earn the award, but in no event less than a six-month period.</w:t>
      </w:r>
    </w:p>
    <w:p>
      <w:pPr>
        <w:spacing w:after="0" w:line="15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Stock-based compensation expense has not been allocated between business segments but is reflected in Corporate.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Prior Period Pro Forma Presentations:</w:t>
      </w:r>
    </w:p>
    <w:p>
      <w:pPr>
        <w:spacing w:after="0" w:line="176"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 xml:space="preserve">Under the modified prospective application method, results for periods prior to July 1, 2005, have not been restated to reflect the effects of implementing SFAS 123(R). The following pro forma information, as required by SFAS No. 148, </w:t>
      </w:r>
      <w:r>
        <w:rPr>
          <w:rFonts w:ascii="Arial" w:cs="Arial" w:eastAsia="Arial" w:hAnsi="Arial"/>
          <w:sz w:val="18"/>
          <w:szCs w:val="18"/>
          <w:i w:val="1"/>
          <w:iCs w:val="1"/>
          <w:color w:val="auto"/>
        </w:rPr>
        <w:t>“Accounting for Stock-Based Compensation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Transition and Disclosure, an amendment of FASB Statement No. 123,” </w:t>
      </w:r>
      <w:r>
        <w:rPr>
          <w:rFonts w:ascii="Arial" w:cs="Arial" w:eastAsia="Arial" w:hAnsi="Arial"/>
          <w:sz w:val="18"/>
          <w:szCs w:val="18"/>
          <w:color w:val="auto"/>
        </w:rPr>
        <w:t>is presented for comparative purposes and illustrates the pro forma effect</w:t>
      </w:r>
      <w:r>
        <w:rPr>
          <w:rFonts w:ascii="Arial" w:cs="Arial" w:eastAsia="Arial" w:hAnsi="Arial"/>
          <w:sz w:val="18"/>
          <w:szCs w:val="18"/>
          <w:i w:val="1"/>
          <w:iCs w:val="1"/>
          <w:color w:val="auto"/>
        </w:rPr>
        <w:t xml:space="preserve"> </w:t>
      </w:r>
      <w:r>
        <w:rPr>
          <w:rFonts w:ascii="Arial" w:cs="Arial" w:eastAsia="Arial" w:hAnsi="Arial"/>
          <w:sz w:val="18"/>
          <w:szCs w:val="18"/>
          <w:color w:val="auto"/>
        </w:rPr>
        <w:t>on income from continuing operations and related per-share amounts as if we had applied the original fair value recognition provisions of SFAS 123 to stock-based employee compensation for periods prior to implementation of SFAS 123(R).</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8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540" w:type="dxa"/>
            <w:vAlign w:val="bottom"/>
            <w:shd w:val="clear" w:color="auto" w:fill="E5E5E5"/>
          </w:tcPr>
          <w:p>
            <w:pPr>
              <w:jc w:val="right"/>
              <w:ind w:right="52"/>
              <w:spacing w:after="0"/>
              <w:rPr>
                <w:sz w:val="20"/>
                <w:szCs w:val="20"/>
                <w:color w:val="auto"/>
              </w:rPr>
            </w:pPr>
            <w:r>
              <w:rPr>
                <w:rFonts w:ascii="Arial" w:cs="Arial" w:eastAsia="Arial" w:hAnsi="Arial"/>
                <w:sz w:val="18"/>
                <w:szCs w:val="18"/>
                <w:b w:val="1"/>
                <w:bCs w:val="1"/>
                <w:color w:val="auto"/>
                <w:w w:val="94"/>
              </w:rPr>
              <w:t>2005</w:t>
            </w:r>
          </w:p>
        </w:tc>
        <w:tc>
          <w:tcPr>
            <w:tcW w:w="60" w:type="dxa"/>
            <w:vAlign w:val="bottom"/>
            <w:shd w:val="clear" w:color="auto" w:fill="E5E5E5"/>
          </w:tcPr>
          <w:p>
            <w:pPr>
              <w:spacing w:after="0"/>
              <w:rPr>
                <w:sz w:val="17"/>
                <w:szCs w:val="17"/>
                <w:color w:val="auto"/>
              </w:rPr>
            </w:pPr>
          </w:p>
        </w:tc>
      </w:tr>
      <w:tr>
        <w:trPr>
          <w:trHeight w:val="311"/>
        </w:trPr>
        <w:tc>
          <w:tcPr>
            <w:tcW w:w="10480" w:type="dxa"/>
            <w:vAlign w:val="bottom"/>
          </w:tcPr>
          <w:p>
            <w:pPr>
              <w:spacing w:after="0"/>
              <w:rPr>
                <w:sz w:val="20"/>
                <w:szCs w:val="20"/>
                <w:color w:val="auto"/>
              </w:rPr>
            </w:pPr>
            <w:r>
              <w:rPr>
                <w:rFonts w:ascii="Arial" w:cs="Arial" w:eastAsia="Arial" w:hAnsi="Arial"/>
                <w:sz w:val="18"/>
                <w:szCs w:val="18"/>
                <w:color w:val="auto"/>
              </w:rPr>
              <w:t>Income from continuing operations, as reported</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2,173</w:t>
            </w:r>
          </w:p>
        </w:tc>
        <w:tc>
          <w:tcPr>
            <w:tcW w:w="60" w:type="dxa"/>
            <w:vAlign w:val="bottom"/>
          </w:tcPr>
          <w:p>
            <w:pPr>
              <w:spacing w:after="0"/>
              <w:rPr>
                <w:sz w:val="24"/>
                <w:szCs w:val="24"/>
                <w:color w:val="auto"/>
              </w:rPr>
            </w:pPr>
          </w:p>
        </w:tc>
      </w:tr>
      <w:tr>
        <w:trPr>
          <w:trHeight w:val="203"/>
        </w:trPr>
        <w:tc>
          <w:tcPr>
            <w:tcW w:w="104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Add: Stock-based compensation expense included in reported income from continuing</w:t>
            </w:r>
          </w:p>
        </w:tc>
        <w:tc>
          <w:tcPr>
            <w:tcW w:w="22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54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r>
      <w:tr>
        <w:trPr>
          <w:trHeight w:val="203"/>
        </w:trPr>
        <w:tc>
          <w:tcPr>
            <w:tcW w:w="104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operations, net of ($58) tax (including actual SFAS 123(R) total stock-based</w:t>
            </w:r>
          </w:p>
        </w:tc>
        <w:tc>
          <w:tcPr>
            <w:tcW w:w="22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54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r>
      <w:tr>
        <w:trPr>
          <w:trHeight w:val="203"/>
        </w:trPr>
        <w:tc>
          <w:tcPr>
            <w:tcW w:w="10480" w:type="dxa"/>
            <w:vAlign w:val="bottom"/>
            <w:shd w:val="clear" w:color="auto" w:fill="E5E5E5"/>
          </w:tcPr>
          <w:p>
            <w:pPr>
              <w:ind w:left="440"/>
              <w:spacing w:after="0" w:line="202" w:lineRule="exact"/>
              <w:rPr>
                <w:sz w:val="20"/>
                <w:szCs w:val="20"/>
                <w:color w:val="auto"/>
              </w:rPr>
            </w:pPr>
            <w:r>
              <w:rPr>
                <w:rFonts w:ascii="Arial" w:cs="Arial" w:eastAsia="Arial" w:hAnsi="Arial"/>
                <w:sz w:val="18"/>
                <w:szCs w:val="18"/>
                <w:color w:val="auto"/>
              </w:rPr>
              <w:t>compensation expense recognized since July 1, 2005)</w:t>
            </w:r>
          </w:p>
        </w:tc>
        <w:tc>
          <w:tcPr>
            <w:tcW w:w="22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5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117</w:t>
            </w:r>
          </w:p>
        </w:tc>
        <w:tc>
          <w:tcPr>
            <w:tcW w:w="60" w:type="dxa"/>
            <w:vAlign w:val="bottom"/>
            <w:shd w:val="clear" w:color="auto" w:fill="E5E5E5"/>
          </w:tcPr>
          <w:p>
            <w:pPr>
              <w:spacing w:after="0"/>
              <w:rPr>
                <w:sz w:val="17"/>
                <w:szCs w:val="17"/>
                <w:color w:val="auto"/>
              </w:rPr>
            </w:pPr>
          </w:p>
        </w:tc>
      </w:tr>
      <w:tr>
        <w:trPr>
          <w:trHeight w:val="206"/>
        </w:trPr>
        <w:tc>
          <w:tcPr>
            <w:tcW w:w="10480" w:type="dxa"/>
            <w:vAlign w:val="bottom"/>
          </w:tcPr>
          <w:p>
            <w:pPr>
              <w:spacing w:after="0" w:line="206" w:lineRule="exact"/>
              <w:rPr>
                <w:sz w:val="20"/>
                <w:szCs w:val="20"/>
                <w:color w:val="auto"/>
              </w:rPr>
            </w:pPr>
            <w:r>
              <w:rPr>
                <w:rFonts w:ascii="Arial" w:cs="Arial" w:eastAsia="Arial" w:hAnsi="Arial"/>
                <w:sz w:val="18"/>
                <w:szCs w:val="18"/>
                <w:color w:val="auto"/>
              </w:rPr>
              <w:t>Deduct: Total stock-based compensation expense determined under fair value-based</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9"/>
        </w:trPr>
        <w:tc>
          <w:tcPr>
            <w:tcW w:w="10480" w:type="dxa"/>
            <w:vAlign w:val="bottom"/>
          </w:tcPr>
          <w:p>
            <w:pPr>
              <w:ind w:left="440"/>
              <w:spacing w:after="0" w:line="200" w:lineRule="exact"/>
              <w:rPr>
                <w:sz w:val="20"/>
                <w:szCs w:val="20"/>
                <w:color w:val="auto"/>
              </w:rPr>
            </w:pPr>
            <w:r>
              <w:rPr>
                <w:rFonts w:ascii="Arial" w:cs="Arial" w:eastAsia="Arial" w:hAnsi="Arial"/>
                <w:sz w:val="18"/>
                <w:szCs w:val="18"/>
                <w:color w:val="auto"/>
              </w:rPr>
              <w:t>method for all awards, net of $122 tax</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(250)</w:t>
            </w:r>
          </w:p>
        </w:tc>
      </w:tr>
      <w:tr>
        <w:trPr>
          <w:trHeight w:val="203"/>
        </w:trPr>
        <w:tc>
          <w:tcPr>
            <w:tcW w:w="104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Deduct: Adjustment for retirement-eligible employees, net of $49 tax</w:t>
            </w:r>
          </w:p>
        </w:tc>
        <w:tc>
          <w:tcPr>
            <w:tcW w:w="22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60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(93)</w:t>
            </w:r>
          </w:p>
        </w:tc>
      </w:tr>
      <w:tr>
        <w:trPr>
          <w:trHeight w:val="210"/>
        </w:trPr>
        <w:tc>
          <w:tcPr>
            <w:tcW w:w="10480" w:type="dxa"/>
            <w:vAlign w:val="bottom"/>
          </w:tcPr>
          <w:p>
            <w:pPr>
              <w:spacing w:after="0"/>
              <w:rPr>
                <w:sz w:val="20"/>
                <w:szCs w:val="20"/>
                <w:color w:val="auto"/>
              </w:rPr>
            </w:pPr>
            <w:r>
              <w:rPr>
                <w:rFonts w:ascii="Arial" w:cs="Arial" w:eastAsia="Arial" w:hAnsi="Arial"/>
                <w:sz w:val="18"/>
                <w:szCs w:val="18"/>
                <w:color w:val="auto"/>
              </w:rPr>
              <w:t>Adjusted income from continuing operations</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1,947</w:t>
            </w:r>
          </w:p>
        </w:tc>
        <w:tc>
          <w:tcPr>
            <w:tcW w:w="60" w:type="dxa"/>
            <w:vAlign w:val="bottom"/>
          </w:tcPr>
          <w:p>
            <w:pPr>
              <w:spacing w:after="0"/>
              <w:rPr>
                <w:sz w:val="18"/>
                <w:szCs w:val="18"/>
                <w:color w:val="auto"/>
              </w:rPr>
            </w:pPr>
          </w:p>
        </w:tc>
      </w:tr>
      <w:tr>
        <w:trPr>
          <w:trHeight w:val="20"/>
        </w:trPr>
        <w:tc>
          <w:tcPr>
            <w:tcW w:w="10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10480" w:type="dxa"/>
            <w:vAlign w:val="bottom"/>
            <w:shd w:val="clear" w:color="auto" w:fill="E5E5E5"/>
          </w:tcPr>
          <w:p>
            <w:pPr>
              <w:spacing w:after="0" w:line="196" w:lineRule="exact"/>
              <w:rPr>
                <w:sz w:val="20"/>
                <w:szCs w:val="20"/>
                <w:color w:val="auto"/>
              </w:rPr>
            </w:pPr>
            <w:r>
              <w:rPr>
                <w:rFonts w:ascii="Arial" w:cs="Arial" w:eastAsia="Arial" w:hAnsi="Arial"/>
                <w:sz w:val="18"/>
                <w:szCs w:val="18"/>
                <w:color w:val="auto"/>
              </w:rPr>
              <w:t>Earnings per common share from continuing operations:</w:t>
            </w:r>
          </w:p>
        </w:tc>
        <w:tc>
          <w:tcPr>
            <w:tcW w:w="22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54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r>
      <w:tr>
        <w:trPr>
          <w:trHeight w:val="203"/>
        </w:trPr>
        <w:tc>
          <w:tcPr>
            <w:tcW w:w="10480" w:type="dxa"/>
            <w:vAlign w:val="bottom"/>
          </w:tcPr>
          <w:p>
            <w:pPr>
              <w:ind w:left="220"/>
              <w:spacing w:after="0" w:line="202" w:lineRule="exact"/>
              <w:rPr>
                <w:sz w:val="20"/>
                <w:szCs w:val="20"/>
                <w:color w:val="auto"/>
              </w:rPr>
            </w:pPr>
            <w:r>
              <w:rPr>
                <w:rFonts w:ascii="Arial" w:cs="Arial" w:eastAsia="Arial" w:hAnsi="Arial"/>
                <w:sz w:val="18"/>
                <w:szCs w:val="18"/>
                <w:color w:val="auto"/>
              </w:rPr>
              <w:t>Basic – as reported</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1.33</w:t>
            </w:r>
          </w:p>
        </w:tc>
      </w:tr>
      <w:tr>
        <w:trPr>
          <w:trHeight w:val="20"/>
        </w:trPr>
        <w:tc>
          <w:tcPr>
            <w:tcW w:w="10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10480" w:type="dxa"/>
            <w:vAlign w:val="bottom"/>
            <w:shd w:val="clear" w:color="auto" w:fill="E5E5E5"/>
          </w:tcPr>
          <w:p>
            <w:pPr>
              <w:ind w:left="220"/>
              <w:spacing w:after="0" w:line="196" w:lineRule="exact"/>
              <w:rPr>
                <w:sz w:val="20"/>
                <w:szCs w:val="20"/>
                <w:color w:val="auto"/>
              </w:rPr>
            </w:pPr>
            <w:r>
              <w:rPr>
                <w:rFonts w:ascii="Arial" w:cs="Arial" w:eastAsia="Arial" w:hAnsi="Arial"/>
                <w:sz w:val="18"/>
                <w:szCs w:val="18"/>
                <w:color w:val="auto"/>
              </w:rPr>
              <w:t>Basic – as adjusted for stock-based compensation expense</w:t>
            </w:r>
          </w:p>
        </w:tc>
        <w:tc>
          <w:tcPr>
            <w:tcW w:w="220" w:type="dxa"/>
            <w:vAlign w:val="bottom"/>
            <w:shd w:val="clear" w:color="auto" w:fill="E5E5E5"/>
          </w:tcPr>
          <w:p>
            <w:pPr>
              <w:spacing w:after="0"/>
              <w:rPr>
                <w:sz w:val="17"/>
                <w:szCs w:val="17"/>
                <w:color w:val="auto"/>
              </w:rPr>
            </w:pPr>
          </w:p>
        </w:tc>
        <w:tc>
          <w:tcPr>
            <w:tcW w:w="120" w:type="dxa"/>
            <w:vAlign w:val="bottom"/>
            <w:tcBorders>
              <w:bottom w:val="single" w:sz="8" w:color="auto"/>
            </w:tcBorders>
            <w:shd w:val="clear" w:color="auto" w:fill="E5E5E5"/>
          </w:tcPr>
          <w:p>
            <w:pPr>
              <w:jc w:val="right"/>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E5E5E5"/>
          </w:tcPr>
          <w:p>
            <w:pPr>
              <w:jc w:val="right"/>
              <w:spacing w:after="0" w:line="196" w:lineRule="exact"/>
              <w:rPr>
                <w:sz w:val="20"/>
                <w:szCs w:val="20"/>
                <w:color w:val="auto"/>
              </w:rPr>
            </w:pPr>
            <w:r>
              <w:rPr>
                <w:rFonts w:ascii="Arial" w:cs="Arial" w:eastAsia="Arial" w:hAnsi="Arial"/>
                <w:sz w:val="18"/>
                <w:szCs w:val="18"/>
                <w:color w:val="auto"/>
              </w:rPr>
              <w:t>1.19</w:t>
            </w:r>
          </w:p>
        </w:tc>
        <w:tc>
          <w:tcPr>
            <w:tcW w:w="60" w:type="dxa"/>
            <w:vAlign w:val="bottom"/>
            <w:shd w:val="clear" w:color="auto" w:fill="E5E5E5"/>
          </w:tcPr>
          <w:p>
            <w:pPr>
              <w:spacing w:after="0"/>
              <w:rPr>
                <w:sz w:val="17"/>
                <w:szCs w:val="17"/>
                <w:color w:val="auto"/>
              </w:rPr>
            </w:pPr>
          </w:p>
        </w:tc>
      </w:tr>
      <w:tr>
        <w:trPr>
          <w:trHeight w:val="20"/>
        </w:trPr>
        <w:tc>
          <w:tcPr>
            <w:tcW w:w="10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10480" w:type="dxa"/>
            <w:vAlign w:val="bottom"/>
          </w:tcPr>
          <w:p>
            <w:pPr>
              <w:ind w:left="220"/>
              <w:spacing w:after="0" w:line="196" w:lineRule="exact"/>
              <w:rPr>
                <w:sz w:val="20"/>
                <w:szCs w:val="20"/>
                <w:color w:val="auto"/>
              </w:rPr>
            </w:pPr>
            <w:r>
              <w:rPr>
                <w:rFonts w:ascii="Arial" w:cs="Arial" w:eastAsia="Arial" w:hAnsi="Arial"/>
                <w:sz w:val="18"/>
                <w:szCs w:val="18"/>
                <w:color w:val="auto"/>
              </w:rPr>
              <w:t>Diluted – as reported</w:t>
            </w:r>
          </w:p>
        </w:tc>
        <w:tc>
          <w:tcPr>
            <w:tcW w:w="3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1.30</w:t>
            </w:r>
          </w:p>
        </w:tc>
      </w:tr>
      <w:tr>
        <w:trPr>
          <w:trHeight w:val="20"/>
        </w:trPr>
        <w:tc>
          <w:tcPr>
            <w:tcW w:w="10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10480" w:type="dxa"/>
            <w:vAlign w:val="bottom"/>
            <w:shd w:val="clear" w:color="auto" w:fill="E5E5E5"/>
          </w:tcPr>
          <w:p>
            <w:pPr>
              <w:ind w:left="220"/>
              <w:spacing w:after="0" w:line="196" w:lineRule="exact"/>
              <w:rPr>
                <w:sz w:val="20"/>
                <w:szCs w:val="20"/>
                <w:color w:val="auto"/>
              </w:rPr>
            </w:pPr>
            <w:r>
              <w:rPr>
                <w:rFonts w:ascii="Arial" w:cs="Arial" w:eastAsia="Arial" w:hAnsi="Arial"/>
                <w:sz w:val="18"/>
                <w:szCs w:val="18"/>
                <w:color w:val="auto"/>
              </w:rPr>
              <w:t>Diluted – as adjusted for stock-based compensation expense</w:t>
            </w:r>
          </w:p>
        </w:tc>
        <w:tc>
          <w:tcPr>
            <w:tcW w:w="340" w:type="dxa"/>
            <w:vAlign w:val="bottom"/>
            <w:gridSpan w:val="2"/>
            <w:shd w:val="clear" w:color="auto" w:fill="E5E5E5"/>
          </w:tcPr>
          <w:p>
            <w:pPr>
              <w:jc w:val="right"/>
              <w:spacing w:after="0" w:line="196" w:lineRule="exact"/>
              <w:rPr>
                <w:sz w:val="20"/>
                <w:szCs w:val="20"/>
                <w:color w:val="auto"/>
              </w:rPr>
            </w:pPr>
            <w:r>
              <w:rPr>
                <w:rFonts w:ascii="Arial" w:cs="Arial" w:eastAsia="Arial" w:hAnsi="Arial"/>
                <w:sz w:val="18"/>
                <w:szCs w:val="18"/>
                <w:color w:val="auto"/>
              </w:rPr>
              <w:t>$</w:t>
            </w:r>
          </w:p>
        </w:tc>
        <w:tc>
          <w:tcPr>
            <w:tcW w:w="600" w:type="dxa"/>
            <w:vAlign w:val="bottom"/>
            <w:gridSpan w:val="2"/>
            <w:shd w:val="clear" w:color="auto" w:fill="E5E5E5"/>
          </w:tcPr>
          <w:p>
            <w:pPr>
              <w:jc w:val="right"/>
              <w:ind w:right="60"/>
              <w:spacing w:after="0" w:line="196" w:lineRule="exact"/>
              <w:rPr>
                <w:sz w:val="20"/>
                <w:szCs w:val="20"/>
                <w:color w:val="auto"/>
              </w:rPr>
            </w:pPr>
            <w:r>
              <w:rPr>
                <w:rFonts w:ascii="Arial" w:cs="Arial" w:eastAsia="Arial" w:hAnsi="Arial"/>
                <w:sz w:val="18"/>
                <w:szCs w:val="18"/>
                <w:color w:val="auto"/>
              </w:rPr>
              <w:t>1.17</w:t>
            </w:r>
          </w:p>
        </w:tc>
      </w:tr>
      <w:tr>
        <w:trPr>
          <w:trHeight w:val="20"/>
        </w:trPr>
        <w:tc>
          <w:tcPr>
            <w:tcW w:w="10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9"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In our first quarter 2005 pro forma footnote disclosures, we included a $93 million ($0.05 per share) inception-to-date adjustment of fair value-based compensation expense to reduce the attribution period for both retirement-eligible employees and employees who would become retirement eligible prior to vesting of certain grants of non-qualified stock options.</w:t>
      </w:r>
    </w:p>
    <w:p>
      <w:pPr>
        <w:spacing w:after="0" w:line="137" w:lineRule="exact"/>
        <w:rPr>
          <w:sz w:val="20"/>
          <w:szCs w:val="20"/>
          <w:color w:val="auto"/>
        </w:rPr>
      </w:pPr>
    </w:p>
    <w:p>
      <w:pPr>
        <w:spacing w:after="0"/>
        <w:tabs>
          <w:tab w:leader="none" w:pos="8420" w:val="left"/>
        </w:tabs>
        <w:rPr>
          <w:sz w:val="20"/>
          <w:szCs w:val="20"/>
          <w:color w:val="auto"/>
        </w:rPr>
      </w:pPr>
      <w:r>
        <w:rPr>
          <w:rFonts w:ascii="Arial" w:cs="Arial" w:eastAsia="Arial" w:hAnsi="Arial"/>
          <w:sz w:val="12"/>
          <w:szCs w:val="12"/>
          <w:color w:val="auto"/>
        </w:rPr>
        <w:t>14</w:t>
      </w:r>
      <w:r>
        <w:rPr>
          <w:sz w:val="20"/>
          <w:szCs w:val="20"/>
          <w:color w:val="auto"/>
        </w:rPr>
        <w:tab/>
      </w:r>
      <w:r>
        <w:rPr>
          <w:rFonts w:ascii="Arial" w:cs="Arial" w:eastAsia="Arial" w:hAnsi="Arial"/>
          <w:sz w:val="12"/>
          <w:szCs w:val="12"/>
          <w:color w:val="auto"/>
        </w:rPr>
        <w:t>TEXAS INSTRUMENTS 2007 ANNUAL REPORT</w:t>
      </w:r>
    </w:p>
    <w:p>
      <w:pPr>
        <w:sectPr>
          <w:pgSz w:w="11900" w:h="16838" w:orient="portrait"/>
          <w:cols w:equalWidth="0" w:num="1">
            <w:col w:w="11420"/>
          </w:cols>
          <w:pgMar w:left="240" w:top="291"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Assumptions:</w:t>
      </w:r>
    </w:p>
    <w:p>
      <w:pPr>
        <w:spacing w:after="0" w:line="176" w:lineRule="exact"/>
        <w:rPr>
          <w:sz w:val="20"/>
          <w:szCs w:val="20"/>
          <w:color w:val="auto"/>
        </w:rPr>
      </w:pPr>
    </w:p>
    <w:p>
      <w:pPr>
        <w:jc w:val="both"/>
        <w:ind w:right="200"/>
        <w:spacing w:after="0" w:line="275" w:lineRule="auto"/>
        <w:rPr>
          <w:sz w:val="20"/>
          <w:szCs w:val="20"/>
          <w:color w:val="auto"/>
        </w:rPr>
      </w:pPr>
      <w:r>
        <w:rPr>
          <w:rFonts w:ascii="Arial" w:cs="Arial" w:eastAsia="Arial" w:hAnsi="Arial"/>
          <w:sz w:val="16"/>
          <w:szCs w:val="16"/>
          <w:color w:val="auto"/>
        </w:rPr>
        <w:t>The fair values for the non-qualified stock options and stock options offered under the TI Employees 2002 Stock Purchase Plan (both actual and pro forma) were estimated using the Black-Scholes option-pricing model with the weighted-average assumptions listed below. The TI Employees 2005 Stock Purchase Plan, which began October 1, 2005, is a discount-purchase plan. Consequently, the Black-Scholes option pricing model is not used to determine the fair value per share of these awards. The fair value per share under this plan is equal to the amount of the discount.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8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740" w:type="dxa"/>
            <w:vAlign w:val="bottom"/>
            <w:shd w:val="clear" w:color="auto" w:fill="E5E5E5"/>
          </w:tcPr>
          <w:p>
            <w:pPr>
              <w:jc w:val="right"/>
              <w:ind w:right="172"/>
              <w:spacing w:after="0"/>
              <w:rPr>
                <w:sz w:val="20"/>
                <w:szCs w:val="20"/>
                <w:color w:val="auto"/>
              </w:rPr>
            </w:pPr>
            <w:r>
              <w:rPr>
                <w:rFonts w:ascii="Arial" w:cs="Arial" w:eastAsia="Arial" w:hAnsi="Arial"/>
                <w:sz w:val="18"/>
                <w:szCs w:val="18"/>
                <w:b w:val="1"/>
                <w:bCs w:val="1"/>
                <w:color w:val="auto"/>
              </w:rPr>
              <w:t>2007</w:t>
            </w:r>
          </w:p>
        </w:tc>
        <w:tc>
          <w:tcPr>
            <w:tcW w:w="300" w:type="dxa"/>
            <w:vAlign w:val="bottom"/>
            <w:shd w:val="clear" w:color="auto" w:fill="E5E5E5"/>
          </w:tcPr>
          <w:p>
            <w:pPr>
              <w:spacing w:after="0"/>
              <w:rPr>
                <w:sz w:val="17"/>
                <w:szCs w:val="17"/>
                <w:color w:val="auto"/>
              </w:rPr>
            </w:pPr>
          </w:p>
        </w:tc>
        <w:tc>
          <w:tcPr>
            <w:tcW w:w="760" w:type="dxa"/>
            <w:vAlign w:val="bottom"/>
            <w:shd w:val="clear" w:color="auto" w:fill="E5E5E5"/>
          </w:tcPr>
          <w:p>
            <w:pPr>
              <w:jc w:val="right"/>
              <w:ind w:right="232"/>
              <w:spacing w:after="0"/>
              <w:rPr>
                <w:sz w:val="20"/>
                <w:szCs w:val="20"/>
                <w:color w:val="auto"/>
              </w:rPr>
            </w:pPr>
            <w:r>
              <w:rPr>
                <w:rFonts w:ascii="Arial" w:cs="Arial" w:eastAsia="Arial" w:hAnsi="Arial"/>
                <w:sz w:val="18"/>
                <w:szCs w:val="18"/>
                <w:b w:val="1"/>
                <w:bCs w:val="1"/>
                <w:color w:val="auto"/>
              </w:rPr>
              <w:t>2006</w:t>
            </w:r>
          </w:p>
        </w:tc>
        <w:tc>
          <w:tcPr>
            <w:tcW w:w="260" w:type="dxa"/>
            <w:vAlign w:val="bottom"/>
            <w:shd w:val="clear" w:color="auto" w:fill="E5E5E5"/>
          </w:tcPr>
          <w:p>
            <w:pPr>
              <w:spacing w:after="0"/>
              <w:rPr>
                <w:sz w:val="17"/>
                <w:szCs w:val="17"/>
                <w:color w:val="auto"/>
              </w:rPr>
            </w:pPr>
          </w:p>
        </w:tc>
        <w:tc>
          <w:tcPr>
            <w:tcW w:w="640" w:type="dxa"/>
            <w:vAlign w:val="bottom"/>
            <w:shd w:val="clear" w:color="auto" w:fill="E5E5E5"/>
          </w:tcPr>
          <w:p>
            <w:pPr>
              <w:jc w:val="right"/>
              <w:ind w:right="112"/>
              <w:spacing w:after="0"/>
              <w:rPr>
                <w:sz w:val="20"/>
                <w:szCs w:val="20"/>
                <w:color w:val="auto"/>
              </w:rPr>
            </w:pPr>
            <w:r>
              <w:rPr>
                <w:rFonts w:ascii="Arial" w:cs="Arial" w:eastAsia="Arial" w:hAnsi="Arial"/>
                <w:sz w:val="18"/>
                <w:szCs w:val="18"/>
                <w:b w:val="1"/>
                <w:bCs w:val="1"/>
                <w:color w:val="auto"/>
              </w:rPr>
              <w:t>2005</w:t>
            </w:r>
          </w:p>
        </w:tc>
      </w:tr>
      <w:tr>
        <w:trPr>
          <w:trHeight w:val="311"/>
        </w:trPr>
        <w:tc>
          <w:tcPr>
            <w:tcW w:w="8380" w:type="dxa"/>
            <w:vAlign w:val="bottom"/>
          </w:tcPr>
          <w:p>
            <w:pPr>
              <w:spacing w:after="0"/>
              <w:rPr>
                <w:sz w:val="20"/>
                <w:szCs w:val="20"/>
                <w:color w:val="auto"/>
              </w:rPr>
            </w:pPr>
            <w:r>
              <w:rPr>
                <w:rFonts w:ascii="Arial" w:cs="Arial" w:eastAsia="Arial" w:hAnsi="Arial"/>
                <w:sz w:val="18"/>
                <w:szCs w:val="18"/>
                <w:b w:val="1"/>
                <w:bCs w:val="1"/>
                <w:color w:val="auto"/>
              </w:rPr>
              <w:t>Long-term Plans (a)</w:t>
            </w: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3"/>
        </w:trPr>
        <w:tc>
          <w:tcPr>
            <w:tcW w:w="83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Weighted average grant date fair value, per share</w:t>
            </w:r>
          </w:p>
        </w:tc>
        <w:tc>
          <w:tcPr>
            <w:tcW w:w="3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E5E5E5"/>
          </w:tcPr>
          <w:p>
            <w:pPr>
              <w:jc w:val="right"/>
              <w:ind w:right="212"/>
              <w:spacing w:after="0" w:line="202" w:lineRule="exact"/>
              <w:rPr>
                <w:sz w:val="20"/>
                <w:szCs w:val="20"/>
                <w:color w:val="auto"/>
              </w:rPr>
            </w:pPr>
            <w:r>
              <w:rPr>
                <w:rFonts w:ascii="Arial" w:cs="Arial" w:eastAsia="Arial" w:hAnsi="Arial"/>
                <w:sz w:val="18"/>
                <w:szCs w:val="18"/>
                <w:b w:val="1"/>
                <w:bCs w:val="1"/>
                <w:color w:val="auto"/>
              </w:rPr>
              <w:t>9.72</w:t>
            </w:r>
          </w:p>
        </w:tc>
        <w:tc>
          <w:tcPr>
            <w:tcW w:w="3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E5E5E5"/>
          </w:tcPr>
          <w:p>
            <w:pPr>
              <w:jc w:val="right"/>
              <w:ind w:right="172"/>
              <w:spacing w:after="0" w:line="202" w:lineRule="exact"/>
              <w:rPr>
                <w:sz w:val="20"/>
                <w:szCs w:val="20"/>
                <w:color w:val="auto"/>
              </w:rPr>
            </w:pPr>
            <w:r>
              <w:rPr>
                <w:rFonts w:ascii="Arial" w:cs="Arial" w:eastAsia="Arial" w:hAnsi="Arial"/>
                <w:sz w:val="18"/>
                <w:szCs w:val="18"/>
                <w:color w:val="auto"/>
              </w:rPr>
              <w:t>11.82</w:t>
            </w:r>
          </w:p>
        </w:tc>
        <w:tc>
          <w:tcPr>
            <w:tcW w:w="2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E5E5E5"/>
          </w:tcPr>
          <w:p>
            <w:pPr>
              <w:jc w:val="right"/>
              <w:ind w:right="52"/>
              <w:spacing w:after="0" w:line="202" w:lineRule="exact"/>
              <w:rPr>
                <w:sz w:val="20"/>
                <w:szCs w:val="20"/>
                <w:color w:val="auto"/>
              </w:rPr>
            </w:pPr>
            <w:r>
              <w:rPr>
                <w:rFonts w:ascii="Arial" w:cs="Arial" w:eastAsia="Arial" w:hAnsi="Arial"/>
                <w:sz w:val="18"/>
                <w:szCs w:val="18"/>
                <w:color w:val="auto"/>
              </w:rPr>
              <w:t>10.07</w:t>
            </w:r>
          </w:p>
        </w:tc>
      </w:tr>
      <w:tr>
        <w:trPr>
          <w:trHeight w:val="203"/>
        </w:trPr>
        <w:tc>
          <w:tcPr>
            <w:tcW w:w="8380" w:type="dxa"/>
            <w:vAlign w:val="bottom"/>
          </w:tcPr>
          <w:p>
            <w:pPr>
              <w:spacing w:after="0" w:line="202" w:lineRule="exact"/>
              <w:rPr>
                <w:sz w:val="20"/>
                <w:szCs w:val="20"/>
                <w:color w:val="auto"/>
              </w:rPr>
            </w:pPr>
            <w:r>
              <w:rPr>
                <w:rFonts w:ascii="Arial" w:cs="Arial" w:eastAsia="Arial" w:hAnsi="Arial"/>
                <w:sz w:val="18"/>
                <w:szCs w:val="18"/>
                <w:color w:val="auto"/>
              </w:rPr>
              <w:t>Weighted average assumptions used:</w:t>
            </w: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838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Expected volatility</w:t>
            </w:r>
          </w:p>
        </w:tc>
        <w:tc>
          <w:tcPr>
            <w:tcW w:w="340" w:type="dxa"/>
            <w:vAlign w:val="bottom"/>
            <w:shd w:val="clear" w:color="auto" w:fill="E5E5E5"/>
          </w:tcPr>
          <w:p>
            <w:pPr>
              <w:spacing w:after="0"/>
              <w:rPr>
                <w:sz w:val="17"/>
                <w:szCs w:val="17"/>
                <w:color w:val="auto"/>
              </w:rPr>
            </w:pPr>
          </w:p>
        </w:tc>
        <w:tc>
          <w:tcPr>
            <w:tcW w:w="740" w:type="dxa"/>
            <w:vAlign w:val="bottom"/>
            <w:shd w:val="clear" w:color="auto" w:fill="E5E5E5"/>
          </w:tcPr>
          <w:p>
            <w:pPr>
              <w:jc w:val="right"/>
              <w:ind w:right="72"/>
              <w:spacing w:after="0" w:line="202" w:lineRule="exact"/>
              <w:rPr>
                <w:sz w:val="20"/>
                <w:szCs w:val="20"/>
                <w:color w:val="auto"/>
              </w:rPr>
            </w:pPr>
            <w:r>
              <w:rPr>
                <w:rFonts w:ascii="Arial" w:cs="Arial" w:eastAsia="Arial" w:hAnsi="Arial"/>
                <w:sz w:val="18"/>
                <w:szCs w:val="18"/>
                <w:b w:val="1"/>
                <w:bCs w:val="1"/>
                <w:color w:val="auto"/>
              </w:rPr>
              <w:t>28%</w:t>
            </w:r>
          </w:p>
        </w:tc>
        <w:tc>
          <w:tcPr>
            <w:tcW w:w="300" w:type="dxa"/>
            <w:vAlign w:val="bottom"/>
            <w:shd w:val="clear" w:color="auto" w:fill="E5E5E5"/>
          </w:tcPr>
          <w:p>
            <w:pPr>
              <w:spacing w:after="0"/>
              <w:rPr>
                <w:sz w:val="17"/>
                <w:szCs w:val="17"/>
                <w:color w:val="auto"/>
              </w:rPr>
            </w:pPr>
          </w:p>
        </w:tc>
        <w:tc>
          <w:tcPr>
            <w:tcW w:w="760" w:type="dxa"/>
            <w:vAlign w:val="bottom"/>
            <w:shd w:val="clear" w:color="auto" w:fill="E5E5E5"/>
          </w:tcPr>
          <w:p>
            <w:pPr>
              <w:jc w:val="right"/>
              <w:ind w:right="32"/>
              <w:spacing w:after="0" w:line="202" w:lineRule="exact"/>
              <w:rPr>
                <w:sz w:val="20"/>
                <w:szCs w:val="20"/>
                <w:color w:val="auto"/>
              </w:rPr>
            </w:pPr>
            <w:r>
              <w:rPr>
                <w:rFonts w:ascii="Arial" w:cs="Arial" w:eastAsia="Arial" w:hAnsi="Arial"/>
                <w:sz w:val="18"/>
                <w:szCs w:val="18"/>
                <w:color w:val="auto"/>
              </w:rPr>
              <w:t>34%</w:t>
            </w:r>
          </w:p>
        </w:tc>
        <w:tc>
          <w:tcPr>
            <w:tcW w:w="260" w:type="dxa"/>
            <w:vAlign w:val="bottom"/>
            <w:shd w:val="clear" w:color="auto" w:fill="E5E5E5"/>
          </w:tcPr>
          <w:p>
            <w:pPr>
              <w:spacing w:after="0"/>
              <w:rPr>
                <w:sz w:val="17"/>
                <w:szCs w:val="17"/>
                <w:color w:val="auto"/>
              </w:rPr>
            </w:pPr>
          </w:p>
        </w:tc>
        <w:tc>
          <w:tcPr>
            <w:tcW w:w="6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50%</w:t>
            </w:r>
          </w:p>
        </w:tc>
      </w:tr>
      <w:tr>
        <w:trPr>
          <w:trHeight w:val="203"/>
        </w:trPr>
        <w:tc>
          <w:tcPr>
            <w:tcW w:w="8380" w:type="dxa"/>
            <w:vAlign w:val="bottom"/>
          </w:tcPr>
          <w:p>
            <w:pPr>
              <w:ind w:left="220"/>
              <w:spacing w:after="0" w:line="202" w:lineRule="exact"/>
              <w:rPr>
                <w:sz w:val="20"/>
                <w:szCs w:val="20"/>
                <w:color w:val="auto"/>
              </w:rPr>
            </w:pPr>
            <w:r>
              <w:rPr>
                <w:rFonts w:ascii="Arial" w:cs="Arial" w:eastAsia="Arial" w:hAnsi="Arial"/>
                <w:sz w:val="18"/>
                <w:szCs w:val="18"/>
                <w:color w:val="auto"/>
              </w:rPr>
              <w:t>Expected lives</w:t>
            </w:r>
          </w:p>
        </w:tc>
        <w:tc>
          <w:tcPr>
            <w:tcW w:w="340" w:type="dxa"/>
            <w:vAlign w:val="bottom"/>
          </w:tcPr>
          <w:p>
            <w:pPr>
              <w:spacing w:after="0"/>
              <w:rPr>
                <w:sz w:val="17"/>
                <w:szCs w:val="17"/>
                <w:color w:val="auto"/>
              </w:rPr>
            </w:pPr>
          </w:p>
        </w:tc>
        <w:tc>
          <w:tcPr>
            <w:tcW w:w="740" w:type="dxa"/>
            <w:vAlign w:val="bottom"/>
          </w:tcPr>
          <w:p>
            <w:pPr>
              <w:jc w:val="right"/>
              <w:ind w:right="72"/>
              <w:spacing w:after="0" w:line="202" w:lineRule="exact"/>
              <w:rPr>
                <w:sz w:val="20"/>
                <w:szCs w:val="20"/>
                <w:color w:val="auto"/>
              </w:rPr>
            </w:pPr>
            <w:r>
              <w:rPr>
                <w:rFonts w:ascii="Arial" w:cs="Arial" w:eastAsia="Arial" w:hAnsi="Arial"/>
                <w:sz w:val="18"/>
                <w:szCs w:val="18"/>
                <w:b w:val="1"/>
                <w:bCs w:val="1"/>
                <w:color w:val="auto"/>
                <w:w w:val="98"/>
              </w:rPr>
              <w:t>5.6 yrs</w:t>
            </w:r>
          </w:p>
        </w:tc>
        <w:tc>
          <w:tcPr>
            <w:tcW w:w="300" w:type="dxa"/>
            <w:vAlign w:val="bottom"/>
          </w:tcPr>
          <w:p>
            <w:pPr>
              <w:spacing w:after="0"/>
              <w:rPr>
                <w:sz w:val="17"/>
                <w:szCs w:val="17"/>
                <w:color w:val="auto"/>
              </w:rPr>
            </w:pPr>
          </w:p>
        </w:tc>
        <w:tc>
          <w:tcPr>
            <w:tcW w:w="7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5.0 yrs</w:t>
            </w:r>
          </w:p>
        </w:tc>
        <w:tc>
          <w:tcPr>
            <w:tcW w:w="2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5.0 yrs</w:t>
            </w:r>
          </w:p>
        </w:tc>
      </w:tr>
      <w:tr>
        <w:trPr>
          <w:trHeight w:val="203"/>
        </w:trPr>
        <w:tc>
          <w:tcPr>
            <w:tcW w:w="838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Risk-free interest rates</w:t>
            </w:r>
          </w:p>
        </w:tc>
        <w:tc>
          <w:tcPr>
            <w:tcW w:w="340" w:type="dxa"/>
            <w:vAlign w:val="bottom"/>
            <w:shd w:val="clear" w:color="auto" w:fill="E5E5E5"/>
          </w:tcPr>
          <w:p>
            <w:pPr>
              <w:spacing w:after="0"/>
              <w:rPr>
                <w:sz w:val="17"/>
                <w:szCs w:val="17"/>
                <w:color w:val="auto"/>
              </w:rPr>
            </w:pPr>
          </w:p>
        </w:tc>
        <w:tc>
          <w:tcPr>
            <w:tcW w:w="740" w:type="dxa"/>
            <w:vAlign w:val="bottom"/>
            <w:shd w:val="clear" w:color="auto" w:fill="E5E5E5"/>
          </w:tcPr>
          <w:p>
            <w:pPr>
              <w:jc w:val="right"/>
              <w:ind w:right="72"/>
              <w:spacing w:after="0" w:line="202" w:lineRule="exact"/>
              <w:rPr>
                <w:sz w:val="20"/>
                <w:szCs w:val="20"/>
                <w:color w:val="auto"/>
              </w:rPr>
            </w:pPr>
            <w:r>
              <w:rPr>
                <w:rFonts w:ascii="Arial" w:cs="Arial" w:eastAsia="Arial" w:hAnsi="Arial"/>
                <w:sz w:val="18"/>
                <w:szCs w:val="18"/>
                <w:b w:val="1"/>
                <w:bCs w:val="1"/>
                <w:color w:val="auto"/>
              </w:rPr>
              <w:t>4.73%</w:t>
            </w:r>
          </w:p>
        </w:tc>
        <w:tc>
          <w:tcPr>
            <w:tcW w:w="300" w:type="dxa"/>
            <w:vAlign w:val="bottom"/>
            <w:shd w:val="clear" w:color="auto" w:fill="E5E5E5"/>
          </w:tcPr>
          <w:p>
            <w:pPr>
              <w:spacing w:after="0"/>
              <w:rPr>
                <w:sz w:val="17"/>
                <w:szCs w:val="17"/>
                <w:color w:val="auto"/>
              </w:rPr>
            </w:pPr>
          </w:p>
        </w:tc>
        <w:tc>
          <w:tcPr>
            <w:tcW w:w="760" w:type="dxa"/>
            <w:vAlign w:val="bottom"/>
            <w:shd w:val="clear" w:color="auto" w:fill="E5E5E5"/>
          </w:tcPr>
          <w:p>
            <w:pPr>
              <w:jc w:val="right"/>
              <w:ind w:right="32"/>
              <w:spacing w:after="0" w:line="202" w:lineRule="exact"/>
              <w:rPr>
                <w:sz w:val="20"/>
                <w:szCs w:val="20"/>
                <w:color w:val="auto"/>
              </w:rPr>
            </w:pPr>
            <w:r>
              <w:rPr>
                <w:rFonts w:ascii="Arial" w:cs="Arial" w:eastAsia="Arial" w:hAnsi="Arial"/>
                <w:sz w:val="18"/>
                <w:szCs w:val="18"/>
                <w:color w:val="auto"/>
              </w:rPr>
              <w:t>4.50%</w:t>
            </w:r>
          </w:p>
        </w:tc>
        <w:tc>
          <w:tcPr>
            <w:tcW w:w="260" w:type="dxa"/>
            <w:vAlign w:val="bottom"/>
            <w:shd w:val="clear" w:color="auto" w:fill="E5E5E5"/>
          </w:tcPr>
          <w:p>
            <w:pPr>
              <w:spacing w:after="0"/>
              <w:rPr>
                <w:sz w:val="17"/>
                <w:szCs w:val="17"/>
                <w:color w:val="auto"/>
              </w:rPr>
            </w:pPr>
          </w:p>
        </w:tc>
        <w:tc>
          <w:tcPr>
            <w:tcW w:w="6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3.77%</w:t>
            </w:r>
          </w:p>
        </w:tc>
      </w:tr>
      <w:tr>
        <w:trPr>
          <w:trHeight w:val="203"/>
        </w:trPr>
        <w:tc>
          <w:tcPr>
            <w:tcW w:w="8380" w:type="dxa"/>
            <w:vAlign w:val="bottom"/>
          </w:tcPr>
          <w:p>
            <w:pPr>
              <w:ind w:left="220"/>
              <w:spacing w:after="0" w:line="202" w:lineRule="exact"/>
              <w:rPr>
                <w:sz w:val="20"/>
                <w:szCs w:val="20"/>
                <w:color w:val="auto"/>
              </w:rPr>
            </w:pPr>
            <w:r>
              <w:rPr>
                <w:rFonts w:ascii="Arial" w:cs="Arial" w:eastAsia="Arial" w:hAnsi="Arial"/>
                <w:sz w:val="18"/>
                <w:szCs w:val="18"/>
                <w:color w:val="auto"/>
              </w:rPr>
              <w:t>Expected dividend yields</w:t>
            </w:r>
          </w:p>
        </w:tc>
        <w:tc>
          <w:tcPr>
            <w:tcW w:w="340" w:type="dxa"/>
            <w:vAlign w:val="bottom"/>
          </w:tcPr>
          <w:p>
            <w:pPr>
              <w:spacing w:after="0"/>
              <w:rPr>
                <w:sz w:val="17"/>
                <w:szCs w:val="17"/>
                <w:color w:val="auto"/>
              </w:rPr>
            </w:pPr>
          </w:p>
        </w:tc>
        <w:tc>
          <w:tcPr>
            <w:tcW w:w="740" w:type="dxa"/>
            <w:vAlign w:val="bottom"/>
          </w:tcPr>
          <w:p>
            <w:pPr>
              <w:jc w:val="right"/>
              <w:ind w:right="72"/>
              <w:spacing w:after="0" w:line="202" w:lineRule="exact"/>
              <w:rPr>
                <w:sz w:val="20"/>
                <w:szCs w:val="20"/>
                <w:color w:val="auto"/>
              </w:rPr>
            </w:pPr>
            <w:r>
              <w:rPr>
                <w:rFonts w:ascii="Arial" w:cs="Arial" w:eastAsia="Arial" w:hAnsi="Arial"/>
                <w:sz w:val="18"/>
                <w:szCs w:val="18"/>
                <w:b w:val="1"/>
                <w:bCs w:val="1"/>
                <w:color w:val="auto"/>
              </w:rPr>
              <w:t>0.57%</w:t>
            </w:r>
          </w:p>
        </w:tc>
        <w:tc>
          <w:tcPr>
            <w:tcW w:w="300" w:type="dxa"/>
            <w:vAlign w:val="bottom"/>
          </w:tcPr>
          <w:p>
            <w:pPr>
              <w:spacing w:after="0"/>
              <w:rPr>
                <w:sz w:val="17"/>
                <w:szCs w:val="17"/>
                <w:color w:val="auto"/>
              </w:rPr>
            </w:pPr>
          </w:p>
        </w:tc>
        <w:tc>
          <w:tcPr>
            <w:tcW w:w="7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0.37%</w:t>
            </w:r>
          </w:p>
        </w:tc>
        <w:tc>
          <w:tcPr>
            <w:tcW w:w="2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0.48%</w:t>
            </w:r>
          </w:p>
        </w:tc>
      </w:tr>
      <w:tr>
        <w:trPr>
          <w:trHeight w:val="311"/>
        </w:trPr>
        <w:tc>
          <w:tcPr>
            <w:tcW w:w="83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Stock Purchase Plans (b)</w:t>
            </w:r>
          </w:p>
        </w:tc>
        <w:tc>
          <w:tcPr>
            <w:tcW w:w="340" w:type="dxa"/>
            <w:vAlign w:val="bottom"/>
            <w:shd w:val="clear" w:color="auto" w:fill="E5E5E5"/>
          </w:tcPr>
          <w:p>
            <w:pPr>
              <w:spacing w:after="0"/>
              <w:rPr>
                <w:sz w:val="24"/>
                <w:szCs w:val="24"/>
                <w:color w:val="auto"/>
              </w:rPr>
            </w:pPr>
          </w:p>
        </w:tc>
        <w:tc>
          <w:tcPr>
            <w:tcW w:w="740" w:type="dxa"/>
            <w:vAlign w:val="bottom"/>
            <w:shd w:val="clear" w:color="auto" w:fill="E5E5E5"/>
          </w:tcPr>
          <w:p>
            <w:pPr>
              <w:spacing w:after="0"/>
              <w:rPr>
                <w:sz w:val="24"/>
                <w:szCs w:val="24"/>
                <w:color w:val="auto"/>
              </w:rPr>
            </w:pPr>
          </w:p>
        </w:tc>
        <w:tc>
          <w:tcPr>
            <w:tcW w:w="300" w:type="dxa"/>
            <w:vAlign w:val="bottom"/>
            <w:shd w:val="clear" w:color="auto" w:fill="E5E5E5"/>
          </w:tcPr>
          <w:p>
            <w:pPr>
              <w:spacing w:after="0"/>
              <w:rPr>
                <w:sz w:val="24"/>
                <w:szCs w:val="24"/>
                <w:color w:val="auto"/>
              </w:rPr>
            </w:pPr>
          </w:p>
        </w:tc>
        <w:tc>
          <w:tcPr>
            <w:tcW w:w="760" w:type="dxa"/>
            <w:vAlign w:val="bottom"/>
            <w:shd w:val="clear" w:color="auto" w:fill="E5E5E5"/>
          </w:tcPr>
          <w:p>
            <w:pPr>
              <w:spacing w:after="0"/>
              <w:rPr>
                <w:sz w:val="24"/>
                <w:szCs w:val="24"/>
                <w:color w:val="auto"/>
              </w:rPr>
            </w:pPr>
          </w:p>
        </w:tc>
        <w:tc>
          <w:tcPr>
            <w:tcW w:w="260" w:type="dxa"/>
            <w:vAlign w:val="bottom"/>
            <w:shd w:val="clear" w:color="auto" w:fill="E5E5E5"/>
          </w:tcPr>
          <w:p>
            <w:pPr>
              <w:spacing w:after="0"/>
              <w:rPr>
                <w:sz w:val="24"/>
                <w:szCs w:val="24"/>
                <w:color w:val="auto"/>
              </w:rPr>
            </w:pPr>
          </w:p>
        </w:tc>
        <w:tc>
          <w:tcPr>
            <w:tcW w:w="640" w:type="dxa"/>
            <w:vAlign w:val="bottom"/>
            <w:shd w:val="clear" w:color="auto" w:fill="E5E5E5"/>
          </w:tcPr>
          <w:p>
            <w:pPr>
              <w:spacing w:after="0"/>
              <w:rPr>
                <w:sz w:val="24"/>
                <w:szCs w:val="24"/>
                <w:color w:val="auto"/>
              </w:rPr>
            </w:pPr>
          </w:p>
        </w:tc>
      </w:tr>
      <w:tr>
        <w:trPr>
          <w:trHeight w:val="203"/>
        </w:trPr>
        <w:tc>
          <w:tcPr>
            <w:tcW w:w="8380" w:type="dxa"/>
            <w:vAlign w:val="bottom"/>
          </w:tcPr>
          <w:p>
            <w:pPr>
              <w:spacing w:after="0" w:line="202" w:lineRule="exact"/>
              <w:rPr>
                <w:sz w:val="20"/>
                <w:szCs w:val="20"/>
                <w:color w:val="auto"/>
              </w:rPr>
            </w:pPr>
            <w:r>
              <w:rPr>
                <w:rFonts w:ascii="Arial" w:cs="Arial" w:eastAsia="Arial" w:hAnsi="Arial"/>
                <w:sz w:val="18"/>
                <w:szCs w:val="18"/>
                <w:color w:val="auto"/>
              </w:rPr>
              <w:t>Weighted average fair value, per share</w:t>
            </w:r>
          </w:p>
        </w:tc>
        <w:tc>
          <w:tcPr>
            <w:tcW w:w="3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212"/>
              <w:spacing w:after="0" w:line="202" w:lineRule="exact"/>
              <w:rPr>
                <w:sz w:val="20"/>
                <w:szCs w:val="20"/>
                <w:color w:val="auto"/>
              </w:rPr>
            </w:pPr>
            <w:r>
              <w:rPr>
                <w:rFonts w:ascii="Arial" w:cs="Arial" w:eastAsia="Arial" w:hAnsi="Arial"/>
                <w:sz w:val="18"/>
                <w:szCs w:val="18"/>
                <w:b w:val="1"/>
                <w:bCs w:val="1"/>
                <w:color w:val="auto"/>
              </w:rPr>
              <w:t>5.10</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4.68</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4.56</w:t>
            </w:r>
          </w:p>
        </w:tc>
      </w:tr>
      <w:tr>
        <w:trPr>
          <w:trHeight w:val="203"/>
        </w:trPr>
        <w:tc>
          <w:tcPr>
            <w:tcW w:w="83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Weighted average assumptions used:</w:t>
            </w:r>
          </w:p>
        </w:tc>
        <w:tc>
          <w:tcPr>
            <w:tcW w:w="340" w:type="dxa"/>
            <w:vAlign w:val="bottom"/>
            <w:shd w:val="clear" w:color="auto" w:fill="E5E5E5"/>
          </w:tcPr>
          <w:p>
            <w:pPr>
              <w:spacing w:after="0"/>
              <w:rPr>
                <w:sz w:val="17"/>
                <w:szCs w:val="17"/>
                <w:color w:val="auto"/>
              </w:rPr>
            </w:pPr>
          </w:p>
        </w:tc>
        <w:tc>
          <w:tcPr>
            <w:tcW w:w="74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76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640" w:type="dxa"/>
            <w:vAlign w:val="bottom"/>
            <w:shd w:val="clear" w:color="auto" w:fill="E5E5E5"/>
          </w:tcPr>
          <w:p>
            <w:pPr>
              <w:spacing w:after="0"/>
              <w:rPr>
                <w:sz w:val="17"/>
                <w:szCs w:val="17"/>
                <w:color w:val="auto"/>
              </w:rPr>
            </w:pPr>
          </w:p>
        </w:tc>
      </w:tr>
      <w:tr>
        <w:trPr>
          <w:trHeight w:val="203"/>
        </w:trPr>
        <w:tc>
          <w:tcPr>
            <w:tcW w:w="8380" w:type="dxa"/>
            <w:vAlign w:val="bottom"/>
          </w:tcPr>
          <w:p>
            <w:pPr>
              <w:ind w:left="220"/>
              <w:spacing w:after="0" w:line="202" w:lineRule="exact"/>
              <w:rPr>
                <w:sz w:val="20"/>
                <w:szCs w:val="20"/>
                <w:color w:val="auto"/>
              </w:rPr>
            </w:pPr>
            <w:r>
              <w:rPr>
                <w:rFonts w:ascii="Arial" w:cs="Arial" w:eastAsia="Arial" w:hAnsi="Arial"/>
                <w:sz w:val="18"/>
                <w:szCs w:val="18"/>
                <w:color w:val="auto"/>
              </w:rPr>
              <w:t>Expected volatility</w:t>
            </w:r>
          </w:p>
        </w:tc>
        <w:tc>
          <w:tcPr>
            <w:tcW w:w="340" w:type="dxa"/>
            <w:vAlign w:val="bottom"/>
          </w:tcPr>
          <w:p>
            <w:pPr>
              <w:spacing w:after="0"/>
              <w:rPr>
                <w:sz w:val="17"/>
                <w:szCs w:val="17"/>
                <w:color w:val="auto"/>
              </w:rPr>
            </w:pPr>
          </w:p>
        </w:tc>
        <w:tc>
          <w:tcPr>
            <w:tcW w:w="740" w:type="dxa"/>
            <w:vAlign w:val="bottom"/>
          </w:tcPr>
          <w:p>
            <w:pPr>
              <w:jc w:val="right"/>
              <w:ind w:right="212"/>
              <w:spacing w:after="0" w:line="202" w:lineRule="exact"/>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7"/>
                <w:szCs w:val="17"/>
                <w:color w:val="auto"/>
              </w:rPr>
            </w:pPr>
          </w:p>
        </w:tc>
        <w:tc>
          <w:tcPr>
            <w:tcW w:w="76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36%</w:t>
            </w:r>
          </w:p>
        </w:tc>
      </w:tr>
      <w:tr>
        <w:trPr>
          <w:trHeight w:val="203"/>
        </w:trPr>
        <w:tc>
          <w:tcPr>
            <w:tcW w:w="838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Expected lives</w:t>
            </w:r>
          </w:p>
        </w:tc>
        <w:tc>
          <w:tcPr>
            <w:tcW w:w="340" w:type="dxa"/>
            <w:vAlign w:val="bottom"/>
            <w:shd w:val="clear" w:color="auto" w:fill="E5E5E5"/>
          </w:tcPr>
          <w:p>
            <w:pPr>
              <w:spacing w:after="0"/>
              <w:rPr>
                <w:sz w:val="17"/>
                <w:szCs w:val="17"/>
                <w:color w:val="auto"/>
              </w:rPr>
            </w:pPr>
          </w:p>
        </w:tc>
        <w:tc>
          <w:tcPr>
            <w:tcW w:w="740" w:type="dxa"/>
            <w:vAlign w:val="bottom"/>
            <w:shd w:val="clear" w:color="auto" w:fill="E5E5E5"/>
          </w:tcPr>
          <w:p>
            <w:pPr>
              <w:jc w:val="right"/>
              <w:ind w:right="212"/>
              <w:spacing w:after="0" w:line="202" w:lineRule="exact"/>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E5E5E5"/>
          </w:tcPr>
          <w:p>
            <w:pPr>
              <w:spacing w:after="0"/>
              <w:rPr>
                <w:sz w:val="17"/>
                <w:szCs w:val="17"/>
                <w:color w:val="auto"/>
              </w:rPr>
            </w:pPr>
          </w:p>
        </w:tc>
        <w:tc>
          <w:tcPr>
            <w:tcW w:w="760" w:type="dxa"/>
            <w:vAlign w:val="bottom"/>
            <w:shd w:val="clear" w:color="auto" w:fill="E5E5E5"/>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7"/>
                <w:szCs w:val="17"/>
                <w:color w:val="auto"/>
              </w:rPr>
            </w:pPr>
          </w:p>
        </w:tc>
        <w:tc>
          <w:tcPr>
            <w:tcW w:w="6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.58 yrs</w:t>
            </w:r>
          </w:p>
        </w:tc>
      </w:tr>
      <w:tr>
        <w:trPr>
          <w:trHeight w:val="203"/>
        </w:trPr>
        <w:tc>
          <w:tcPr>
            <w:tcW w:w="8380" w:type="dxa"/>
            <w:vAlign w:val="bottom"/>
          </w:tcPr>
          <w:p>
            <w:pPr>
              <w:ind w:left="220"/>
              <w:spacing w:after="0" w:line="202" w:lineRule="exact"/>
              <w:rPr>
                <w:sz w:val="20"/>
                <w:szCs w:val="20"/>
                <w:color w:val="auto"/>
              </w:rPr>
            </w:pPr>
            <w:r>
              <w:rPr>
                <w:rFonts w:ascii="Arial" w:cs="Arial" w:eastAsia="Arial" w:hAnsi="Arial"/>
                <w:sz w:val="18"/>
                <w:szCs w:val="18"/>
                <w:color w:val="auto"/>
              </w:rPr>
              <w:t>Risk-free interest rates</w:t>
            </w:r>
          </w:p>
        </w:tc>
        <w:tc>
          <w:tcPr>
            <w:tcW w:w="340" w:type="dxa"/>
            <w:vAlign w:val="bottom"/>
          </w:tcPr>
          <w:p>
            <w:pPr>
              <w:spacing w:after="0"/>
              <w:rPr>
                <w:sz w:val="17"/>
                <w:szCs w:val="17"/>
                <w:color w:val="auto"/>
              </w:rPr>
            </w:pPr>
          </w:p>
        </w:tc>
        <w:tc>
          <w:tcPr>
            <w:tcW w:w="740" w:type="dxa"/>
            <w:vAlign w:val="bottom"/>
          </w:tcPr>
          <w:p>
            <w:pPr>
              <w:jc w:val="right"/>
              <w:ind w:right="212"/>
              <w:spacing w:after="0" w:line="202" w:lineRule="exact"/>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7"/>
                <w:szCs w:val="17"/>
                <w:color w:val="auto"/>
              </w:rPr>
            </w:pPr>
          </w:p>
        </w:tc>
        <w:tc>
          <w:tcPr>
            <w:tcW w:w="76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2.44%</w:t>
            </w:r>
          </w:p>
        </w:tc>
      </w:tr>
      <w:tr>
        <w:trPr>
          <w:trHeight w:val="203"/>
        </w:trPr>
        <w:tc>
          <w:tcPr>
            <w:tcW w:w="838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Expected dividend yields</w:t>
            </w:r>
          </w:p>
        </w:tc>
        <w:tc>
          <w:tcPr>
            <w:tcW w:w="340" w:type="dxa"/>
            <w:vAlign w:val="bottom"/>
            <w:shd w:val="clear" w:color="auto" w:fill="E5E5E5"/>
          </w:tcPr>
          <w:p>
            <w:pPr>
              <w:spacing w:after="0"/>
              <w:rPr>
                <w:sz w:val="17"/>
                <w:szCs w:val="17"/>
                <w:color w:val="auto"/>
              </w:rPr>
            </w:pPr>
          </w:p>
        </w:tc>
        <w:tc>
          <w:tcPr>
            <w:tcW w:w="740" w:type="dxa"/>
            <w:vAlign w:val="bottom"/>
            <w:shd w:val="clear" w:color="auto" w:fill="E5E5E5"/>
          </w:tcPr>
          <w:p>
            <w:pPr>
              <w:jc w:val="right"/>
              <w:ind w:right="212"/>
              <w:spacing w:after="0" w:line="202" w:lineRule="exact"/>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E5E5E5"/>
          </w:tcPr>
          <w:p>
            <w:pPr>
              <w:spacing w:after="0"/>
              <w:rPr>
                <w:sz w:val="17"/>
                <w:szCs w:val="17"/>
                <w:color w:val="auto"/>
              </w:rPr>
            </w:pPr>
          </w:p>
        </w:tc>
        <w:tc>
          <w:tcPr>
            <w:tcW w:w="760" w:type="dxa"/>
            <w:vAlign w:val="bottom"/>
            <w:shd w:val="clear" w:color="auto" w:fill="E5E5E5"/>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7"/>
                <w:szCs w:val="17"/>
                <w:color w:val="auto"/>
              </w:rPr>
            </w:pPr>
          </w:p>
        </w:tc>
        <w:tc>
          <w:tcPr>
            <w:tcW w:w="6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0.45%</w:t>
            </w:r>
          </w:p>
        </w:tc>
      </w:tr>
    </w:tbl>
    <w:p>
      <w:pPr>
        <w:spacing w:after="0" w:line="350"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Includes stock options under the long-term incentive plans and the director plans.</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Includes assumptions for the TI Employees 2002 Stock Purchase Plan.</w:t>
      </w:r>
    </w:p>
    <w:p>
      <w:pPr>
        <w:spacing w:after="0" w:line="153" w:lineRule="exact"/>
        <w:rPr>
          <w:sz w:val="20"/>
          <w:szCs w:val="20"/>
          <w:color w:val="auto"/>
        </w:rPr>
      </w:pPr>
    </w:p>
    <w:p>
      <w:pPr>
        <w:jc w:val="both"/>
        <w:ind w:right="180"/>
        <w:spacing w:after="0" w:line="238" w:lineRule="auto"/>
        <w:rPr>
          <w:sz w:val="20"/>
          <w:szCs w:val="20"/>
          <w:color w:val="auto"/>
        </w:rPr>
      </w:pPr>
      <w:r>
        <w:rPr>
          <w:rFonts w:ascii="Arial" w:cs="Arial" w:eastAsia="Arial" w:hAnsi="Arial"/>
          <w:sz w:val="18"/>
          <w:szCs w:val="18"/>
          <w:color w:val="auto"/>
        </w:rPr>
        <w:t>Expected volatility on all options granted after July 1, 2005, is determined solely on available implied volatility rates rather than on an analysis of historical volatility. We believe that market-based measures of implied volatility are currently the best available indicators of the expected volatility used in these estimates.</w:t>
      </w:r>
    </w:p>
    <w:p>
      <w:pPr>
        <w:spacing w:after="0" w:line="154" w:lineRule="exact"/>
        <w:rPr>
          <w:sz w:val="20"/>
          <w:szCs w:val="20"/>
          <w:color w:val="auto"/>
        </w:rPr>
      </w:pPr>
    </w:p>
    <w:p>
      <w:pPr>
        <w:ind w:right="680"/>
        <w:spacing w:after="0" w:line="239" w:lineRule="auto"/>
        <w:rPr>
          <w:sz w:val="20"/>
          <w:szCs w:val="20"/>
          <w:color w:val="auto"/>
        </w:rPr>
      </w:pPr>
      <w:r>
        <w:rPr>
          <w:rFonts w:ascii="Arial" w:cs="Arial" w:eastAsia="Arial" w:hAnsi="Arial"/>
          <w:sz w:val="18"/>
          <w:szCs w:val="18"/>
          <w:color w:val="auto"/>
        </w:rPr>
        <w:t>Expected lives of options are determined based on the historical share option exercise experience of our optionees, using a rolling 10-year average. We believe the historical experience method is the best estimate of future exercise patterns currently available.</w:t>
      </w:r>
    </w:p>
    <w:p>
      <w:pPr>
        <w:spacing w:after="0" w:line="155"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Risk-free interest rates are determined using the implied yield currently available for zero-coupon U.S. government issues with a remaining term equal to the expected life of the options.</w:t>
      </w:r>
    </w:p>
    <w:p>
      <w:pPr>
        <w:spacing w:after="0" w:line="155"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Expected dividend yields are based on the approved annual dividend rate in effect and the current market price of our common stock at the time of grant. No assumption for a future dividend rate change has been included unless there is an approved plan to change the dividend in the near term.</w:t>
      </w:r>
    </w:p>
    <w:p>
      <w:pPr>
        <w:spacing w:after="0" w:line="154"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u w:val="single" w:color="auto"/>
          <w:color w:val="auto"/>
        </w:rPr>
        <w:t>Inventories</w:t>
      </w:r>
      <w:r>
        <w:rPr>
          <w:rFonts w:ascii="Arial" w:cs="Arial" w:eastAsia="Arial" w:hAnsi="Arial"/>
          <w:sz w:val="16"/>
          <w:szCs w:val="16"/>
          <w:color w:val="auto"/>
        </w:rPr>
        <w:t xml:space="preserve">: Inventories are stated at the lower of cost or estimated net realizable value. Cost is generally computed on a currently adjusted standard cost basis, which approximates costs on a first-in first-out basis. With the adoption of SFAS No. 151, </w:t>
      </w:r>
      <w:r>
        <w:rPr>
          <w:rFonts w:ascii="Arial" w:cs="Arial" w:eastAsia="Arial" w:hAnsi="Arial"/>
          <w:sz w:val="16"/>
          <w:szCs w:val="16"/>
          <w:i w:val="1"/>
          <w:iCs w:val="1"/>
          <w:color w:val="auto"/>
        </w:rPr>
        <w:t>“Inventory Costs, an amendment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ARB No. 43, Chapter 4,” </w:t>
      </w:r>
      <w:r>
        <w:rPr>
          <w:rFonts w:ascii="Arial" w:cs="Arial" w:eastAsia="Arial" w:hAnsi="Arial"/>
          <w:sz w:val="16"/>
          <w:szCs w:val="16"/>
          <w:color w:val="auto"/>
        </w:rPr>
        <w:t>effective January 1, 2006, standard costs are based on the normal utilization of installed factory capacity, which is not</w:t>
      </w:r>
      <w:r>
        <w:rPr>
          <w:rFonts w:ascii="Arial" w:cs="Arial" w:eastAsia="Arial" w:hAnsi="Arial"/>
          <w:sz w:val="16"/>
          <w:szCs w:val="16"/>
          <w:i w:val="1"/>
          <w:iCs w:val="1"/>
          <w:color w:val="auto"/>
        </w:rPr>
        <w:t xml:space="preserve"> </w:t>
      </w:r>
      <w:r>
        <w:rPr>
          <w:rFonts w:ascii="Arial" w:cs="Arial" w:eastAsia="Arial" w:hAnsi="Arial"/>
          <w:sz w:val="16"/>
          <w:szCs w:val="16"/>
          <w:color w:val="auto"/>
        </w:rPr>
        <w:t>materially different from the optimal utilization rates previously used. Costs associated with underutilization of capacity are expensed as incurred.</w:t>
      </w:r>
    </w:p>
    <w:p>
      <w:pPr>
        <w:spacing w:after="0" w:line="12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conduct quarterly inventory reviews for salability and obsolescence. A specific allowance is provided for inventory considered unlikely to be sold. Remaining inventory has a salability and obsolescence allowance based upon an analysis of historical disposal activity. Inventory is written off in the period in which disposal occurs.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120" w:type="dxa"/>
            <w:vAlign w:val="bottom"/>
          </w:tcPr>
          <w:p>
            <w:pPr>
              <w:spacing w:after="0"/>
              <w:rPr>
                <w:sz w:val="20"/>
                <w:szCs w:val="20"/>
                <w:color w:val="auto"/>
              </w:rPr>
            </w:pPr>
            <w:r>
              <w:rPr>
                <w:rFonts w:ascii="Arial" w:cs="Arial" w:eastAsia="Arial" w:hAnsi="Arial"/>
                <w:sz w:val="14"/>
                <w:szCs w:val="14"/>
                <w:color w:val="auto"/>
              </w:rPr>
              <w:t>TEXAS INSTRUMENTS 2007 ANNUAL REPORT</w:t>
            </w:r>
          </w:p>
        </w:tc>
        <w:tc>
          <w:tcPr>
            <w:tcW w:w="4300" w:type="dxa"/>
            <w:vAlign w:val="bottom"/>
          </w:tcPr>
          <w:p>
            <w:pPr>
              <w:jc w:val="right"/>
              <w:spacing w:after="0"/>
              <w:rPr>
                <w:sz w:val="20"/>
                <w:szCs w:val="20"/>
                <w:color w:val="auto"/>
              </w:rPr>
            </w:pPr>
            <w:r>
              <w:rPr>
                <w:rFonts w:ascii="Arial" w:cs="Arial" w:eastAsia="Arial" w:hAnsi="Arial"/>
                <w:sz w:val="14"/>
                <w:szCs w:val="14"/>
                <w:color w:val="auto"/>
              </w:rPr>
              <w:t>15</w:t>
            </w:r>
          </w:p>
        </w:tc>
      </w:tr>
    </w:tbl>
    <w:p>
      <w:pPr>
        <w:sectPr>
          <w:pgSz w:w="11900" w:h="16838" w:orient="portrait"/>
          <w:cols w:equalWidth="0" w:num="1">
            <w:col w:w="11420"/>
          </w:cols>
          <w:pgMar w:left="240" w:top="273" w:right="239" w:bottom="1440" w:gutter="0" w:footer="0" w:header="0"/>
        </w:sectPr>
      </w:pPr>
    </w:p>
    <w:bookmarkStart w:id="35" w:name="page36"/>
    <w:bookmarkEnd w:id="35"/>
    <w:p>
      <w:pPr>
        <w:ind w:right="60"/>
        <w:spacing w:after="0" w:line="236"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Property, Plant and Equipment and Other Capitalized Costs</w:t>
      </w:r>
      <w:r>
        <w:rPr>
          <w:rFonts w:ascii="Arial" w:cs="Arial" w:eastAsia="Arial" w:hAnsi="Arial"/>
          <w:sz w:val="18"/>
          <w:szCs w:val="18"/>
          <w:color w:val="auto"/>
        </w:rPr>
        <w:t>: Property, plant and equipment are stated at cost and depreciated over their estimated useful lives. Beginning in January 2006, these assets were depreciated using the straight-line method. Prior to January 2006, these assets were depreciated primarily using the 150 percent declining-balance method (see Change in Depreciation Method below). Leasehold improvements are amortized using the straight-line method over the shorter of the remaining lease term or the estimated useful lives of the improvements. Acquisition-related costs are amortized on a straight-line basis over the estimated economic life of the assets. Capitalized software licenses generally are amortized on a straight-line basis over the term of the license. Fully depreciated or amortized assets are written off against accumulated depreciation or amortization.</w:t>
      </w:r>
    </w:p>
    <w:p>
      <w:pPr>
        <w:spacing w:after="0" w:line="155" w:lineRule="exact"/>
        <w:rPr>
          <w:sz w:val="20"/>
          <w:szCs w:val="20"/>
          <w:color w:val="auto"/>
        </w:rPr>
      </w:pPr>
    </w:p>
    <w:p>
      <w:pPr>
        <w:ind w:right="200"/>
        <w:spacing w:after="0" w:line="236" w:lineRule="auto"/>
        <w:rPr>
          <w:sz w:val="20"/>
          <w:szCs w:val="20"/>
          <w:color w:val="auto"/>
        </w:rPr>
      </w:pPr>
      <w:r>
        <w:rPr>
          <w:rFonts w:ascii="Arial" w:cs="Arial" w:eastAsia="Arial" w:hAnsi="Arial"/>
          <w:sz w:val="18"/>
          <w:szCs w:val="18"/>
          <w:u w:val="single" w:color="auto"/>
          <w:color w:val="auto"/>
        </w:rPr>
        <w:t>Change in Depreciation Method</w:t>
      </w:r>
      <w:r>
        <w:rPr>
          <w:rFonts w:ascii="Arial" w:cs="Arial" w:eastAsia="Arial" w:hAnsi="Arial"/>
          <w:sz w:val="18"/>
          <w:szCs w:val="18"/>
          <w:color w:val="auto"/>
        </w:rPr>
        <w:t xml:space="preserve">: Effective January 1, 2006, as a result of a study made of the pattern of usage of our long-lived depreciable assets, we adopted the straight-line method of depreciation for all property, plant and equipment. Under the provisions of SFAS No. 154, </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Changes and Error Corrections, a replacement of APB Opinion No. 20 and FASB Statement No. 3,” </w:t>
      </w:r>
      <w:r>
        <w:rPr>
          <w:rFonts w:ascii="Arial" w:cs="Arial" w:eastAsia="Arial" w:hAnsi="Arial"/>
          <w:sz w:val="18"/>
          <w:szCs w:val="18"/>
          <w:color w:val="auto"/>
        </w:rPr>
        <w:t>which became effective as of</w:t>
      </w:r>
      <w:r>
        <w:rPr>
          <w:rFonts w:ascii="Arial" w:cs="Arial" w:eastAsia="Arial" w:hAnsi="Arial"/>
          <w:sz w:val="18"/>
          <w:szCs w:val="18"/>
          <w:i w:val="1"/>
          <w:iCs w:val="1"/>
          <w:color w:val="auto"/>
        </w:rPr>
        <w:t xml:space="preserve"> </w:t>
      </w:r>
      <w:r>
        <w:rPr>
          <w:rFonts w:ascii="Arial" w:cs="Arial" w:eastAsia="Arial" w:hAnsi="Arial"/>
          <w:sz w:val="18"/>
          <w:szCs w:val="18"/>
          <w:color w:val="auto"/>
        </w:rPr>
        <w:t>January 1, 2006, a change in depreciation method is treated on a prospective basis as a change in estimate. Prior period results have not been restated. We believe that the change from the 150 percent declining-balance method to the straight-line method better reflects the pattern of consumption of the future benefits to be derived from those assets being depreciated and provides a better matching of costs and revenues over the assets’ estimated useful lives.</w:t>
      </w:r>
    </w:p>
    <w:p>
      <w:pPr>
        <w:spacing w:after="0" w:line="155"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u w:val="single" w:color="auto"/>
          <w:color w:val="auto"/>
        </w:rPr>
        <w:t>Long-term Investments</w:t>
      </w:r>
      <w:r>
        <w:rPr>
          <w:rFonts w:ascii="Arial" w:cs="Arial" w:eastAsia="Arial" w:hAnsi="Arial"/>
          <w:sz w:val="18"/>
          <w:szCs w:val="18"/>
          <w:color w:val="auto"/>
        </w:rPr>
        <w:t>: Long-term investments consist of marketable equity securities, non-marketable equity securities, venture capital funds and mutual funds. Cost or amortized cost, as appropriate, is determined on a specific identification basis.</w:t>
      </w:r>
    </w:p>
    <w:p>
      <w:pPr>
        <w:spacing w:after="0" w:line="155"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Investments in marketable equity securities are classified as available-for-sale and are stated at fair value, which is based on available market quotes. Adjustments to fair value of these investments are recorded as an increase or decrease, net of tax, in other comprehensive income except where losses are considered to be other-than-temporary, in which case the losses are recorded in other income (expense) net. Marketable equity securities are considered other-than-temporarily impaired if they have traded below their cost basis for more than six months.</w:t>
      </w:r>
    </w:p>
    <w:p>
      <w:pPr>
        <w:spacing w:after="0" w:line="129" w:lineRule="exact"/>
        <w:rPr>
          <w:sz w:val="20"/>
          <w:szCs w:val="20"/>
          <w:color w:val="auto"/>
        </w:rPr>
      </w:pPr>
    </w:p>
    <w:p>
      <w:pPr>
        <w:ind w:right="40"/>
        <w:spacing w:after="0" w:line="299" w:lineRule="auto"/>
        <w:rPr>
          <w:sz w:val="20"/>
          <w:szCs w:val="20"/>
          <w:color w:val="auto"/>
        </w:rPr>
      </w:pPr>
      <w:r>
        <w:rPr>
          <w:rFonts w:ascii="Arial" w:cs="Arial" w:eastAsia="Arial" w:hAnsi="Arial"/>
          <w:sz w:val="16"/>
          <w:szCs w:val="16"/>
          <w:color w:val="auto"/>
        </w:rPr>
        <w:t>Investments in non-marketable equity securities, primarily comprised of investments in early stage development companies, are stated at historical cost and are subject to a periodic impairment review. Any impairment considered other-than-temporary is recorded in other income (expense) net.</w:t>
      </w:r>
    </w:p>
    <w:p>
      <w:pPr>
        <w:spacing w:after="0" w:line="109"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Investments in venture capital funds, generally representing limited partnership interests, are accounted for under the equity method of accounting where we have more than a 3 percent limited partnership interest and under the cost method of accounting where our limited partnership interest is less than 3 percent. For our investments accounted for under the equity method, our proportionate share of the net income or loss of the limited partnerships is recorded in other income (expense) net. Investments in venture capital funds are also subject to a periodic impairment review. Any impairment considered other-than-temporary is recorded in other income (expense) net.</w:t>
      </w:r>
    </w:p>
    <w:p>
      <w:pPr>
        <w:spacing w:after="0" w:line="157"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Investments in mutual funds are classified as trading securities and are stated at fair value. These mutual funds hold a variety of debt and equity investments and are intended to generate returns that offset changes in certain liabilities related to deferred compensation arrangements, thus they are classified as long-term investments. Adjustments to fair value of both the mutual funds and the related deferred compensation liabilities are recorded in selling, general and administrative expense (see Note 10 for a discussion of Deferred Compensation Arrangements).</w:t>
      </w:r>
    </w:p>
    <w:p>
      <w:pPr>
        <w:spacing w:after="0" w:line="129"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u w:val="single" w:color="auto"/>
          <w:color w:val="auto"/>
        </w:rPr>
        <w:t>Goodwill and Intangible Assets</w:t>
      </w:r>
      <w:r>
        <w:rPr>
          <w:rFonts w:ascii="Arial" w:cs="Arial" w:eastAsia="Arial" w:hAnsi="Arial"/>
          <w:sz w:val="18"/>
          <w:szCs w:val="18"/>
          <w:color w:val="auto"/>
        </w:rPr>
        <w:t>: Goodwill is not amortized but is reviewed for impairment annually or more frequently if certain impairment indicators arise. We complete our annual goodwill impairment tests as of October 1 for our operating segments, which have been designated as reporting units based on an analysis of economic characteristics and how we operate the business. This annual test is performed by comparing the fair value for each reporting unit to its associated book value including goodwill. For each of the periods presented, the fair value exceeded the carrying value, including goodwill, therefore no impairment was indicated.</w:t>
      </w:r>
    </w:p>
    <w:p>
      <w:pPr>
        <w:spacing w:after="0" w:line="157" w:lineRule="exact"/>
        <w:rPr>
          <w:sz w:val="20"/>
          <w:szCs w:val="20"/>
          <w:color w:val="auto"/>
        </w:rPr>
      </w:pPr>
    </w:p>
    <w:p>
      <w:pPr>
        <w:ind w:right="800"/>
        <w:spacing w:after="0" w:line="239" w:lineRule="auto"/>
        <w:rPr>
          <w:sz w:val="20"/>
          <w:szCs w:val="20"/>
          <w:color w:val="auto"/>
        </w:rPr>
      </w:pPr>
      <w:r>
        <w:rPr>
          <w:rFonts w:ascii="Arial" w:cs="Arial" w:eastAsia="Arial" w:hAnsi="Arial"/>
          <w:sz w:val="18"/>
          <w:szCs w:val="18"/>
          <w:color w:val="auto"/>
        </w:rPr>
        <w:t>Intangible assets are amortized on a straight-line basis over their estimated lives. Fully amortized intangible assets are written off against accumulated amortization.</w:t>
      </w:r>
    </w:p>
    <w:p>
      <w:pPr>
        <w:spacing w:after="0" w:line="137" w:lineRule="exact"/>
        <w:rPr>
          <w:sz w:val="20"/>
          <w:szCs w:val="20"/>
          <w:color w:val="auto"/>
        </w:rPr>
      </w:pPr>
    </w:p>
    <w:p>
      <w:pPr>
        <w:jc w:val="both"/>
        <w:ind w:right="80"/>
        <w:spacing w:after="0" w:line="247" w:lineRule="auto"/>
        <w:rPr>
          <w:sz w:val="20"/>
          <w:szCs w:val="20"/>
          <w:color w:val="auto"/>
        </w:rPr>
      </w:pPr>
      <w:r>
        <w:rPr>
          <w:rFonts w:ascii="Arial" w:cs="Arial" w:eastAsia="Arial" w:hAnsi="Arial"/>
          <w:sz w:val="18"/>
          <w:szCs w:val="18"/>
          <w:u w:val="single" w:color="auto"/>
          <w:color w:val="auto"/>
        </w:rPr>
        <w:t>Changes in Accounting Standards</w:t>
      </w:r>
      <w:r>
        <w:rPr>
          <w:rFonts w:ascii="Arial" w:cs="Arial" w:eastAsia="Arial" w:hAnsi="Arial"/>
          <w:sz w:val="18"/>
          <w:szCs w:val="18"/>
          <w:color w:val="auto"/>
        </w:rPr>
        <w:t xml:space="preserve">: In September 2006, the FASB issued SFAS No.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which provides guidance on how to measure assets and liabilities that use fair value. SFAS 157 will apply whenever another U.S. GAAP standard requires or permits assets or liabilities to be measured at fair value. SFAS 157 does not expand the use of fair value to any new</w:t>
      </w:r>
    </w:p>
    <w:p>
      <w:pPr>
        <w:spacing w:after="0" w:line="131" w:lineRule="exact"/>
        <w:rPr>
          <w:sz w:val="20"/>
          <w:szCs w:val="20"/>
          <w:color w:val="auto"/>
        </w:rPr>
      </w:pPr>
    </w:p>
    <w:p>
      <w:pPr>
        <w:spacing w:after="0"/>
        <w:tabs>
          <w:tab w:leader="none" w:pos="8420" w:val="left"/>
        </w:tabs>
        <w:rPr>
          <w:sz w:val="20"/>
          <w:szCs w:val="20"/>
          <w:color w:val="auto"/>
        </w:rPr>
      </w:pPr>
      <w:r>
        <w:rPr>
          <w:rFonts w:ascii="Arial" w:cs="Arial" w:eastAsia="Arial" w:hAnsi="Arial"/>
          <w:sz w:val="12"/>
          <w:szCs w:val="12"/>
          <w:color w:val="auto"/>
        </w:rPr>
        <w:t>16</w:t>
      </w:r>
      <w:r>
        <w:rPr>
          <w:sz w:val="20"/>
          <w:szCs w:val="20"/>
          <w:color w:val="auto"/>
        </w:rPr>
        <w:tab/>
      </w:r>
      <w:r>
        <w:rPr>
          <w:rFonts w:ascii="Arial" w:cs="Arial" w:eastAsia="Arial" w:hAnsi="Arial"/>
          <w:sz w:val="12"/>
          <w:szCs w:val="12"/>
          <w:color w:val="auto"/>
        </w:rPr>
        <w:t>TEXAS INSTRUMENTS 2007 ANNUAL REPORT</w:t>
      </w:r>
    </w:p>
    <w:p>
      <w:pPr>
        <w:sectPr>
          <w:pgSz w:w="11900" w:h="16838" w:orient="portrait"/>
          <w:cols w:equalWidth="0" w:num="1">
            <w:col w:w="11420"/>
          </w:cols>
          <w:pgMar w:left="240" w:top="291" w:right="239" w:bottom="1440" w:gutter="0" w:footer="0" w:header="0"/>
        </w:sectPr>
      </w:pPr>
    </w:p>
    <w:bookmarkStart w:id="36" w:name="page37"/>
    <w:bookmarkEnd w:id="36"/>
    <w:p>
      <w:pPr>
        <w:ind w:right="40"/>
        <w:spacing w:after="0" w:line="23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circumstances. This standard will also require additional disclosures in both annual and quarterly reports. SFAS 157 will be effective for financial assets and liabilities in financial statements issued for fiscal years beginning after November 15, 2007, and will be effective for non-financial assets and liabilities in financial statements issued for fiscal years beginning after November 15, 2008. We have evaluated the potential impact of this standard and anticipate it will have no material impact on our financial position and results of operations.</w:t>
      </w:r>
    </w:p>
    <w:p>
      <w:pPr>
        <w:spacing w:after="0" w:line="137"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 xml:space="preserve">In February 2007, the FASB issued SFAS No. 159, </w:t>
      </w:r>
      <w:r>
        <w:rPr>
          <w:rFonts w:ascii="Arial" w:cs="Arial" w:eastAsia="Arial" w:hAnsi="Arial"/>
          <w:sz w:val="18"/>
          <w:szCs w:val="18"/>
          <w:i w:val="1"/>
          <w:iCs w:val="1"/>
          <w:color w:val="auto"/>
        </w:rPr>
        <w:t>“The Fair Value Option for Financial Assets and Financial Liabilities–Including an Amendment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FASB Statement No. 115.” </w:t>
      </w:r>
      <w:r>
        <w:rPr>
          <w:rFonts w:ascii="Arial" w:cs="Arial" w:eastAsia="Arial" w:hAnsi="Arial"/>
          <w:sz w:val="18"/>
          <w:szCs w:val="18"/>
          <w:color w:val="auto"/>
        </w:rPr>
        <w:t>SFAS 159 permits companies to choose to measure at fair value many financial instruments and certain other items</w:t>
      </w:r>
      <w:r>
        <w:rPr>
          <w:rFonts w:ascii="Arial" w:cs="Arial" w:eastAsia="Arial" w:hAnsi="Arial"/>
          <w:sz w:val="18"/>
          <w:szCs w:val="18"/>
          <w:i w:val="1"/>
          <w:iCs w:val="1"/>
          <w:color w:val="auto"/>
        </w:rPr>
        <w:t xml:space="preserve"> </w:t>
      </w:r>
      <w:r>
        <w:rPr>
          <w:rFonts w:ascii="Arial" w:cs="Arial" w:eastAsia="Arial" w:hAnsi="Arial"/>
          <w:sz w:val="18"/>
          <w:szCs w:val="18"/>
          <w:color w:val="auto"/>
        </w:rPr>
        <w:t>that are not currently required to be measured at fair value. Entities choosing the fair value measurement would be required to recognize subsequent changes in the fair value of those instruments and other items directly in earnings. This standard also establishes presentation and disclosure requirements designed to facilitate comparisons between companies that choose different measurement attributes for similar types of assets and liabilities. SFAS 159 is effective beginning the first fiscal year that begins after November 15, 2007. At this time, we do not anticipate electing to use the fair value measurements permitted by this standard.</w:t>
      </w:r>
    </w:p>
    <w:p>
      <w:pPr>
        <w:spacing w:after="0" w:line="137" w:lineRule="exact"/>
        <w:rPr>
          <w:sz w:val="20"/>
          <w:szCs w:val="20"/>
          <w:color w:val="auto"/>
        </w:rPr>
      </w:pPr>
    </w:p>
    <w:p>
      <w:pPr>
        <w:ind w:right="120"/>
        <w:spacing w:after="0" w:line="241" w:lineRule="auto"/>
        <w:rPr>
          <w:sz w:val="20"/>
          <w:szCs w:val="20"/>
          <w:color w:val="auto"/>
        </w:rPr>
      </w:pPr>
      <w:r>
        <w:rPr>
          <w:rFonts w:ascii="Arial" w:cs="Arial" w:eastAsia="Arial" w:hAnsi="Arial"/>
          <w:sz w:val="18"/>
          <w:szCs w:val="18"/>
          <w:color w:val="auto"/>
        </w:rPr>
        <w:t xml:space="preserve">In June 2007, the FASB ratified EITF Issue No. 06-11, </w:t>
      </w:r>
      <w:r>
        <w:rPr>
          <w:rFonts w:ascii="Arial" w:cs="Arial" w:eastAsia="Arial" w:hAnsi="Arial"/>
          <w:sz w:val="18"/>
          <w:szCs w:val="18"/>
          <w:i w:val="1"/>
          <w:iCs w:val="1"/>
          <w:color w:val="auto"/>
        </w:rPr>
        <w:t>“Accounting for Income Tax Benefits of Dividends on Share-Based Payment Awards.”</w:t>
      </w:r>
      <w:r>
        <w:rPr>
          <w:rFonts w:ascii="Arial" w:cs="Arial" w:eastAsia="Arial" w:hAnsi="Arial"/>
          <w:sz w:val="18"/>
          <w:szCs w:val="18"/>
          <w:color w:val="auto"/>
        </w:rPr>
        <w:t xml:space="preserve"> EITF 06-11 provides for the recognition and classification of deferred taxes associated with dividends or dividend equivalents on non-vested equity shares or non-vested equity share units that are paid to employees and charged to retained earnings. This issue is effective for annual periods beginning after September 15, 2007. We have evaluated the potential impact of this standard and anticipate it will have no material impact on our financial position and results of operations.</w:t>
      </w:r>
    </w:p>
    <w:p>
      <w:pPr>
        <w:spacing w:after="0" w:line="136"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 xml:space="preserve">Also in June 2007, the FASB ratified EITF Issue No. 07-3, </w:t>
      </w:r>
      <w:r>
        <w:rPr>
          <w:rFonts w:ascii="Arial" w:cs="Arial" w:eastAsia="Arial" w:hAnsi="Arial"/>
          <w:sz w:val="18"/>
          <w:szCs w:val="18"/>
          <w:i w:val="1"/>
          <w:iCs w:val="1"/>
          <w:color w:val="auto"/>
        </w:rPr>
        <w:t>“Accounting for Advance Payments for Goods or Services to Be Used in Future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Research and Development Activities.” </w:t>
      </w:r>
      <w:r>
        <w:rPr>
          <w:rFonts w:ascii="Arial" w:cs="Arial" w:eastAsia="Arial" w:hAnsi="Arial"/>
          <w:sz w:val="18"/>
          <w:szCs w:val="18"/>
          <w:color w:val="auto"/>
        </w:rPr>
        <w:t>EITF 07-3 provides that non-refundable advance payments made for goods or services to be used in future</w:t>
      </w:r>
      <w:r>
        <w:rPr>
          <w:rFonts w:ascii="Arial" w:cs="Arial" w:eastAsia="Arial" w:hAnsi="Arial"/>
          <w:sz w:val="18"/>
          <w:szCs w:val="18"/>
          <w:i w:val="1"/>
          <w:iCs w:val="1"/>
          <w:color w:val="auto"/>
        </w:rPr>
        <w:t xml:space="preserve"> </w:t>
      </w:r>
      <w:r>
        <w:rPr>
          <w:rFonts w:ascii="Arial" w:cs="Arial" w:eastAsia="Arial" w:hAnsi="Arial"/>
          <w:sz w:val="18"/>
          <w:szCs w:val="18"/>
          <w:color w:val="auto"/>
        </w:rPr>
        <w:t>research and development activities should be deferred and capitalized until such time as the related goods or services are delivered or are performed, at which point the amounts would be recognized as an expense. This issue is effective for fiscal years beginning after December 15, 2007. We have evaluated the potential impact of this standard and anticipate it will have no material impact on our financial position and results of operations.</w:t>
      </w:r>
    </w:p>
    <w:p>
      <w:pPr>
        <w:spacing w:after="0" w:line="141"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 xml:space="preserve">In December 2007, the FASB concurrently issued SFAS No. 141(R),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and SFAS No. 160, </w:t>
      </w:r>
      <w:r>
        <w:rPr>
          <w:rFonts w:ascii="Arial" w:cs="Arial" w:eastAsia="Arial" w:hAnsi="Arial"/>
          <w:sz w:val="18"/>
          <w:szCs w:val="18"/>
          <w:i w:val="1"/>
          <w:iCs w:val="1"/>
          <w:color w:val="auto"/>
        </w:rPr>
        <w:t>“Noncontrolling Interests 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Consolidated Financial Statements–An Amendment of ARB No. 51.” </w:t>
      </w:r>
      <w:r>
        <w:rPr>
          <w:rFonts w:ascii="Arial" w:cs="Arial" w:eastAsia="Arial" w:hAnsi="Arial"/>
          <w:sz w:val="18"/>
          <w:szCs w:val="18"/>
          <w:color w:val="auto"/>
        </w:rPr>
        <w:t>SFAS 141(R) provides new guidance on the recognition, measurement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subsequent accounting for assets acquired and liabilities assumed in business combination transactions. In addition, SFAS 141(R) will change the accounting treatment for certain specific items in business combinations, including for example, expensing acquisition-related costs, recording acquired contingent liabilities/assets at their acquisition-date fair value and capitalization of in-process R&amp;D costs. In the event that an entity owns less than 100 percent ownership interest, SFAS 160 provides for the recognition, measurement and subsequent accounting for the non-controlling (i.e., minority) interest included in the entity’s consolidated financial statements. Both of these standards require measurements based on fair value as determined under the provisions of SFAS 157. In addition, both of these standards also include expanded disclosure requirements. SFAS 141(R) and SFAS 160 will be effective prospectively for business combinations for which the acquisition date occurs during or subsequent to the first annual reporting period beginning on or after December 15, 2008. The impact that adoption of SFAS 141(R) and SFAS 160 will have on our financial position and results of operation will be dependent upon the specific terms of any applicable future business combinations or acquisitions of minority interests.</w:t>
      </w:r>
    </w:p>
    <w:p>
      <w:pPr>
        <w:spacing w:after="0" w:line="140"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 xml:space="preserve">Also in December 2007, the FASB ratified EITF Issue No. 07-1, </w:t>
      </w:r>
      <w:r>
        <w:rPr>
          <w:rFonts w:ascii="Arial" w:cs="Arial" w:eastAsia="Arial" w:hAnsi="Arial"/>
          <w:sz w:val="18"/>
          <w:szCs w:val="18"/>
          <w:i w:val="1"/>
          <w:iCs w:val="1"/>
          <w:color w:val="auto"/>
        </w:rPr>
        <w:t>“Accounting for Collaborative Arrangements Related to the Development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Commercialization of Intellectual Property.” </w:t>
      </w:r>
      <w:r>
        <w:rPr>
          <w:rFonts w:ascii="Arial" w:cs="Arial" w:eastAsia="Arial" w:hAnsi="Arial"/>
          <w:sz w:val="18"/>
          <w:szCs w:val="18"/>
          <w:color w:val="auto"/>
        </w:rPr>
        <w:t>EITF 07-1 applies to collaborations between companies in which each participant is exposed to</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 risks and rewards depending on the venture’s commercial success, but which does not result in the creation of a legal entity separate from the participants. EITF 07-1 addresses the accounting and disclosure requirements for these types of collaborative arrangements and is effective for fiscal years beginning after December 15, 2008. We are currently evaluating the potential impact this standard will have on our financial position and results of operations.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120" w:type="dxa"/>
            <w:vAlign w:val="bottom"/>
          </w:tcPr>
          <w:p>
            <w:pPr>
              <w:spacing w:after="0"/>
              <w:rPr>
                <w:sz w:val="20"/>
                <w:szCs w:val="20"/>
                <w:color w:val="auto"/>
              </w:rPr>
            </w:pPr>
            <w:r>
              <w:rPr>
                <w:rFonts w:ascii="Arial" w:cs="Arial" w:eastAsia="Arial" w:hAnsi="Arial"/>
                <w:sz w:val="14"/>
                <w:szCs w:val="14"/>
                <w:color w:val="auto"/>
              </w:rPr>
              <w:t>TEXAS INSTRUMENTS 2007 ANNUAL REPORT</w:t>
            </w:r>
          </w:p>
        </w:tc>
        <w:tc>
          <w:tcPr>
            <w:tcW w:w="4300" w:type="dxa"/>
            <w:vAlign w:val="bottom"/>
          </w:tcPr>
          <w:p>
            <w:pPr>
              <w:jc w:val="right"/>
              <w:spacing w:after="0"/>
              <w:rPr>
                <w:sz w:val="20"/>
                <w:szCs w:val="20"/>
                <w:color w:val="auto"/>
              </w:rPr>
            </w:pPr>
            <w:r>
              <w:rPr>
                <w:rFonts w:ascii="Arial" w:cs="Arial" w:eastAsia="Arial" w:hAnsi="Arial"/>
                <w:sz w:val="14"/>
                <w:szCs w:val="14"/>
                <w:color w:val="auto"/>
              </w:rPr>
              <w:t>17</w:t>
            </w:r>
          </w:p>
        </w:tc>
      </w:tr>
    </w:tbl>
    <w:p>
      <w:pPr>
        <w:sectPr>
          <w:pgSz w:w="11900" w:h="16838" w:orient="portrait"/>
          <w:cols w:equalWidth="0" w:num="1">
            <w:col w:w="11420"/>
          </w:cols>
          <w:pgMar w:left="240" w:top="291"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 Discontinued Operations</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 discussed in Note 1, in 2006 we sold substantially all of the former Sensors &amp; Controls segment.</w:t>
      </w:r>
    </w:p>
    <w:p>
      <w:pPr>
        <w:spacing w:after="0" w:line="158" w:lineRule="exact"/>
        <w:rPr>
          <w:sz w:val="20"/>
          <w:szCs w:val="20"/>
          <w:color w:val="auto"/>
        </w:rPr>
      </w:pPr>
    </w:p>
    <w:p>
      <w:pPr>
        <w:jc w:val="both"/>
        <w:ind w:right="220"/>
        <w:spacing w:after="0" w:line="238" w:lineRule="auto"/>
        <w:rPr>
          <w:sz w:val="20"/>
          <w:szCs w:val="20"/>
          <w:color w:val="auto"/>
        </w:rPr>
      </w:pPr>
      <w:r>
        <w:rPr>
          <w:rFonts w:ascii="Arial" w:cs="Arial" w:eastAsia="Arial" w:hAnsi="Arial"/>
          <w:sz w:val="18"/>
          <w:szCs w:val="18"/>
          <w:color w:val="auto"/>
        </w:rPr>
        <w:t>The results of operations of the former Sensors &amp; Controls business (which was renamed Sensata Technologies (Sensata)) are being presented as discontinued operations. The following summarizes results of the discontinued operations for the years ended December 31, 2007, 2006 and 2005, included in the consolidated statements of income: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0" w:type="dxa"/>
            <w:vAlign w:val="bottom"/>
            <w:shd w:val="clear" w:color="auto" w:fill="E5E5E5"/>
          </w:tcPr>
          <w:p>
            <w:pPr>
              <w:spacing w:after="0"/>
              <w:rPr>
                <w:sz w:val="17"/>
                <w:szCs w:val="17"/>
                <w:color w:val="auto"/>
              </w:rPr>
            </w:pPr>
          </w:p>
        </w:tc>
        <w:tc>
          <w:tcPr>
            <w:tcW w:w="940" w:type="dxa"/>
            <w:vAlign w:val="bottom"/>
            <w:gridSpan w:val="3"/>
            <w:shd w:val="clear" w:color="auto" w:fill="E5E5E5"/>
          </w:tcPr>
          <w:p>
            <w:pPr>
              <w:jc w:val="right"/>
              <w:ind w:right="172"/>
              <w:spacing w:after="0"/>
              <w:rPr>
                <w:sz w:val="20"/>
                <w:szCs w:val="20"/>
                <w:color w:val="auto"/>
              </w:rPr>
            </w:pPr>
            <w:r>
              <w:rPr>
                <w:rFonts w:ascii="Arial" w:cs="Arial" w:eastAsia="Arial" w:hAnsi="Arial"/>
                <w:sz w:val="18"/>
                <w:szCs w:val="18"/>
                <w:b w:val="1"/>
                <w:bCs w:val="1"/>
                <w:color w:val="auto"/>
              </w:rPr>
              <w:t>2007</w:t>
            </w:r>
          </w:p>
        </w:tc>
        <w:tc>
          <w:tcPr>
            <w:tcW w:w="220" w:type="dxa"/>
            <w:vAlign w:val="bottom"/>
            <w:shd w:val="clear" w:color="auto" w:fill="E5E5E5"/>
          </w:tcPr>
          <w:p>
            <w:pPr>
              <w:spacing w:after="0"/>
              <w:rPr>
                <w:sz w:val="17"/>
                <w:szCs w:val="17"/>
                <w:color w:val="auto"/>
              </w:rPr>
            </w:pPr>
          </w:p>
        </w:tc>
        <w:tc>
          <w:tcPr>
            <w:tcW w:w="640" w:type="dxa"/>
            <w:vAlign w:val="bottom"/>
            <w:shd w:val="clear" w:color="auto" w:fill="E5E5E5"/>
          </w:tcPr>
          <w:p>
            <w:pPr>
              <w:jc w:val="right"/>
              <w:ind w:right="132"/>
              <w:spacing w:after="0"/>
              <w:rPr>
                <w:sz w:val="20"/>
                <w:szCs w:val="20"/>
                <w:color w:val="auto"/>
              </w:rPr>
            </w:pPr>
            <w:r>
              <w:rPr>
                <w:rFonts w:ascii="Arial" w:cs="Arial" w:eastAsia="Arial" w:hAnsi="Arial"/>
                <w:sz w:val="18"/>
                <w:szCs w:val="18"/>
                <w:b w:val="1"/>
                <w:bCs w:val="1"/>
                <w:color w:val="auto"/>
                <w:w w:val="99"/>
              </w:rPr>
              <w:t>2006</w:t>
            </w:r>
          </w:p>
        </w:tc>
        <w:tc>
          <w:tcPr>
            <w:tcW w:w="240" w:type="dxa"/>
            <w:vAlign w:val="bottom"/>
            <w:shd w:val="clear" w:color="auto" w:fill="E5E5E5"/>
          </w:tcPr>
          <w:p>
            <w:pPr>
              <w:spacing w:after="0"/>
              <w:rPr>
                <w:sz w:val="17"/>
                <w:szCs w:val="17"/>
                <w:color w:val="auto"/>
              </w:rPr>
            </w:pPr>
          </w:p>
        </w:tc>
        <w:tc>
          <w:tcPr>
            <w:tcW w:w="520" w:type="dxa"/>
            <w:vAlign w:val="bottom"/>
            <w:shd w:val="clear" w:color="auto" w:fill="E5E5E5"/>
          </w:tcPr>
          <w:p>
            <w:pPr>
              <w:jc w:val="right"/>
              <w:ind w:right="32"/>
              <w:spacing w:after="0"/>
              <w:rPr>
                <w:sz w:val="20"/>
                <w:szCs w:val="20"/>
                <w:color w:val="auto"/>
              </w:rPr>
            </w:pPr>
            <w:r>
              <w:rPr>
                <w:rFonts w:ascii="Arial" w:cs="Arial" w:eastAsia="Arial" w:hAnsi="Arial"/>
                <w:sz w:val="18"/>
                <w:szCs w:val="18"/>
                <w:b w:val="1"/>
                <w:bCs w:val="1"/>
                <w:color w:val="auto"/>
                <w:w w:val="94"/>
              </w:rPr>
              <w:t>2005</w:t>
            </w:r>
          </w:p>
        </w:tc>
        <w:tc>
          <w:tcPr>
            <w:tcW w:w="60" w:type="dxa"/>
            <w:vAlign w:val="bottom"/>
            <w:shd w:val="clear" w:color="auto" w:fill="E5E5E5"/>
          </w:tcPr>
          <w:p>
            <w:pPr>
              <w:spacing w:after="0"/>
              <w:rPr>
                <w:sz w:val="17"/>
                <w:szCs w:val="17"/>
                <w:color w:val="auto"/>
              </w:rPr>
            </w:pPr>
          </w:p>
        </w:tc>
      </w:tr>
      <w:tr>
        <w:trPr>
          <w:trHeight w:val="203"/>
        </w:trPr>
        <w:tc>
          <w:tcPr>
            <w:tcW w:w="8800" w:type="dxa"/>
            <w:vAlign w:val="bottom"/>
          </w:tcPr>
          <w:p>
            <w:pPr>
              <w:spacing w:after="0" w:line="202" w:lineRule="exact"/>
              <w:rPr>
                <w:sz w:val="20"/>
                <w:szCs w:val="20"/>
                <w:color w:val="auto"/>
              </w:rPr>
            </w:pPr>
            <w:r>
              <w:rPr>
                <w:rFonts w:ascii="Arial" w:cs="Arial" w:eastAsia="Arial" w:hAnsi="Arial"/>
                <w:sz w:val="18"/>
                <w:szCs w:val="18"/>
                <w:color w:val="auto"/>
              </w:rPr>
              <w:t>Net revenue</w:t>
            </w:r>
          </w:p>
        </w:tc>
        <w:tc>
          <w:tcPr>
            <w:tcW w:w="38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w:t>
            </w:r>
          </w:p>
        </w:tc>
        <w:tc>
          <w:tcPr>
            <w:tcW w:w="560" w:type="dxa"/>
            <w:vAlign w:val="bottom"/>
          </w:tcPr>
          <w:p>
            <w:pPr>
              <w:jc w:val="right"/>
              <w:ind w:right="92"/>
              <w:spacing w:after="0" w:line="202" w:lineRule="exact"/>
              <w:rPr>
                <w:sz w:val="20"/>
                <w:szCs w:val="20"/>
                <w:color w:val="auto"/>
              </w:rPr>
            </w:pPr>
            <w:r>
              <w:rPr>
                <w:rFonts w:ascii="Arial" w:cs="Arial" w:eastAsia="Arial" w:hAnsi="Arial"/>
                <w:sz w:val="18"/>
                <w:szCs w:val="18"/>
                <w:b w:val="1"/>
                <w:bCs w:val="1"/>
                <w:color w:val="auto"/>
              </w:rPr>
              <w:t>—</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375</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1,057</w:t>
            </w:r>
          </w:p>
        </w:tc>
      </w:tr>
      <w:tr>
        <w:trPr>
          <w:trHeight w:val="203"/>
        </w:trPr>
        <w:tc>
          <w:tcPr>
            <w:tcW w:w="88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Operating costs and expenses</w:t>
            </w:r>
          </w:p>
        </w:tc>
        <w:tc>
          <w:tcPr>
            <w:tcW w:w="220" w:type="dxa"/>
            <w:vAlign w:val="bottom"/>
            <w:shd w:val="clear" w:color="auto" w:fill="E5E5E5"/>
          </w:tcPr>
          <w:p>
            <w:pPr>
              <w:spacing w:after="0"/>
              <w:rPr>
                <w:sz w:val="17"/>
                <w:szCs w:val="17"/>
                <w:color w:val="auto"/>
              </w:rPr>
            </w:pPr>
          </w:p>
        </w:tc>
        <w:tc>
          <w:tcPr>
            <w:tcW w:w="160" w:type="dxa"/>
            <w:vAlign w:val="bottom"/>
            <w:tcBorders>
              <w:bottom w:val="single" w:sz="8" w:color="auto"/>
            </w:tcBorders>
            <w:shd w:val="clear" w:color="auto" w:fill="E5E5E5"/>
          </w:tcPr>
          <w:p>
            <w:pPr>
              <w:spacing w:after="0"/>
              <w:rPr>
                <w:sz w:val="17"/>
                <w:szCs w:val="17"/>
                <w:color w:val="auto"/>
              </w:rPr>
            </w:pPr>
          </w:p>
        </w:tc>
        <w:tc>
          <w:tcPr>
            <w:tcW w:w="560" w:type="dxa"/>
            <w:vAlign w:val="bottom"/>
            <w:tcBorders>
              <w:bottom w:val="single" w:sz="8" w:color="auto"/>
            </w:tcBorders>
            <w:shd w:val="clear" w:color="auto" w:fill="E5E5E5"/>
          </w:tcPr>
          <w:p>
            <w:pPr>
              <w:jc w:val="right"/>
              <w:ind w:right="92"/>
              <w:spacing w:after="0" w:line="202" w:lineRule="exact"/>
              <w:rPr>
                <w:sz w:val="20"/>
                <w:szCs w:val="20"/>
                <w:color w:val="auto"/>
              </w:rPr>
            </w:pPr>
            <w:r>
              <w:rPr>
                <w:rFonts w:ascii="Arial" w:cs="Arial" w:eastAsia="Arial" w:hAnsi="Arial"/>
                <w:sz w:val="18"/>
                <w:szCs w:val="18"/>
                <w:b w:val="1"/>
                <w:bCs w:val="1"/>
                <w:color w:val="auto"/>
              </w:rPr>
              <w:t>4</w:t>
            </w:r>
          </w:p>
        </w:tc>
        <w:tc>
          <w:tcPr>
            <w:tcW w:w="220" w:type="dxa"/>
            <w:vAlign w:val="bottom"/>
            <w:tcBorders>
              <w:bottom w:val="single" w:sz="8" w:color="auto"/>
            </w:tcBorders>
            <w:shd w:val="clear" w:color="auto" w:fill="E5E5E5"/>
          </w:tcPr>
          <w:p>
            <w:pPr>
              <w:spacing w:after="0"/>
              <w:rPr>
                <w:sz w:val="17"/>
                <w:szCs w:val="17"/>
                <w:color w:val="auto"/>
              </w:rPr>
            </w:pPr>
          </w:p>
        </w:tc>
        <w:tc>
          <w:tcPr>
            <w:tcW w:w="640" w:type="dxa"/>
            <w:vAlign w:val="bottom"/>
            <w:tcBorders>
              <w:bottom w:val="single" w:sz="8" w:color="auto"/>
            </w:tcBorders>
            <w:shd w:val="clear" w:color="auto" w:fill="E5E5E5"/>
          </w:tcPr>
          <w:p>
            <w:pPr>
              <w:jc w:val="right"/>
              <w:ind w:right="12"/>
              <w:spacing w:after="0" w:line="202" w:lineRule="exact"/>
              <w:rPr>
                <w:sz w:val="20"/>
                <w:szCs w:val="20"/>
                <w:color w:val="auto"/>
              </w:rPr>
            </w:pPr>
            <w:r>
              <w:rPr>
                <w:rFonts w:ascii="Arial" w:cs="Arial" w:eastAsia="Arial" w:hAnsi="Arial"/>
                <w:sz w:val="18"/>
                <w:szCs w:val="18"/>
                <w:color w:val="auto"/>
              </w:rPr>
              <w:t>327</w:t>
            </w:r>
          </w:p>
        </w:tc>
        <w:tc>
          <w:tcPr>
            <w:tcW w:w="240" w:type="dxa"/>
            <w:vAlign w:val="bottom"/>
            <w:tcBorders>
              <w:bottom w:val="single" w:sz="8" w:color="auto"/>
            </w:tcBorders>
            <w:shd w:val="clear" w:color="auto" w:fill="E5E5E5"/>
          </w:tcPr>
          <w:p>
            <w:pPr>
              <w:spacing w:after="0"/>
              <w:rPr>
                <w:sz w:val="17"/>
                <w:szCs w:val="17"/>
                <w:color w:val="auto"/>
              </w:rPr>
            </w:pPr>
          </w:p>
        </w:tc>
        <w:tc>
          <w:tcPr>
            <w:tcW w:w="520" w:type="dxa"/>
            <w:vAlign w:val="bottom"/>
            <w:tcBorders>
              <w:bottom w:val="single" w:sz="8" w:color="auto"/>
            </w:tcBorders>
            <w:shd w:val="clear" w:color="auto" w:fill="E5E5E5"/>
          </w:tcPr>
          <w:p>
            <w:pPr>
              <w:jc w:val="right"/>
              <w:spacing w:after="0" w:line="202" w:lineRule="exact"/>
              <w:rPr>
                <w:sz w:val="20"/>
                <w:szCs w:val="20"/>
                <w:color w:val="auto"/>
              </w:rPr>
            </w:pPr>
            <w:r>
              <w:rPr>
                <w:rFonts w:ascii="Arial" w:cs="Arial" w:eastAsia="Arial" w:hAnsi="Arial"/>
                <w:sz w:val="18"/>
                <w:szCs w:val="18"/>
                <w:color w:val="auto"/>
              </w:rPr>
              <w:t>825</w:t>
            </w:r>
          </w:p>
        </w:tc>
        <w:tc>
          <w:tcPr>
            <w:tcW w:w="60" w:type="dxa"/>
            <w:vAlign w:val="bottom"/>
            <w:shd w:val="clear" w:color="auto" w:fill="E5E5E5"/>
          </w:tcPr>
          <w:p>
            <w:pPr>
              <w:spacing w:after="0"/>
              <w:rPr>
                <w:sz w:val="17"/>
                <w:szCs w:val="17"/>
                <w:color w:val="auto"/>
              </w:rPr>
            </w:pPr>
          </w:p>
        </w:tc>
      </w:tr>
      <w:tr>
        <w:trPr>
          <w:trHeight w:val="210"/>
        </w:trPr>
        <w:tc>
          <w:tcPr>
            <w:tcW w:w="8800" w:type="dxa"/>
            <w:vAlign w:val="bottom"/>
          </w:tcPr>
          <w:p>
            <w:pPr>
              <w:spacing w:after="0"/>
              <w:rPr>
                <w:sz w:val="20"/>
                <w:szCs w:val="20"/>
                <w:color w:val="auto"/>
              </w:rPr>
            </w:pPr>
            <w:r>
              <w:rPr>
                <w:rFonts w:ascii="Arial" w:cs="Arial" w:eastAsia="Arial" w:hAnsi="Arial"/>
                <w:sz w:val="18"/>
                <w:szCs w:val="18"/>
                <w:color w:val="auto"/>
              </w:rPr>
              <w:t>Income (loss) from discontinued operations before income taxes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ind w:right="32"/>
              <w:spacing w:after="0"/>
              <w:rPr>
                <w:sz w:val="20"/>
                <w:szCs w:val="20"/>
                <w:color w:val="auto"/>
              </w:rPr>
            </w:pPr>
            <w:r>
              <w:rPr>
                <w:rFonts w:ascii="Arial" w:cs="Arial" w:eastAsia="Arial" w:hAnsi="Arial"/>
                <w:sz w:val="18"/>
                <w:szCs w:val="18"/>
                <w:b w:val="1"/>
                <w:bCs w:val="1"/>
                <w:color w:val="auto"/>
              </w:rPr>
              <w:t>(4)</w:t>
            </w:r>
          </w:p>
        </w:tc>
        <w:tc>
          <w:tcPr>
            <w:tcW w:w="220" w:type="dxa"/>
            <w:vAlign w:val="bottom"/>
          </w:tcPr>
          <w:p>
            <w:pPr>
              <w:spacing w:after="0"/>
              <w:rPr>
                <w:sz w:val="18"/>
                <w:szCs w:val="18"/>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232</w:t>
            </w:r>
          </w:p>
        </w:tc>
        <w:tc>
          <w:tcPr>
            <w:tcW w:w="60" w:type="dxa"/>
            <w:vAlign w:val="bottom"/>
          </w:tcPr>
          <w:p>
            <w:pPr>
              <w:spacing w:after="0"/>
              <w:rPr>
                <w:sz w:val="18"/>
                <w:szCs w:val="18"/>
                <w:color w:val="auto"/>
              </w:rPr>
            </w:pPr>
          </w:p>
        </w:tc>
      </w:tr>
      <w:tr>
        <w:trPr>
          <w:trHeight w:val="203"/>
        </w:trPr>
        <w:tc>
          <w:tcPr>
            <w:tcW w:w="88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Provision (benefit) for income taxes</w:t>
            </w:r>
          </w:p>
        </w:tc>
        <w:tc>
          <w:tcPr>
            <w:tcW w:w="2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560" w:type="dxa"/>
            <w:vAlign w:val="bottom"/>
            <w:shd w:val="clear" w:color="auto" w:fill="E5E5E5"/>
          </w:tcPr>
          <w:p>
            <w:pPr>
              <w:jc w:val="right"/>
              <w:ind w:right="32"/>
              <w:spacing w:after="0" w:line="202" w:lineRule="exact"/>
              <w:rPr>
                <w:sz w:val="20"/>
                <w:szCs w:val="20"/>
                <w:color w:val="auto"/>
              </w:rPr>
            </w:pPr>
            <w:r>
              <w:rPr>
                <w:rFonts w:ascii="Arial" w:cs="Arial" w:eastAsia="Arial" w:hAnsi="Arial"/>
                <w:sz w:val="18"/>
                <w:szCs w:val="18"/>
                <w:b w:val="1"/>
                <w:bCs w:val="1"/>
                <w:color w:val="auto"/>
              </w:rPr>
              <w:t>(3)</w:t>
            </w:r>
          </w:p>
        </w:tc>
        <w:tc>
          <w:tcPr>
            <w:tcW w:w="220" w:type="dxa"/>
            <w:vAlign w:val="bottom"/>
            <w:shd w:val="clear" w:color="auto" w:fill="E5E5E5"/>
          </w:tcPr>
          <w:p>
            <w:pPr>
              <w:spacing w:after="0"/>
              <w:rPr>
                <w:sz w:val="17"/>
                <w:szCs w:val="17"/>
                <w:color w:val="auto"/>
              </w:rPr>
            </w:pPr>
          </w:p>
        </w:tc>
        <w:tc>
          <w:tcPr>
            <w:tcW w:w="640" w:type="dxa"/>
            <w:vAlign w:val="bottom"/>
            <w:shd w:val="clear" w:color="auto" w:fill="E5E5E5"/>
          </w:tcPr>
          <w:p>
            <w:pPr>
              <w:jc w:val="right"/>
              <w:ind w:right="12"/>
              <w:spacing w:after="0" w:line="202" w:lineRule="exact"/>
              <w:rPr>
                <w:sz w:val="20"/>
                <w:szCs w:val="20"/>
                <w:color w:val="auto"/>
              </w:rPr>
            </w:pPr>
            <w:r>
              <w:rPr>
                <w:rFonts w:ascii="Arial" w:cs="Arial" w:eastAsia="Arial" w:hAnsi="Arial"/>
                <w:sz w:val="18"/>
                <w:szCs w:val="18"/>
                <w:color w:val="auto"/>
              </w:rPr>
              <w:t>19</w:t>
            </w:r>
          </w:p>
        </w:tc>
        <w:tc>
          <w:tcPr>
            <w:tcW w:w="240" w:type="dxa"/>
            <w:vAlign w:val="bottom"/>
            <w:shd w:val="clear" w:color="auto" w:fill="E5E5E5"/>
          </w:tcPr>
          <w:p>
            <w:pPr>
              <w:spacing w:after="0"/>
              <w:rPr>
                <w:sz w:val="17"/>
                <w:szCs w:val="17"/>
                <w:color w:val="auto"/>
              </w:rPr>
            </w:pPr>
          </w:p>
        </w:tc>
        <w:tc>
          <w:tcPr>
            <w:tcW w:w="58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81</w:t>
            </w:r>
          </w:p>
        </w:tc>
      </w:tr>
      <w:tr>
        <w:trPr>
          <w:trHeight w:val="210"/>
        </w:trPr>
        <w:tc>
          <w:tcPr>
            <w:tcW w:w="8800" w:type="dxa"/>
            <w:vAlign w:val="bottom"/>
          </w:tcPr>
          <w:p>
            <w:pPr>
              <w:spacing w:after="0"/>
              <w:rPr>
                <w:sz w:val="20"/>
                <w:szCs w:val="20"/>
                <w:color w:val="auto"/>
              </w:rPr>
            </w:pPr>
            <w:r>
              <w:rPr>
                <w:rFonts w:ascii="Arial" w:cs="Arial" w:eastAsia="Arial" w:hAnsi="Arial"/>
                <w:sz w:val="18"/>
                <w:szCs w:val="18"/>
                <w:color w:val="auto"/>
              </w:rPr>
              <w:t>Income (loss) from discontinued operations, net of income taxes</w:t>
            </w: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w:t>
            </w:r>
          </w:p>
        </w:tc>
        <w:tc>
          <w:tcPr>
            <w:tcW w:w="2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29</w:t>
            </w:r>
          </w:p>
        </w:tc>
        <w:tc>
          <w:tcPr>
            <w:tcW w:w="2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60" w:type="dxa"/>
            <w:vAlign w:val="bottom"/>
          </w:tcPr>
          <w:p>
            <w:pPr>
              <w:spacing w:after="0"/>
              <w:rPr>
                <w:sz w:val="18"/>
                <w:szCs w:val="18"/>
                <w:color w:val="auto"/>
              </w:rPr>
            </w:pPr>
          </w:p>
        </w:tc>
      </w:tr>
      <w:tr>
        <w:trPr>
          <w:trHeight w:val="311"/>
        </w:trPr>
        <w:tc>
          <w:tcPr>
            <w:tcW w:w="8800" w:type="dxa"/>
            <w:vAlign w:val="bottom"/>
            <w:shd w:val="clear" w:color="auto" w:fill="E5E5E5"/>
          </w:tcPr>
          <w:p>
            <w:pPr>
              <w:spacing w:after="0"/>
              <w:rPr>
                <w:sz w:val="20"/>
                <w:szCs w:val="20"/>
                <w:color w:val="auto"/>
              </w:rPr>
            </w:pPr>
            <w:r>
              <w:rPr>
                <w:rFonts w:ascii="Arial" w:cs="Arial" w:eastAsia="Arial" w:hAnsi="Arial"/>
                <w:sz w:val="18"/>
                <w:szCs w:val="18"/>
                <w:color w:val="auto"/>
              </w:rPr>
              <w:t>Gain on sale of discontinued operations</w:t>
            </w:r>
          </w:p>
        </w:tc>
        <w:tc>
          <w:tcPr>
            <w:tcW w:w="220" w:type="dxa"/>
            <w:vAlign w:val="bottom"/>
            <w:shd w:val="clear" w:color="auto" w:fill="E5E5E5"/>
          </w:tcPr>
          <w:p>
            <w:pPr>
              <w:spacing w:after="0"/>
              <w:rPr>
                <w:sz w:val="24"/>
                <w:szCs w:val="24"/>
                <w:color w:val="auto"/>
              </w:rPr>
            </w:pPr>
          </w:p>
        </w:tc>
        <w:tc>
          <w:tcPr>
            <w:tcW w:w="160" w:type="dxa"/>
            <w:vAlign w:val="bottom"/>
            <w:shd w:val="clear" w:color="auto" w:fill="E5E5E5"/>
          </w:tcPr>
          <w:p>
            <w:pPr>
              <w:spacing w:after="0"/>
              <w:rPr>
                <w:sz w:val="24"/>
                <w:szCs w:val="24"/>
                <w:color w:val="auto"/>
              </w:rPr>
            </w:pPr>
          </w:p>
        </w:tc>
        <w:tc>
          <w:tcPr>
            <w:tcW w:w="560" w:type="dxa"/>
            <w:vAlign w:val="bottom"/>
            <w:shd w:val="clear" w:color="auto" w:fill="E5E5E5"/>
          </w:tcPr>
          <w:p>
            <w:pPr>
              <w:jc w:val="right"/>
              <w:ind w:right="92"/>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E5E5E5"/>
          </w:tcPr>
          <w:p>
            <w:pPr>
              <w:spacing w:after="0"/>
              <w:rPr>
                <w:sz w:val="24"/>
                <w:szCs w:val="24"/>
                <w:color w:val="auto"/>
              </w:rPr>
            </w:pPr>
          </w:p>
        </w:tc>
        <w:tc>
          <w:tcPr>
            <w:tcW w:w="64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2,554</w:t>
            </w:r>
          </w:p>
        </w:tc>
        <w:tc>
          <w:tcPr>
            <w:tcW w:w="240" w:type="dxa"/>
            <w:vAlign w:val="bottom"/>
            <w:shd w:val="clear" w:color="auto" w:fill="E5E5E5"/>
          </w:tcPr>
          <w:p>
            <w:pPr>
              <w:spacing w:after="0"/>
              <w:rPr>
                <w:sz w:val="24"/>
                <w:szCs w:val="24"/>
                <w:color w:val="auto"/>
              </w:rPr>
            </w:pPr>
          </w:p>
        </w:tc>
        <w:tc>
          <w:tcPr>
            <w:tcW w:w="58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color w:val="auto"/>
              </w:rPr>
              <w:t>—</w:t>
            </w:r>
          </w:p>
        </w:tc>
      </w:tr>
      <w:tr>
        <w:trPr>
          <w:trHeight w:val="203"/>
        </w:trPr>
        <w:tc>
          <w:tcPr>
            <w:tcW w:w="8800" w:type="dxa"/>
            <w:vAlign w:val="bottom"/>
          </w:tcPr>
          <w:p>
            <w:pPr>
              <w:spacing w:after="0" w:line="202" w:lineRule="exact"/>
              <w:rPr>
                <w:sz w:val="20"/>
                <w:szCs w:val="20"/>
                <w:color w:val="auto"/>
              </w:rPr>
            </w:pPr>
            <w:r>
              <w:rPr>
                <w:rFonts w:ascii="Arial" w:cs="Arial" w:eastAsia="Arial" w:hAnsi="Arial"/>
                <w:sz w:val="18"/>
                <w:szCs w:val="18"/>
                <w:color w:val="auto"/>
              </w:rPr>
              <w:t>Provision (benefit) for income taxes</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(17)</w:t>
            </w:r>
          </w:p>
        </w:tc>
        <w:tc>
          <w:tcPr>
            <w:tcW w:w="220" w:type="dxa"/>
            <w:vAlign w:val="bottom"/>
          </w:tcPr>
          <w:p>
            <w:pPr>
              <w:spacing w:after="0"/>
              <w:rPr>
                <w:sz w:val="17"/>
                <w:szCs w:val="17"/>
                <w:color w:val="auto"/>
              </w:rPr>
            </w:pPr>
          </w:p>
        </w:tc>
        <w:tc>
          <w:tcPr>
            <w:tcW w:w="6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880</w:t>
            </w:r>
          </w:p>
        </w:tc>
        <w:tc>
          <w:tcPr>
            <w:tcW w:w="240" w:type="dxa"/>
            <w:vAlign w:val="bottom"/>
          </w:tcPr>
          <w:p>
            <w:pPr>
              <w:spacing w:after="0"/>
              <w:rPr>
                <w:sz w:val="17"/>
                <w:szCs w:val="17"/>
                <w:color w:val="auto"/>
              </w:rPr>
            </w:pPr>
          </w:p>
        </w:tc>
        <w:tc>
          <w:tcPr>
            <w:tcW w:w="5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7"/>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88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Gain on sale of discontinued operations, net of income taxes</w:t>
            </w:r>
          </w:p>
        </w:tc>
        <w:tc>
          <w:tcPr>
            <w:tcW w:w="2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560" w:type="dxa"/>
            <w:vAlign w:val="bottom"/>
            <w:shd w:val="clear" w:color="auto" w:fill="E5E5E5"/>
          </w:tcPr>
          <w:p>
            <w:pPr>
              <w:jc w:val="right"/>
              <w:ind w:right="92"/>
              <w:spacing w:after="0" w:line="202" w:lineRule="exact"/>
              <w:rPr>
                <w:sz w:val="20"/>
                <w:szCs w:val="20"/>
                <w:color w:val="auto"/>
              </w:rPr>
            </w:pPr>
            <w:r>
              <w:rPr>
                <w:rFonts w:ascii="Arial" w:cs="Arial" w:eastAsia="Arial" w:hAnsi="Arial"/>
                <w:sz w:val="18"/>
                <w:szCs w:val="18"/>
                <w:b w:val="1"/>
                <w:bCs w:val="1"/>
                <w:color w:val="auto"/>
              </w:rPr>
              <w:t>17</w:t>
            </w:r>
          </w:p>
        </w:tc>
        <w:tc>
          <w:tcPr>
            <w:tcW w:w="220" w:type="dxa"/>
            <w:vAlign w:val="bottom"/>
            <w:shd w:val="clear" w:color="auto" w:fill="E5E5E5"/>
          </w:tcPr>
          <w:p>
            <w:pPr>
              <w:spacing w:after="0"/>
              <w:rPr>
                <w:sz w:val="17"/>
                <w:szCs w:val="17"/>
                <w:color w:val="auto"/>
              </w:rPr>
            </w:pPr>
          </w:p>
        </w:tc>
        <w:tc>
          <w:tcPr>
            <w:tcW w:w="640" w:type="dxa"/>
            <w:vAlign w:val="bottom"/>
            <w:shd w:val="clear" w:color="auto" w:fill="E5E5E5"/>
          </w:tcPr>
          <w:p>
            <w:pPr>
              <w:jc w:val="right"/>
              <w:ind w:right="12"/>
              <w:spacing w:after="0" w:line="202" w:lineRule="exact"/>
              <w:rPr>
                <w:sz w:val="20"/>
                <w:szCs w:val="20"/>
                <w:color w:val="auto"/>
              </w:rPr>
            </w:pPr>
            <w:r>
              <w:rPr>
                <w:rFonts w:ascii="Arial" w:cs="Arial" w:eastAsia="Arial" w:hAnsi="Arial"/>
                <w:sz w:val="18"/>
                <w:szCs w:val="18"/>
                <w:color w:val="auto"/>
              </w:rPr>
              <w:t>1,674</w:t>
            </w:r>
          </w:p>
        </w:tc>
        <w:tc>
          <w:tcPr>
            <w:tcW w:w="240" w:type="dxa"/>
            <w:vAlign w:val="bottom"/>
            <w:shd w:val="clear" w:color="auto" w:fill="E5E5E5"/>
          </w:tcPr>
          <w:p>
            <w:pPr>
              <w:spacing w:after="0"/>
              <w:rPr>
                <w:sz w:val="17"/>
                <w:szCs w:val="17"/>
                <w:color w:val="auto"/>
              </w:rPr>
            </w:pPr>
          </w:p>
        </w:tc>
        <w:tc>
          <w:tcPr>
            <w:tcW w:w="58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
        </w:trPr>
        <w:tc>
          <w:tcPr>
            <w:tcW w:w="8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8"/>
        </w:trPr>
        <w:tc>
          <w:tcPr>
            <w:tcW w:w="8800" w:type="dxa"/>
            <w:vAlign w:val="bottom"/>
          </w:tcPr>
          <w:p>
            <w:pPr>
              <w:spacing w:after="0"/>
              <w:rPr>
                <w:sz w:val="20"/>
                <w:szCs w:val="20"/>
                <w:color w:val="auto"/>
              </w:rPr>
            </w:pPr>
            <w:r>
              <w:rPr>
                <w:rFonts w:ascii="Arial" w:cs="Arial" w:eastAsia="Arial" w:hAnsi="Arial"/>
                <w:sz w:val="18"/>
                <w:szCs w:val="18"/>
                <w:color w:val="auto"/>
              </w:rPr>
              <w:t>Total income from discontinued operations</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ind w:right="72"/>
              <w:spacing w:after="0"/>
              <w:rPr>
                <w:sz w:val="20"/>
                <w:szCs w:val="20"/>
                <w:color w:val="auto"/>
              </w:rPr>
            </w:pPr>
            <w:r>
              <w:rPr>
                <w:rFonts w:ascii="Arial" w:cs="Arial" w:eastAsia="Arial" w:hAnsi="Arial"/>
                <w:sz w:val="18"/>
                <w:szCs w:val="18"/>
                <w:b w:val="1"/>
                <w:bCs w:val="1"/>
                <w:color w:val="auto"/>
              </w:rPr>
              <w:t>16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1,703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151</w:t>
            </w:r>
          </w:p>
        </w:tc>
      </w:tr>
      <w:tr>
        <w:trPr>
          <w:trHeight w:val="20"/>
        </w:trPr>
        <w:tc>
          <w:tcPr>
            <w:tcW w:w="8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8800" w:type="dxa"/>
            <w:vAlign w:val="bottom"/>
            <w:shd w:val="clear" w:color="auto" w:fill="E5E5E5"/>
          </w:tcPr>
          <w:p>
            <w:pPr>
              <w:spacing w:after="0" w:line="196" w:lineRule="exact"/>
              <w:rPr>
                <w:sz w:val="20"/>
                <w:szCs w:val="20"/>
                <w:color w:val="auto"/>
              </w:rPr>
            </w:pPr>
            <w:r>
              <w:rPr>
                <w:rFonts w:ascii="Arial" w:cs="Arial" w:eastAsia="Arial" w:hAnsi="Arial"/>
                <w:sz w:val="18"/>
                <w:szCs w:val="18"/>
                <w:color w:val="auto"/>
              </w:rPr>
              <w:t>Income from discontinued operations per common share: (a)</w:t>
            </w:r>
          </w:p>
        </w:tc>
        <w:tc>
          <w:tcPr>
            <w:tcW w:w="2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56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64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52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r>
      <w:tr>
        <w:trPr>
          <w:trHeight w:val="203"/>
        </w:trPr>
        <w:tc>
          <w:tcPr>
            <w:tcW w:w="8800" w:type="dxa"/>
            <w:vAlign w:val="bottom"/>
          </w:tcPr>
          <w:p>
            <w:pPr>
              <w:ind w:left="220"/>
              <w:spacing w:after="0" w:line="202" w:lineRule="exact"/>
              <w:rPr>
                <w:sz w:val="20"/>
                <w:szCs w:val="20"/>
                <w:color w:val="auto"/>
              </w:rPr>
            </w:pPr>
            <w:r>
              <w:rPr>
                <w:rFonts w:ascii="Arial" w:cs="Arial" w:eastAsia="Arial" w:hAnsi="Arial"/>
                <w:sz w:val="18"/>
                <w:szCs w:val="18"/>
                <w:color w:val="auto"/>
              </w:rPr>
              <w:t>Basic</w:t>
            </w:r>
          </w:p>
        </w:tc>
        <w:tc>
          <w:tcPr>
            <w:tcW w:w="38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w:t>
            </w:r>
          </w:p>
        </w:tc>
        <w:tc>
          <w:tcPr>
            <w:tcW w:w="560" w:type="dxa"/>
            <w:vAlign w:val="bottom"/>
          </w:tcPr>
          <w:p>
            <w:pPr>
              <w:jc w:val="right"/>
              <w:ind w:right="92"/>
              <w:spacing w:after="0" w:line="202" w:lineRule="exact"/>
              <w:rPr>
                <w:sz w:val="20"/>
                <w:szCs w:val="20"/>
                <w:color w:val="auto"/>
              </w:rPr>
            </w:pPr>
            <w:r>
              <w:rPr>
                <w:rFonts w:ascii="Arial" w:cs="Arial" w:eastAsia="Arial" w:hAnsi="Arial"/>
                <w:sz w:val="18"/>
                <w:szCs w:val="18"/>
                <w:b w:val="1"/>
                <w:bCs w:val="1"/>
                <w:color w:val="auto"/>
              </w:rPr>
              <w:t>0.01</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1.11</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0.09</w:t>
            </w:r>
          </w:p>
        </w:tc>
      </w:tr>
      <w:tr>
        <w:trPr>
          <w:trHeight w:val="20"/>
        </w:trPr>
        <w:tc>
          <w:tcPr>
            <w:tcW w:w="8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8800" w:type="dxa"/>
            <w:vAlign w:val="bottom"/>
            <w:shd w:val="clear" w:color="auto" w:fill="E5E5E5"/>
          </w:tcPr>
          <w:p>
            <w:pPr>
              <w:ind w:left="220"/>
              <w:spacing w:after="0" w:line="196" w:lineRule="exact"/>
              <w:rPr>
                <w:sz w:val="20"/>
                <w:szCs w:val="20"/>
                <w:color w:val="auto"/>
              </w:rPr>
            </w:pPr>
            <w:r>
              <w:rPr>
                <w:rFonts w:ascii="Arial" w:cs="Arial" w:eastAsia="Arial" w:hAnsi="Arial"/>
                <w:sz w:val="18"/>
                <w:szCs w:val="18"/>
                <w:color w:val="auto"/>
              </w:rPr>
              <w:t>Diluted</w:t>
            </w:r>
          </w:p>
        </w:tc>
        <w:tc>
          <w:tcPr>
            <w:tcW w:w="380" w:type="dxa"/>
            <w:vAlign w:val="bottom"/>
            <w:gridSpan w:val="2"/>
            <w:shd w:val="clear" w:color="auto" w:fill="E5E5E5"/>
          </w:tcPr>
          <w:p>
            <w:pPr>
              <w:jc w:val="right"/>
              <w:ind w:right="60"/>
              <w:spacing w:after="0" w:line="196" w:lineRule="exact"/>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E5E5E5"/>
          </w:tcPr>
          <w:p>
            <w:pPr>
              <w:jc w:val="right"/>
              <w:ind w:right="92"/>
              <w:spacing w:after="0" w:line="196" w:lineRule="exact"/>
              <w:rPr>
                <w:sz w:val="20"/>
                <w:szCs w:val="20"/>
                <w:color w:val="auto"/>
              </w:rPr>
            </w:pPr>
            <w:r>
              <w:rPr>
                <w:rFonts w:ascii="Arial" w:cs="Arial" w:eastAsia="Arial" w:hAnsi="Arial"/>
                <w:sz w:val="18"/>
                <w:szCs w:val="18"/>
                <w:b w:val="1"/>
                <w:bCs w:val="1"/>
                <w:color w:val="auto"/>
              </w:rPr>
              <w:t>0.01</w:t>
            </w:r>
          </w:p>
        </w:tc>
        <w:tc>
          <w:tcPr>
            <w:tcW w:w="22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rPr>
              <w:t>$</w:t>
            </w:r>
          </w:p>
        </w:tc>
        <w:tc>
          <w:tcPr>
            <w:tcW w:w="640" w:type="dxa"/>
            <w:vAlign w:val="bottom"/>
            <w:shd w:val="clear" w:color="auto" w:fill="E5E5E5"/>
          </w:tcPr>
          <w:p>
            <w:pPr>
              <w:jc w:val="right"/>
              <w:ind w:right="12"/>
              <w:spacing w:after="0" w:line="196" w:lineRule="exact"/>
              <w:rPr>
                <w:sz w:val="20"/>
                <w:szCs w:val="20"/>
                <w:color w:val="auto"/>
              </w:rPr>
            </w:pPr>
            <w:r>
              <w:rPr>
                <w:rFonts w:ascii="Arial" w:cs="Arial" w:eastAsia="Arial" w:hAnsi="Arial"/>
                <w:sz w:val="18"/>
                <w:szCs w:val="18"/>
                <w:color w:val="auto"/>
              </w:rPr>
              <w:t>1.09</w:t>
            </w:r>
          </w:p>
        </w:tc>
        <w:tc>
          <w:tcPr>
            <w:tcW w:w="24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rPr>
              <w:t>$</w:t>
            </w:r>
          </w:p>
        </w:tc>
        <w:tc>
          <w:tcPr>
            <w:tcW w:w="580" w:type="dxa"/>
            <w:vAlign w:val="bottom"/>
            <w:gridSpan w:val="2"/>
            <w:shd w:val="clear" w:color="auto" w:fill="E5E5E5"/>
          </w:tcPr>
          <w:p>
            <w:pPr>
              <w:jc w:val="right"/>
              <w:ind w:right="60"/>
              <w:spacing w:after="0" w:line="196" w:lineRule="exact"/>
              <w:rPr>
                <w:sz w:val="20"/>
                <w:szCs w:val="20"/>
                <w:color w:val="auto"/>
              </w:rPr>
            </w:pPr>
            <w:r>
              <w:rPr>
                <w:rFonts w:ascii="Arial" w:cs="Arial" w:eastAsia="Arial" w:hAnsi="Arial"/>
                <w:sz w:val="18"/>
                <w:szCs w:val="18"/>
                <w:color w:val="auto"/>
              </w:rPr>
              <w:t>0.09</w:t>
            </w:r>
          </w:p>
        </w:tc>
      </w:tr>
      <w:tr>
        <w:trPr>
          <w:trHeight w:val="20"/>
        </w:trPr>
        <w:tc>
          <w:tcPr>
            <w:tcW w:w="8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Earnings per share amounts from continuing and discontinued operations may not add to net income per share due to rounding.</w:t>
      </w:r>
    </w:p>
    <w:p>
      <w:pPr>
        <w:spacing w:after="0" w:line="153"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Total income from discontinued operations in 2007 includes an income tax benefit related to a reduction of a state tax liability associated with the sale.</w:t>
      </w:r>
    </w:p>
    <w:p>
      <w:pPr>
        <w:spacing w:after="0" w:line="155" w:lineRule="exact"/>
        <w:rPr>
          <w:sz w:val="20"/>
          <w:szCs w:val="20"/>
          <w:color w:val="auto"/>
        </w:rPr>
      </w:pPr>
    </w:p>
    <w:p>
      <w:pPr>
        <w:ind w:right="220"/>
        <w:spacing w:after="0" w:line="273" w:lineRule="auto"/>
        <w:rPr>
          <w:sz w:val="20"/>
          <w:szCs w:val="20"/>
          <w:color w:val="auto"/>
        </w:rPr>
      </w:pPr>
      <w:r>
        <w:rPr>
          <w:rFonts w:ascii="Arial" w:cs="Arial" w:eastAsia="Arial" w:hAnsi="Arial"/>
          <w:sz w:val="16"/>
          <w:szCs w:val="16"/>
          <w:u w:val="single" w:color="auto"/>
          <w:color w:val="auto"/>
        </w:rPr>
        <w:t>Continuing Involvement</w:t>
      </w:r>
      <w:r>
        <w:rPr>
          <w:rFonts w:ascii="Arial" w:cs="Arial" w:eastAsia="Arial" w:hAnsi="Arial"/>
          <w:sz w:val="16"/>
          <w:szCs w:val="16"/>
          <w:color w:val="auto"/>
        </w:rPr>
        <w:t>: Upon closing of the sales transaction, we entered into a Transition Services Agreement (TSA) with Sensata to provide various temporary support services that are reasonably necessary to facilitate the continuation of the normal conduct of business of the former Sensors &amp; Controls business such as finance and accounting, human resources, information technology, warehousing and logistics, and records retention and storage. As of December 31, 2007, the provision of such services has been substantially completed, although certain information technology-related services may continue to be provided until April 2008. The fees for these services are generally equivalent to our cost.</w:t>
      </w:r>
    </w:p>
    <w:p>
      <w:pPr>
        <w:spacing w:after="0" w:line="129"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 xml:space="preserve">Although the services provided under the TSA generate continuing cash flows between us and Sensata, the amounts are not considered to be significant to the ongoing operations of either entity. In addition, we have no contractual ability through the TSA or any other agreement to significantly influence the operating or financial policies of Sensata. Under the provisions of EITF Issue No. 03-13, </w:t>
      </w:r>
      <w:r>
        <w:rPr>
          <w:rFonts w:ascii="Arial" w:cs="Arial" w:eastAsia="Arial" w:hAnsi="Arial"/>
          <w:sz w:val="18"/>
          <w:szCs w:val="18"/>
          <w:i w:val="1"/>
          <w:iCs w:val="1"/>
          <w:color w:val="auto"/>
        </w:rPr>
        <w:t>“Applying the Conditions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Paragraph 42 of FASB Statement No. 144 in Determining Whether to Report Discontinued Operations,” </w:t>
      </w:r>
      <w:r>
        <w:rPr>
          <w:rFonts w:ascii="Arial" w:cs="Arial" w:eastAsia="Arial" w:hAnsi="Arial"/>
          <w:sz w:val="18"/>
          <w:szCs w:val="18"/>
          <w:color w:val="auto"/>
        </w:rPr>
        <w:t>we therefore have no significant continuing</w:t>
      </w:r>
      <w:r>
        <w:rPr>
          <w:rFonts w:ascii="Arial" w:cs="Arial" w:eastAsia="Arial" w:hAnsi="Arial"/>
          <w:sz w:val="18"/>
          <w:szCs w:val="18"/>
          <w:i w:val="1"/>
          <w:iCs w:val="1"/>
          <w:color w:val="auto"/>
        </w:rPr>
        <w:t xml:space="preserve"> </w:t>
      </w:r>
      <w:r>
        <w:rPr>
          <w:rFonts w:ascii="Arial" w:cs="Arial" w:eastAsia="Arial" w:hAnsi="Arial"/>
          <w:sz w:val="18"/>
          <w:szCs w:val="18"/>
          <w:color w:val="auto"/>
        </w:rPr>
        <w:t>involvement in the operations of the former Sensors &amp; Controls business and have classified the historical results of that business as discontinued operations.</w:t>
      </w:r>
    </w:p>
    <w:p>
      <w:pPr>
        <w:spacing w:after="0" w:line="139" w:lineRule="exact"/>
        <w:rPr>
          <w:sz w:val="20"/>
          <w:szCs w:val="20"/>
          <w:color w:val="auto"/>
        </w:rPr>
      </w:pPr>
    </w:p>
    <w:p>
      <w:pPr>
        <w:spacing w:after="0"/>
        <w:tabs>
          <w:tab w:leader="none" w:pos="8420" w:val="left"/>
        </w:tabs>
        <w:rPr>
          <w:sz w:val="20"/>
          <w:szCs w:val="20"/>
          <w:color w:val="auto"/>
        </w:rPr>
      </w:pPr>
      <w:r>
        <w:rPr>
          <w:rFonts w:ascii="Arial" w:cs="Arial" w:eastAsia="Arial" w:hAnsi="Arial"/>
          <w:sz w:val="12"/>
          <w:szCs w:val="12"/>
          <w:color w:val="auto"/>
        </w:rPr>
        <w:t>18</w:t>
      </w:r>
      <w:r>
        <w:rPr>
          <w:sz w:val="20"/>
          <w:szCs w:val="20"/>
          <w:color w:val="auto"/>
        </w:rPr>
        <w:tab/>
      </w:r>
      <w:r>
        <w:rPr>
          <w:rFonts w:ascii="Arial" w:cs="Arial" w:eastAsia="Arial" w:hAnsi="Arial"/>
          <w:sz w:val="12"/>
          <w:szCs w:val="12"/>
          <w:color w:val="auto"/>
        </w:rPr>
        <w:t>TEXAS INSTRUMENTS 2007 ANNUAL REPORT</w:t>
      </w:r>
    </w:p>
    <w:p>
      <w:pPr>
        <w:sectPr>
          <w:pgSz w:w="11900" w:h="16838" w:orient="portrait"/>
          <w:cols w:equalWidth="0" w:num="1">
            <w:col w:w="11420"/>
          </w:cols>
          <w:pgMar w:left="240" w:top="269"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 Cash, Cash Equivalents and Short-term Investments</w:t>
      </w:r>
    </w:p>
    <w:p>
      <w:pPr>
        <w:spacing w:after="0" w:line="180"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Investments in debt securities with original maturities of three months or less are considered to be cash equivalents. We consider investments in debt securities with maturities or average lives beyond three months from the date of our investment as being available for use in current operations as needed and, as a result, we include those investments in short-term investments.</w:t>
      </w:r>
    </w:p>
    <w:p>
      <w:pPr>
        <w:spacing w:after="0" w:line="154" w:lineRule="exact"/>
        <w:rPr>
          <w:sz w:val="20"/>
          <w:szCs w:val="20"/>
          <w:color w:val="auto"/>
        </w:rPr>
      </w:pPr>
    </w:p>
    <w:p>
      <w:pPr>
        <w:jc w:val="both"/>
        <w:ind w:right="360"/>
        <w:spacing w:after="0" w:line="238" w:lineRule="auto"/>
        <w:rPr>
          <w:sz w:val="20"/>
          <w:szCs w:val="20"/>
          <w:color w:val="auto"/>
        </w:rPr>
      </w:pPr>
      <w:r>
        <w:rPr>
          <w:rFonts w:ascii="Arial" w:cs="Arial" w:eastAsia="Arial" w:hAnsi="Arial"/>
          <w:sz w:val="18"/>
          <w:szCs w:val="18"/>
          <w:color w:val="auto"/>
        </w:rPr>
        <w:t>These investments in debt securities are classified as available-for-sale and are stated at fair value, which is based on market prices or broker quotes. Adjustments to fair value are recorded as an increase or decrease, net of tax, in other comprehensive income except where losses are considered to be other-than-temporary, in which case the losses are recorded in other income (expense) net.</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Details of our cash, cash equivalents and short-term investment balances are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900" w:type="dxa"/>
            <w:vAlign w:val="bottom"/>
            <w:shd w:val="clear" w:color="auto" w:fill="E5E5E5"/>
          </w:tcPr>
          <w:p>
            <w:pPr>
              <w:spacing w:after="0"/>
              <w:rPr>
                <w:sz w:val="15"/>
                <w:szCs w:val="15"/>
                <w:color w:val="auto"/>
              </w:rPr>
            </w:pPr>
          </w:p>
        </w:tc>
        <w:tc>
          <w:tcPr>
            <w:tcW w:w="300" w:type="dxa"/>
            <w:vAlign w:val="bottom"/>
            <w:shd w:val="clear" w:color="auto" w:fill="E5E5E5"/>
          </w:tcPr>
          <w:p>
            <w:pPr>
              <w:spacing w:after="0"/>
              <w:rPr>
                <w:sz w:val="15"/>
                <w:szCs w:val="15"/>
                <w:color w:val="auto"/>
              </w:rPr>
            </w:pPr>
          </w:p>
        </w:tc>
        <w:tc>
          <w:tcPr>
            <w:tcW w:w="200" w:type="dxa"/>
            <w:vAlign w:val="bottom"/>
            <w:shd w:val="clear" w:color="auto" w:fill="E5E5E5"/>
          </w:tcPr>
          <w:p>
            <w:pPr>
              <w:spacing w:after="0"/>
              <w:rPr>
                <w:sz w:val="15"/>
                <w:szCs w:val="15"/>
                <w:color w:val="auto"/>
              </w:rPr>
            </w:pPr>
          </w:p>
        </w:tc>
        <w:tc>
          <w:tcPr>
            <w:tcW w:w="1880" w:type="dxa"/>
            <w:vAlign w:val="bottom"/>
            <w:gridSpan w:val="3"/>
            <w:shd w:val="clear" w:color="auto" w:fill="E5E5E5"/>
          </w:tcPr>
          <w:p>
            <w:pPr>
              <w:jc w:val="right"/>
              <w:ind w:right="412"/>
              <w:spacing w:after="0"/>
              <w:rPr>
                <w:sz w:val="20"/>
                <w:szCs w:val="20"/>
                <w:color w:val="auto"/>
              </w:rPr>
            </w:pPr>
            <w:r>
              <w:rPr>
                <w:rFonts w:ascii="Arial" w:cs="Arial" w:eastAsia="Arial" w:hAnsi="Arial"/>
                <w:sz w:val="14"/>
                <w:szCs w:val="14"/>
                <w:b w:val="1"/>
                <w:bCs w:val="1"/>
                <w:color w:val="auto"/>
              </w:rPr>
              <w:t>December 31, 2007</w:t>
            </w:r>
          </w:p>
        </w:tc>
        <w:tc>
          <w:tcPr>
            <w:tcW w:w="380" w:type="dxa"/>
            <w:vAlign w:val="bottom"/>
            <w:shd w:val="clear" w:color="auto" w:fill="E5E5E5"/>
          </w:tcPr>
          <w:p>
            <w:pPr>
              <w:spacing w:after="0"/>
              <w:rPr>
                <w:sz w:val="15"/>
                <w:szCs w:val="15"/>
                <w:color w:val="auto"/>
              </w:rPr>
            </w:pPr>
          </w:p>
        </w:tc>
        <w:tc>
          <w:tcPr>
            <w:tcW w:w="1760" w:type="dxa"/>
            <w:vAlign w:val="bottom"/>
            <w:gridSpan w:val="4"/>
            <w:shd w:val="clear" w:color="auto" w:fill="E5E5E5"/>
          </w:tcPr>
          <w:p>
            <w:pPr>
              <w:jc w:val="right"/>
              <w:ind w:right="420"/>
              <w:spacing w:after="0"/>
              <w:rPr>
                <w:sz w:val="20"/>
                <w:szCs w:val="20"/>
                <w:color w:val="auto"/>
              </w:rPr>
            </w:pPr>
            <w:r>
              <w:rPr>
                <w:rFonts w:ascii="Arial" w:cs="Arial" w:eastAsia="Arial" w:hAnsi="Arial"/>
                <w:sz w:val="14"/>
                <w:szCs w:val="14"/>
                <w:b w:val="1"/>
                <w:bCs w:val="1"/>
                <w:color w:val="auto"/>
              </w:rPr>
              <w:t>December 31, 2006</w:t>
            </w:r>
          </w:p>
        </w:tc>
        <w:tc>
          <w:tcPr>
            <w:tcW w:w="0" w:type="dxa"/>
            <w:vAlign w:val="bottom"/>
          </w:tcPr>
          <w:p>
            <w:pPr>
              <w:spacing w:after="0"/>
              <w:rPr>
                <w:sz w:val="1"/>
                <w:szCs w:val="1"/>
                <w:color w:val="auto"/>
              </w:rPr>
            </w:pPr>
          </w:p>
        </w:tc>
      </w:tr>
      <w:tr>
        <w:trPr>
          <w:trHeight w:val="173"/>
        </w:trPr>
        <w:tc>
          <w:tcPr>
            <w:tcW w:w="6900" w:type="dxa"/>
            <w:vAlign w:val="bottom"/>
            <w:shd w:val="clear" w:color="auto" w:fill="E5E5E5"/>
          </w:tcPr>
          <w:p>
            <w:pPr>
              <w:spacing w:after="0"/>
              <w:rPr>
                <w:sz w:val="15"/>
                <w:szCs w:val="15"/>
                <w:color w:val="auto"/>
              </w:rPr>
            </w:pPr>
          </w:p>
        </w:tc>
        <w:tc>
          <w:tcPr>
            <w:tcW w:w="300" w:type="dxa"/>
            <w:vAlign w:val="bottom"/>
            <w:shd w:val="clear" w:color="auto" w:fill="E5E5E5"/>
          </w:tcPr>
          <w:p>
            <w:pPr>
              <w:spacing w:after="0"/>
              <w:rPr>
                <w:sz w:val="15"/>
                <w:szCs w:val="15"/>
                <w:color w:val="auto"/>
              </w:rPr>
            </w:pPr>
          </w:p>
        </w:tc>
        <w:tc>
          <w:tcPr>
            <w:tcW w:w="1000" w:type="dxa"/>
            <w:vAlign w:val="bottom"/>
            <w:gridSpan w:val="2"/>
            <w:shd w:val="clear" w:color="auto" w:fill="E5E5E5"/>
          </w:tcPr>
          <w:p>
            <w:pPr>
              <w:spacing w:after="0"/>
              <w:rPr>
                <w:sz w:val="20"/>
                <w:szCs w:val="20"/>
                <w:color w:val="auto"/>
              </w:rPr>
            </w:pPr>
            <w:r>
              <w:rPr>
                <w:rFonts w:ascii="Arial" w:cs="Arial" w:eastAsia="Arial" w:hAnsi="Arial"/>
                <w:sz w:val="14"/>
                <w:szCs w:val="14"/>
                <w:b w:val="1"/>
                <w:bCs w:val="1"/>
                <w:color w:val="auto"/>
              </w:rPr>
              <w:t>Cash &amp; Cash</w:t>
            </w:r>
          </w:p>
        </w:tc>
        <w:tc>
          <w:tcPr>
            <w:tcW w:w="1080" w:type="dxa"/>
            <w:vAlign w:val="bottom"/>
            <w:gridSpan w:val="2"/>
            <w:shd w:val="clear" w:color="auto" w:fill="E5E5E5"/>
          </w:tcPr>
          <w:p>
            <w:pPr>
              <w:jc w:val="right"/>
              <w:ind w:right="112"/>
              <w:spacing w:after="0"/>
              <w:rPr>
                <w:sz w:val="20"/>
                <w:szCs w:val="20"/>
                <w:color w:val="auto"/>
              </w:rPr>
            </w:pPr>
            <w:r>
              <w:rPr>
                <w:rFonts w:ascii="Arial" w:cs="Arial" w:eastAsia="Arial" w:hAnsi="Arial"/>
                <w:sz w:val="14"/>
                <w:szCs w:val="14"/>
                <w:b w:val="1"/>
                <w:bCs w:val="1"/>
                <w:color w:val="auto"/>
              </w:rPr>
              <w:t>Short-term</w:t>
            </w:r>
          </w:p>
        </w:tc>
        <w:tc>
          <w:tcPr>
            <w:tcW w:w="1140" w:type="dxa"/>
            <w:vAlign w:val="bottom"/>
            <w:gridSpan w:val="2"/>
            <w:shd w:val="clear" w:color="auto" w:fill="E5E5E5"/>
          </w:tcPr>
          <w:p>
            <w:pPr>
              <w:ind w:left="160"/>
              <w:spacing w:after="0"/>
              <w:rPr>
                <w:sz w:val="20"/>
                <w:szCs w:val="20"/>
                <w:color w:val="auto"/>
              </w:rPr>
            </w:pPr>
            <w:r>
              <w:rPr>
                <w:rFonts w:ascii="Arial" w:cs="Arial" w:eastAsia="Arial" w:hAnsi="Arial"/>
                <w:sz w:val="14"/>
                <w:szCs w:val="14"/>
                <w:b w:val="1"/>
                <w:bCs w:val="1"/>
                <w:color w:val="auto"/>
              </w:rPr>
              <w:t>Cash &amp; Cash</w:t>
            </w:r>
          </w:p>
        </w:tc>
        <w:tc>
          <w:tcPr>
            <w:tcW w:w="1000" w:type="dxa"/>
            <w:vAlign w:val="bottom"/>
            <w:gridSpan w:val="3"/>
            <w:shd w:val="clear" w:color="auto" w:fill="E5E5E5"/>
          </w:tcPr>
          <w:p>
            <w:pPr>
              <w:jc w:val="right"/>
              <w:ind w:right="100"/>
              <w:spacing w:after="0"/>
              <w:rPr>
                <w:sz w:val="20"/>
                <w:szCs w:val="20"/>
                <w:color w:val="auto"/>
              </w:rPr>
            </w:pPr>
            <w:r>
              <w:rPr>
                <w:rFonts w:ascii="Arial" w:cs="Arial" w:eastAsia="Arial" w:hAnsi="Arial"/>
                <w:sz w:val="14"/>
                <w:szCs w:val="14"/>
                <w:b w:val="1"/>
                <w:bCs w:val="1"/>
                <w:color w:val="auto"/>
              </w:rPr>
              <w:t>Short-term</w:t>
            </w:r>
          </w:p>
        </w:tc>
        <w:tc>
          <w:tcPr>
            <w:tcW w:w="0" w:type="dxa"/>
            <w:vAlign w:val="bottom"/>
          </w:tcPr>
          <w:p>
            <w:pPr>
              <w:spacing w:after="0"/>
              <w:rPr>
                <w:sz w:val="1"/>
                <w:szCs w:val="1"/>
                <w:color w:val="auto"/>
              </w:rPr>
            </w:pPr>
          </w:p>
        </w:tc>
      </w:tr>
      <w:tr>
        <w:trPr>
          <w:trHeight w:val="176"/>
        </w:trPr>
        <w:tc>
          <w:tcPr>
            <w:tcW w:w="6900" w:type="dxa"/>
            <w:vAlign w:val="bottom"/>
            <w:shd w:val="clear" w:color="auto" w:fill="E5E5E5"/>
          </w:tcPr>
          <w:p>
            <w:pPr>
              <w:spacing w:after="0"/>
              <w:rPr>
                <w:sz w:val="15"/>
                <w:szCs w:val="15"/>
                <w:color w:val="auto"/>
              </w:rPr>
            </w:pPr>
          </w:p>
        </w:tc>
        <w:tc>
          <w:tcPr>
            <w:tcW w:w="300" w:type="dxa"/>
            <w:vAlign w:val="bottom"/>
            <w:shd w:val="clear" w:color="auto" w:fill="E5E5E5"/>
          </w:tcPr>
          <w:p>
            <w:pPr>
              <w:spacing w:after="0"/>
              <w:rPr>
                <w:sz w:val="15"/>
                <w:szCs w:val="15"/>
                <w:color w:val="auto"/>
              </w:rPr>
            </w:pPr>
          </w:p>
        </w:tc>
        <w:tc>
          <w:tcPr>
            <w:tcW w:w="1000" w:type="dxa"/>
            <w:vAlign w:val="bottom"/>
            <w:gridSpan w:val="2"/>
            <w:shd w:val="clear" w:color="auto" w:fill="E5E5E5"/>
          </w:tcPr>
          <w:p>
            <w:pPr>
              <w:jc w:val="right"/>
              <w:ind w:right="114"/>
              <w:spacing w:after="0"/>
              <w:rPr>
                <w:sz w:val="20"/>
                <w:szCs w:val="20"/>
                <w:color w:val="auto"/>
              </w:rPr>
            </w:pPr>
            <w:r>
              <w:rPr>
                <w:rFonts w:ascii="Arial" w:cs="Arial" w:eastAsia="Arial" w:hAnsi="Arial"/>
                <w:sz w:val="14"/>
                <w:szCs w:val="14"/>
                <w:b w:val="1"/>
                <w:bCs w:val="1"/>
                <w:color w:val="auto"/>
                <w:w w:val="99"/>
              </w:rPr>
              <w:t>Equivalents</w:t>
            </w:r>
          </w:p>
        </w:tc>
        <w:tc>
          <w:tcPr>
            <w:tcW w:w="1080" w:type="dxa"/>
            <w:vAlign w:val="bottom"/>
            <w:gridSpan w:val="2"/>
            <w:shd w:val="clear" w:color="auto" w:fill="E5E5E5"/>
          </w:tcPr>
          <w:p>
            <w:pPr>
              <w:ind w:left="140"/>
              <w:spacing w:after="0"/>
              <w:rPr>
                <w:sz w:val="20"/>
                <w:szCs w:val="20"/>
                <w:color w:val="auto"/>
              </w:rPr>
            </w:pPr>
            <w:r>
              <w:rPr>
                <w:rFonts w:ascii="Arial" w:cs="Arial" w:eastAsia="Arial" w:hAnsi="Arial"/>
                <w:sz w:val="14"/>
                <w:szCs w:val="14"/>
                <w:b w:val="1"/>
                <w:bCs w:val="1"/>
                <w:color w:val="auto"/>
              </w:rPr>
              <w:t>Investments</w:t>
            </w:r>
          </w:p>
        </w:tc>
        <w:tc>
          <w:tcPr>
            <w:tcW w:w="1140" w:type="dxa"/>
            <w:vAlign w:val="bottom"/>
            <w:gridSpan w:val="2"/>
            <w:shd w:val="clear" w:color="auto" w:fill="E5E5E5"/>
          </w:tcPr>
          <w:p>
            <w:pPr>
              <w:jc w:val="right"/>
              <w:ind w:right="94"/>
              <w:spacing w:after="0"/>
              <w:rPr>
                <w:sz w:val="20"/>
                <w:szCs w:val="20"/>
                <w:color w:val="auto"/>
              </w:rPr>
            </w:pPr>
            <w:r>
              <w:rPr>
                <w:rFonts w:ascii="Arial" w:cs="Arial" w:eastAsia="Arial" w:hAnsi="Arial"/>
                <w:sz w:val="14"/>
                <w:szCs w:val="14"/>
                <w:b w:val="1"/>
                <w:bCs w:val="1"/>
                <w:color w:val="auto"/>
              </w:rPr>
              <w:t>Equivalents</w:t>
            </w:r>
          </w:p>
        </w:tc>
        <w:tc>
          <w:tcPr>
            <w:tcW w:w="1000" w:type="dxa"/>
            <w:vAlign w:val="bottom"/>
            <w:gridSpan w:val="3"/>
            <w:shd w:val="clear" w:color="auto" w:fill="E5E5E5"/>
          </w:tcPr>
          <w:p>
            <w:pPr>
              <w:ind w:left="160"/>
              <w:spacing w:after="0"/>
              <w:rPr>
                <w:sz w:val="20"/>
                <w:szCs w:val="20"/>
                <w:color w:val="auto"/>
              </w:rPr>
            </w:pPr>
            <w:r>
              <w:rPr>
                <w:rFonts w:ascii="Arial" w:cs="Arial" w:eastAsia="Arial" w:hAnsi="Arial"/>
                <w:sz w:val="14"/>
                <w:szCs w:val="14"/>
                <w:b w:val="1"/>
                <w:bCs w:val="1"/>
                <w:color w:val="auto"/>
              </w:rPr>
              <w:t>Investments</w:t>
            </w:r>
          </w:p>
        </w:tc>
        <w:tc>
          <w:tcPr>
            <w:tcW w:w="0" w:type="dxa"/>
            <w:vAlign w:val="bottom"/>
          </w:tcPr>
          <w:p>
            <w:pPr>
              <w:spacing w:after="0"/>
              <w:rPr>
                <w:sz w:val="1"/>
                <w:szCs w:val="1"/>
                <w:color w:val="auto"/>
              </w:rPr>
            </w:pPr>
          </w:p>
        </w:tc>
      </w:tr>
      <w:tr>
        <w:trPr>
          <w:trHeight w:val="203"/>
        </w:trPr>
        <w:tc>
          <w:tcPr>
            <w:tcW w:w="6900" w:type="dxa"/>
            <w:vAlign w:val="bottom"/>
          </w:tcPr>
          <w:p>
            <w:pPr>
              <w:spacing w:after="0" w:line="202" w:lineRule="exact"/>
              <w:rPr>
                <w:sz w:val="20"/>
                <w:szCs w:val="20"/>
                <w:color w:val="auto"/>
              </w:rPr>
            </w:pPr>
            <w:r>
              <w:rPr>
                <w:rFonts w:ascii="Arial" w:cs="Arial" w:eastAsia="Arial" w:hAnsi="Arial"/>
                <w:sz w:val="18"/>
                <w:szCs w:val="18"/>
                <w:color w:val="auto"/>
              </w:rPr>
              <w:t>Corporate commercial paper, bonds, time deposits</w:t>
            </w:r>
          </w:p>
        </w:tc>
        <w:tc>
          <w:tcPr>
            <w:tcW w:w="500" w:type="dxa"/>
            <w:vAlign w:val="bottom"/>
            <w:gridSpan w:val="2"/>
          </w:tcPr>
          <w:p>
            <w:pPr>
              <w:ind w:left="300"/>
              <w:spacing w:after="0" w:line="202" w:lineRule="exact"/>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174"/>
              <w:spacing w:after="0" w:line="202" w:lineRule="exact"/>
              <w:rPr>
                <w:sz w:val="20"/>
                <w:szCs w:val="20"/>
                <w:color w:val="auto"/>
              </w:rPr>
            </w:pPr>
            <w:r>
              <w:rPr>
                <w:rFonts w:ascii="Arial" w:cs="Arial" w:eastAsia="Arial" w:hAnsi="Arial"/>
                <w:sz w:val="18"/>
                <w:szCs w:val="18"/>
                <w:b w:val="1"/>
                <w:bCs w:val="1"/>
                <w:color w:val="auto"/>
              </w:rPr>
              <w:t>100</w:t>
            </w:r>
          </w:p>
        </w:tc>
        <w:tc>
          <w:tcPr>
            <w:tcW w:w="320" w:type="dxa"/>
            <w:vAlign w:val="bottom"/>
          </w:tcPr>
          <w:p>
            <w:pPr>
              <w:ind w:left="140"/>
              <w:spacing w:after="0" w:line="202" w:lineRule="exact"/>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152"/>
              <w:spacing w:after="0" w:line="202" w:lineRule="exact"/>
              <w:rPr>
                <w:sz w:val="20"/>
                <w:szCs w:val="20"/>
                <w:color w:val="auto"/>
              </w:rPr>
            </w:pPr>
            <w:r>
              <w:rPr>
                <w:rFonts w:ascii="Arial" w:cs="Arial" w:eastAsia="Arial" w:hAnsi="Arial"/>
                <w:sz w:val="18"/>
                <w:szCs w:val="18"/>
                <w:b w:val="1"/>
                <w:bCs w:val="1"/>
                <w:color w:val="auto"/>
              </w:rPr>
              <w:t>25</w:t>
            </w:r>
          </w:p>
        </w:tc>
        <w:tc>
          <w:tcPr>
            <w:tcW w:w="380" w:type="dxa"/>
            <w:vAlign w:val="bottom"/>
          </w:tcPr>
          <w:p>
            <w:pPr>
              <w:ind w:left="16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41</w:t>
            </w:r>
          </w:p>
        </w:tc>
        <w:tc>
          <w:tcPr>
            <w:tcW w:w="380" w:type="dxa"/>
            <w:vAlign w:val="bottom"/>
          </w:tcPr>
          <w:p>
            <w:pPr>
              <w:ind w:left="140"/>
              <w:spacing w:after="0" w:line="202" w:lineRule="exact"/>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9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Asset-backed commercial paper</w:t>
            </w:r>
          </w:p>
        </w:tc>
        <w:tc>
          <w:tcPr>
            <w:tcW w:w="30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800" w:type="dxa"/>
            <w:vAlign w:val="bottom"/>
            <w:shd w:val="clear" w:color="auto" w:fill="E5E5E5"/>
          </w:tcPr>
          <w:p>
            <w:pPr>
              <w:jc w:val="right"/>
              <w:ind w:right="174"/>
              <w:spacing w:after="0" w:line="202" w:lineRule="exact"/>
              <w:rPr>
                <w:sz w:val="20"/>
                <w:szCs w:val="20"/>
                <w:color w:val="auto"/>
              </w:rPr>
            </w:pPr>
            <w:r>
              <w:rPr>
                <w:rFonts w:ascii="Arial" w:cs="Arial" w:eastAsia="Arial" w:hAnsi="Arial"/>
                <w:sz w:val="18"/>
                <w:szCs w:val="18"/>
                <w:b w:val="1"/>
                <w:bCs w:val="1"/>
                <w:color w:val="auto"/>
              </w:rPr>
              <w:t>457</w:t>
            </w:r>
          </w:p>
        </w:tc>
        <w:tc>
          <w:tcPr>
            <w:tcW w:w="320" w:type="dxa"/>
            <w:vAlign w:val="bottom"/>
            <w:shd w:val="clear" w:color="auto" w:fill="E5E5E5"/>
          </w:tcPr>
          <w:p>
            <w:pPr>
              <w:spacing w:after="0"/>
              <w:rPr>
                <w:sz w:val="17"/>
                <w:szCs w:val="17"/>
                <w:color w:val="auto"/>
              </w:rPr>
            </w:pPr>
          </w:p>
        </w:tc>
        <w:tc>
          <w:tcPr>
            <w:tcW w:w="760" w:type="dxa"/>
            <w:vAlign w:val="bottom"/>
            <w:shd w:val="clear" w:color="auto" w:fill="E5E5E5"/>
          </w:tcPr>
          <w:p>
            <w:pPr>
              <w:jc w:val="right"/>
              <w:ind w:right="152"/>
              <w:spacing w:after="0" w:line="202" w:lineRule="exact"/>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E5E5E5"/>
          </w:tcPr>
          <w:p>
            <w:pPr>
              <w:spacing w:after="0"/>
              <w:rPr>
                <w:sz w:val="17"/>
                <w:szCs w:val="17"/>
                <w:color w:val="auto"/>
              </w:rPr>
            </w:pPr>
          </w:p>
        </w:tc>
        <w:tc>
          <w:tcPr>
            <w:tcW w:w="760" w:type="dxa"/>
            <w:vAlign w:val="bottom"/>
            <w:shd w:val="clear" w:color="auto" w:fill="E5E5E5"/>
          </w:tcPr>
          <w:p>
            <w:pPr>
              <w:jc w:val="right"/>
              <w:ind w:right="54"/>
              <w:spacing w:after="0" w:line="202" w:lineRule="exact"/>
              <w:rPr>
                <w:sz w:val="20"/>
                <w:szCs w:val="20"/>
                <w:color w:val="auto"/>
              </w:rPr>
            </w:pPr>
            <w:r>
              <w:rPr>
                <w:rFonts w:ascii="Arial" w:cs="Arial" w:eastAsia="Arial" w:hAnsi="Arial"/>
                <w:sz w:val="18"/>
                <w:szCs w:val="18"/>
                <w:color w:val="auto"/>
              </w:rPr>
              <w:t>543</w:t>
            </w:r>
          </w:p>
        </w:tc>
        <w:tc>
          <w:tcPr>
            <w:tcW w:w="380" w:type="dxa"/>
            <w:vAlign w:val="bottom"/>
            <w:shd w:val="clear" w:color="auto" w:fill="E5E5E5"/>
          </w:tcPr>
          <w:p>
            <w:pPr>
              <w:spacing w:after="0"/>
              <w:rPr>
                <w:sz w:val="17"/>
                <w:szCs w:val="17"/>
                <w:color w:val="auto"/>
              </w:rPr>
            </w:pPr>
          </w:p>
        </w:tc>
        <w:tc>
          <w:tcPr>
            <w:tcW w:w="62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3"/>
        </w:trPr>
        <w:tc>
          <w:tcPr>
            <w:tcW w:w="6900" w:type="dxa"/>
            <w:vAlign w:val="bottom"/>
          </w:tcPr>
          <w:p>
            <w:pPr>
              <w:spacing w:after="0" w:line="202" w:lineRule="exact"/>
              <w:rPr>
                <w:sz w:val="20"/>
                <w:szCs w:val="20"/>
                <w:color w:val="auto"/>
              </w:rPr>
            </w:pPr>
            <w:r>
              <w:rPr>
                <w:rFonts w:ascii="Arial" w:cs="Arial" w:eastAsia="Arial" w:hAnsi="Arial"/>
                <w:sz w:val="18"/>
                <w:szCs w:val="18"/>
                <w:color w:val="auto"/>
              </w:rPr>
              <w:t>U.S. government agency securities</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174"/>
              <w:spacing w:after="0" w:line="202" w:lineRule="exact"/>
              <w:rPr>
                <w:sz w:val="20"/>
                <w:szCs w:val="20"/>
                <w:color w:val="auto"/>
              </w:rPr>
            </w:pPr>
            <w:r>
              <w:rPr>
                <w:rFonts w:ascii="Arial" w:cs="Arial" w:eastAsia="Arial" w:hAnsi="Arial"/>
                <w:sz w:val="18"/>
                <w:szCs w:val="18"/>
                <w:b w:val="1"/>
                <w:bCs w:val="1"/>
                <w:color w:val="auto"/>
              </w:rPr>
              <w:t>390</w:t>
            </w:r>
          </w:p>
        </w:tc>
        <w:tc>
          <w:tcPr>
            <w:tcW w:w="320" w:type="dxa"/>
            <w:vAlign w:val="bottom"/>
          </w:tcPr>
          <w:p>
            <w:pPr>
              <w:spacing w:after="0"/>
              <w:rPr>
                <w:sz w:val="17"/>
                <w:szCs w:val="17"/>
                <w:color w:val="auto"/>
              </w:rPr>
            </w:pPr>
          </w:p>
        </w:tc>
        <w:tc>
          <w:tcPr>
            <w:tcW w:w="760" w:type="dxa"/>
            <w:vAlign w:val="bottom"/>
          </w:tcPr>
          <w:p>
            <w:pPr>
              <w:jc w:val="right"/>
              <w:ind w:right="152"/>
              <w:spacing w:after="0" w:line="202" w:lineRule="exact"/>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7"/>
                <w:szCs w:val="17"/>
                <w:color w:val="auto"/>
              </w:rPr>
            </w:pPr>
          </w:p>
        </w:tc>
        <w:tc>
          <w:tcPr>
            <w:tcW w:w="7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3"/>
        </w:trPr>
        <w:tc>
          <w:tcPr>
            <w:tcW w:w="69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Money market funds</w:t>
            </w:r>
          </w:p>
        </w:tc>
        <w:tc>
          <w:tcPr>
            <w:tcW w:w="30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800" w:type="dxa"/>
            <w:vAlign w:val="bottom"/>
            <w:shd w:val="clear" w:color="auto" w:fill="E5E5E5"/>
          </w:tcPr>
          <w:p>
            <w:pPr>
              <w:jc w:val="right"/>
              <w:ind w:right="174"/>
              <w:spacing w:after="0" w:line="202" w:lineRule="exact"/>
              <w:rPr>
                <w:sz w:val="20"/>
                <w:szCs w:val="20"/>
                <w:color w:val="auto"/>
              </w:rPr>
            </w:pPr>
            <w:r>
              <w:rPr>
                <w:rFonts w:ascii="Arial" w:cs="Arial" w:eastAsia="Arial" w:hAnsi="Arial"/>
                <w:sz w:val="18"/>
                <w:szCs w:val="18"/>
                <w:b w:val="1"/>
                <w:bCs w:val="1"/>
                <w:color w:val="auto"/>
              </w:rPr>
              <w:t>157</w:t>
            </w:r>
          </w:p>
        </w:tc>
        <w:tc>
          <w:tcPr>
            <w:tcW w:w="320" w:type="dxa"/>
            <w:vAlign w:val="bottom"/>
            <w:shd w:val="clear" w:color="auto" w:fill="E5E5E5"/>
          </w:tcPr>
          <w:p>
            <w:pPr>
              <w:spacing w:after="0"/>
              <w:rPr>
                <w:sz w:val="17"/>
                <w:szCs w:val="17"/>
                <w:color w:val="auto"/>
              </w:rPr>
            </w:pPr>
          </w:p>
        </w:tc>
        <w:tc>
          <w:tcPr>
            <w:tcW w:w="760" w:type="dxa"/>
            <w:vAlign w:val="bottom"/>
            <w:shd w:val="clear" w:color="auto" w:fill="E5E5E5"/>
          </w:tcPr>
          <w:p>
            <w:pPr>
              <w:jc w:val="right"/>
              <w:ind w:right="152"/>
              <w:spacing w:after="0" w:line="202" w:lineRule="exact"/>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E5E5E5"/>
          </w:tcPr>
          <w:p>
            <w:pPr>
              <w:spacing w:after="0"/>
              <w:rPr>
                <w:sz w:val="17"/>
                <w:szCs w:val="17"/>
                <w:color w:val="auto"/>
              </w:rPr>
            </w:pPr>
          </w:p>
        </w:tc>
        <w:tc>
          <w:tcPr>
            <w:tcW w:w="760" w:type="dxa"/>
            <w:vAlign w:val="bottom"/>
            <w:shd w:val="clear" w:color="auto" w:fill="E5E5E5"/>
          </w:tcPr>
          <w:p>
            <w:pPr>
              <w:jc w:val="right"/>
              <w:ind w:right="54"/>
              <w:spacing w:after="0" w:line="202" w:lineRule="exact"/>
              <w:rPr>
                <w:sz w:val="20"/>
                <w:szCs w:val="20"/>
                <w:color w:val="auto"/>
              </w:rPr>
            </w:pPr>
            <w:r>
              <w:rPr>
                <w:rFonts w:ascii="Arial" w:cs="Arial" w:eastAsia="Arial" w:hAnsi="Arial"/>
                <w:sz w:val="18"/>
                <w:szCs w:val="18"/>
                <w:color w:val="auto"/>
              </w:rPr>
              <w:t>390</w:t>
            </w:r>
          </w:p>
        </w:tc>
        <w:tc>
          <w:tcPr>
            <w:tcW w:w="380" w:type="dxa"/>
            <w:vAlign w:val="bottom"/>
            <w:shd w:val="clear" w:color="auto" w:fill="E5E5E5"/>
          </w:tcPr>
          <w:p>
            <w:pPr>
              <w:spacing w:after="0"/>
              <w:rPr>
                <w:sz w:val="17"/>
                <w:szCs w:val="17"/>
                <w:color w:val="auto"/>
              </w:rPr>
            </w:pPr>
          </w:p>
        </w:tc>
        <w:tc>
          <w:tcPr>
            <w:tcW w:w="62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900" w:type="dxa"/>
            <w:vAlign w:val="bottom"/>
          </w:tcPr>
          <w:p>
            <w:pPr>
              <w:spacing w:after="0" w:line="202" w:lineRule="exact"/>
              <w:rPr>
                <w:sz w:val="20"/>
                <w:szCs w:val="20"/>
                <w:color w:val="auto"/>
              </w:rPr>
            </w:pPr>
            <w:r>
              <w:rPr>
                <w:rFonts w:ascii="Arial" w:cs="Arial" w:eastAsia="Arial" w:hAnsi="Arial"/>
                <w:sz w:val="18"/>
                <w:szCs w:val="18"/>
                <w:color w:val="auto"/>
              </w:rPr>
              <w:t>Tax-exempt/municipal securities:</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Auction-rate securities</w:t>
            </w:r>
          </w:p>
        </w:tc>
        <w:tc>
          <w:tcPr>
            <w:tcW w:w="30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800" w:type="dxa"/>
            <w:vAlign w:val="bottom"/>
            <w:shd w:val="clear" w:color="auto" w:fill="E5E5E5"/>
          </w:tcPr>
          <w:p>
            <w:pPr>
              <w:jc w:val="right"/>
              <w:ind w:right="174"/>
              <w:spacing w:after="0" w:line="202" w:lineRule="exact"/>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E5E5E5"/>
          </w:tcPr>
          <w:p>
            <w:pPr>
              <w:spacing w:after="0"/>
              <w:rPr>
                <w:sz w:val="17"/>
                <w:szCs w:val="17"/>
                <w:color w:val="auto"/>
              </w:rPr>
            </w:pPr>
          </w:p>
        </w:tc>
        <w:tc>
          <w:tcPr>
            <w:tcW w:w="760" w:type="dxa"/>
            <w:vAlign w:val="bottom"/>
            <w:shd w:val="clear" w:color="auto" w:fill="E5E5E5"/>
          </w:tcPr>
          <w:p>
            <w:pPr>
              <w:jc w:val="right"/>
              <w:ind w:right="152"/>
              <w:spacing w:after="0" w:line="202" w:lineRule="exact"/>
              <w:rPr>
                <w:sz w:val="20"/>
                <w:szCs w:val="20"/>
                <w:color w:val="auto"/>
              </w:rPr>
            </w:pPr>
            <w:r>
              <w:rPr>
                <w:rFonts w:ascii="Arial" w:cs="Arial" w:eastAsia="Arial" w:hAnsi="Arial"/>
                <w:sz w:val="18"/>
                <w:szCs w:val="18"/>
                <w:b w:val="1"/>
                <w:bCs w:val="1"/>
                <w:color w:val="auto"/>
              </w:rPr>
              <w:t>1,044</w:t>
            </w:r>
          </w:p>
        </w:tc>
        <w:tc>
          <w:tcPr>
            <w:tcW w:w="380" w:type="dxa"/>
            <w:vAlign w:val="bottom"/>
            <w:shd w:val="clear" w:color="auto" w:fill="E5E5E5"/>
          </w:tcPr>
          <w:p>
            <w:pPr>
              <w:spacing w:after="0"/>
              <w:rPr>
                <w:sz w:val="17"/>
                <w:szCs w:val="17"/>
                <w:color w:val="auto"/>
              </w:rPr>
            </w:pPr>
          </w:p>
        </w:tc>
        <w:tc>
          <w:tcPr>
            <w:tcW w:w="760" w:type="dxa"/>
            <w:vAlign w:val="bottom"/>
            <w:shd w:val="clear" w:color="auto" w:fill="E5E5E5"/>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7"/>
                <w:szCs w:val="17"/>
                <w:color w:val="auto"/>
              </w:rPr>
            </w:pPr>
          </w:p>
        </w:tc>
        <w:tc>
          <w:tcPr>
            <w:tcW w:w="5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1,680</w:t>
            </w:r>
          </w:p>
        </w:tc>
        <w:tc>
          <w:tcPr>
            <w:tcW w:w="6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tcPr>
          <w:p>
            <w:pPr>
              <w:ind w:left="220"/>
              <w:spacing w:after="0" w:line="202" w:lineRule="exact"/>
              <w:rPr>
                <w:sz w:val="20"/>
                <w:szCs w:val="20"/>
                <w:color w:val="auto"/>
              </w:rPr>
            </w:pPr>
            <w:r>
              <w:rPr>
                <w:rFonts w:ascii="Arial" w:cs="Arial" w:eastAsia="Arial" w:hAnsi="Arial"/>
                <w:sz w:val="18"/>
                <w:szCs w:val="18"/>
                <w:color w:val="auto"/>
              </w:rPr>
              <w:t>Variable-rate demand notes</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174"/>
              <w:spacing w:after="0" w:line="202" w:lineRule="exact"/>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7"/>
                <w:szCs w:val="17"/>
                <w:color w:val="auto"/>
              </w:rPr>
            </w:pPr>
          </w:p>
        </w:tc>
        <w:tc>
          <w:tcPr>
            <w:tcW w:w="760" w:type="dxa"/>
            <w:vAlign w:val="bottom"/>
          </w:tcPr>
          <w:p>
            <w:pPr>
              <w:jc w:val="right"/>
              <w:ind w:right="152"/>
              <w:spacing w:after="0" w:line="202" w:lineRule="exact"/>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7"/>
                <w:szCs w:val="17"/>
                <w:color w:val="auto"/>
              </w:rPr>
            </w:pPr>
          </w:p>
        </w:tc>
        <w:tc>
          <w:tcPr>
            <w:tcW w:w="7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3"/>
        </w:trPr>
        <w:tc>
          <w:tcPr>
            <w:tcW w:w="690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Tax-exempt bonds</w:t>
            </w:r>
          </w:p>
        </w:tc>
        <w:tc>
          <w:tcPr>
            <w:tcW w:w="30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800" w:type="dxa"/>
            <w:vAlign w:val="bottom"/>
            <w:shd w:val="clear" w:color="auto" w:fill="E5E5E5"/>
          </w:tcPr>
          <w:p>
            <w:pPr>
              <w:jc w:val="right"/>
              <w:ind w:right="174"/>
              <w:spacing w:after="0" w:line="202" w:lineRule="exact"/>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E5E5E5"/>
          </w:tcPr>
          <w:p>
            <w:pPr>
              <w:spacing w:after="0"/>
              <w:rPr>
                <w:sz w:val="17"/>
                <w:szCs w:val="17"/>
                <w:color w:val="auto"/>
              </w:rPr>
            </w:pPr>
          </w:p>
        </w:tc>
        <w:tc>
          <w:tcPr>
            <w:tcW w:w="760" w:type="dxa"/>
            <w:vAlign w:val="bottom"/>
            <w:shd w:val="clear" w:color="auto" w:fill="E5E5E5"/>
          </w:tcPr>
          <w:p>
            <w:pPr>
              <w:jc w:val="right"/>
              <w:ind w:right="152"/>
              <w:spacing w:after="0" w:line="202" w:lineRule="exact"/>
              <w:rPr>
                <w:sz w:val="20"/>
                <w:szCs w:val="20"/>
                <w:color w:val="auto"/>
              </w:rPr>
            </w:pPr>
            <w:r>
              <w:rPr>
                <w:rFonts w:ascii="Arial" w:cs="Arial" w:eastAsia="Arial" w:hAnsi="Arial"/>
                <w:sz w:val="18"/>
                <w:szCs w:val="18"/>
                <w:b w:val="1"/>
                <w:bCs w:val="1"/>
                <w:color w:val="auto"/>
              </w:rPr>
              <w:t>35</w:t>
            </w:r>
          </w:p>
        </w:tc>
        <w:tc>
          <w:tcPr>
            <w:tcW w:w="380" w:type="dxa"/>
            <w:vAlign w:val="bottom"/>
            <w:shd w:val="clear" w:color="auto" w:fill="E5E5E5"/>
          </w:tcPr>
          <w:p>
            <w:pPr>
              <w:spacing w:after="0"/>
              <w:rPr>
                <w:sz w:val="17"/>
                <w:szCs w:val="17"/>
                <w:color w:val="auto"/>
              </w:rPr>
            </w:pPr>
          </w:p>
        </w:tc>
        <w:tc>
          <w:tcPr>
            <w:tcW w:w="760" w:type="dxa"/>
            <w:vAlign w:val="bottom"/>
            <w:shd w:val="clear" w:color="auto" w:fill="E5E5E5"/>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7"/>
                <w:szCs w:val="17"/>
                <w:color w:val="auto"/>
              </w:rPr>
            </w:pPr>
          </w:p>
        </w:tc>
        <w:tc>
          <w:tcPr>
            <w:tcW w:w="62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6"/>
        </w:trPr>
        <w:tc>
          <w:tcPr>
            <w:tcW w:w="6900" w:type="dxa"/>
            <w:vAlign w:val="bottom"/>
          </w:tcPr>
          <w:p>
            <w:pPr>
              <w:spacing w:after="0" w:line="206" w:lineRule="exact"/>
              <w:rPr>
                <w:sz w:val="20"/>
                <w:szCs w:val="20"/>
                <w:color w:val="auto"/>
              </w:rPr>
            </w:pPr>
            <w:r>
              <w:rPr>
                <w:rFonts w:ascii="Arial" w:cs="Arial" w:eastAsia="Arial" w:hAnsi="Arial"/>
                <w:sz w:val="18"/>
                <w:szCs w:val="18"/>
                <w:color w:val="auto"/>
              </w:rPr>
              <w:t>Mortgage-backed securities - Government Sponsored</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vMerge w:val="restart"/>
          </w:tcPr>
          <w:p>
            <w:pPr>
              <w:jc w:val="right"/>
              <w:ind w:right="174"/>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7"/>
                <w:szCs w:val="17"/>
                <w:color w:val="auto"/>
              </w:rPr>
            </w:pPr>
          </w:p>
        </w:tc>
        <w:tc>
          <w:tcPr>
            <w:tcW w:w="760" w:type="dxa"/>
            <w:vAlign w:val="bottom"/>
            <w:vMerge w:val="restart"/>
          </w:tcPr>
          <w:p>
            <w:pPr>
              <w:jc w:val="right"/>
              <w:ind w:right="152"/>
              <w:spacing w:after="0"/>
              <w:rPr>
                <w:sz w:val="20"/>
                <w:szCs w:val="20"/>
                <w:color w:val="auto"/>
              </w:rPr>
            </w:pPr>
            <w:r>
              <w:rPr>
                <w:rFonts w:ascii="Arial" w:cs="Arial" w:eastAsia="Arial" w:hAnsi="Arial"/>
                <w:sz w:val="18"/>
                <w:szCs w:val="18"/>
                <w:b w:val="1"/>
                <w:bCs w:val="1"/>
                <w:color w:val="auto"/>
              </w:rPr>
              <w:t>233</w:t>
            </w: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900" w:type="dxa"/>
            <w:vAlign w:val="bottom"/>
          </w:tcPr>
          <w:p>
            <w:pPr>
              <w:ind w:left="220"/>
              <w:spacing w:after="0" w:line="200" w:lineRule="exact"/>
              <w:rPr>
                <w:sz w:val="20"/>
                <w:szCs w:val="20"/>
                <w:color w:val="auto"/>
              </w:rPr>
            </w:pPr>
            <w:r>
              <w:rPr>
                <w:rFonts w:ascii="Arial" w:cs="Arial" w:eastAsia="Arial" w:hAnsi="Arial"/>
                <w:sz w:val="18"/>
                <w:szCs w:val="18"/>
                <w:color w:val="auto"/>
              </w:rPr>
              <w:t>Enterprise (GSE) guaranteed</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jc w:val="right"/>
              <w:ind w:right="54"/>
              <w:spacing w:after="0" w:line="200"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560" w:type="dxa"/>
            <w:vAlign w:val="bottom"/>
          </w:tcPr>
          <w:p>
            <w:pPr>
              <w:jc w:val="right"/>
              <w:spacing w:after="0" w:line="200" w:lineRule="exact"/>
              <w:rPr>
                <w:sz w:val="20"/>
                <w:szCs w:val="20"/>
                <w:color w:val="auto"/>
              </w:rPr>
            </w:pPr>
            <w:r>
              <w:rPr>
                <w:rFonts w:ascii="Arial" w:cs="Arial" w:eastAsia="Arial" w:hAnsi="Arial"/>
                <w:sz w:val="18"/>
                <w:szCs w:val="18"/>
                <w:color w:val="auto"/>
              </w:rPr>
              <w:t>295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Mortgage-backed securities - senior bonds</w:t>
            </w:r>
          </w:p>
        </w:tc>
        <w:tc>
          <w:tcPr>
            <w:tcW w:w="30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800" w:type="dxa"/>
            <w:vAlign w:val="bottom"/>
            <w:shd w:val="clear" w:color="auto" w:fill="E5E5E5"/>
          </w:tcPr>
          <w:p>
            <w:pPr>
              <w:jc w:val="right"/>
              <w:ind w:right="174"/>
              <w:spacing w:after="0" w:line="202" w:lineRule="exact"/>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E5E5E5"/>
          </w:tcPr>
          <w:p>
            <w:pPr>
              <w:spacing w:after="0"/>
              <w:rPr>
                <w:sz w:val="17"/>
                <w:szCs w:val="17"/>
                <w:color w:val="auto"/>
              </w:rPr>
            </w:pPr>
          </w:p>
        </w:tc>
        <w:tc>
          <w:tcPr>
            <w:tcW w:w="760" w:type="dxa"/>
            <w:vAlign w:val="bottom"/>
            <w:shd w:val="clear" w:color="auto" w:fill="E5E5E5"/>
          </w:tcPr>
          <w:p>
            <w:pPr>
              <w:jc w:val="right"/>
              <w:ind w:right="152"/>
              <w:spacing w:after="0" w:line="202" w:lineRule="exact"/>
              <w:rPr>
                <w:sz w:val="20"/>
                <w:szCs w:val="20"/>
                <w:color w:val="auto"/>
              </w:rPr>
            </w:pPr>
            <w:r>
              <w:rPr>
                <w:rFonts w:ascii="Arial" w:cs="Arial" w:eastAsia="Arial" w:hAnsi="Arial"/>
                <w:sz w:val="18"/>
                <w:szCs w:val="18"/>
                <w:b w:val="1"/>
                <w:bCs w:val="1"/>
                <w:color w:val="auto"/>
              </w:rPr>
              <w:t>241</w:t>
            </w:r>
          </w:p>
        </w:tc>
        <w:tc>
          <w:tcPr>
            <w:tcW w:w="380" w:type="dxa"/>
            <w:vAlign w:val="bottom"/>
            <w:shd w:val="clear" w:color="auto" w:fill="E5E5E5"/>
          </w:tcPr>
          <w:p>
            <w:pPr>
              <w:spacing w:after="0"/>
              <w:rPr>
                <w:sz w:val="17"/>
                <w:szCs w:val="17"/>
                <w:color w:val="auto"/>
              </w:rPr>
            </w:pPr>
          </w:p>
        </w:tc>
        <w:tc>
          <w:tcPr>
            <w:tcW w:w="760" w:type="dxa"/>
            <w:vAlign w:val="bottom"/>
            <w:shd w:val="clear" w:color="auto" w:fill="E5E5E5"/>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7"/>
                <w:szCs w:val="17"/>
                <w:color w:val="auto"/>
              </w:rPr>
            </w:pPr>
          </w:p>
        </w:tc>
        <w:tc>
          <w:tcPr>
            <w:tcW w:w="5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371</w:t>
            </w:r>
          </w:p>
        </w:tc>
        <w:tc>
          <w:tcPr>
            <w:tcW w:w="6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174"/>
              <w:spacing w:after="0" w:line="202" w:lineRule="exact"/>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7"/>
                <w:szCs w:val="17"/>
                <w:color w:val="auto"/>
              </w:rPr>
            </w:pPr>
          </w:p>
        </w:tc>
        <w:tc>
          <w:tcPr>
            <w:tcW w:w="760" w:type="dxa"/>
            <w:vAlign w:val="bottom"/>
          </w:tcPr>
          <w:p>
            <w:pPr>
              <w:jc w:val="right"/>
              <w:ind w:right="152"/>
              <w:spacing w:after="0" w:line="202" w:lineRule="exact"/>
              <w:rPr>
                <w:sz w:val="20"/>
                <w:szCs w:val="20"/>
                <w:color w:val="auto"/>
              </w:rPr>
            </w:pPr>
            <w:r>
              <w:rPr>
                <w:rFonts w:ascii="Arial" w:cs="Arial" w:eastAsia="Arial" w:hAnsi="Arial"/>
                <w:sz w:val="18"/>
                <w:szCs w:val="18"/>
                <w:b w:val="1"/>
                <w:bCs w:val="1"/>
                <w:color w:val="auto"/>
              </w:rPr>
              <w:t>18</w:t>
            </w:r>
          </w:p>
        </w:tc>
        <w:tc>
          <w:tcPr>
            <w:tcW w:w="380" w:type="dxa"/>
            <w:vAlign w:val="bottom"/>
          </w:tcPr>
          <w:p>
            <w:pPr>
              <w:spacing w:after="0"/>
              <w:rPr>
                <w:sz w:val="17"/>
                <w:szCs w:val="17"/>
                <w:color w:val="auto"/>
              </w:rPr>
            </w:pPr>
          </w:p>
        </w:tc>
        <w:tc>
          <w:tcPr>
            <w:tcW w:w="7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5</w:t>
            </w:r>
          </w:p>
        </w:tc>
        <w:tc>
          <w:tcPr>
            <w:tcW w:w="380" w:type="dxa"/>
            <w:vAlign w:val="bottom"/>
          </w:tcPr>
          <w:p>
            <w:pPr>
              <w:spacing w:after="0"/>
              <w:rPr>
                <w:sz w:val="17"/>
                <w:szCs w:val="17"/>
                <w:color w:val="auto"/>
              </w:rPr>
            </w:pP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3"/>
        </w:trPr>
        <w:tc>
          <w:tcPr>
            <w:tcW w:w="69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Cash on hand</w:t>
            </w:r>
          </w:p>
        </w:tc>
        <w:tc>
          <w:tcPr>
            <w:tcW w:w="30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800" w:type="dxa"/>
            <w:vAlign w:val="bottom"/>
            <w:shd w:val="clear" w:color="auto" w:fill="E5E5E5"/>
          </w:tcPr>
          <w:p>
            <w:pPr>
              <w:jc w:val="right"/>
              <w:ind w:right="174"/>
              <w:spacing w:after="0" w:line="202" w:lineRule="exact"/>
              <w:rPr>
                <w:sz w:val="20"/>
                <w:szCs w:val="20"/>
                <w:color w:val="auto"/>
              </w:rPr>
            </w:pPr>
            <w:r>
              <w:rPr>
                <w:rFonts w:ascii="Arial" w:cs="Arial" w:eastAsia="Arial" w:hAnsi="Arial"/>
                <w:sz w:val="18"/>
                <w:szCs w:val="18"/>
                <w:b w:val="1"/>
                <w:bCs w:val="1"/>
                <w:color w:val="auto"/>
              </w:rPr>
              <w:t>224</w:t>
            </w:r>
          </w:p>
        </w:tc>
        <w:tc>
          <w:tcPr>
            <w:tcW w:w="320" w:type="dxa"/>
            <w:vAlign w:val="bottom"/>
            <w:shd w:val="clear" w:color="auto" w:fill="E5E5E5"/>
          </w:tcPr>
          <w:p>
            <w:pPr>
              <w:spacing w:after="0"/>
              <w:rPr>
                <w:sz w:val="17"/>
                <w:szCs w:val="17"/>
                <w:color w:val="auto"/>
              </w:rPr>
            </w:pPr>
          </w:p>
        </w:tc>
        <w:tc>
          <w:tcPr>
            <w:tcW w:w="760" w:type="dxa"/>
            <w:vAlign w:val="bottom"/>
            <w:shd w:val="clear" w:color="auto" w:fill="E5E5E5"/>
          </w:tcPr>
          <w:p>
            <w:pPr>
              <w:jc w:val="right"/>
              <w:ind w:right="152"/>
              <w:spacing w:after="0" w:line="202" w:lineRule="exact"/>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E5E5E5"/>
          </w:tcPr>
          <w:p>
            <w:pPr>
              <w:spacing w:after="0"/>
              <w:rPr>
                <w:sz w:val="17"/>
                <w:szCs w:val="17"/>
                <w:color w:val="auto"/>
              </w:rPr>
            </w:pPr>
          </w:p>
        </w:tc>
        <w:tc>
          <w:tcPr>
            <w:tcW w:w="760" w:type="dxa"/>
            <w:vAlign w:val="bottom"/>
            <w:shd w:val="clear" w:color="auto" w:fill="E5E5E5"/>
          </w:tcPr>
          <w:p>
            <w:pPr>
              <w:jc w:val="right"/>
              <w:ind w:right="54"/>
              <w:spacing w:after="0" w:line="202" w:lineRule="exact"/>
              <w:rPr>
                <w:sz w:val="20"/>
                <w:szCs w:val="20"/>
                <w:color w:val="auto"/>
              </w:rPr>
            </w:pPr>
            <w:r>
              <w:rPr>
                <w:rFonts w:ascii="Arial" w:cs="Arial" w:eastAsia="Arial" w:hAnsi="Arial"/>
                <w:sz w:val="18"/>
                <w:szCs w:val="18"/>
                <w:color w:val="auto"/>
              </w:rPr>
              <w:t>204</w:t>
            </w:r>
          </w:p>
        </w:tc>
        <w:tc>
          <w:tcPr>
            <w:tcW w:w="380" w:type="dxa"/>
            <w:vAlign w:val="bottom"/>
            <w:shd w:val="clear" w:color="auto" w:fill="E5E5E5"/>
          </w:tcPr>
          <w:p>
            <w:pPr>
              <w:spacing w:after="0"/>
              <w:rPr>
                <w:sz w:val="17"/>
                <w:szCs w:val="17"/>
                <w:color w:val="auto"/>
              </w:rPr>
            </w:pPr>
          </w:p>
        </w:tc>
        <w:tc>
          <w:tcPr>
            <w:tcW w:w="62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900" w:type="dxa"/>
            <w:vAlign w:val="bottom"/>
          </w:tcPr>
          <w:p>
            <w:pPr>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8"/>
                <w:szCs w:val="18"/>
                <w:b w:val="1"/>
                <w:bCs w:val="1"/>
                <w:color w:val="auto"/>
              </w:rPr>
              <w:t>1,328</w:t>
            </w:r>
          </w:p>
        </w:tc>
        <w:tc>
          <w:tcPr>
            <w:tcW w:w="3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1,596</w:t>
            </w:r>
          </w:p>
        </w:tc>
        <w:tc>
          <w:tcPr>
            <w:tcW w:w="38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1,183</w:t>
            </w:r>
          </w:p>
        </w:tc>
        <w:tc>
          <w:tcPr>
            <w:tcW w:w="38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primary objective of our cash equivalent and short-term investment activities is to preserve capital and maintain liquidity while generating appropriate returns. Our investment policy allows for only high-credit-quality securities. As of December 31, 2007, approximately 97 percent of our investments were rated AAA, Aaa, A-1 or P-1 by the major credit rating agencies, with most of the remaining 3 percent rated AA/Aa. The value and liquidity of these securities are affected by market interest rates generally, as well as the ability of the issuer to make principal and interest payments when due and the normal functioning of the markets in which these securities are traded. There were no material impairments of short-term investments or cash equivalents in the periods presented.</w:t>
      </w:r>
    </w:p>
    <w:p>
      <w:pPr>
        <w:spacing w:after="0" w:line="15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Our cash equivalents include investments in corporate and asset-backed commercial paper, U.S. government agency securities and money market funds. Asset-backed commercial paper is generally backed by pools of assets such as repurchase agreements, loans, receivables, and other assets, with the composition of assets subject to change over time. Our investments in asset-backed commercial paper at December 31, 2007, were in securities that are fully supported by financial institutions, and carried short-term credit ratings no lower than A-1/P-1 as of that date. Fully supported asset-backed commercial paper programs include contractual arrangements with highly-rated financial institutions that are designed to protect the investor from risks due to liquidity and the performance of the underlying assets.</w:t>
      </w:r>
    </w:p>
    <w:p>
      <w:pPr>
        <w:spacing w:after="0" w:line="156"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Our short-term investments include auction-rate securities, which are variable rate debt instruments, having long-term maturity dates (typically 15 to 40 years), but whose interest rates are reset through an auction process, most commonly at intervals of 7, 28 and 35 days. Substantially all of our auction-rate securities are backed by pools of student loans guaranteed by the U.S. Department of Education, and all were rated AAA/Aaa as of December 31, 2007. Our intent in these investments is not to hold these securities to maturity, but rather to use the periodic auction feature to provide liquidity (see Note 17).</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120" w:type="dxa"/>
            <w:vAlign w:val="bottom"/>
          </w:tcPr>
          <w:p>
            <w:pPr>
              <w:spacing w:after="0"/>
              <w:rPr>
                <w:sz w:val="20"/>
                <w:szCs w:val="20"/>
                <w:color w:val="auto"/>
              </w:rPr>
            </w:pPr>
            <w:r>
              <w:rPr>
                <w:rFonts w:ascii="Arial" w:cs="Arial" w:eastAsia="Arial" w:hAnsi="Arial"/>
                <w:sz w:val="14"/>
                <w:szCs w:val="14"/>
                <w:color w:val="auto"/>
              </w:rPr>
              <w:t>TEXAS INSTRUMENTS 2007 ANNUAL REPORT</w:t>
            </w:r>
          </w:p>
        </w:tc>
        <w:tc>
          <w:tcPr>
            <w:tcW w:w="4300" w:type="dxa"/>
            <w:vAlign w:val="bottom"/>
          </w:tcPr>
          <w:p>
            <w:pPr>
              <w:jc w:val="right"/>
              <w:spacing w:after="0"/>
              <w:rPr>
                <w:sz w:val="20"/>
                <w:szCs w:val="20"/>
                <w:color w:val="auto"/>
              </w:rPr>
            </w:pPr>
            <w:r>
              <w:rPr>
                <w:rFonts w:ascii="Arial" w:cs="Arial" w:eastAsia="Arial" w:hAnsi="Arial"/>
                <w:sz w:val="14"/>
                <w:szCs w:val="14"/>
                <w:color w:val="auto"/>
              </w:rPr>
              <w:t>19</w:t>
            </w:r>
          </w:p>
        </w:tc>
      </w:tr>
    </w:tbl>
    <w:p>
      <w:pPr>
        <w:sectPr>
          <w:pgSz w:w="11900" w:h="16838" w:orient="portrait"/>
          <w:cols w:equalWidth="0" w:num="1">
            <w:col w:w="11420"/>
          </w:cols>
          <w:pgMar w:left="240" w:top="269" w:right="239" w:bottom="1440" w:gutter="0" w:footer="0" w:header="0"/>
        </w:sectPr>
      </w:pPr>
    </w:p>
    <w:bookmarkStart w:id="39" w:name="page40"/>
    <w:bookmarkEnd w:id="39"/>
    <w:p>
      <w:pPr>
        <w:ind w:right="20"/>
        <w:spacing w:after="0" w:line="23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 of the mortgage-backed securities we held as of December 31, 2007, were AAA-rated as of that date. About one half of these securities are guaranteed by a government-sponsored entity such as the Federal National Mortgage Association, the Government National Mortgage Association or the Federal Home Loan Mortgage Corporation. The remaining mortgage-backed securities were issued from 2003 through 2005 and are of a senior/subordinated structure in which we own the most senior bonds.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aggregate maturities or average lives of cash equivalents and short-term investments at year-end 2007:</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shd w:val="clear" w:color="auto" w:fill="E5E5E5"/>
          </w:tcPr>
          <w:p>
            <w:pPr>
              <w:spacing w:after="0"/>
              <w:rPr>
                <w:sz w:val="20"/>
                <w:szCs w:val="20"/>
                <w:color w:val="auto"/>
              </w:rPr>
            </w:pPr>
            <w:r>
              <w:rPr>
                <w:rFonts w:ascii="Arial" w:cs="Arial" w:eastAsia="Arial" w:hAnsi="Arial"/>
                <w:sz w:val="14"/>
                <w:szCs w:val="14"/>
                <w:b w:val="1"/>
                <w:bCs w:val="1"/>
                <w:color w:val="auto"/>
              </w:rPr>
              <w:t>Due</w:t>
            </w:r>
          </w:p>
        </w:tc>
        <w:tc>
          <w:tcPr>
            <w:tcW w:w="5400" w:type="dxa"/>
            <w:vAlign w:val="bottom"/>
            <w:shd w:val="clear" w:color="auto" w:fill="E5E5E5"/>
          </w:tcPr>
          <w:p>
            <w:pPr>
              <w:jc w:val="right"/>
              <w:spacing w:after="0"/>
              <w:rPr>
                <w:sz w:val="20"/>
                <w:szCs w:val="20"/>
                <w:color w:val="auto"/>
              </w:rPr>
            </w:pPr>
            <w:r>
              <w:rPr>
                <w:rFonts w:ascii="Arial" w:cs="Arial" w:eastAsia="Arial" w:hAnsi="Arial"/>
                <w:sz w:val="14"/>
                <w:szCs w:val="14"/>
                <w:b w:val="1"/>
                <w:bCs w:val="1"/>
                <w:color w:val="auto"/>
              </w:rPr>
              <w:t>Market Value</w:t>
            </w:r>
          </w:p>
        </w:tc>
      </w:tr>
      <w:tr>
        <w:trPr>
          <w:trHeight w:val="311"/>
        </w:trPr>
        <w:tc>
          <w:tcPr>
            <w:tcW w:w="6020" w:type="dxa"/>
            <w:vAlign w:val="bottom"/>
          </w:tcPr>
          <w:p>
            <w:pPr>
              <w:spacing w:after="0"/>
              <w:rPr>
                <w:sz w:val="20"/>
                <w:szCs w:val="20"/>
                <w:color w:val="auto"/>
              </w:rPr>
            </w:pPr>
            <w:r>
              <w:rPr>
                <w:rFonts w:ascii="Arial" w:cs="Arial" w:eastAsia="Arial" w:hAnsi="Arial"/>
                <w:sz w:val="18"/>
                <w:szCs w:val="18"/>
                <w:color w:val="auto"/>
              </w:rPr>
              <w:t>One year or less</w:t>
            </w:r>
          </w:p>
        </w:tc>
        <w:tc>
          <w:tcPr>
            <w:tcW w:w="5400" w:type="dxa"/>
            <w:vAlign w:val="bottom"/>
          </w:tcPr>
          <w:p>
            <w:pPr>
              <w:jc w:val="right"/>
              <w:ind w:right="16"/>
              <w:spacing w:after="0"/>
              <w:rPr>
                <w:sz w:val="20"/>
                <w:szCs w:val="20"/>
                <w:color w:val="auto"/>
              </w:rPr>
            </w:pPr>
            <w:r>
              <w:rPr>
                <w:rFonts w:ascii="Arial" w:cs="Arial" w:eastAsia="Arial" w:hAnsi="Arial"/>
                <w:sz w:val="18"/>
                <w:szCs w:val="18"/>
                <w:color w:val="auto"/>
              </w:rPr>
              <w:t>$ 1,200</w:t>
            </w:r>
          </w:p>
        </w:tc>
      </w:tr>
      <w:tr>
        <w:trPr>
          <w:trHeight w:val="203"/>
        </w:trPr>
        <w:tc>
          <w:tcPr>
            <w:tcW w:w="60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One to three years</w:t>
            </w:r>
          </w:p>
        </w:tc>
        <w:tc>
          <w:tcPr>
            <w:tcW w:w="5400" w:type="dxa"/>
            <w:vAlign w:val="bottom"/>
            <w:shd w:val="clear" w:color="auto" w:fill="E5E5E5"/>
          </w:tcPr>
          <w:p>
            <w:pPr>
              <w:jc w:val="right"/>
              <w:ind w:right="16"/>
              <w:spacing w:after="0" w:line="202" w:lineRule="exact"/>
              <w:rPr>
                <w:sz w:val="20"/>
                <w:szCs w:val="20"/>
                <w:color w:val="auto"/>
              </w:rPr>
            </w:pPr>
            <w:r>
              <w:rPr>
                <w:rFonts w:ascii="Arial" w:cs="Arial" w:eastAsia="Arial" w:hAnsi="Arial"/>
                <w:sz w:val="18"/>
                <w:szCs w:val="18"/>
                <w:color w:val="auto"/>
              </w:rPr>
              <w:t>271</w:t>
            </w:r>
          </w:p>
        </w:tc>
      </w:tr>
      <w:tr>
        <w:trPr>
          <w:trHeight w:val="203"/>
        </w:trPr>
        <w:tc>
          <w:tcPr>
            <w:tcW w:w="6020" w:type="dxa"/>
            <w:vAlign w:val="bottom"/>
          </w:tcPr>
          <w:p>
            <w:pPr>
              <w:spacing w:after="0" w:line="202" w:lineRule="exact"/>
              <w:rPr>
                <w:sz w:val="20"/>
                <w:szCs w:val="20"/>
                <w:color w:val="auto"/>
              </w:rPr>
            </w:pPr>
            <w:r>
              <w:rPr>
                <w:rFonts w:ascii="Arial" w:cs="Arial" w:eastAsia="Arial" w:hAnsi="Arial"/>
                <w:sz w:val="18"/>
                <w:szCs w:val="18"/>
                <w:color w:val="auto"/>
              </w:rPr>
              <w:t>Three to ten years</w:t>
            </w:r>
          </w:p>
        </w:tc>
        <w:tc>
          <w:tcPr>
            <w:tcW w:w="5400" w:type="dxa"/>
            <w:vAlign w:val="bottom"/>
          </w:tcPr>
          <w:p>
            <w:pPr>
              <w:jc w:val="right"/>
              <w:ind w:right="16"/>
              <w:spacing w:after="0" w:line="202" w:lineRule="exact"/>
              <w:rPr>
                <w:sz w:val="20"/>
                <w:szCs w:val="20"/>
                <w:color w:val="auto"/>
              </w:rPr>
            </w:pPr>
            <w:r>
              <w:rPr>
                <w:rFonts w:ascii="Arial" w:cs="Arial" w:eastAsia="Arial" w:hAnsi="Arial"/>
                <w:sz w:val="18"/>
                <w:szCs w:val="18"/>
                <w:color w:val="auto"/>
              </w:rPr>
              <w:t>197</w:t>
            </w:r>
          </w:p>
        </w:tc>
      </w:tr>
      <w:tr>
        <w:trPr>
          <w:trHeight w:val="203"/>
        </w:trPr>
        <w:tc>
          <w:tcPr>
            <w:tcW w:w="60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Thereafter (a)</w:t>
            </w:r>
          </w:p>
        </w:tc>
        <w:tc>
          <w:tcPr>
            <w:tcW w:w="5400" w:type="dxa"/>
            <w:vAlign w:val="bottom"/>
            <w:shd w:val="clear" w:color="auto" w:fill="E5E5E5"/>
          </w:tcPr>
          <w:p>
            <w:pPr>
              <w:jc w:val="right"/>
              <w:ind w:right="16"/>
              <w:spacing w:after="0" w:line="202" w:lineRule="exact"/>
              <w:rPr>
                <w:sz w:val="20"/>
                <w:szCs w:val="20"/>
                <w:color w:val="auto"/>
              </w:rPr>
            </w:pPr>
            <w:r>
              <w:rPr>
                <w:rFonts w:ascii="Arial" w:cs="Arial" w:eastAsia="Arial" w:hAnsi="Arial"/>
                <w:sz w:val="18"/>
                <w:szCs w:val="18"/>
                <w:color w:val="auto"/>
              </w:rPr>
              <w:t>1,032</w:t>
            </w:r>
          </w:p>
        </w:tc>
      </w:tr>
    </w:tbl>
    <w:p>
      <w:pPr>
        <w:spacing w:after="0" w:line="80"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Maturities over 10 years are primarily auction-rate securities.</w:t>
      </w:r>
    </w:p>
    <w:p>
      <w:pPr>
        <w:spacing w:after="0" w:line="153" w:lineRule="exact"/>
        <w:rPr>
          <w:sz w:val="20"/>
          <w:szCs w:val="20"/>
          <w:color w:val="auto"/>
        </w:rPr>
      </w:pPr>
    </w:p>
    <w:p>
      <w:pPr>
        <w:ind w:right="220"/>
        <w:spacing w:after="0" w:line="236" w:lineRule="auto"/>
        <w:rPr>
          <w:sz w:val="20"/>
          <w:szCs w:val="20"/>
          <w:color w:val="auto"/>
        </w:rPr>
      </w:pPr>
      <w:r>
        <w:rPr>
          <w:rFonts w:ascii="Arial" w:cs="Arial" w:eastAsia="Arial" w:hAnsi="Arial"/>
          <w:sz w:val="18"/>
          <w:szCs w:val="18"/>
          <w:color w:val="auto"/>
        </w:rPr>
        <w:t>There were no unrealized gains on cash equivalents and short-term investments for the years ending December 31, 2007, 2006 or 2005. Unrealized losses were $14 million, $23 million and $25 million, respectively, for these time periods. Unrealized losses for the years ending December 31, 2007 and 2006, were primarily associated with mortgage-backed securities that have been in an unrealized loss position for more than 12 months. These unrealized losses are the result of increases in market interest rates rather than changes in the credit quality of the securities.</w:t>
      </w:r>
    </w:p>
    <w:p>
      <w:pPr>
        <w:spacing w:after="0" w:line="157" w:lineRule="exact"/>
        <w:rPr>
          <w:sz w:val="20"/>
          <w:szCs w:val="20"/>
          <w:color w:val="auto"/>
        </w:rPr>
      </w:pPr>
    </w:p>
    <w:p>
      <w:pPr>
        <w:ind w:right="280"/>
        <w:spacing w:after="0" w:line="238" w:lineRule="auto"/>
        <w:rPr>
          <w:sz w:val="20"/>
          <w:szCs w:val="20"/>
          <w:color w:val="auto"/>
        </w:rPr>
      </w:pPr>
      <w:r>
        <w:rPr>
          <w:rFonts w:ascii="Arial" w:cs="Arial" w:eastAsia="Arial" w:hAnsi="Arial"/>
          <w:sz w:val="18"/>
          <w:szCs w:val="18"/>
          <w:color w:val="auto"/>
        </w:rPr>
        <w:t>We have determined that our investment in these securities were not other-than-temporarily impaired as we have the ability and intent to hold these investments until their value can be recovered, which may include holding them to their respective maturity dates. Through December 31, 2007, we have collected all principal and interest payable on these securities when due and expect to continue to do so.</w:t>
      </w:r>
    </w:p>
    <w:p>
      <w:pPr>
        <w:spacing w:after="0" w:line="154" w:lineRule="exact"/>
        <w:rPr>
          <w:sz w:val="20"/>
          <w:szCs w:val="20"/>
          <w:color w:val="auto"/>
        </w:rPr>
      </w:pPr>
    </w:p>
    <w:p>
      <w:pPr>
        <w:ind w:right="500"/>
        <w:spacing w:after="0" w:line="239" w:lineRule="auto"/>
        <w:rPr>
          <w:sz w:val="20"/>
          <w:szCs w:val="20"/>
          <w:color w:val="auto"/>
        </w:rPr>
      </w:pPr>
      <w:r>
        <w:rPr>
          <w:rFonts w:ascii="Arial" w:cs="Arial" w:eastAsia="Arial" w:hAnsi="Arial"/>
          <w:sz w:val="18"/>
          <w:szCs w:val="18"/>
          <w:color w:val="auto"/>
        </w:rPr>
        <w:t>Proceeds from sales of these securities before their maturity were $2.12 billion, $5.34 billion and $4.18 billion in 2007, 2006 and 2005. Gross realized gains and losses from the sales of these securities were immaterial for all periods presented.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Long-term Investments</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Details of long-term investments are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982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1280" w:type="dxa"/>
            <w:vAlign w:val="bottom"/>
            <w:gridSpan w:val="4"/>
            <w:shd w:val="clear" w:color="auto" w:fill="E5E5E5"/>
          </w:tcPr>
          <w:p>
            <w:pPr>
              <w:jc w:val="right"/>
              <w:ind w:right="280"/>
              <w:spacing w:after="0"/>
              <w:rPr>
                <w:sz w:val="20"/>
                <w:szCs w:val="20"/>
                <w:color w:val="auto"/>
              </w:rPr>
            </w:pPr>
            <w:r>
              <w:rPr>
                <w:rFonts w:ascii="Arial" w:cs="Arial" w:eastAsia="Arial" w:hAnsi="Arial"/>
                <w:sz w:val="14"/>
                <w:szCs w:val="14"/>
                <w:b w:val="1"/>
                <w:bCs w:val="1"/>
                <w:color w:val="auto"/>
              </w:rPr>
              <w:t>December 31,</w:t>
            </w:r>
          </w:p>
        </w:tc>
      </w:tr>
      <w:tr>
        <w:trPr>
          <w:trHeight w:val="240"/>
        </w:trPr>
        <w:tc>
          <w:tcPr>
            <w:tcW w:w="9820" w:type="dxa"/>
            <w:vAlign w:val="bottom"/>
            <w:shd w:val="clear" w:color="auto" w:fill="E5E5E5"/>
          </w:tcPr>
          <w:p>
            <w:pPr>
              <w:spacing w:after="0"/>
              <w:rPr>
                <w:sz w:val="20"/>
                <w:szCs w:val="20"/>
                <w:color w:val="auto"/>
              </w:rPr>
            </w:pPr>
          </w:p>
        </w:tc>
        <w:tc>
          <w:tcPr>
            <w:tcW w:w="220" w:type="dxa"/>
            <w:vAlign w:val="bottom"/>
            <w:shd w:val="clear" w:color="auto" w:fill="E5E5E5"/>
          </w:tcPr>
          <w:p>
            <w:pPr>
              <w:spacing w:after="0"/>
              <w:rPr>
                <w:sz w:val="20"/>
                <w:szCs w:val="20"/>
                <w:color w:val="auto"/>
              </w:rPr>
            </w:pPr>
          </w:p>
        </w:tc>
        <w:tc>
          <w:tcPr>
            <w:tcW w:w="100" w:type="dxa"/>
            <w:vAlign w:val="bottom"/>
            <w:shd w:val="clear" w:color="auto" w:fill="E5E5E5"/>
          </w:tcPr>
          <w:p>
            <w:pPr>
              <w:spacing w:after="0"/>
              <w:rPr>
                <w:sz w:val="20"/>
                <w:szCs w:val="20"/>
                <w:color w:val="auto"/>
              </w:rPr>
            </w:pPr>
          </w:p>
        </w:tc>
        <w:tc>
          <w:tcPr>
            <w:tcW w:w="560" w:type="dxa"/>
            <w:vAlign w:val="bottom"/>
            <w:shd w:val="clear" w:color="auto" w:fill="E5E5E5"/>
          </w:tcPr>
          <w:p>
            <w:pPr>
              <w:jc w:val="right"/>
              <w:ind w:right="75"/>
              <w:spacing w:after="0"/>
              <w:rPr>
                <w:sz w:val="20"/>
                <w:szCs w:val="20"/>
                <w:color w:val="auto"/>
              </w:rPr>
            </w:pPr>
            <w:r>
              <w:rPr>
                <w:rFonts w:ascii="Arial" w:cs="Arial" w:eastAsia="Arial" w:hAnsi="Arial"/>
                <w:sz w:val="18"/>
                <w:szCs w:val="18"/>
                <w:b w:val="1"/>
                <w:bCs w:val="1"/>
                <w:color w:val="auto"/>
                <w:w w:val="94"/>
              </w:rPr>
              <w:t>2007</w:t>
            </w:r>
          </w:p>
        </w:tc>
        <w:tc>
          <w:tcPr>
            <w:tcW w:w="660" w:type="dxa"/>
            <w:vAlign w:val="bottom"/>
            <w:gridSpan w:val="2"/>
            <w:shd w:val="clear" w:color="auto" w:fill="E5E5E5"/>
          </w:tcPr>
          <w:p>
            <w:pPr>
              <w:jc w:val="right"/>
              <w:spacing w:after="0"/>
              <w:rPr>
                <w:sz w:val="20"/>
                <w:szCs w:val="20"/>
                <w:color w:val="auto"/>
              </w:rPr>
            </w:pPr>
            <w:r>
              <w:rPr>
                <w:rFonts w:ascii="Arial" w:cs="Arial" w:eastAsia="Arial" w:hAnsi="Arial"/>
                <w:sz w:val="18"/>
                <w:szCs w:val="18"/>
                <w:b w:val="1"/>
                <w:bCs w:val="1"/>
                <w:color w:val="auto"/>
              </w:rPr>
              <w:t>2006</w:t>
            </w:r>
          </w:p>
        </w:tc>
        <w:tc>
          <w:tcPr>
            <w:tcW w:w="60" w:type="dxa"/>
            <w:vAlign w:val="bottom"/>
            <w:shd w:val="clear" w:color="auto" w:fill="E5E5E5"/>
          </w:tcPr>
          <w:p>
            <w:pPr>
              <w:spacing w:after="0"/>
              <w:rPr>
                <w:sz w:val="20"/>
                <w:szCs w:val="20"/>
                <w:color w:val="auto"/>
              </w:rPr>
            </w:pPr>
          </w:p>
        </w:tc>
      </w:tr>
      <w:tr>
        <w:trPr>
          <w:trHeight w:val="311"/>
        </w:trPr>
        <w:tc>
          <w:tcPr>
            <w:tcW w:w="9820" w:type="dxa"/>
            <w:vAlign w:val="bottom"/>
          </w:tcPr>
          <w:p>
            <w:pPr>
              <w:spacing w:after="0"/>
              <w:rPr>
                <w:sz w:val="20"/>
                <w:szCs w:val="20"/>
                <w:color w:val="auto"/>
              </w:rPr>
            </w:pPr>
            <w:r>
              <w:rPr>
                <w:rFonts w:ascii="Arial" w:cs="Arial" w:eastAsia="Arial" w:hAnsi="Arial"/>
                <w:sz w:val="18"/>
                <w:szCs w:val="18"/>
                <w:color w:val="auto"/>
              </w:rPr>
              <w:t>Equity investments:</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3"/>
        </w:trPr>
        <w:tc>
          <w:tcPr>
            <w:tcW w:w="982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Marketable</w:t>
            </w:r>
          </w:p>
        </w:tc>
        <w:tc>
          <w:tcPr>
            <w:tcW w:w="32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E5E5E5"/>
          </w:tcPr>
          <w:p>
            <w:pPr>
              <w:jc w:val="right"/>
              <w:ind w:right="55"/>
              <w:spacing w:after="0" w:line="202" w:lineRule="exact"/>
              <w:rPr>
                <w:sz w:val="20"/>
                <w:szCs w:val="20"/>
                <w:color w:val="auto"/>
              </w:rPr>
            </w:pPr>
            <w:r>
              <w:rPr>
                <w:rFonts w:ascii="Arial" w:cs="Arial" w:eastAsia="Arial" w:hAnsi="Arial"/>
                <w:sz w:val="18"/>
                <w:szCs w:val="18"/>
                <w:b w:val="1"/>
                <w:bCs w:val="1"/>
                <w:color w:val="auto"/>
              </w:rPr>
              <w:t>7</w:t>
            </w:r>
          </w:p>
        </w:tc>
        <w:tc>
          <w:tcPr>
            <w:tcW w:w="3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40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5</w:t>
            </w:r>
          </w:p>
        </w:tc>
      </w:tr>
      <w:tr>
        <w:trPr>
          <w:trHeight w:val="203"/>
        </w:trPr>
        <w:tc>
          <w:tcPr>
            <w:tcW w:w="9820" w:type="dxa"/>
            <w:vAlign w:val="bottom"/>
          </w:tcPr>
          <w:p>
            <w:pPr>
              <w:ind w:left="220"/>
              <w:spacing w:after="0" w:line="202" w:lineRule="exact"/>
              <w:rPr>
                <w:sz w:val="20"/>
                <w:szCs w:val="20"/>
                <w:color w:val="auto"/>
              </w:rPr>
            </w:pPr>
            <w:r>
              <w:rPr>
                <w:rFonts w:ascii="Arial" w:cs="Arial" w:eastAsia="Arial" w:hAnsi="Arial"/>
                <w:sz w:val="18"/>
                <w:szCs w:val="18"/>
                <w:color w:val="auto"/>
              </w:rPr>
              <w:t>Non-marketable</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ind w:right="55"/>
              <w:spacing w:after="0" w:line="202" w:lineRule="exact"/>
              <w:rPr>
                <w:sz w:val="20"/>
                <w:szCs w:val="20"/>
                <w:color w:val="auto"/>
              </w:rPr>
            </w:pPr>
            <w:r>
              <w:rPr>
                <w:rFonts w:ascii="Arial" w:cs="Arial" w:eastAsia="Arial" w:hAnsi="Arial"/>
                <w:sz w:val="18"/>
                <w:szCs w:val="18"/>
                <w:b w:val="1"/>
                <w:bCs w:val="1"/>
                <w:color w:val="auto"/>
              </w:rPr>
              <w:t>44</w:t>
            </w:r>
          </w:p>
        </w:tc>
        <w:tc>
          <w:tcPr>
            <w:tcW w:w="320" w:type="dxa"/>
            <w:vAlign w:val="bottom"/>
          </w:tcPr>
          <w:p>
            <w:pPr>
              <w:spacing w:after="0"/>
              <w:rPr>
                <w:sz w:val="17"/>
                <w:szCs w:val="17"/>
                <w:color w:val="auto"/>
              </w:rPr>
            </w:pPr>
          </w:p>
        </w:tc>
        <w:tc>
          <w:tcPr>
            <w:tcW w:w="4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52</w:t>
            </w:r>
          </w:p>
        </w:tc>
      </w:tr>
      <w:tr>
        <w:trPr>
          <w:trHeight w:val="203"/>
        </w:trPr>
        <w:tc>
          <w:tcPr>
            <w:tcW w:w="98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Venture capital funds:</w:t>
            </w:r>
          </w:p>
        </w:tc>
        <w:tc>
          <w:tcPr>
            <w:tcW w:w="2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56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r>
      <w:tr>
        <w:trPr>
          <w:trHeight w:val="203"/>
        </w:trPr>
        <w:tc>
          <w:tcPr>
            <w:tcW w:w="9820" w:type="dxa"/>
            <w:vAlign w:val="bottom"/>
          </w:tcPr>
          <w:p>
            <w:pPr>
              <w:ind w:left="220"/>
              <w:spacing w:after="0" w:line="202" w:lineRule="exact"/>
              <w:rPr>
                <w:sz w:val="20"/>
                <w:szCs w:val="20"/>
                <w:color w:val="auto"/>
              </w:rPr>
            </w:pPr>
            <w:r>
              <w:rPr>
                <w:rFonts w:ascii="Arial" w:cs="Arial" w:eastAsia="Arial" w:hAnsi="Arial"/>
                <w:sz w:val="18"/>
                <w:szCs w:val="18"/>
                <w:color w:val="auto"/>
              </w:rPr>
              <w:t>Equity method</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ind w:right="55"/>
              <w:spacing w:after="0" w:line="202" w:lineRule="exact"/>
              <w:rPr>
                <w:sz w:val="20"/>
                <w:szCs w:val="20"/>
                <w:color w:val="auto"/>
              </w:rPr>
            </w:pPr>
            <w:r>
              <w:rPr>
                <w:rFonts w:ascii="Arial" w:cs="Arial" w:eastAsia="Arial" w:hAnsi="Arial"/>
                <w:sz w:val="18"/>
                <w:szCs w:val="18"/>
                <w:b w:val="1"/>
                <w:bCs w:val="1"/>
                <w:color w:val="auto"/>
              </w:rPr>
              <w:t>65</w:t>
            </w:r>
          </w:p>
        </w:tc>
        <w:tc>
          <w:tcPr>
            <w:tcW w:w="320" w:type="dxa"/>
            <w:vAlign w:val="bottom"/>
          </w:tcPr>
          <w:p>
            <w:pPr>
              <w:spacing w:after="0"/>
              <w:rPr>
                <w:sz w:val="17"/>
                <w:szCs w:val="17"/>
                <w:color w:val="auto"/>
              </w:rPr>
            </w:pPr>
          </w:p>
        </w:tc>
        <w:tc>
          <w:tcPr>
            <w:tcW w:w="4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55</w:t>
            </w:r>
          </w:p>
        </w:tc>
      </w:tr>
      <w:tr>
        <w:trPr>
          <w:trHeight w:val="203"/>
        </w:trPr>
        <w:tc>
          <w:tcPr>
            <w:tcW w:w="982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Cost method</w:t>
            </w:r>
          </w:p>
        </w:tc>
        <w:tc>
          <w:tcPr>
            <w:tcW w:w="2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560" w:type="dxa"/>
            <w:vAlign w:val="bottom"/>
            <w:shd w:val="clear" w:color="auto" w:fill="E5E5E5"/>
          </w:tcPr>
          <w:p>
            <w:pPr>
              <w:jc w:val="right"/>
              <w:ind w:right="55"/>
              <w:spacing w:after="0" w:line="202" w:lineRule="exact"/>
              <w:rPr>
                <w:sz w:val="20"/>
                <w:szCs w:val="20"/>
                <w:color w:val="auto"/>
              </w:rPr>
            </w:pPr>
            <w:r>
              <w:rPr>
                <w:rFonts w:ascii="Arial" w:cs="Arial" w:eastAsia="Arial" w:hAnsi="Arial"/>
                <w:sz w:val="18"/>
                <w:szCs w:val="18"/>
                <w:b w:val="1"/>
                <w:bCs w:val="1"/>
                <w:color w:val="auto"/>
              </w:rPr>
              <w:t>3</w:t>
            </w:r>
          </w:p>
        </w:tc>
        <w:tc>
          <w:tcPr>
            <w:tcW w:w="320" w:type="dxa"/>
            <w:vAlign w:val="bottom"/>
            <w:shd w:val="clear" w:color="auto" w:fill="E5E5E5"/>
          </w:tcPr>
          <w:p>
            <w:pPr>
              <w:spacing w:after="0"/>
              <w:rPr>
                <w:sz w:val="17"/>
                <w:szCs w:val="17"/>
                <w:color w:val="auto"/>
              </w:rPr>
            </w:pPr>
          </w:p>
        </w:tc>
        <w:tc>
          <w:tcPr>
            <w:tcW w:w="40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3</w:t>
            </w:r>
          </w:p>
        </w:tc>
      </w:tr>
      <w:tr>
        <w:trPr>
          <w:trHeight w:val="210"/>
        </w:trPr>
        <w:tc>
          <w:tcPr>
            <w:tcW w:w="9820" w:type="dxa"/>
            <w:vAlign w:val="bottom"/>
          </w:tcPr>
          <w:p>
            <w:pPr>
              <w:spacing w:after="0" w:line="202" w:lineRule="exact"/>
              <w:rPr>
                <w:sz w:val="20"/>
                <w:szCs w:val="20"/>
                <w:color w:val="auto"/>
              </w:rPr>
            </w:pPr>
            <w:r>
              <w:rPr>
                <w:rFonts w:ascii="Arial" w:cs="Arial" w:eastAsia="Arial" w:hAnsi="Arial"/>
                <w:sz w:val="18"/>
                <w:szCs w:val="18"/>
                <w:color w:val="auto"/>
              </w:rPr>
              <w:t>Mutual funds</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55"/>
              <w:spacing w:after="0" w:line="202" w:lineRule="exact"/>
              <w:rPr>
                <w:sz w:val="20"/>
                <w:szCs w:val="20"/>
                <w:color w:val="auto"/>
              </w:rPr>
            </w:pPr>
            <w:r>
              <w:rPr>
                <w:rFonts w:ascii="Arial" w:cs="Arial" w:eastAsia="Arial" w:hAnsi="Arial"/>
                <w:sz w:val="18"/>
                <w:szCs w:val="18"/>
                <w:b w:val="1"/>
                <w:bCs w:val="1"/>
                <w:color w:val="auto"/>
              </w:rPr>
              <w:t>148</w:t>
            </w:r>
          </w:p>
        </w:tc>
        <w:tc>
          <w:tcPr>
            <w:tcW w:w="3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172</w:t>
            </w:r>
          </w:p>
        </w:tc>
        <w:tc>
          <w:tcPr>
            <w:tcW w:w="60" w:type="dxa"/>
            <w:vAlign w:val="bottom"/>
          </w:tcPr>
          <w:p>
            <w:pPr>
              <w:spacing w:after="0"/>
              <w:rPr>
                <w:sz w:val="18"/>
                <w:szCs w:val="18"/>
                <w:color w:val="auto"/>
              </w:rPr>
            </w:pPr>
          </w:p>
        </w:tc>
      </w:tr>
      <w:tr>
        <w:trPr>
          <w:trHeight w:val="203"/>
        </w:trPr>
        <w:tc>
          <w:tcPr>
            <w:tcW w:w="98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Total</w:t>
            </w:r>
          </w:p>
        </w:tc>
        <w:tc>
          <w:tcPr>
            <w:tcW w:w="32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E5E5E5"/>
          </w:tcPr>
          <w:p>
            <w:pPr>
              <w:jc w:val="right"/>
              <w:ind w:right="55"/>
              <w:spacing w:after="0" w:line="202" w:lineRule="exact"/>
              <w:rPr>
                <w:sz w:val="20"/>
                <w:szCs w:val="20"/>
                <w:color w:val="auto"/>
              </w:rPr>
            </w:pPr>
            <w:r>
              <w:rPr>
                <w:rFonts w:ascii="Arial" w:cs="Arial" w:eastAsia="Arial" w:hAnsi="Arial"/>
                <w:sz w:val="18"/>
                <w:szCs w:val="18"/>
                <w:b w:val="1"/>
                <w:bCs w:val="1"/>
                <w:color w:val="auto"/>
              </w:rPr>
              <w:t>267</w:t>
            </w:r>
          </w:p>
        </w:tc>
        <w:tc>
          <w:tcPr>
            <w:tcW w:w="3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40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287</w:t>
            </w:r>
          </w:p>
        </w:tc>
      </w:tr>
      <w:tr>
        <w:trPr>
          <w:trHeight w:val="20"/>
        </w:trPr>
        <w:tc>
          <w:tcPr>
            <w:tcW w:w="9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9"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There were $6 million, $6 million and $13 million of gross realized gains and zero, zero and $3 million of gross realized losses from sales of these investments in 2007, 2006 and 2005. Other-than-temporary declines and impairments in the values of long-term investments recognized in the income statement were $18 million, $8 million and $8 million in 2007, 2006 and 2005.</w:t>
      </w:r>
    </w:p>
    <w:p>
      <w:pPr>
        <w:spacing w:after="0" w:line="137" w:lineRule="exact"/>
        <w:rPr>
          <w:sz w:val="20"/>
          <w:szCs w:val="20"/>
          <w:color w:val="auto"/>
        </w:rPr>
      </w:pPr>
    </w:p>
    <w:p>
      <w:pPr>
        <w:spacing w:after="0"/>
        <w:tabs>
          <w:tab w:leader="none" w:pos="8420" w:val="left"/>
        </w:tabs>
        <w:rPr>
          <w:sz w:val="20"/>
          <w:szCs w:val="20"/>
          <w:color w:val="auto"/>
        </w:rPr>
      </w:pPr>
      <w:r>
        <w:rPr>
          <w:rFonts w:ascii="Arial" w:cs="Arial" w:eastAsia="Arial" w:hAnsi="Arial"/>
          <w:sz w:val="12"/>
          <w:szCs w:val="12"/>
          <w:color w:val="auto"/>
        </w:rPr>
        <w:t>20</w:t>
      </w:r>
      <w:r>
        <w:rPr>
          <w:sz w:val="20"/>
          <w:szCs w:val="20"/>
          <w:color w:val="auto"/>
        </w:rPr>
        <w:tab/>
      </w:r>
      <w:r>
        <w:rPr>
          <w:rFonts w:ascii="Arial" w:cs="Arial" w:eastAsia="Arial" w:hAnsi="Arial"/>
          <w:sz w:val="12"/>
          <w:szCs w:val="12"/>
          <w:color w:val="auto"/>
        </w:rPr>
        <w:t>TEXAS INSTRUMENTS 2007 ANNUAL REPORT</w:t>
      </w:r>
    </w:p>
    <w:p>
      <w:pPr>
        <w:sectPr>
          <w:pgSz w:w="11900" w:h="16838" w:orient="portrait"/>
          <w:cols w:equalWidth="0" w:num="1">
            <w:col w:w="11420"/>
          </w:cols>
          <w:pgMar w:left="240" w:top="291"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5. Goodwill and Other Acquisition-related Intangibles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shd w:val="clear" w:color="auto" w:fill="E5E5E5"/>
          </w:tcPr>
          <w:p>
            <w:pPr>
              <w:spacing w:after="0"/>
              <w:rPr>
                <w:sz w:val="14"/>
                <w:szCs w:val="14"/>
                <w:color w:val="auto"/>
              </w:rPr>
            </w:pPr>
          </w:p>
        </w:tc>
        <w:tc>
          <w:tcPr>
            <w:tcW w:w="1720" w:type="dxa"/>
            <w:vAlign w:val="bottom"/>
            <w:shd w:val="clear" w:color="auto" w:fill="E5E5E5"/>
          </w:tcPr>
          <w:p>
            <w:pPr>
              <w:spacing w:after="0"/>
              <w:rPr>
                <w:sz w:val="14"/>
                <w:szCs w:val="14"/>
                <w:color w:val="auto"/>
              </w:rPr>
            </w:pPr>
          </w:p>
        </w:tc>
        <w:tc>
          <w:tcPr>
            <w:tcW w:w="2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1220" w:type="dxa"/>
            <w:vAlign w:val="bottom"/>
            <w:gridSpan w:val="4"/>
            <w:shd w:val="clear" w:color="auto" w:fill="E5E5E5"/>
          </w:tcPr>
          <w:p>
            <w:pPr>
              <w:jc w:val="right"/>
              <w:ind w:right="280"/>
              <w:spacing w:after="0"/>
              <w:rPr>
                <w:sz w:val="20"/>
                <w:szCs w:val="20"/>
                <w:color w:val="auto"/>
              </w:rPr>
            </w:pPr>
            <w:r>
              <w:rPr>
                <w:rFonts w:ascii="Arial" w:cs="Arial" w:eastAsia="Arial" w:hAnsi="Arial"/>
                <w:sz w:val="14"/>
                <w:szCs w:val="14"/>
                <w:b w:val="1"/>
                <w:bCs w:val="1"/>
                <w:color w:val="auto"/>
              </w:rPr>
              <w:t>December 31,</w:t>
            </w:r>
          </w:p>
        </w:tc>
      </w:tr>
      <w:tr>
        <w:trPr>
          <w:trHeight w:val="311"/>
        </w:trPr>
        <w:tc>
          <w:tcPr>
            <w:tcW w:w="8320" w:type="dxa"/>
            <w:vAlign w:val="bottom"/>
            <w:shd w:val="clear" w:color="auto" w:fill="E5E5E5"/>
          </w:tcPr>
          <w:p>
            <w:pPr>
              <w:spacing w:after="0"/>
              <w:rPr>
                <w:sz w:val="24"/>
                <w:szCs w:val="24"/>
                <w:color w:val="auto"/>
              </w:rPr>
            </w:pPr>
          </w:p>
        </w:tc>
        <w:tc>
          <w:tcPr>
            <w:tcW w:w="1720" w:type="dxa"/>
            <w:vAlign w:val="bottom"/>
            <w:shd w:val="clear" w:color="auto" w:fill="E5E5E5"/>
          </w:tcPr>
          <w:p>
            <w:pPr>
              <w:ind w:left="220"/>
              <w:spacing w:after="0"/>
              <w:rPr>
                <w:sz w:val="20"/>
                <w:szCs w:val="20"/>
                <w:color w:val="auto"/>
              </w:rPr>
            </w:pPr>
            <w:r>
              <w:rPr>
                <w:rFonts w:ascii="Arial" w:cs="Arial" w:eastAsia="Arial" w:hAnsi="Arial"/>
                <w:sz w:val="14"/>
                <w:szCs w:val="14"/>
                <w:b w:val="1"/>
                <w:bCs w:val="1"/>
                <w:color w:val="auto"/>
              </w:rPr>
              <w:t>Amortization Period</w:t>
            </w:r>
          </w:p>
        </w:tc>
        <w:tc>
          <w:tcPr>
            <w:tcW w:w="660" w:type="dxa"/>
            <w:vAlign w:val="bottom"/>
            <w:gridSpan w:val="3"/>
            <w:shd w:val="clear" w:color="auto" w:fill="E5E5E5"/>
          </w:tcPr>
          <w:p>
            <w:pPr>
              <w:jc w:val="right"/>
              <w:ind w:right="116"/>
              <w:spacing w:after="0"/>
              <w:rPr>
                <w:sz w:val="20"/>
                <w:szCs w:val="20"/>
                <w:color w:val="auto"/>
              </w:rPr>
            </w:pPr>
            <w:r>
              <w:rPr>
                <w:rFonts w:ascii="Arial" w:cs="Arial" w:eastAsia="Arial" w:hAnsi="Arial"/>
                <w:sz w:val="18"/>
                <w:szCs w:val="18"/>
                <w:b w:val="1"/>
                <w:bCs w:val="1"/>
                <w:color w:val="auto"/>
              </w:rPr>
              <w:t>2007</w:t>
            </w:r>
          </w:p>
        </w:tc>
        <w:tc>
          <w:tcPr>
            <w:tcW w:w="660" w:type="dxa"/>
            <w:vAlign w:val="bottom"/>
            <w:gridSpan w:val="2"/>
            <w:shd w:val="clear" w:color="auto" w:fill="E5E5E5"/>
          </w:tcPr>
          <w:p>
            <w:pPr>
              <w:ind w:left="180"/>
              <w:spacing w:after="0"/>
              <w:rPr>
                <w:sz w:val="20"/>
                <w:szCs w:val="20"/>
                <w:color w:val="auto"/>
              </w:rPr>
            </w:pPr>
            <w:r>
              <w:rPr>
                <w:rFonts w:ascii="Arial" w:cs="Arial" w:eastAsia="Arial" w:hAnsi="Arial"/>
                <w:sz w:val="18"/>
                <w:szCs w:val="18"/>
                <w:b w:val="1"/>
                <w:bCs w:val="1"/>
                <w:color w:val="auto"/>
              </w:rPr>
              <w:t>2006</w:t>
            </w:r>
          </w:p>
        </w:tc>
        <w:tc>
          <w:tcPr>
            <w:tcW w:w="60" w:type="dxa"/>
            <w:vAlign w:val="bottom"/>
            <w:shd w:val="clear" w:color="auto" w:fill="E5E5E5"/>
          </w:tcPr>
          <w:p>
            <w:pPr>
              <w:spacing w:after="0"/>
              <w:rPr>
                <w:sz w:val="24"/>
                <w:szCs w:val="24"/>
                <w:color w:val="auto"/>
              </w:rPr>
            </w:pPr>
          </w:p>
        </w:tc>
      </w:tr>
      <w:tr>
        <w:trPr>
          <w:trHeight w:val="351"/>
        </w:trPr>
        <w:tc>
          <w:tcPr>
            <w:tcW w:w="8320" w:type="dxa"/>
            <w:vAlign w:val="bottom"/>
          </w:tcPr>
          <w:p>
            <w:pPr>
              <w:spacing w:after="0"/>
              <w:rPr>
                <w:sz w:val="20"/>
                <w:szCs w:val="20"/>
                <w:color w:val="auto"/>
              </w:rPr>
            </w:pPr>
            <w:r>
              <w:rPr>
                <w:rFonts w:ascii="Arial" w:cs="Arial" w:eastAsia="Arial" w:hAnsi="Arial"/>
                <w:sz w:val="18"/>
                <w:szCs w:val="18"/>
                <w:color w:val="auto"/>
              </w:rPr>
              <w:t>Goodwill – net</w:t>
            </w:r>
          </w:p>
        </w:tc>
        <w:tc>
          <w:tcPr>
            <w:tcW w:w="1720" w:type="dxa"/>
            <w:vAlign w:val="bottom"/>
          </w:tcPr>
          <w:p>
            <w:pPr>
              <w:jc w:val="center"/>
              <w:spacing w:after="0"/>
              <w:rPr>
                <w:sz w:val="20"/>
                <w:szCs w:val="20"/>
                <w:color w:val="auto"/>
              </w:rPr>
            </w:pPr>
            <w:r>
              <w:rPr>
                <w:rFonts w:ascii="Arial" w:cs="Arial" w:eastAsia="Arial" w:hAnsi="Arial"/>
                <w:sz w:val="18"/>
                <w:szCs w:val="18"/>
                <w:color w:val="auto"/>
                <w:w w:val="98"/>
              </w:rPr>
              <w:t>Not amortized</w:t>
            </w:r>
          </w:p>
        </w:tc>
        <w:tc>
          <w:tcPr>
            <w:tcW w:w="160" w:type="dxa"/>
            <w:vAlign w:val="bottom"/>
            <w:gridSpan w:val="2"/>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Pr>
          <w:p>
            <w:pPr>
              <w:jc w:val="right"/>
              <w:ind w:right="56"/>
              <w:spacing w:after="0"/>
              <w:rPr>
                <w:sz w:val="20"/>
                <w:szCs w:val="20"/>
                <w:color w:val="auto"/>
              </w:rPr>
            </w:pPr>
            <w:r>
              <w:rPr>
                <w:rFonts w:ascii="Arial" w:cs="Arial" w:eastAsia="Arial" w:hAnsi="Arial"/>
                <w:sz w:val="18"/>
                <w:szCs w:val="18"/>
                <w:b w:val="1"/>
                <w:bCs w:val="1"/>
                <w:color w:val="auto"/>
              </w:rPr>
              <w:t>838</w:t>
            </w:r>
          </w:p>
        </w:tc>
        <w:tc>
          <w:tcPr>
            <w:tcW w:w="320" w:type="dxa"/>
            <w:vAlign w:val="bottom"/>
          </w:tcPr>
          <w:p>
            <w:pPr>
              <w:ind w:left="16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792</w:t>
            </w:r>
          </w:p>
        </w:tc>
        <w:tc>
          <w:tcPr>
            <w:tcW w:w="60" w:type="dxa"/>
            <w:vAlign w:val="bottom"/>
          </w:tcPr>
          <w:p>
            <w:pPr>
              <w:spacing w:after="0"/>
              <w:rPr>
                <w:sz w:val="24"/>
                <w:szCs w:val="24"/>
                <w:color w:val="auto"/>
              </w:rPr>
            </w:pPr>
          </w:p>
        </w:tc>
      </w:tr>
      <w:tr>
        <w:trPr>
          <w:trHeight w:val="20"/>
        </w:trPr>
        <w:tc>
          <w:tcPr>
            <w:tcW w:w="83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8320" w:type="dxa"/>
            <w:vAlign w:val="bottom"/>
            <w:shd w:val="clear" w:color="auto" w:fill="E5E5E5"/>
          </w:tcPr>
          <w:p>
            <w:pPr>
              <w:spacing w:after="0" w:line="196" w:lineRule="exact"/>
              <w:rPr>
                <w:sz w:val="20"/>
                <w:szCs w:val="20"/>
                <w:color w:val="auto"/>
              </w:rPr>
            </w:pPr>
            <w:r>
              <w:rPr>
                <w:rFonts w:ascii="Arial" w:cs="Arial" w:eastAsia="Arial" w:hAnsi="Arial"/>
                <w:sz w:val="18"/>
                <w:szCs w:val="18"/>
                <w:color w:val="auto"/>
              </w:rPr>
              <w:t>Acquisition-related intangibles – net:</w:t>
            </w:r>
          </w:p>
        </w:tc>
        <w:tc>
          <w:tcPr>
            <w:tcW w:w="172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50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r>
      <w:tr>
        <w:trPr>
          <w:trHeight w:val="203"/>
        </w:trPr>
        <w:tc>
          <w:tcPr>
            <w:tcW w:w="8320" w:type="dxa"/>
            <w:vAlign w:val="bottom"/>
          </w:tcPr>
          <w:p>
            <w:pPr>
              <w:ind w:left="220"/>
              <w:spacing w:after="0" w:line="202" w:lineRule="exact"/>
              <w:rPr>
                <w:sz w:val="20"/>
                <w:szCs w:val="20"/>
                <w:color w:val="auto"/>
              </w:rPr>
            </w:pPr>
            <w:r>
              <w:rPr>
                <w:rFonts w:ascii="Arial" w:cs="Arial" w:eastAsia="Arial" w:hAnsi="Arial"/>
                <w:sz w:val="18"/>
                <w:szCs w:val="18"/>
                <w:color w:val="auto"/>
              </w:rPr>
              <w:t>Developed technology</w:t>
            </w:r>
          </w:p>
        </w:tc>
        <w:tc>
          <w:tcPr>
            <w:tcW w:w="1720" w:type="dxa"/>
            <w:vAlign w:val="bottom"/>
          </w:tcPr>
          <w:p>
            <w:pPr>
              <w:jc w:val="center"/>
              <w:spacing w:after="0" w:line="202" w:lineRule="exact"/>
              <w:rPr>
                <w:sz w:val="20"/>
                <w:szCs w:val="20"/>
                <w:color w:val="auto"/>
              </w:rPr>
            </w:pPr>
            <w:r>
              <w:rPr>
                <w:rFonts w:ascii="Arial" w:cs="Arial" w:eastAsia="Arial" w:hAnsi="Arial"/>
                <w:sz w:val="18"/>
                <w:szCs w:val="18"/>
                <w:color w:val="auto"/>
                <w:w w:val="96"/>
              </w:rPr>
              <w:t>3–10 years</w:t>
            </w:r>
          </w:p>
        </w:tc>
        <w:tc>
          <w:tcPr>
            <w:tcW w:w="16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500" w:type="dxa"/>
            <w:vAlign w:val="bottom"/>
          </w:tcPr>
          <w:p>
            <w:pPr>
              <w:jc w:val="right"/>
              <w:ind w:right="56"/>
              <w:spacing w:after="0" w:line="202" w:lineRule="exact"/>
              <w:rPr>
                <w:sz w:val="20"/>
                <w:szCs w:val="20"/>
                <w:color w:val="auto"/>
              </w:rPr>
            </w:pPr>
            <w:r>
              <w:rPr>
                <w:rFonts w:ascii="Arial" w:cs="Arial" w:eastAsia="Arial" w:hAnsi="Arial"/>
                <w:sz w:val="18"/>
                <w:szCs w:val="18"/>
                <w:b w:val="1"/>
                <w:bCs w:val="1"/>
                <w:color w:val="auto"/>
              </w:rPr>
              <w:t>81</w:t>
            </w:r>
          </w:p>
        </w:tc>
        <w:tc>
          <w:tcPr>
            <w:tcW w:w="320" w:type="dxa"/>
            <w:vAlign w:val="bottom"/>
          </w:tcPr>
          <w:p>
            <w:pPr>
              <w:ind w:left="160"/>
              <w:spacing w:after="0" w:line="202" w:lineRule="exact"/>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72</w:t>
            </w:r>
          </w:p>
        </w:tc>
      </w:tr>
      <w:tr>
        <w:trPr>
          <w:trHeight w:val="203"/>
        </w:trPr>
        <w:tc>
          <w:tcPr>
            <w:tcW w:w="832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Other intangibles</w:t>
            </w:r>
          </w:p>
        </w:tc>
        <w:tc>
          <w:tcPr>
            <w:tcW w:w="1720" w:type="dxa"/>
            <w:vAlign w:val="bottom"/>
            <w:shd w:val="clear" w:color="auto" w:fill="E5E5E5"/>
          </w:tcPr>
          <w:p>
            <w:pPr>
              <w:jc w:val="center"/>
              <w:ind w:right="17"/>
              <w:spacing w:after="0" w:line="202" w:lineRule="exact"/>
              <w:rPr>
                <w:sz w:val="20"/>
                <w:szCs w:val="20"/>
                <w:color w:val="auto"/>
              </w:rPr>
            </w:pPr>
            <w:r>
              <w:rPr>
                <w:rFonts w:ascii="Arial" w:cs="Arial" w:eastAsia="Arial" w:hAnsi="Arial"/>
                <w:sz w:val="18"/>
                <w:szCs w:val="18"/>
                <w:color w:val="auto"/>
                <w:w w:val="97"/>
              </w:rPr>
              <w:t>2– 7 years</w:t>
            </w:r>
          </w:p>
        </w:tc>
        <w:tc>
          <w:tcPr>
            <w:tcW w:w="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500" w:type="dxa"/>
            <w:vAlign w:val="bottom"/>
            <w:shd w:val="clear" w:color="auto" w:fill="E5E5E5"/>
          </w:tcPr>
          <w:p>
            <w:pPr>
              <w:jc w:val="right"/>
              <w:ind w:right="56"/>
              <w:spacing w:after="0" w:line="202" w:lineRule="exact"/>
              <w:rPr>
                <w:sz w:val="20"/>
                <w:szCs w:val="20"/>
                <w:color w:val="auto"/>
              </w:rPr>
            </w:pPr>
            <w:r>
              <w:rPr>
                <w:rFonts w:ascii="Arial" w:cs="Arial" w:eastAsia="Arial" w:hAnsi="Arial"/>
                <w:sz w:val="18"/>
                <w:szCs w:val="18"/>
                <w:b w:val="1"/>
                <w:bCs w:val="1"/>
                <w:color w:val="auto"/>
              </w:rPr>
              <w:t>34</w:t>
            </w:r>
          </w:p>
        </w:tc>
        <w:tc>
          <w:tcPr>
            <w:tcW w:w="320" w:type="dxa"/>
            <w:vAlign w:val="bottom"/>
            <w:shd w:val="clear" w:color="auto" w:fill="E5E5E5"/>
          </w:tcPr>
          <w:p>
            <w:pPr>
              <w:spacing w:after="0"/>
              <w:rPr>
                <w:sz w:val="17"/>
                <w:szCs w:val="17"/>
                <w:color w:val="auto"/>
              </w:rPr>
            </w:pPr>
          </w:p>
        </w:tc>
        <w:tc>
          <w:tcPr>
            <w:tcW w:w="40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46</w:t>
            </w:r>
          </w:p>
        </w:tc>
      </w:tr>
      <w:tr>
        <w:trPr>
          <w:trHeight w:val="210"/>
        </w:trPr>
        <w:tc>
          <w:tcPr>
            <w:tcW w:w="8320" w:type="dxa"/>
            <w:vAlign w:val="bottom"/>
          </w:tcPr>
          <w:p>
            <w:pPr>
              <w:ind w:left="220"/>
              <w:spacing w:after="0"/>
              <w:rPr>
                <w:sz w:val="20"/>
                <w:szCs w:val="20"/>
                <w:color w:val="auto"/>
              </w:rPr>
            </w:pPr>
            <w:r>
              <w:rPr>
                <w:rFonts w:ascii="Arial" w:cs="Arial" w:eastAsia="Arial" w:hAnsi="Arial"/>
                <w:sz w:val="18"/>
                <w:szCs w:val="18"/>
                <w:color w:val="auto"/>
              </w:rPr>
              <w:t>Total</w:t>
            </w:r>
          </w:p>
        </w:tc>
        <w:tc>
          <w:tcPr>
            <w:tcW w:w="17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rPr>
              <w:t>115</w:t>
            </w:r>
          </w:p>
        </w:tc>
        <w:tc>
          <w:tcPr>
            <w:tcW w:w="32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60" w:type="dxa"/>
            <w:vAlign w:val="bottom"/>
          </w:tcPr>
          <w:p>
            <w:pPr>
              <w:spacing w:after="0"/>
              <w:rPr>
                <w:sz w:val="18"/>
                <w:szCs w:val="18"/>
                <w:color w:val="auto"/>
              </w:rPr>
            </w:pPr>
          </w:p>
        </w:tc>
      </w:tr>
      <w:tr>
        <w:trPr>
          <w:trHeight w:val="20"/>
        </w:trPr>
        <w:tc>
          <w:tcPr>
            <w:tcW w:w="83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9"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color w:val="auto"/>
        </w:rPr>
        <w:t>All of our goodwill is attributable to our Semiconductor segment. There was no impairment of goodwill indicated during 2007, 2006 or 2005. The goodwill balances shown are net of total accumulated amortization of $221 million at year-end 2007 and 2006.</w:t>
      </w:r>
    </w:p>
    <w:p>
      <w:pPr>
        <w:spacing w:after="0" w:line="155"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In 2007, we recognized additional goodwill of $48 million from acquisitions we made during the year, mostly for acquired workforce. We also recognized intangible assets associated with these acquisitions of $45 million, primarily for developed technology, to be amortized over three to five years. There were no in-process R&amp;D charges associated with the 2007 acquisitions. Goodwill was reduced during 2007 by $2 million for the recognition of a deferred tax asset associated with our Chipcon acquisition.</w:t>
      </w:r>
    </w:p>
    <w:p>
      <w:pPr>
        <w:spacing w:after="0" w:line="155" w:lineRule="exact"/>
        <w:rPr>
          <w:sz w:val="20"/>
          <w:szCs w:val="20"/>
          <w:color w:val="auto"/>
        </w:rPr>
      </w:pPr>
    </w:p>
    <w:p>
      <w:pPr>
        <w:ind w:right="460"/>
        <w:spacing w:after="0" w:line="239" w:lineRule="auto"/>
        <w:rPr>
          <w:sz w:val="20"/>
          <w:szCs w:val="20"/>
          <w:color w:val="auto"/>
        </w:rPr>
      </w:pPr>
      <w:r>
        <w:rPr>
          <w:rFonts w:ascii="Arial" w:cs="Arial" w:eastAsia="Arial" w:hAnsi="Arial"/>
          <w:sz w:val="18"/>
          <w:szCs w:val="18"/>
          <w:color w:val="auto"/>
        </w:rPr>
        <w:t>In January 2006, we recognized $115 million of goodwill and $86 million of other acquisition-related intangible assets due to the acquisition of Chipcon.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the components of acquisition-related intangible assets, excluding goodwill, that are subject to amortization:</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000" w:type="dxa"/>
            <w:vAlign w:val="bottom"/>
            <w:shd w:val="clear" w:color="auto" w:fill="E5E5E5"/>
          </w:tcPr>
          <w:p>
            <w:pPr>
              <w:spacing w:after="0"/>
              <w:rPr>
                <w:sz w:val="21"/>
                <w:szCs w:val="21"/>
                <w:color w:val="auto"/>
              </w:rPr>
            </w:pPr>
          </w:p>
        </w:tc>
        <w:tc>
          <w:tcPr>
            <w:tcW w:w="380" w:type="dxa"/>
            <w:vAlign w:val="bottom"/>
            <w:shd w:val="clear" w:color="auto" w:fill="E5E5E5"/>
          </w:tcPr>
          <w:p>
            <w:pPr>
              <w:spacing w:after="0"/>
              <w:rPr>
                <w:sz w:val="21"/>
                <w:szCs w:val="21"/>
                <w:color w:val="auto"/>
              </w:rPr>
            </w:pPr>
          </w:p>
        </w:tc>
        <w:tc>
          <w:tcPr>
            <w:tcW w:w="160" w:type="dxa"/>
            <w:vAlign w:val="bottom"/>
            <w:shd w:val="clear" w:color="auto" w:fill="E5E5E5"/>
          </w:tcPr>
          <w:p>
            <w:pPr>
              <w:spacing w:after="0"/>
              <w:rPr>
                <w:sz w:val="21"/>
                <w:szCs w:val="21"/>
                <w:color w:val="auto"/>
              </w:rPr>
            </w:pPr>
          </w:p>
        </w:tc>
        <w:tc>
          <w:tcPr>
            <w:tcW w:w="1880" w:type="dxa"/>
            <w:vAlign w:val="bottom"/>
            <w:gridSpan w:val="2"/>
            <w:shd w:val="clear" w:color="auto" w:fill="E5E5E5"/>
          </w:tcPr>
          <w:p>
            <w:pPr>
              <w:jc w:val="right"/>
              <w:ind w:right="437"/>
              <w:spacing w:after="0"/>
              <w:rPr>
                <w:sz w:val="20"/>
                <w:szCs w:val="20"/>
                <w:color w:val="auto"/>
              </w:rPr>
            </w:pPr>
            <w:r>
              <w:rPr>
                <w:rFonts w:ascii="Arial" w:cs="Arial" w:eastAsia="Arial" w:hAnsi="Arial"/>
                <w:sz w:val="14"/>
                <w:szCs w:val="14"/>
                <w:b w:val="1"/>
                <w:bCs w:val="1"/>
                <w:color w:val="auto"/>
              </w:rPr>
              <w:t>December 31, 2007</w:t>
            </w:r>
          </w:p>
        </w:tc>
        <w:tc>
          <w:tcPr>
            <w:tcW w:w="380" w:type="dxa"/>
            <w:vAlign w:val="bottom"/>
            <w:shd w:val="clear" w:color="auto" w:fill="E5E5E5"/>
          </w:tcPr>
          <w:p>
            <w:pPr>
              <w:spacing w:after="0"/>
              <w:rPr>
                <w:sz w:val="21"/>
                <w:szCs w:val="21"/>
                <w:color w:val="auto"/>
              </w:rPr>
            </w:pPr>
          </w:p>
        </w:tc>
        <w:tc>
          <w:tcPr>
            <w:tcW w:w="1320" w:type="dxa"/>
            <w:vAlign w:val="bottom"/>
            <w:gridSpan w:val="2"/>
            <w:shd w:val="clear" w:color="auto" w:fill="E5E5E5"/>
          </w:tcPr>
          <w:p>
            <w:pPr>
              <w:ind w:left="100"/>
              <w:spacing w:after="0"/>
              <w:rPr>
                <w:sz w:val="20"/>
                <w:szCs w:val="20"/>
                <w:color w:val="auto"/>
              </w:rPr>
            </w:pPr>
            <w:r>
              <w:rPr>
                <w:rFonts w:ascii="Arial" w:cs="Arial" w:eastAsia="Arial" w:hAnsi="Arial"/>
                <w:sz w:val="14"/>
                <w:szCs w:val="14"/>
                <w:b w:val="1"/>
                <w:bCs w:val="1"/>
                <w:color w:val="auto"/>
                <w:w w:val="95"/>
              </w:rPr>
              <w:t>December 31, 2006</w:t>
            </w:r>
          </w:p>
        </w:tc>
        <w:tc>
          <w:tcPr>
            <w:tcW w:w="300" w:type="dxa"/>
            <w:vAlign w:val="bottom"/>
            <w:shd w:val="clear" w:color="auto" w:fill="E5E5E5"/>
          </w:tcPr>
          <w:p>
            <w:pPr>
              <w:spacing w:after="0"/>
              <w:rPr>
                <w:sz w:val="21"/>
                <w:szCs w:val="21"/>
                <w:color w:val="auto"/>
              </w:rPr>
            </w:pPr>
          </w:p>
        </w:tc>
      </w:tr>
      <w:tr>
        <w:trPr>
          <w:trHeight w:val="240"/>
        </w:trPr>
        <w:tc>
          <w:tcPr>
            <w:tcW w:w="7000" w:type="dxa"/>
            <w:vAlign w:val="bottom"/>
            <w:shd w:val="clear" w:color="auto" w:fill="E5E5E5"/>
          </w:tcPr>
          <w:p>
            <w:pPr>
              <w:spacing w:after="0"/>
              <w:rPr>
                <w:sz w:val="20"/>
                <w:szCs w:val="20"/>
                <w:color w:val="auto"/>
              </w:rPr>
            </w:pPr>
          </w:p>
        </w:tc>
        <w:tc>
          <w:tcPr>
            <w:tcW w:w="380" w:type="dxa"/>
            <w:vAlign w:val="bottom"/>
            <w:shd w:val="clear" w:color="auto" w:fill="E5E5E5"/>
          </w:tcPr>
          <w:p>
            <w:pPr>
              <w:spacing w:after="0"/>
              <w:rPr>
                <w:sz w:val="20"/>
                <w:szCs w:val="20"/>
                <w:color w:val="auto"/>
              </w:rPr>
            </w:pPr>
          </w:p>
        </w:tc>
        <w:tc>
          <w:tcPr>
            <w:tcW w:w="780" w:type="dxa"/>
            <w:vAlign w:val="bottom"/>
            <w:gridSpan w:val="2"/>
            <w:shd w:val="clear" w:color="auto" w:fill="E5E5E5"/>
          </w:tcPr>
          <w:p>
            <w:pPr>
              <w:jc w:val="right"/>
              <w:ind w:right="195"/>
              <w:spacing w:after="0"/>
              <w:rPr>
                <w:sz w:val="20"/>
                <w:szCs w:val="20"/>
                <w:color w:val="auto"/>
              </w:rPr>
            </w:pPr>
            <w:r>
              <w:rPr>
                <w:rFonts w:ascii="Arial" w:cs="Arial" w:eastAsia="Arial" w:hAnsi="Arial"/>
                <w:sz w:val="14"/>
                <w:szCs w:val="14"/>
                <w:b w:val="1"/>
                <w:bCs w:val="1"/>
                <w:color w:val="auto"/>
              </w:rPr>
              <w:t>Gross</w:t>
            </w:r>
          </w:p>
        </w:tc>
        <w:tc>
          <w:tcPr>
            <w:tcW w:w="1260" w:type="dxa"/>
            <w:vAlign w:val="bottom"/>
            <w:shd w:val="clear" w:color="auto" w:fill="E5E5E5"/>
          </w:tcPr>
          <w:p>
            <w:pPr>
              <w:spacing w:after="0"/>
              <w:rPr>
                <w:sz w:val="20"/>
                <w:szCs w:val="20"/>
                <w:color w:val="auto"/>
              </w:rPr>
            </w:pPr>
          </w:p>
        </w:tc>
        <w:tc>
          <w:tcPr>
            <w:tcW w:w="960" w:type="dxa"/>
            <w:vAlign w:val="bottom"/>
            <w:gridSpan w:val="2"/>
            <w:shd w:val="clear" w:color="auto" w:fill="E5E5E5"/>
          </w:tcPr>
          <w:p>
            <w:pPr>
              <w:jc w:val="right"/>
              <w:ind w:right="215"/>
              <w:spacing w:after="0"/>
              <w:rPr>
                <w:sz w:val="20"/>
                <w:szCs w:val="20"/>
                <w:color w:val="auto"/>
              </w:rPr>
            </w:pPr>
            <w:r>
              <w:rPr>
                <w:rFonts w:ascii="Arial" w:cs="Arial" w:eastAsia="Arial" w:hAnsi="Arial"/>
                <w:sz w:val="14"/>
                <w:szCs w:val="14"/>
                <w:b w:val="1"/>
                <w:bCs w:val="1"/>
                <w:color w:val="auto"/>
              </w:rPr>
              <w:t>Gross</w:t>
            </w:r>
          </w:p>
        </w:tc>
        <w:tc>
          <w:tcPr>
            <w:tcW w:w="740" w:type="dxa"/>
            <w:vAlign w:val="bottom"/>
            <w:shd w:val="clear" w:color="auto" w:fill="E5E5E5"/>
          </w:tcPr>
          <w:p>
            <w:pPr>
              <w:spacing w:after="0"/>
              <w:rPr>
                <w:sz w:val="20"/>
                <w:szCs w:val="20"/>
                <w:color w:val="auto"/>
              </w:rPr>
            </w:pPr>
          </w:p>
        </w:tc>
        <w:tc>
          <w:tcPr>
            <w:tcW w:w="300" w:type="dxa"/>
            <w:vAlign w:val="bottom"/>
            <w:shd w:val="clear" w:color="auto" w:fill="E5E5E5"/>
          </w:tcPr>
          <w:p>
            <w:pPr>
              <w:spacing w:after="0"/>
              <w:rPr>
                <w:sz w:val="20"/>
                <w:szCs w:val="20"/>
                <w:color w:val="auto"/>
              </w:rPr>
            </w:pPr>
          </w:p>
        </w:tc>
      </w:tr>
      <w:tr>
        <w:trPr>
          <w:trHeight w:val="149"/>
        </w:trPr>
        <w:tc>
          <w:tcPr>
            <w:tcW w:w="7000" w:type="dxa"/>
            <w:vAlign w:val="bottom"/>
            <w:shd w:val="clear" w:color="auto" w:fill="E5E5E5"/>
          </w:tcPr>
          <w:p>
            <w:pPr>
              <w:spacing w:after="0"/>
              <w:rPr>
                <w:sz w:val="12"/>
                <w:szCs w:val="12"/>
                <w:color w:val="auto"/>
              </w:rPr>
            </w:pPr>
          </w:p>
        </w:tc>
        <w:tc>
          <w:tcPr>
            <w:tcW w:w="380" w:type="dxa"/>
            <w:vAlign w:val="bottom"/>
            <w:shd w:val="clear" w:color="auto" w:fill="E5E5E5"/>
          </w:tcPr>
          <w:p>
            <w:pPr>
              <w:spacing w:after="0"/>
              <w:rPr>
                <w:sz w:val="12"/>
                <w:szCs w:val="12"/>
                <w:color w:val="auto"/>
              </w:rPr>
            </w:pPr>
          </w:p>
        </w:tc>
        <w:tc>
          <w:tcPr>
            <w:tcW w:w="780" w:type="dxa"/>
            <w:vAlign w:val="bottom"/>
            <w:gridSpan w:val="2"/>
            <w:shd w:val="clear" w:color="auto" w:fill="E5E5E5"/>
          </w:tcPr>
          <w:p>
            <w:pPr>
              <w:ind w:left="20"/>
              <w:spacing w:after="0" w:line="149" w:lineRule="exact"/>
              <w:rPr>
                <w:sz w:val="20"/>
                <w:szCs w:val="20"/>
                <w:color w:val="auto"/>
              </w:rPr>
            </w:pPr>
            <w:r>
              <w:rPr>
                <w:rFonts w:ascii="Arial" w:cs="Arial" w:eastAsia="Arial" w:hAnsi="Arial"/>
                <w:sz w:val="14"/>
                <w:szCs w:val="14"/>
                <w:b w:val="1"/>
                <w:bCs w:val="1"/>
                <w:color w:val="auto"/>
              </w:rPr>
              <w:t>Carrying</w:t>
            </w:r>
          </w:p>
        </w:tc>
        <w:tc>
          <w:tcPr>
            <w:tcW w:w="1260" w:type="dxa"/>
            <w:vAlign w:val="bottom"/>
            <w:shd w:val="clear" w:color="auto" w:fill="E5E5E5"/>
          </w:tcPr>
          <w:p>
            <w:pPr>
              <w:jc w:val="right"/>
              <w:ind w:right="117"/>
              <w:spacing w:after="0" w:line="149" w:lineRule="exact"/>
              <w:rPr>
                <w:sz w:val="20"/>
                <w:szCs w:val="20"/>
                <w:color w:val="auto"/>
              </w:rPr>
            </w:pPr>
            <w:r>
              <w:rPr>
                <w:rFonts w:ascii="Arial" w:cs="Arial" w:eastAsia="Arial" w:hAnsi="Arial"/>
                <w:sz w:val="14"/>
                <w:szCs w:val="14"/>
                <w:b w:val="1"/>
                <w:bCs w:val="1"/>
                <w:color w:val="auto"/>
              </w:rPr>
              <w:t>Accumulated</w:t>
            </w:r>
          </w:p>
        </w:tc>
        <w:tc>
          <w:tcPr>
            <w:tcW w:w="960" w:type="dxa"/>
            <w:vAlign w:val="bottom"/>
            <w:gridSpan w:val="2"/>
            <w:shd w:val="clear" w:color="auto" w:fill="E5E5E5"/>
          </w:tcPr>
          <w:p>
            <w:pPr>
              <w:ind w:left="200"/>
              <w:spacing w:after="0" w:line="149" w:lineRule="exact"/>
              <w:rPr>
                <w:sz w:val="20"/>
                <w:szCs w:val="20"/>
                <w:color w:val="auto"/>
              </w:rPr>
            </w:pPr>
            <w:r>
              <w:rPr>
                <w:rFonts w:ascii="Arial" w:cs="Arial" w:eastAsia="Arial" w:hAnsi="Arial"/>
                <w:sz w:val="14"/>
                <w:szCs w:val="14"/>
                <w:b w:val="1"/>
                <w:bCs w:val="1"/>
                <w:color w:val="auto"/>
              </w:rPr>
              <w:t>Carrying</w:t>
            </w:r>
          </w:p>
        </w:tc>
        <w:tc>
          <w:tcPr>
            <w:tcW w:w="1040" w:type="dxa"/>
            <w:vAlign w:val="bottom"/>
            <w:gridSpan w:val="2"/>
            <w:shd w:val="clear" w:color="auto" w:fill="E5E5E5"/>
          </w:tcPr>
          <w:p>
            <w:pPr>
              <w:ind w:left="200"/>
              <w:spacing w:after="0" w:line="149" w:lineRule="exact"/>
              <w:rPr>
                <w:sz w:val="20"/>
                <w:szCs w:val="20"/>
                <w:color w:val="auto"/>
              </w:rPr>
            </w:pPr>
            <w:r>
              <w:rPr>
                <w:rFonts w:ascii="Arial" w:cs="Arial" w:eastAsia="Arial" w:hAnsi="Arial"/>
                <w:sz w:val="14"/>
                <w:szCs w:val="14"/>
                <w:b w:val="1"/>
                <w:bCs w:val="1"/>
                <w:color w:val="auto"/>
                <w:w w:val="93"/>
              </w:rPr>
              <w:t>Accumulated</w:t>
            </w:r>
          </w:p>
        </w:tc>
      </w:tr>
      <w:tr>
        <w:trPr>
          <w:trHeight w:val="165"/>
        </w:trPr>
        <w:tc>
          <w:tcPr>
            <w:tcW w:w="7000" w:type="dxa"/>
            <w:vAlign w:val="bottom"/>
            <w:shd w:val="clear" w:color="auto" w:fill="E5E5E5"/>
          </w:tcPr>
          <w:p>
            <w:pPr>
              <w:spacing w:after="0"/>
              <w:rPr>
                <w:sz w:val="20"/>
                <w:szCs w:val="20"/>
                <w:color w:val="auto"/>
              </w:rPr>
            </w:pPr>
            <w:r>
              <w:rPr>
                <w:rFonts w:ascii="Arial" w:cs="Arial" w:eastAsia="Arial" w:hAnsi="Arial"/>
                <w:sz w:val="14"/>
                <w:szCs w:val="14"/>
                <w:b w:val="1"/>
                <w:bCs w:val="1"/>
                <w:color w:val="auto"/>
              </w:rPr>
              <w:t>Amortized Intangible Assets</w:t>
            </w:r>
          </w:p>
        </w:tc>
        <w:tc>
          <w:tcPr>
            <w:tcW w:w="380" w:type="dxa"/>
            <w:vAlign w:val="bottom"/>
            <w:shd w:val="clear" w:color="auto" w:fill="E5E5E5"/>
          </w:tcPr>
          <w:p>
            <w:pPr>
              <w:spacing w:after="0"/>
              <w:rPr>
                <w:sz w:val="14"/>
                <w:szCs w:val="14"/>
                <w:color w:val="auto"/>
              </w:rPr>
            </w:pPr>
          </w:p>
        </w:tc>
        <w:tc>
          <w:tcPr>
            <w:tcW w:w="780" w:type="dxa"/>
            <w:vAlign w:val="bottom"/>
            <w:gridSpan w:val="2"/>
            <w:shd w:val="clear" w:color="auto" w:fill="E5E5E5"/>
          </w:tcPr>
          <w:p>
            <w:pPr>
              <w:ind w:left="40"/>
              <w:spacing w:after="0"/>
              <w:rPr>
                <w:sz w:val="20"/>
                <w:szCs w:val="20"/>
                <w:color w:val="auto"/>
              </w:rPr>
            </w:pPr>
            <w:r>
              <w:rPr>
                <w:rFonts w:ascii="Arial" w:cs="Arial" w:eastAsia="Arial" w:hAnsi="Arial"/>
                <w:sz w:val="14"/>
                <w:szCs w:val="14"/>
                <w:b w:val="1"/>
                <w:bCs w:val="1"/>
                <w:color w:val="auto"/>
              </w:rPr>
              <w:t>Amount</w:t>
            </w:r>
          </w:p>
        </w:tc>
        <w:tc>
          <w:tcPr>
            <w:tcW w:w="1260" w:type="dxa"/>
            <w:vAlign w:val="bottom"/>
            <w:shd w:val="clear" w:color="auto" w:fill="E5E5E5"/>
          </w:tcPr>
          <w:p>
            <w:pPr>
              <w:jc w:val="right"/>
              <w:ind w:right="137"/>
              <w:spacing w:after="0"/>
              <w:rPr>
                <w:sz w:val="20"/>
                <w:szCs w:val="20"/>
                <w:color w:val="auto"/>
              </w:rPr>
            </w:pPr>
            <w:r>
              <w:rPr>
                <w:rFonts w:ascii="Arial" w:cs="Arial" w:eastAsia="Arial" w:hAnsi="Arial"/>
                <w:sz w:val="14"/>
                <w:szCs w:val="14"/>
                <w:b w:val="1"/>
                <w:bCs w:val="1"/>
                <w:color w:val="auto"/>
              </w:rPr>
              <w:t>Amortization</w:t>
            </w:r>
          </w:p>
        </w:tc>
        <w:tc>
          <w:tcPr>
            <w:tcW w:w="960" w:type="dxa"/>
            <w:vAlign w:val="bottom"/>
            <w:gridSpan w:val="2"/>
            <w:shd w:val="clear" w:color="auto" w:fill="E5E5E5"/>
          </w:tcPr>
          <w:p>
            <w:pPr>
              <w:ind w:left="220"/>
              <w:spacing w:after="0"/>
              <w:rPr>
                <w:sz w:val="20"/>
                <w:szCs w:val="20"/>
                <w:color w:val="auto"/>
              </w:rPr>
            </w:pPr>
            <w:r>
              <w:rPr>
                <w:rFonts w:ascii="Arial" w:cs="Arial" w:eastAsia="Arial" w:hAnsi="Arial"/>
                <w:sz w:val="14"/>
                <w:szCs w:val="14"/>
                <w:b w:val="1"/>
                <w:bCs w:val="1"/>
                <w:color w:val="auto"/>
              </w:rPr>
              <w:t>Amount</w:t>
            </w:r>
          </w:p>
        </w:tc>
        <w:tc>
          <w:tcPr>
            <w:tcW w:w="1040" w:type="dxa"/>
            <w:vAlign w:val="bottom"/>
            <w:gridSpan w:val="2"/>
            <w:shd w:val="clear" w:color="auto" w:fill="E5E5E5"/>
          </w:tcPr>
          <w:p>
            <w:pPr>
              <w:ind w:left="200"/>
              <w:spacing w:after="0"/>
              <w:rPr>
                <w:sz w:val="20"/>
                <w:szCs w:val="20"/>
                <w:color w:val="auto"/>
              </w:rPr>
            </w:pPr>
            <w:r>
              <w:rPr>
                <w:rFonts w:ascii="Arial" w:cs="Arial" w:eastAsia="Arial" w:hAnsi="Arial"/>
                <w:sz w:val="14"/>
                <w:szCs w:val="14"/>
                <w:b w:val="1"/>
                <w:bCs w:val="1"/>
                <w:color w:val="auto"/>
                <w:w w:val="95"/>
              </w:rPr>
              <w:t>Amortization</w:t>
            </w:r>
          </w:p>
        </w:tc>
      </w:tr>
      <w:tr>
        <w:trPr>
          <w:trHeight w:val="351"/>
        </w:trPr>
        <w:tc>
          <w:tcPr>
            <w:tcW w:w="7000" w:type="dxa"/>
            <w:vAlign w:val="bottom"/>
          </w:tcPr>
          <w:p>
            <w:pPr>
              <w:spacing w:after="0"/>
              <w:rPr>
                <w:sz w:val="20"/>
                <w:szCs w:val="20"/>
                <w:color w:val="auto"/>
              </w:rPr>
            </w:pPr>
            <w:r>
              <w:rPr>
                <w:rFonts w:ascii="Arial" w:cs="Arial" w:eastAsia="Arial" w:hAnsi="Arial"/>
                <w:sz w:val="18"/>
                <w:szCs w:val="18"/>
                <w:color w:val="auto"/>
              </w:rPr>
              <w:t>Developed and core technology</w:t>
            </w:r>
          </w:p>
        </w:tc>
        <w:tc>
          <w:tcPr>
            <w:tcW w:w="540" w:type="dxa"/>
            <w:vAlign w:val="bottom"/>
            <w:gridSpan w:val="2"/>
          </w:tcPr>
          <w:p>
            <w:pPr>
              <w:ind w:left="400"/>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ind w:right="195"/>
              <w:spacing w:after="0"/>
              <w:rPr>
                <w:sz w:val="20"/>
                <w:szCs w:val="20"/>
                <w:color w:val="auto"/>
              </w:rPr>
            </w:pPr>
            <w:r>
              <w:rPr>
                <w:rFonts w:ascii="Arial" w:cs="Arial" w:eastAsia="Arial" w:hAnsi="Arial"/>
                <w:sz w:val="18"/>
                <w:szCs w:val="18"/>
                <w:b w:val="1"/>
                <w:bCs w:val="1"/>
                <w:color w:val="auto"/>
              </w:rPr>
              <w:t>141</w:t>
            </w:r>
          </w:p>
        </w:tc>
        <w:tc>
          <w:tcPr>
            <w:tcW w:w="1260" w:type="dxa"/>
            <w:vAlign w:val="bottom"/>
          </w:tcPr>
          <w:p>
            <w:pPr>
              <w:jc w:val="right"/>
              <w:ind w:right="217"/>
              <w:spacing w:after="0"/>
              <w:rPr>
                <w:sz w:val="20"/>
                <w:szCs w:val="20"/>
                <w:color w:val="auto"/>
              </w:rPr>
            </w:pPr>
            <w:r>
              <w:rPr>
                <w:rFonts w:ascii="Arial" w:cs="Arial" w:eastAsia="Arial" w:hAnsi="Arial"/>
                <w:sz w:val="18"/>
                <w:szCs w:val="18"/>
                <w:b w:val="1"/>
                <w:bCs w:val="1"/>
                <w:color w:val="auto"/>
              </w:rPr>
              <w:t>$ 60</w:t>
            </w:r>
          </w:p>
        </w:tc>
        <w:tc>
          <w:tcPr>
            <w:tcW w:w="380" w:type="dxa"/>
            <w:vAlign w:val="bottom"/>
          </w:tcPr>
          <w:p>
            <w:pPr>
              <w:ind w:left="20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15"/>
              <w:spacing w:after="0"/>
              <w:rPr>
                <w:sz w:val="20"/>
                <w:szCs w:val="20"/>
                <w:color w:val="auto"/>
              </w:rPr>
            </w:pPr>
            <w:r>
              <w:rPr>
                <w:rFonts w:ascii="Arial" w:cs="Arial" w:eastAsia="Arial" w:hAnsi="Arial"/>
                <w:sz w:val="18"/>
                <w:szCs w:val="18"/>
                <w:color w:val="auto"/>
              </w:rPr>
              <w:t>209</w:t>
            </w:r>
          </w:p>
        </w:tc>
        <w:tc>
          <w:tcPr>
            <w:tcW w:w="740" w:type="dxa"/>
            <w:vAlign w:val="bottom"/>
          </w:tcPr>
          <w:p>
            <w:pPr>
              <w:ind w:left="18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93"/>
              </w:rPr>
              <w:t>137</w:t>
            </w:r>
          </w:p>
        </w:tc>
      </w:tr>
      <w:tr>
        <w:trPr>
          <w:trHeight w:val="203"/>
        </w:trPr>
        <w:tc>
          <w:tcPr>
            <w:tcW w:w="70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Customer relationships</w:t>
            </w:r>
          </w:p>
        </w:tc>
        <w:tc>
          <w:tcPr>
            <w:tcW w:w="38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620" w:type="dxa"/>
            <w:vAlign w:val="bottom"/>
            <w:shd w:val="clear" w:color="auto" w:fill="E5E5E5"/>
          </w:tcPr>
          <w:p>
            <w:pPr>
              <w:jc w:val="right"/>
              <w:ind w:right="195"/>
              <w:spacing w:after="0" w:line="202" w:lineRule="exact"/>
              <w:rPr>
                <w:sz w:val="20"/>
                <w:szCs w:val="20"/>
                <w:color w:val="auto"/>
              </w:rPr>
            </w:pPr>
            <w:r>
              <w:rPr>
                <w:rFonts w:ascii="Arial" w:cs="Arial" w:eastAsia="Arial" w:hAnsi="Arial"/>
                <w:sz w:val="18"/>
                <w:szCs w:val="18"/>
                <w:b w:val="1"/>
                <w:bCs w:val="1"/>
                <w:color w:val="auto"/>
              </w:rPr>
              <w:t>20</w:t>
            </w:r>
          </w:p>
        </w:tc>
        <w:tc>
          <w:tcPr>
            <w:tcW w:w="1260" w:type="dxa"/>
            <w:vAlign w:val="bottom"/>
            <w:shd w:val="clear" w:color="auto" w:fill="E5E5E5"/>
          </w:tcPr>
          <w:p>
            <w:pPr>
              <w:jc w:val="right"/>
              <w:ind w:right="217"/>
              <w:spacing w:after="0" w:line="202" w:lineRule="exact"/>
              <w:rPr>
                <w:sz w:val="20"/>
                <w:szCs w:val="20"/>
                <w:color w:val="auto"/>
              </w:rPr>
            </w:pPr>
            <w:r>
              <w:rPr>
                <w:rFonts w:ascii="Arial" w:cs="Arial" w:eastAsia="Arial" w:hAnsi="Arial"/>
                <w:sz w:val="18"/>
                <w:szCs w:val="18"/>
                <w:b w:val="1"/>
                <w:bCs w:val="1"/>
                <w:color w:val="auto"/>
              </w:rPr>
              <w:t>10</w:t>
            </w:r>
          </w:p>
        </w:tc>
        <w:tc>
          <w:tcPr>
            <w:tcW w:w="380" w:type="dxa"/>
            <w:vAlign w:val="bottom"/>
            <w:shd w:val="clear" w:color="auto" w:fill="E5E5E5"/>
          </w:tcPr>
          <w:p>
            <w:pPr>
              <w:spacing w:after="0"/>
              <w:rPr>
                <w:sz w:val="17"/>
                <w:szCs w:val="17"/>
                <w:color w:val="auto"/>
              </w:rPr>
            </w:pPr>
          </w:p>
        </w:tc>
        <w:tc>
          <w:tcPr>
            <w:tcW w:w="580" w:type="dxa"/>
            <w:vAlign w:val="bottom"/>
            <w:shd w:val="clear" w:color="auto" w:fill="E5E5E5"/>
          </w:tcPr>
          <w:p>
            <w:pPr>
              <w:jc w:val="right"/>
              <w:ind w:right="115"/>
              <w:spacing w:after="0" w:line="202" w:lineRule="exact"/>
              <w:rPr>
                <w:sz w:val="20"/>
                <w:szCs w:val="20"/>
                <w:color w:val="auto"/>
              </w:rPr>
            </w:pPr>
            <w:r>
              <w:rPr>
                <w:rFonts w:ascii="Arial" w:cs="Arial" w:eastAsia="Arial" w:hAnsi="Arial"/>
                <w:sz w:val="18"/>
                <w:szCs w:val="18"/>
                <w:color w:val="auto"/>
              </w:rPr>
              <w:t>45</w:t>
            </w:r>
          </w:p>
        </w:tc>
        <w:tc>
          <w:tcPr>
            <w:tcW w:w="740" w:type="dxa"/>
            <w:vAlign w:val="bottom"/>
            <w:shd w:val="clear" w:color="auto" w:fill="E5E5E5"/>
          </w:tcPr>
          <w:p>
            <w:pPr>
              <w:spacing w:after="0"/>
              <w:rPr>
                <w:sz w:val="17"/>
                <w:szCs w:val="17"/>
                <w:color w:val="auto"/>
              </w:rPr>
            </w:pPr>
          </w:p>
        </w:tc>
        <w:tc>
          <w:tcPr>
            <w:tcW w:w="3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30</w:t>
            </w:r>
          </w:p>
        </w:tc>
      </w:tr>
      <w:tr>
        <w:trPr>
          <w:trHeight w:val="203"/>
        </w:trPr>
        <w:tc>
          <w:tcPr>
            <w:tcW w:w="7000" w:type="dxa"/>
            <w:vAlign w:val="bottom"/>
          </w:tcPr>
          <w:p>
            <w:pPr>
              <w:spacing w:after="0" w:line="202" w:lineRule="exact"/>
              <w:rPr>
                <w:sz w:val="20"/>
                <w:szCs w:val="20"/>
                <w:color w:val="auto"/>
              </w:rPr>
            </w:pPr>
            <w:r>
              <w:rPr>
                <w:rFonts w:ascii="Arial" w:cs="Arial" w:eastAsia="Arial" w:hAnsi="Arial"/>
                <w:sz w:val="18"/>
                <w:szCs w:val="18"/>
                <w:color w:val="auto"/>
              </w:rPr>
              <w:t>Patents and trademarks</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ind w:right="195"/>
              <w:spacing w:after="0" w:line="202" w:lineRule="exact"/>
              <w:rPr>
                <w:sz w:val="20"/>
                <w:szCs w:val="20"/>
                <w:color w:val="auto"/>
              </w:rPr>
            </w:pPr>
            <w:r>
              <w:rPr>
                <w:rFonts w:ascii="Arial" w:cs="Arial" w:eastAsia="Arial" w:hAnsi="Arial"/>
                <w:sz w:val="18"/>
                <w:szCs w:val="18"/>
                <w:b w:val="1"/>
                <w:bCs w:val="1"/>
                <w:color w:val="auto"/>
              </w:rPr>
              <w:t>32</w:t>
            </w:r>
          </w:p>
        </w:tc>
        <w:tc>
          <w:tcPr>
            <w:tcW w:w="1260" w:type="dxa"/>
            <w:vAlign w:val="bottom"/>
          </w:tcPr>
          <w:p>
            <w:pPr>
              <w:jc w:val="right"/>
              <w:ind w:right="217"/>
              <w:spacing w:after="0" w:line="202" w:lineRule="exact"/>
              <w:rPr>
                <w:sz w:val="20"/>
                <w:szCs w:val="20"/>
                <w:color w:val="auto"/>
              </w:rPr>
            </w:pPr>
            <w:r>
              <w:rPr>
                <w:rFonts w:ascii="Arial" w:cs="Arial" w:eastAsia="Arial" w:hAnsi="Arial"/>
                <w:sz w:val="18"/>
                <w:szCs w:val="18"/>
                <w:b w:val="1"/>
                <w:bCs w:val="1"/>
                <w:color w:val="auto"/>
              </w:rPr>
              <w:t>9</w:t>
            </w:r>
          </w:p>
        </w:tc>
        <w:tc>
          <w:tcPr>
            <w:tcW w:w="380" w:type="dxa"/>
            <w:vAlign w:val="bottom"/>
          </w:tcPr>
          <w:p>
            <w:pPr>
              <w:spacing w:after="0"/>
              <w:rPr>
                <w:sz w:val="17"/>
                <w:szCs w:val="17"/>
                <w:color w:val="auto"/>
              </w:rPr>
            </w:pPr>
          </w:p>
        </w:tc>
        <w:tc>
          <w:tcPr>
            <w:tcW w:w="580" w:type="dxa"/>
            <w:vAlign w:val="bottom"/>
          </w:tcPr>
          <w:p>
            <w:pPr>
              <w:jc w:val="right"/>
              <w:ind w:right="115"/>
              <w:spacing w:after="0" w:line="202" w:lineRule="exact"/>
              <w:rPr>
                <w:sz w:val="20"/>
                <w:szCs w:val="20"/>
                <w:color w:val="auto"/>
              </w:rPr>
            </w:pPr>
            <w:r>
              <w:rPr>
                <w:rFonts w:ascii="Arial" w:cs="Arial" w:eastAsia="Arial" w:hAnsi="Arial"/>
                <w:sz w:val="18"/>
                <w:szCs w:val="18"/>
                <w:color w:val="auto"/>
              </w:rPr>
              <w:t>32</w:t>
            </w:r>
          </w:p>
        </w:tc>
        <w:tc>
          <w:tcPr>
            <w:tcW w:w="740" w:type="dxa"/>
            <w:vAlign w:val="bottom"/>
          </w:tcPr>
          <w:p>
            <w:pPr>
              <w:spacing w:after="0"/>
              <w:rPr>
                <w:sz w:val="17"/>
                <w:szCs w:val="17"/>
                <w:color w:val="auto"/>
              </w:rPr>
            </w:pP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r>
      <w:tr>
        <w:trPr>
          <w:trHeight w:val="203"/>
        </w:trPr>
        <w:tc>
          <w:tcPr>
            <w:tcW w:w="70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Non-compete agreements</w:t>
            </w:r>
          </w:p>
        </w:tc>
        <w:tc>
          <w:tcPr>
            <w:tcW w:w="38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620" w:type="dxa"/>
            <w:vAlign w:val="bottom"/>
            <w:shd w:val="clear" w:color="auto" w:fill="E5E5E5"/>
          </w:tcPr>
          <w:p>
            <w:pPr>
              <w:jc w:val="right"/>
              <w:ind w:right="195"/>
              <w:spacing w:after="0" w:line="202" w:lineRule="exact"/>
              <w:rPr>
                <w:sz w:val="20"/>
                <w:szCs w:val="20"/>
                <w:color w:val="auto"/>
              </w:rPr>
            </w:pPr>
            <w:r>
              <w:rPr>
                <w:rFonts w:ascii="Arial" w:cs="Arial" w:eastAsia="Arial" w:hAnsi="Arial"/>
                <w:sz w:val="18"/>
                <w:szCs w:val="18"/>
                <w:b w:val="1"/>
                <w:bCs w:val="1"/>
                <w:color w:val="auto"/>
              </w:rPr>
              <w:t>6</w:t>
            </w:r>
          </w:p>
        </w:tc>
        <w:tc>
          <w:tcPr>
            <w:tcW w:w="1260" w:type="dxa"/>
            <w:vAlign w:val="bottom"/>
            <w:shd w:val="clear" w:color="auto" w:fill="E5E5E5"/>
          </w:tcPr>
          <w:p>
            <w:pPr>
              <w:jc w:val="right"/>
              <w:ind w:right="217"/>
              <w:spacing w:after="0" w:line="202" w:lineRule="exact"/>
              <w:rPr>
                <w:sz w:val="20"/>
                <w:szCs w:val="20"/>
                <w:color w:val="auto"/>
              </w:rPr>
            </w:pPr>
            <w:r>
              <w:rPr>
                <w:rFonts w:ascii="Arial" w:cs="Arial" w:eastAsia="Arial" w:hAnsi="Arial"/>
                <w:sz w:val="18"/>
                <w:szCs w:val="18"/>
                <w:b w:val="1"/>
                <w:bCs w:val="1"/>
                <w:color w:val="auto"/>
              </w:rPr>
              <w:t>5</w:t>
            </w:r>
          </w:p>
        </w:tc>
        <w:tc>
          <w:tcPr>
            <w:tcW w:w="380" w:type="dxa"/>
            <w:vAlign w:val="bottom"/>
            <w:shd w:val="clear" w:color="auto" w:fill="E5E5E5"/>
          </w:tcPr>
          <w:p>
            <w:pPr>
              <w:spacing w:after="0"/>
              <w:rPr>
                <w:sz w:val="17"/>
                <w:szCs w:val="17"/>
                <w:color w:val="auto"/>
              </w:rPr>
            </w:pPr>
          </w:p>
        </w:tc>
        <w:tc>
          <w:tcPr>
            <w:tcW w:w="580" w:type="dxa"/>
            <w:vAlign w:val="bottom"/>
            <w:shd w:val="clear" w:color="auto" w:fill="E5E5E5"/>
          </w:tcPr>
          <w:p>
            <w:pPr>
              <w:jc w:val="right"/>
              <w:ind w:right="115"/>
              <w:spacing w:after="0" w:line="202" w:lineRule="exact"/>
              <w:rPr>
                <w:sz w:val="20"/>
                <w:szCs w:val="20"/>
                <w:color w:val="auto"/>
              </w:rPr>
            </w:pPr>
            <w:r>
              <w:rPr>
                <w:rFonts w:ascii="Arial" w:cs="Arial" w:eastAsia="Arial" w:hAnsi="Arial"/>
                <w:sz w:val="18"/>
                <w:szCs w:val="18"/>
                <w:color w:val="auto"/>
              </w:rPr>
              <w:t>6</w:t>
            </w:r>
          </w:p>
        </w:tc>
        <w:tc>
          <w:tcPr>
            <w:tcW w:w="740" w:type="dxa"/>
            <w:vAlign w:val="bottom"/>
            <w:shd w:val="clear" w:color="auto" w:fill="E5E5E5"/>
          </w:tcPr>
          <w:p>
            <w:pPr>
              <w:spacing w:after="0"/>
              <w:rPr>
                <w:sz w:val="17"/>
                <w:szCs w:val="17"/>
                <w:color w:val="auto"/>
              </w:rPr>
            </w:pPr>
          </w:p>
        </w:tc>
        <w:tc>
          <w:tcPr>
            <w:tcW w:w="3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3</w:t>
            </w:r>
          </w:p>
        </w:tc>
      </w:tr>
      <w:tr>
        <w:trPr>
          <w:trHeight w:val="210"/>
        </w:trPr>
        <w:tc>
          <w:tcPr>
            <w:tcW w:w="700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3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95"/>
              <w:spacing w:after="0" w:line="202" w:lineRule="exact"/>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auto"/>
            </w:tcBorders>
          </w:tcPr>
          <w:p>
            <w:pPr>
              <w:jc w:val="right"/>
              <w:ind w:right="217"/>
              <w:spacing w:after="0" w:line="202" w:lineRule="exact"/>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15"/>
              <w:spacing w:after="0" w:line="202" w:lineRule="exact"/>
              <w:rPr>
                <w:sz w:val="20"/>
                <w:szCs w:val="20"/>
                <w:color w:val="auto"/>
              </w:rPr>
            </w:pPr>
            <w:r>
              <w:rPr>
                <w:rFonts w:ascii="Arial" w:cs="Arial" w:eastAsia="Arial" w:hAnsi="Arial"/>
                <w:sz w:val="18"/>
                <w:szCs w:val="18"/>
                <w:color w:val="auto"/>
              </w:rPr>
              <w:t>1</w:t>
            </w:r>
          </w:p>
        </w:tc>
        <w:tc>
          <w:tcPr>
            <w:tcW w:w="7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w:t>
            </w:r>
          </w:p>
        </w:tc>
      </w:tr>
      <w:tr>
        <w:trPr>
          <w:trHeight w:val="203"/>
        </w:trPr>
        <w:tc>
          <w:tcPr>
            <w:tcW w:w="70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Total</w:t>
            </w:r>
          </w:p>
        </w:tc>
        <w:tc>
          <w:tcPr>
            <w:tcW w:w="540" w:type="dxa"/>
            <w:vAlign w:val="bottom"/>
            <w:gridSpan w:val="2"/>
            <w:shd w:val="clear" w:color="auto" w:fill="E5E5E5"/>
          </w:tcPr>
          <w:p>
            <w:pPr>
              <w:ind w:left="400"/>
              <w:spacing w:after="0" w:line="202" w:lineRule="exact"/>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E5E5E5"/>
          </w:tcPr>
          <w:p>
            <w:pPr>
              <w:jc w:val="right"/>
              <w:ind w:right="195"/>
              <w:spacing w:after="0" w:line="202" w:lineRule="exact"/>
              <w:rPr>
                <w:sz w:val="20"/>
                <w:szCs w:val="20"/>
                <w:color w:val="auto"/>
              </w:rPr>
            </w:pPr>
            <w:r>
              <w:rPr>
                <w:rFonts w:ascii="Arial" w:cs="Arial" w:eastAsia="Arial" w:hAnsi="Arial"/>
                <w:sz w:val="18"/>
                <w:szCs w:val="18"/>
                <w:b w:val="1"/>
                <w:bCs w:val="1"/>
                <w:color w:val="auto"/>
              </w:rPr>
              <w:t>199</w:t>
            </w:r>
          </w:p>
        </w:tc>
        <w:tc>
          <w:tcPr>
            <w:tcW w:w="1260" w:type="dxa"/>
            <w:vAlign w:val="bottom"/>
            <w:shd w:val="clear" w:color="auto" w:fill="E5E5E5"/>
          </w:tcPr>
          <w:p>
            <w:pPr>
              <w:jc w:val="right"/>
              <w:ind w:right="217"/>
              <w:spacing w:after="0" w:line="202" w:lineRule="exact"/>
              <w:rPr>
                <w:sz w:val="20"/>
                <w:szCs w:val="20"/>
                <w:color w:val="auto"/>
              </w:rPr>
            </w:pPr>
            <w:r>
              <w:rPr>
                <w:rFonts w:ascii="Arial" w:cs="Arial" w:eastAsia="Arial" w:hAnsi="Arial"/>
                <w:sz w:val="18"/>
                <w:szCs w:val="18"/>
                <w:b w:val="1"/>
                <w:bCs w:val="1"/>
                <w:color w:val="auto"/>
              </w:rPr>
              <w:t>$ 84</w:t>
            </w:r>
          </w:p>
        </w:tc>
        <w:tc>
          <w:tcPr>
            <w:tcW w:w="380" w:type="dxa"/>
            <w:vAlign w:val="bottom"/>
            <w:shd w:val="clear" w:color="auto" w:fill="E5E5E5"/>
          </w:tcPr>
          <w:p>
            <w:pPr>
              <w:ind w:left="200"/>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E5E5E5"/>
          </w:tcPr>
          <w:p>
            <w:pPr>
              <w:jc w:val="right"/>
              <w:ind w:right="115"/>
              <w:spacing w:after="0" w:line="202" w:lineRule="exact"/>
              <w:rPr>
                <w:sz w:val="20"/>
                <w:szCs w:val="20"/>
                <w:color w:val="auto"/>
              </w:rPr>
            </w:pPr>
            <w:r>
              <w:rPr>
                <w:rFonts w:ascii="Arial" w:cs="Arial" w:eastAsia="Arial" w:hAnsi="Arial"/>
                <w:sz w:val="18"/>
                <w:szCs w:val="18"/>
                <w:color w:val="auto"/>
              </w:rPr>
              <w:t>293</w:t>
            </w:r>
          </w:p>
        </w:tc>
        <w:tc>
          <w:tcPr>
            <w:tcW w:w="740" w:type="dxa"/>
            <w:vAlign w:val="bottom"/>
            <w:shd w:val="clear" w:color="auto" w:fill="E5E5E5"/>
          </w:tcPr>
          <w:p>
            <w:pPr>
              <w:ind w:left="180"/>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93"/>
              </w:rPr>
              <w:t>175</w:t>
            </w:r>
          </w:p>
        </w:tc>
      </w:tr>
      <w:tr>
        <w:trPr>
          <w:trHeight w:val="20"/>
        </w:trPr>
        <w:tc>
          <w:tcPr>
            <w:tcW w:w="7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Amortization of acquisition-related intangibles was $48 million, $59 million and $55 million for 2007, 2006 and 2005, primarily related to developed technology.</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0320" w:type="dxa"/>
            <w:vAlign w:val="bottom"/>
          </w:tcPr>
          <w:p>
            <w:pPr>
              <w:spacing w:after="0"/>
              <w:rPr>
                <w:sz w:val="20"/>
                <w:szCs w:val="20"/>
                <w:color w:val="auto"/>
              </w:rPr>
            </w:pPr>
            <w:r>
              <w:rPr>
                <w:rFonts w:ascii="Arial" w:cs="Arial" w:eastAsia="Arial" w:hAnsi="Arial"/>
                <w:sz w:val="18"/>
                <w:szCs w:val="18"/>
                <w:color w:val="auto"/>
              </w:rPr>
              <w:t>The following table sets forth the estimated amortization of acquisition-related intangibles for the years ended December 31:</w:t>
            </w:r>
          </w:p>
        </w:tc>
        <w:tc>
          <w:tcPr>
            <w:tcW w:w="1100" w:type="dxa"/>
            <w:vAlign w:val="bottom"/>
          </w:tcPr>
          <w:p>
            <w:pPr>
              <w:spacing w:after="0"/>
              <w:rPr>
                <w:sz w:val="18"/>
                <w:szCs w:val="18"/>
                <w:color w:val="auto"/>
              </w:rPr>
            </w:pPr>
          </w:p>
        </w:tc>
      </w:tr>
      <w:tr>
        <w:trPr>
          <w:trHeight w:val="191"/>
        </w:trPr>
        <w:tc>
          <w:tcPr>
            <w:tcW w:w="10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3"/>
        </w:trPr>
        <w:tc>
          <w:tcPr>
            <w:tcW w:w="103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2008</w:t>
            </w:r>
          </w:p>
        </w:tc>
        <w:tc>
          <w:tcPr>
            <w:tcW w:w="11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$ 35</w:t>
            </w:r>
          </w:p>
        </w:tc>
      </w:tr>
      <w:tr>
        <w:trPr>
          <w:trHeight w:val="203"/>
        </w:trPr>
        <w:tc>
          <w:tcPr>
            <w:tcW w:w="10320" w:type="dxa"/>
            <w:vAlign w:val="bottom"/>
          </w:tcPr>
          <w:p>
            <w:pPr>
              <w:spacing w:after="0" w:line="202" w:lineRule="exact"/>
              <w:rPr>
                <w:sz w:val="20"/>
                <w:szCs w:val="20"/>
                <w:color w:val="auto"/>
              </w:rPr>
            </w:pPr>
            <w:r>
              <w:rPr>
                <w:rFonts w:ascii="Arial" w:cs="Arial" w:eastAsia="Arial" w:hAnsi="Arial"/>
                <w:sz w:val="18"/>
                <w:szCs w:val="18"/>
                <w:color w:val="auto"/>
              </w:rPr>
              <w:t>2009</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30</w:t>
            </w:r>
          </w:p>
        </w:tc>
      </w:tr>
      <w:tr>
        <w:trPr>
          <w:trHeight w:val="203"/>
        </w:trPr>
        <w:tc>
          <w:tcPr>
            <w:tcW w:w="103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2010</w:t>
            </w:r>
          </w:p>
        </w:tc>
        <w:tc>
          <w:tcPr>
            <w:tcW w:w="11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29</w:t>
            </w:r>
          </w:p>
        </w:tc>
      </w:tr>
      <w:tr>
        <w:trPr>
          <w:trHeight w:val="203"/>
        </w:trPr>
        <w:tc>
          <w:tcPr>
            <w:tcW w:w="10320" w:type="dxa"/>
            <w:vAlign w:val="bottom"/>
          </w:tcPr>
          <w:p>
            <w:pPr>
              <w:spacing w:after="0" w:line="202" w:lineRule="exact"/>
              <w:rPr>
                <w:sz w:val="20"/>
                <w:szCs w:val="20"/>
                <w:color w:val="auto"/>
              </w:rPr>
            </w:pPr>
            <w:r>
              <w:rPr>
                <w:rFonts w:ascii="Arial" w:cs="Arial" w:eastAsia="Arial" w:hAnsi="Arial"/>
                <w:sz w:val="18"/>
                <w:szCs w:val="18"/>
                <w:color w:val="auto"/>
              </w:rPr>
              <w:t>2011</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14</w:t>
            </w:r>
          </w:p>
        </w:tc>
      </w:tr>
      <w:tr>
        <w:trPr>
          <w:trHeight w:val="203"/>
        </w:trPr>
        <w:tc>
          <w:tcPr>
            <w:tcW w:w="103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2012</w:t>
            </w:r>
          </w:p>
        </w:tc>
        <w:tc>
          <w:tcPr>
            <w:tcW w:w="11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5</w:t>
            </w:r>
          </w:p>
        </w:tc>
      </w:tr>
      <w:tr>
        <w:trPr>
          <w:trHeight w:val="214"/>
        </w:trPr>
        <w:tc>
          <w:tcPr>
            <w:tcW w:w="10320" w:type="dxa"/>
            <w:vAlign w:val="bottom"/>
          </w:tcPr>
          <w:p>
            <w:pPr>
              <w:spacing w:after="0"/>
              <w:rPr>
                <w:sz w:val="20"/>
                <w:szCs w:val="20"/>
                <w:color w:val="auto"/>
              </w:rPr>
            </w:pPr>
            <w:r>
              <w:rPr>
                <w:rFonts w:ascii="Arial" w:cs="Arial" w:eastAsia="Arial" w:hAnsi="Arial"/>
                <w:sz w:val="18"/>
                <w:szCs w:val="18"/>
                <w:color w:val="auto"/>
              </w:rPr>
              <w:t>Thereafter</w:t>
            </w: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99"/>
        </w:trPr>
        <w:tc>
          <w:tcPr>
            <w:tcW w:w="10320" w:type="dxa"/>
            <w:vAlign w:val="bottom"/>
          </w:tcPr>
          <w:p>
            <w:pPr>
              <w:spacing w:after="0"/>
              <w:rPr>
                <w:sz w:val="20"/>
                <w:szCs w:val="20"/>
                <w:color w:val="auto"/>
              </w:rPr>
            </w:pPr>
            <w:r>
              <w:rPr>
                <w:rFonts w:ascii="Arial" w:cs="Arial" w:eastAsia="Arial" w:hAnsi="Arial"/>
                <w:sz w:val="14"/>
                <w:szCs w:val="14"/>
                <w:color w:val="auto"/>
              </w:rPr>
              <w:t>TEXAS INSTRUMENTS 2007 ANNUAL REPORT</w:t>
            </w:r>
          </w:p>
        </w:tc>
        <w:tc>
          <w:tcPr>
            <w:tcW w:w="1100" w:type="dxa"/>
            <w:vAlign w:val="bottom"/>
          </w:tcPr>
          <w:p>
            <w:pPr>
              <w:jc w:val="right"/>
              <w:spacing w:after="0"/>
              <w:rPr>
                <w:sz w:val="20"/>
                <w:szCs w:val="20"/>
                <w:color w:val="auto"/>
              </w:rPr>
            </w:pPr>
            <w:r>
              <w:rPr>
                <w:rFonts w:ascii="Arial" w:cs="Arial" w:eastAsia="Arial" w:hAnsi="Arial"/>
                <w:sz w:val="14"/>
                <w:szCs w:val="14"/>
                <w:color w:val="auto"/>
              </w:rPr>
              <w:t>21</w:t>
            </w:r>
          </w:p>
        </w:tc>
      </w:tr>
    </w:tbl>
    <w:p>
      <w:pPr>
        <w:sectPr>
          <w:pgSz w:w="11900" w:h="16838" w:orient="portrait"/>
          <w:cols w:equalWidth="0" w:num="1">
            <w:col w:w="11420"/>
          </w:cols>
          <w:pgMar w:left="240" w:top="269"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6. Debt and Lines of Credit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On April 2, 2007, we retired $43 million of 8.75% notes at maturity. As of December 31, 2007, we have no outstanding long-term debt.</w:t>
      </w:r>
    </w:p>
    <w:p>
      <w:pPr>
        <w:spacing w:after="0" w:line="158"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In November 2005, in connection with the repatriation of non-U.S. earnings under provisions of the American Jobs Creation Act of 2004 (AJCA), our Japan subsidiary entered into a five-year syndicated credit agreement with a consortium of banks to borrow $275 million at a LIBOR-based variable rate. During the second quarter of 2006, the $275 million was prepaid. The agreement continues to provide a revolving credit facility for an additional $175 million that would carry a variable rate of interest, if drawn.</w:t>
      </w:r>
    </w:p>
    <w:p>
      <w:pPr>
        <w:spacing w:after="0" w:line="155" w:lineRule="exact"/>
        <w:rPr>
          <w:sz w:val="20"/>
          <w:szCs w:val="20"/>
          <w:color w:val="auto"/>
        </w:rPr>
      </w:pPr>
    </w:p>
    <w:p>
      <w:pPr>
        <w:jc w:val="both"/>
        <w:ind w:right="500"/>
        <w:spacing w:after="0" w:line="238" w:lineRule="auto"/>
        <w:rPr>
          <w:sz w:val="20"/>
          <w:szCs w:val="20"/>
          <w:color w:val="auto"/>
        </w:rPr>
      </w:pPr>
      <w:r>
        <w:rPr>
          <w:rFonts w:ascii="Arial" w:cs="Arial" w:eastAsia="Arial" w:hAnsi="Arial"/>
          <w:sz w:val="18"/>
          <w:szCs w:val="18"/>
          <w:color w:val="auto"/>
        </w:rPr>
        <w:t>We also maintain lines of credit to support commercial paper borrowings and to provide additional liquidity through short-term bank loans. At December 31, 2007, we had a revolving credit facility under which a group of banks has committed $1 billion through August 2011, and $920 million thereafter through August 2012. This facility would carry a variable rate of interest, if drawn.</w:t>
      </w:r>
    </w:p>
    <w:p>
      <w:pPr>
        <w:spacing w:after="0" w:line="2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At December 31, 2007 and 2006, both revolving credit facilities were undrawn and no commercial paper was outstanding.</w:t>
      </w:r>
    </w:p>
    <w:p>
      <w:pPr>
        <w:spacing w:after="0" w:line="158"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Interest incurred on loans in 2007, 2006 and 2005 was $1 million, $12 million and $14 million. Of these amounts, $5 million in both 2006 and 2005 were capitalized as a component of capital asset construction costs.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Financial Instruments and Risk Concentration</w:t>
      </w:r>
    </w:p>
    <w:p>
      <w:pPr>
        <w:spacing w:after="0" w:line="180"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u w:val="single" w:color="auto"/>
          <w:color w:val="auto"/>
        </w:rPr>
        <w:t>Financial Instruments</w:t>
      </w:r>
      <w:r>
        <w:rPr>
          <w:rFonts w:ascii="Arial" w:cs="Arial" w:eastAsia="Arial" w:hAnsi="Arial"/>
          <w:sz w:val="18"/>
          <w:szCs w:val="18"/>
          <w:color w:val="auto"/>
        </w:rPr>
        <w:t>: We have derivative financial instruments, such as forward foreign currency exchange contracts, forward purchase contracts and investment warrants, the fair values of which were not significant as of December 31, 2007 or 2006. Our forward foreign currency exchange contracts outstanding at December 31, 2007, had a notional value of $487 million to hedge our non-U.S. dollar net balance sheet exposures (including $122 million to sell euros, $57 million to sell British pounds and $182 million to sell Japanese yen). Our forward foreign currency exchange contracts outstanding at December 31, 2006, had a notional value of $268 million to hedge our non-U.S. dollar net balance sheet exposures (including $85 million to sell euros, $82 million to sell British pounds and $48 million to sell Japanese yen).</w:t>
      </w:r>
    </w:p>
    <w:p>
      <w:pPr>
        <w:spacing w:after="0" w:line="156"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Also at December 31, 2007, we had a series of forward purchase contracts denominated in Philippine pesos to hedge specified forecasted transactions associated with the construction of a new assembly and test facility in the Philippines. These contracts are primarily intended to protect against exchange rate fluctuations between the U.S. dollar and Philippine peso during the estimated construction period. These contracts, which settle at various dates through January 2009, had an aggregate notional value of $65 million to buy a total of 2.67 billion pesos.</w:t>
      </w:r>
    </w:p>
    <w:p>
      <w:pPr>
        <w:spacing w:after="0" w:line="129"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Short-term investments are carried at fair value. The carrying values for other current financial assets and liabilities, such as accounts receivable and accounts payable, approximate fair value due to the short maturity of such instruments.</w:t>
      </w:r>
    </w:p>
    <w:p>
      <w:pPr>
        <w:spacing w:after="0" w:line="155" w:lineRule="exact"/>
        <w:rPr>
          <w:sz w:val="20"/>
          <w:szCs w:val="20"/>
          <w:color w:val="auto"/>
        </w:rPr>
      </w:pPr>
    </w:p>
    <w:p>
      <w:pPr>
        <w:jc w:val="both"/>
        <w:ind w:right="80"/>
        <w:spacing w:after="0" w:line="237" w:lineRule="auto"/>
        <w:rPr>
          <w:sz w:val="20"/>
          <w:szCs w:val="20"/>
          <w:color w:val="auto"/>
        </w:rPr>
      </w:pPr>
      <w:r>
        <w:rPr>
          <w:rFonts w:ascii="Arial" w:cs="Arial" w:eastAsia="Arial" w:hAnsi="Arial"/>
          <w:sz w:val="18"/>
          <w:szCs w:val="18"/>
          <w:u w:val="single" w:color="auto"/>
          <w:color w:val="auto"/>
        </w:rPr>
        <w:t>Risk Concentration</w:t>
      </w:r>
      <w:r>
        <w:rPr>
          <w:rFonts w:ascii="Arial" w:cs="Arial" w:eastAsia="Arial" w:hAnsi="Arial"/>
          <w:sz w:val="18"/>
          <w:szCs w:val="18"/>
          <w:color w:val="auto"/>
        </w:rPr>
        <w:t>: Financial instruments that potentially subject us to concentrations of credit risk are primarily cash investments and accounts receivable. In order to manage our exposure to credit risk, we place cash investments in investment-grade debt securities and limit the amount of credit exposure to any one issuer. We also limit counterparties on forward foreign currency exchange contracts to investment-grade-rated financial institutions.</w:t>
      </w:r>
    </w:p>
    <w:p>
      <w:pPr>
        <w:spacing w:after="0" w:line="137" w:lineRule="exact"/>
        <w:rPr>
          <w:sz w:val="20"/>
          <w:szCs w:val="20"/>
          <w:color w:val="auto"/>
        </w:rPr>
      </w:pPr>
    </w:p>
    <w:p>
      <w:pPr>
        <w:spacing w:after="0"/>
        <w:tabs>
          <w:tab w:leader="none" w:pos="8420" w:val="left"/>
        </w:tabs>
        <w:rPr>
          <w:sz w:val="20"/>
          <w:szCs w:val="20"/>
          <w:color w:val="auto"/>
        </w:rPr>
      </w:pPr>
      <w:r>
        <w:rPr>
          <w:rFonts w:ascii="Arial" w:cs="Arial" w:eastAsia="Arial" w:hAnsi="Arial"/>
          <w:sz w:val="12"/>
          <w:szCs w:val="12"/>
          <w:color w:val="auto"/>
        </w:rPr>
        <w:t>22</w:t>
      </w:r>
      <w:r>
        <w:rPr>
          <w:sz w:val="20"/>
          <w:szCs w:val="20"/>
          <w:color w:val="auto"/>
        </w:rPr>
        <w:tab/>
      </w:r>
      <w:r>
        <w:rPr>
          <w:rFonts w:ascii="Arial" w:cs="Arial" w:eastAsia="Arial" w:hAnsi="Arial"/>
          <w:sz w:val="12"/>
          <w:szCs w:val="12"/>
          <w:color w:val="auto"/>
        </w:rPr>
        <w:t>TEXAS INSTRUMENTS 2007 ANNUAL REPORT</w:t>
      </w:r>
    </w:p>
    <w:p>
      <w:pPr>
        <w:sectPr>
          <w:pgSz w:w="11900" w:h="16838" w:orient="portrait"/>
          <w:cols w:equalWidth="0" w:num="1">
            <w:col w:w="11420"/>
          </w:cols>
          <w:pgMar w:left="240" w:top="269" w:right="239" w:bottom="1440" w:gutter="0" w:footer="0" w:header="0"/>
        </w:sectPr>
      </w:pPr>
    </w:p>
    <w:bookmarkStart w:id="42" w:name="page43"/>
    <w:bookmarkEnd w:id="42"/>
    <w:p>
      <w:pPr>
        <w:ind w:right="200"/>
        <w:spacing w:after="0" w:line="23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Concentrations of credit risk with respect to accounts receivable are limited due to the large number of customers in our customer base and their dispersion across different industries and geographic areas. We maintain an allowance for losses based upon the expected collectibility of accounts receivable. These allowances are deducted from accounts receivable balances. Details of these allowances are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540" w:type="dxa"/>
            <w:vAlign w:val="bottom"/>
            <w:shd w:val="clear" w:color="auto" w:fill="E5E5E5"/>
          </w:tcPr>
          <w:p>
            <w:pPr>
              <w:spacing w:after="0"/>
              <w:rPr>
                <w:sz w:val="17"/>
                <w:szCs w:val="17"/>
                <w:color w:val="auto"/>
              </w:rPr>
            </w:pPr>
          </w:p>
        </w:tc>
        <w:tc>
          <w:tcPr>
            <w:tcW w:w="520" w:type="dxa"/>
            <w:vAlign w:val="bottom"/>
            <w:shd w:val="clear" w:color="auto" w:fill="E5E5E5"/>
          </w:tcPr>
          <w:p>
            <w:pPr>
              <w:spacing w:after="0"/>
              <w:rPr>
                <w:sz w:val="17"/>
                <w:szCs w:val="17"/>
                <w:color w:val="auto"/>
              </w:rPr>
            </w:pPr>
          </w:p>
        </w:tc>
        <w:tc>
          <w:tcPr>
            <w:tcW w:w="920" w:type="dxa"/>
            <w:vAlign w:val="bottom"/>
            <w:shd w:val="clear" w:color="auto" w:fill="E5E5E5"/>
          </w:tcPr>
          <w:p>
            <w:pPr>
              <w:spacing w:after="0"/>
              <w:rPr>
                <w:sz w:val="17"/>
                <w:szCs w:val="17"/>
                <w:color w:val="auto"/>
              </w:rPr>
            </w:pPr>
          </w:p>
        </w:tc>
        <w:tc>
          <w:tcPr>
            <w:tcW w:w="1800" w:type="dxa"/>
            <w:vAlign w:val="bottom"/>
            <w:gridSpan w:val="2"/>
            <w:shd w:val="clear" w:color="auto" w:fill="E5E5E5"/>
          </w:tcPr>
          <w:p>
            <w:pPr>
              <w:jc w:val="center"/>
              <w:spacing w:after="0"/>
              <w:rPr>
                <w:sz w:val="20"/>
                <w:szCs w:val="20"/>
                <w:color w:val="auto"/>
              </w:rPr>
            </w:pPr>
            <w:r>
              <w:rPr>
                <w:rFonts w:ascii="Arial" w:cs="Arial" w:eastAsia="Arial" w:hAnsi="Arial"/>
                <w:sz w:val="14"/>
                <w:szCs w:val="14"/>
                <w:b w:val="1"/>
                <w:bCs w:val="1"/>
                <w:color w:val="auto"/>
                <w:w w:val="95"/>
              </w:rPr>
              <w:t>Additions Charged</w:t>
            </w:r>
          </w:p>
        </w:tc>
        <w:tc>
          <w:tcPr>
            <w:tcW w:w="700" w:type="dxa"/>
            <w:vAlign w:val="bottom"/>
            <w:shd w:val="clear" w:color="auto" w:fill="E5E5E5"/>
          </w:tcPr>
          <w:p>
            <w:pPr>
              <w:spacing w:after="0"/>
              <w:rPr>
                <w:sz w:val="17"/>
                <w:szCs w:val="17"/>
                <w:color w:val="auto"/>
              </w:rPr>
            </w:pPr>
          </w:p>
        </w:tc>
        <w:tc>
          <w:tcPr>
            <w:tcW w:w="900" w:type="dxa"/>
            <w:vAlign w:val="bottom"/>
            <w:shd w:val="clear" w:color="auto" w:fill="E5E5E5"/>
          </w:tcPr>
          <w:p>
            <w:pPr>
              <w:spacing w:after="0"/>
              <w:rPr>
                <w:sz w:val="17"/>
                <w:szCs w:val="17"/>
                <w:color w:val="auto"/>
              </w:rPr>
            </w:pPr>
          </w:p>
        </w:tc>
        <w:tc>
          <w:tcPr>
            <w:tcW w:w="620" w:type="dxa"/>
            <w:vAlign w:val="bottom"/>
            <w:shd w:val="clear" w:color="auto" w:fill="E5E5E5"/>
          </w:tcPr>
          <w:p>
            <w:pPr>
              <w:spacing w:after="0"/>
              <w:rPr>
                <w:sz w:val="17"/>
                <w:szCs w:val="17"/>
                <w:color w:val="auto"/>
              </w:rPr>
            </w:pPr>
          </w:p>
        </w:tc>
        <w:tc>
          <w:tcPr>
            <w:tcW w:w="420" w:type="dxa"/>
            <w:vAlign w:val="bottom"/>
            <w:shd w:val="clear" w:color="auto" w:fill="E5E5E5"/>
          </w:tcPr>
          <w:p>
            <w:pPr>
              <w:spacing w:after="0"/>
              <w:rPr>
                <w:sz w:val="17"/>
                <w:szCs w:val="17"/>
                <w:color w:val="auto"/>
              </w:rPr>
            </w:pPr>
          </w:p>
        </w:tc>
      </w:tr>
      <w:tr>
        <w:trPr>
          <w:trHeight w:val="152"/>
        </w:trPr>
        <w:tc>
          <w:tcPr>
            <w:tcW w:w="5540" w:type="dxa"/>
            <w:vAlign w:val="bottom"/>
            <w:shd w:val="clear" w:color="auto" w:fill="E5E5E5"/>
          </w:tcPr>
          <w:p>
            <w:pPr>
              <w:spacing w:after="0"/>
              <w:rPr>
                <w:sz w:val="13"/>
                <w:szCs w:val="13"/>
                <w:color w:val="auto"/>
              </w:rPr>
            </w:pPr>
          </w:p>
        </w:tc>
        <w:tc>
          <w:tcPr>
            <w:tcW w:w="1440" w:type="dxa"/>
            <w:vAlign w:val="bottom"/>
            <w:gridSpan w:val="2"/>
            <w:shd w:val="clear" w:color="auto" w:fill="E5E5E5"/>
          </w:tcPr>
          <w:p>
            <w:pPr>
              <w:jc w:val="right"/>
              <w:ind w:right="452"/>
              <w:spacing w:after="0" w:line="152" w:lineRule="exact"/>
              <w:rPr>
                <w:sz w:val="20"/>
                <w:szCs w:val="20"/>
                <w:color w:val="auto"/>
              </w:rPr>
            </w:pPr>
            <w:r>
              <w:rPr>
                <w:rFonts w:ascii="Arial" w:cs="Arial" w:eastAsia="Arial" w:hAnsi="Arial"/>
                <w:sz w:val="14"/>
                <w:szCs w:val="14"/>
                <w:b w:val="1"/>
                <w:bCs w:val="1"/>
                <w:color w:val="auto"/>
              </w:rPr>
              <w:t>Balance at</w:t>
            </w:r>
          </w:p>
        </w:tc>
        <w:tc>
          <w:tcPr>
            <w:tcW w:w="1800" w:type="dxa"/>
            <w:vAlign w:val="bottom"/>
            <w:gridSpan w:val="2"/>
            <w:shd w:val="clear" w:color="auto" w:fill="E5E5E5"/>
          </w:tcPr>
          <w:p>
            <w:pPr>
              <w:jc w:val="center"/>
              <w:spacing w:after="0" w:line="152" w:lineRule="exact"/>
              <w:rPr>
                <w:sz w:val="20"/>
                <w:szCs w:val="20"/>
                <w:color w:val="auto"/>
              </w:rPr>
            </w:pPr>
            <w:r>
              <w:rPr>
                <w:rFonts w:ascii="Arial" w:cs="Arial" w:eastAsia="Arial" w:hAnsi="Arial"/>
                <w:sz w:val="14"/>
                <w:szCs w:val="14"/>
                <w:b w:val="1"/>
                <w:bCs w:val="1"/>
                <w:color w:val="auto"/>
                <w:w w:val="96"/>
              </w:rPr>
              <w:t>to Operating</w:t>
            </w:r>
          </w:p>
        </w:tc>
        <w:tc>
          <w:tcPr>
            <w:tcW w:w="1600" w:type="dxa"/>
            <w:vAlign w:val="bottom"/>
            <w:gridSpan w:val="2"/>
            <w:shd w:val="clear" w:color="auto" w:fill="E5E5E5"/>
          </w:tcPr>
          <w:p>
            <w:pPr>
              <w:jc w:val="right"/>
              <w:ind w:right="212"/>
              <w:spacing w:after="0" w:line="152" w:lineRule="exact"/>
              <w:rPr>
                <w:sz w:val="20"/>
                <w:szCs w:val="20"/>
                <w:color w:val="auto"/>
              </w:rPr>
            </w:pPr>
            <w:r>
              <w:rPr>
                <w:rFonts w:ascii="Arial" w:cs="Arial" w:eastAsia="Arial" w:hAnsi="Arial"/>
                <w:sz w:val="14"/>
                <w:szCs w:val="14"/>
                <w:b w:val="1"/>
                <w:bCs w:val="1"/>
                <w:color w:val="auto"/>
              </w:rPr>
              <w:t>Recoveries and</w:t>
            </w:r>
          </w:p>
        </w:tc>
        <w:tc>
          <w:tcPr>
            <w:tcW w:w="1040" w:type="dxa"/>
            <w:vAlign w:val="bottom"/>
            <w:gridSpan w:val="2"/>
            <w:shd w:val="clear" w:color="auto" w:fill="E5E5E5"/>
          </w:tcPr>
          <w:p>
            <w:pPr>
              <w:jc w:val="right"/>
              <w:spacing w:after="0" w:line="152" w:lineRule="exact"/>
              <w:rPr>
                <w:sz w:val="20"/>
                <w:szCs w:val="20"/>
                <w:color w:val="auto"/>
              </w:rPr>
            </w:pPr>
            <w:r>
              <w:rPr>
                <w:rFonts w:ascii="Arial" w:cs="Arial" w:eastAsia="Arial" w:hAnsi="Arial"/>
                <w:sz w:val="14"/>
                <w:szCs w:val="14"/>
                <w:b w:val="1"/>
                <w:bCs w:val="1"/>
                <w:color w:val="auto"/>
              </w:rPr>
              <w:t>Balance at</w:t>
            </w:r>
          </w:p>
        </w:tc>
      </w:tr>
      <w:tr>
        <w:trPr>
          <w:trHeight w:val="176"/>
        </w:trPr>
        <w:tc>
          <w:tcPr>
            <w:tcW w:w="5540" w:type="dxa"/>
            <w:vAlign w:val="bottom"/>
            <w:shd w:val="clear" w:color="auto" w:fill="E5E5E5"/>
          </w:tcPr>
          <w:p>
            <w:pPr>
              <w:jc w:val="right"/>
              <w:ind w:right="3317"/>
              <w:spacing w:after="0"/>
              <w:rPr>
                <w:sz w:val="20"/>
                <w:szCs w:val="20"/>
                <w:color w:val="auto"/>
              </w:rPr>
            </w:pPr>
            <w:r>
              <w:rPr>
                <w:rFonts w:ascii="Arial" w:cs="Arial" w:eastAsia="Arial" w:hAnsi="Arial"/>
                <w:sz w:val="14"/>
                <w:szCs w:val="14"/>
                <w:b w:val="1"/>
                <w:bCs w:val="1"/>
                <w:color w:val="auto"/>
                <w:w w:val="95"/>
              </w:rPr>
              <w:t>Accounts Receivable Allowances</w:t>
            </w:r>
          </w:p>
        </w:tc>
        <w:tc>
          <w:tcPr>
            <w:tcW w:w="1440" w:type="dxa"/>
            <w:vAlign w:val="bottom"/>
            <w:gridSpan w:val="2"/>
            <w:shd w:val="clear" w:color="auto" w:fill="E5E5E5"/>
          </w:tcPr>
          <w:p>
            <w:pPr>
              <w:jc w:val="right"/>
              <w:ind w:right="212"/>
              <w:spacing w:after="0"/>
              <w:rPr>
                <w:sz w:val="20"/>
                <w:szCs w:val="20"/>
                <w:color w:val="auto"/>
              </w:rPr>
            </w:pPr>
            <w:r>
              <w:rPr>
                <w:rFonts w:ascii="Arial" w:cs="Arial" w:eastAsia="Arial" w:hAnsi="Arial"/>
                <w:sz w:val="14"/>
                <w:szCs w:val="14"/>
                <w:b w:val="1"/>
                <w:bCs w:val="1"/>
                <w:color w:val="auto"/>
                <w:w w:val="93"/>
              </w:rPr>
              <w:t>Beginning of Year</w:t>
            </w:r>
          </w:p>
        </w:tc>
        <w:tc>
          <w:tcPr>
            <w:tcW w:w="1800" w:type="dxa"/>
            <w:vAlign w:val="bottom"/>
            <w:gridSpan w:val="2"/>
            <w:shd w:val="clear" w:color="auto" w:fill="E5E5E5"/>
          </w:tcPr>
          <w:p>
            <w:pPr>
              <w:jc w:val="center"/>
              <w:spacing w:after="0"/>
              <w:rPr>
                <w:sz w:val="20"/>
                <w:szCs w:val="20"/>
                <w:color w:val="auto"/>
              </w:rPr>
            </w:pPr>
            <w:r>
              <w:rPr>
                <w:rFonts w:ascii="Arial" w:cs="Arial" w:eastAsia="Arial" w:hAnsi="Arial"/>
                <w:sz w:val="14"/>
                <w:szCs w:val="14"/>
                <w:b w:val="1"/>
                <w:bCs w:val="1"/>
                <w:color w:val="auto"/>
                <w:w w:val="94"/>
              </w:rPr>
              <w:t>Results</w:t>
            </w:r>
          </w:p>
        </w:tc>
        <w:tc>
          <w:tcPr>
            <w:tcW w:w="1600" w:type="dxa"/>
            <w:vAlign w:val="bottom"/>
            <w:gridSpan w:val="2"/>
            <w:shd w:val="clear" w:color="auto" w:fill="E5E5E5"/>
          </w:tcPr>
          <w:p>
            <w:pPr>
              <w:jc w:val="right"/>
              <w:ind w:right="252"/>
              <w:spacing w:after="0"/>
              <w:rPr>
                <w:sz w:val="20"/>
                <w:szCs w:val="20"/>
                <w:color w:val="auto"/>
              </w:rPr>
            </w:pPr>
            <w:r>
              <w:rPr>
                <w:rFonts w:ascii="Arial" w:cs="Arial" w:eastAsia="Arial" w:hAnsi="Arial"/>
                <w:sz w:val="14"/>
                <w:szCs w:val="14"/>
                <w:b w:val="1"/>
                <w:bCs w:val="1"/>
                <w:color w:val="auto"/>
              </w:rPr>
              <w:t>Write-offs, Net</w:t>
            </w:r>
          </w:p>
        </w:tc>
        <w:tc>
          <w:tcPr>
            <w:tcW w:w="1040" w:type="dxa"/>
            <w:vAlign w:val="bottom"/>
            <w:gridSpan w:val="2"/>
            <w:shd w:val="clear" w:color="auto" w:fill="E5E5E5"/>
          </w:tcPr>
          <w:p>
            <w:pPr>
              <w:jc w:val="right"/>
              <w:spacing w:after="0"/>
              <w:rPr>
                <w:sz w:val="20"/>
                <w:szCs w:val="20"/>
                <w:color w:val="auto"/>
              </w:rPr>
            </w:pPr>
            <w:r>
              <w:rPr>
                <w:rFonts w:ascii="Arial" w:cs="Arial" w:eastAsia="Arial" w:hAnsi="Arial"/>
                <w:sz w:val="14"/>
                <w:szCs w:val="14"/>
                <w:b w:val="1"/>
                <w:bCs w:val="1"/>
                <w:color w:val="auto"/>
              </w:rPr>
              <w:t>End of Year</w:t>
            </w:r>
          </w:p>
        </w:tc>
      </w:tr>
      <w:tr>
        <w:trPr>
          <w:trHeight w:val="297"/>
        </w:trPr>
        <w:tc>
          <w:tcPr>
            <w:tcW w:w="5540" w:type="dxa"/>
            <w:vAlign w:val="bottom"/>
          </w:tcPr>
          <w:p>
            <w:pPr>
              <w:jc w:val="right"/>
              <w:ind w:right="4957"/>
              <w:spacing w:after="0"/>
              <w:rPr>
                <w:sz w:val="20"/>
                <w:szCs w:val="20"/>
                <w:color w:val="auto"/>
              </w:rPr>
            </w:pPr>
            <w:r>
              <w:rPr>
                <w:rFonts w:ascii="Arial" w:cs="Arial" w:eastAsia="Arial" w:hAnsi="Arial"/>
                <w:sz w:val="18"/>
                <w:szCs w:val="18"/>
                <w:b w:val="1"/>
                <w:bCs w:val="1"/>
                <w:color w:val="auto"/>
              </w:rPr>
              <w:t>2007</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ind w:right="592"/>
              <w:spacing w:after="0"/>
              <w:rPr>
                <w:sz w:val="20"/>
                <w:szCs w:val="20"/>
                <w:color w:val="auto"/>
              </w:rPr>
            </w:pPr>
            <w:r>
              <w:rPr>
                <w:rFonts w:ascii="Arial" w:cs="Arial" w:eastAsia="Arial" w:hAnsi="Arial"/>
                <w:sz w:val="18"/>
                <w:szCs w:val="18"/>
                <w:b w:val="1"/>
                <w:bCs w:val="1"/>
                <w:color w:val="auto"/>
              </w:rPr>
              <w:t>26</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tcPr>
          <w:p>
            <w:pPr>
              <w:jc w:val="right"/>
              <w:ind w:right="632"/>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552"/>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26</w:t>
            </w:r>
          </w:p>
        </w:tc>
      </w:tr>
      <w:tr>
        <w:trPr>
          <w:trHeight w:val="20"/>
        </w:trPr>
        <w:tc>
          <w:tcPr>
            <w:tcW w:w="55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r>
        <w:trPr>
          <w:trHeight w:val="197"/>
        </w:trPr>
        <w:tc>
          <w:tcPr>
            <w:tcW w:w="5540" w:type="dxa"/>
            <w:vAlign w:val="bottom"/>
            <w:shd w:val="clear" w:color="auto" w:fill="E5E5E5"/>
          </w:tcPr>
          <w:p>
            <w:pPr>
              <w:jc w:val="right"/>
              <w:ind w:right="4957"/>
              <w:spacing w:after="0" w:line="196" w:lineRule="exact"/>
              <w:rPr>
                <w:sz w:val="20"/>
                <w:szCs w:val="20"/>
                <w:color w:val="auto"/>
              </w:rPr>
            </w:pPr>
            <w:r>
              <w:rPr>
                <w:rFonts w:ascii="Arial" w:cs="Arial" w:eastAsia="Arial" w:hAnsi="Arial"/>
                <w:sz w:val="18"/>
                <w:szCs w:val="18"/>
                <w:color w:val="auto"/>
              </w:rPr>
              <w:t>2006</w:t>
            </w:r>
          </w:p>
        </w:tc>
        <w:tc>
          <w:tcPr>
            <w:tcW w:w="520" w:type="dxa"/>
            <w:vAlign w:val="bottom"/>
            <w:tcBorders>
              <w:bottom w:val="single" w:sz="8" w:color="auto"/>
            </w:tcBorders>
            <w:shd w:val="clear" w:color="auto" w:fill="E5E5E5"/>
          </w:tcPr>
          <w:p>
            <w:pPr>
              <w:jc w:val="right"/>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E5E5E5"/>
          </w:tcPr>
          <w:p>
            <w:pPr>
              <w:jc w:val="right"/>
              <w:ind w:right="592"/>
              <w:spacing w:after="0" w:line="196" w:lineRule="exact"/>
              <w:rPr>
                <w:sz w:val="20"/>
                <w:szCs w:val="20"/>
                <w:color w:val="auto"/>
              </w:rPr>
            </w:pPr>
            <w:r>
              <w:rPr>
                <w:rFonts w:ascii="Arial" w:cs="Arial" w:eastAsia="Arial" w:hAnsi="Arial"/>
                <w:sz w:val="18"/>
                <w:szCs w:val="18"/>
                <w:color w:val="auto"/>
              </w:rPr>
              <w:t>34</w:t>
            </w:r>
          </w:p>
        </w:tc>
        <w:tc>
          <w:tcPr>
            <w:tcW w:w="860" w:type="dxa"/>
            <w:vAlign w:val="bottom"/>
            <w:tcBorders>
              <w:bottom w:val="single" w:sz="8" w:color="auto"/>
            </w:tcBorders>
            <w:shd w:val="clear" w:color="auto" w:fill="E5E5E5"/>
          </w:tcPr>
          <w:p>
            <w:pPr>
              <w:jc w:val="right"/>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E5E5E5"/>
          </w:tcPr>
          <w:p>
            <w:pPr>
              <w:jc w:val="right"/>
              <w:ind w:right="632"/>
              <w:spacing w:after="0" w:line="196" w:lineRule="exact"/>
              <w:rPr>
                <w:sz w:val="20"/>
                <w:szCs w:val="20"/>
                <w:color w:val="auto"/>
              </w:rPr>
            </w:pPr>
            <w:r>
              <w:rPr>
                <w:rFonts w:ascii="Arial" w:cs="Arial" w:eastAsia="Arial" w:hAnsi="Arial"/>
                <w:sz w:val="18"/>
                <w:szCs w:val="18"/>
                <w:color w:val="auto"/>
              </w:rPr>
              <w:t>2</w:t>
            </w:r>
          </w:p>
        </w:tc>
        <w:tc>
          <w:tcPr>
            <w:tcW w:w="700" w:type="dxa"/>
            <w:vAlign w:val="bottom"/>
            <w:tcBorders>
              <w:bottom w:val="single" w:sz="8" w:color="auto"/>
            </w:tcBorders>
            <w:shd w:val="clear" w:color="auto" w:fill="E5E5E5"/>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E5E5E5"/>
          </w:tcPr>
          <w:p>
            <w:pPr>
              <w:jc w:val="right"/>
              <w:ind w:right="452"/>
              <w:spacing w:after="0" w:line="196" w:lineRule="exact"/>
              <w:rPr>
                <w:sz w:val="20"/>
                <w:szCs w:val="20"/>
                <w:color w:val="auto"/>
              </w:rPr>
            </w:pPr>
            <w:r>
              <w:rPr>
                <w:rFonts w:ascii="Arial" w:cs="Arial" w:eastAsia="Arial" w:hAnsi="Arial"/>
                <w:sz w:val="18"/>
                <w:szCs w:val="18"/>
                <w:color w:val="auto"/>
              </w:rPr>
              <w:t>(10)</w:t>
            </w:r>
          </w:p>
        </w:tc>
        <w:tc>
          <w:tcPr>
            <w:tcW w:w="620" w:type="dxa"/>
            <w:vAlign w:val="bottom"/>
            <w:tcBorders>
              <w:bottom w:val="single" w:sz="8" w:color="auto"/>
            </w:tcBorders>
            <w:shd w:val="clear" w:color="auto" w:fill="E5E5E5"/>
          </w:tcPr>
          <w:p>
            <w:pPr>
              <w:jc w:val="right"/>
              <w:spacing w:after="0" w:line="196" w:lineRule="exact"/>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E5E5E5"/>
          </w:tcPr>
          <w:p>
            <w:pPr>
              <w:jc w:val="right"/>
              <w:ind w:right="92"/>
              <w:spacing w:after="0" w:line="196" w:lineRule="exact"/>
              <w:rPr>
                <w:sz w:val="20"/>
                <w:szCs w:val="20"/>
                <w:color w:val="auto"/>
              </w:rPr>
            </w:pPr>
            <w:r>
              <w:rPr>
                <w:rFonts w:ascii="Arial" w:cs="Arial" w:eastAsia="Arial" w:hAnsi="Arial"/>
                <w:sz w:val="18"/>
                <w:szCs w:val="18"/>
                <w:color w:val="auto"/>
              </w:rPr>
              <w:t>26</w:t>
            </w:r>
          </w:p>
        </w:tc>
      </w:tr>
      <w:tr>
        <w:trPr>
          <w:trHeight w:val="20"/>
        </w:trPr>
        <w:tc>
          <w:tcPr>
            <w:tcW w:w="55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r>
        <w:trPr>
          <w:trHeight w:val="197"/>
        </w:trPr>
        <w:tc>
          <w:tcPr>
            <w:tcW w:w="5540" w:type="dxa"/>
            <w:vAlign w:val="bottom"/>
          </w:tcPr>
          <w:p>
            <w:pPr>
              <w:jc w:val="right"/>
              <w:ind w:right="4957"/>
              <w:spacing w:after="0" w:line="196" w:lineRule="exact"/>
              <w:rPr>
                <w:sz w:val="20"/>
                <w:szCs w:val="20"/>
                <w:color w:val="auto"/>
              </w:rPr>
            </w:pPr>
            <w:r>
              <w:rPr>
                <w:rFonts w:ascii="Arial" w:cs="Arial" w:eastAsia="Arial" w:hAnsi="Arial"/>
                <w:sz w:val="18"/>
                <w:szCs w:val="18"/>
                <w:color w:val="auto"/>
              </w:rPr>
              <w:t>2005</w:t>
            </w:r>
          </w:p>
        </w:tc>
        <w:tc>
          <w:tcPr>
            <w:tcW w:w="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592"/>
              <w:spacing w:after="0" w:line="196" w:lineRule="exact"/>
              <w:rPr>
                <w:sz w:val="20"/>
                <w:szCs w:val="20"/>
                <w:color w:val="auto"/>
              </w:rPr>
            </w:pPr>
            <w:r>
              <w:rPr>
                <w:rFonts w:ascii="Arial" w:cs="Arial" w:eastAsia="Arial" w:hAnsi="Arial"/>
                <w:sz w:val="18"/>
                <w:szCs w:val="18"/>
                <w:color w:val="auto"/>
              </w:rPr>
              <w:t>36</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632"/>
              <w:spacing w:after="0" w:line="196" w:lineRule="exact"/>
              <w:rPr>
                <w:sz w:val="20"/>
                <w:szCs w:val="20"/>
                <w:color w:val="auto"/>
              </w:rPr>
            </w:pPr>
            <w:r>
              <w:rPr>
                <w:rFonts w:ascii="Arial" w:cs="Arial" w:eastAsia="Arial" w:hAnsi="Arial"/>
                <w:sz w:val="18"/>
                <w:szCs w:val="18"/>
                <w:color w:val="auto"/>
              </w:rPr>
              <w:t>1</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452"/>
              <w:spacing w:after="0" w:line="196" w:lineRule="exact"/>
              <w:rPr>
                <w:sz w:val="20"/>
                <w:szCs w:val="20"/>
                <w:color w:val="auto"/>
              </w:rPr>
            </w:pPr>
            <w:r>
              <w:rPr>
                <w:rFonts w:ascii="Arial" w:cs="Arial" w:eastAsia="Arial" w:hAnsi="Arial"/>
                <w:sz w:val="18"/>
                <w:szCs w:val="18"/>
                <w:color w:val="auto"/>
              </w:rPr>
              <w:t>(3)</w:t>
            </w: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jc w:val="right"/>
              <w:ind w:right="92"/>
              <w:spacing w:after="0" w:line="196" w:lineRule="exact"/>
              <w:rPr>
                <w:sz w:val="20"/>
                <w:szCs w:val="20"/>
                <w:color w:val="auto"/>
              </w:rPr>
            </w:pPr>
            <w:r>
              <w:rPr>
                <w:rFonts w:ascii="Arial" w:cs="Arial" w:eastAsia="Arial" w:hAnsi="Arial"/>
                <w:sz w:val="18"/>
                <w:szCs w:val="18"/>
                <w:color w:val="auto"/>
              </w:rPr>
              <w:t>34</w:t>
            </w:r>
          </w:p>
        </w:tc>
      </w:tr>
      <w:tr>
        <w:trPr>
          <w:trHeight w:val="20"/>
        </w:trPr>
        <w:tc>
          <w:tcPr>
            <w:tcW w:w="55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Stockholders’ Equity</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 are authorized to issue 10,000,000 shares of preferred stock; however, no preferred stock is currently outstanding.</w:t>
      </w:r>
    </w:p>
    <w:p>
      <w:pPr>
        <w:spacing w:after="0" w:line="15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Each outstanding share of TI common stock carries one-fourth of a stock purchase right. Under certain circumstances, each right may be exercised to purchase one one-thousandth of a share of TI participating cumulative preferred stock for $200. Under certain circumstances following the acquisition of 20 percent or more of outstanding TI common stock by an acquiring person (as defined in the rights agreement), each right (other than rights held by an acquiring person) may be exercised to purchase the common stock of TI or a successor company with a market value of twice the $200 exercise price. The rights, which are redeemable by us at one cent per right, expire in June 2008.</w:t>
      </w:r>
    </w:p>
    <w:p>
      <w:pPr>
        <w:spacing w:after="0" w:line="157"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In 2005, the TI board of directors authorized the repurchase of $4.0 billion of TI common stock. Since that time, the board of directors authorized additional repurchase amounts of $10.0 billion in 2006 and $5.0 billion in 2007. No expiration date has been specified for these authorizations. As of December 31, 2007, $5.57 billion of these authorizations remain. Treasury shares acquired in connection with the board-authorized stock repurchase program in 2007, 2006 and 2005 were 147,645,809 shares; 173,580,794 shares; and 154,143,706 shares.</w:t>
      </w:r>
    </w:p>
    <w:p>
      <w:pPr>
        <w:spacing w:after="0" w:line="155" w:lineRule="exact"/>
        <w:rPr>
          <w:sz w:val="20"/>
          <w:szCs w:val="20"/>
          <w:color w:val="auto"/>
        </w:rPr>
      </w:pPr>
    </w:p>
    <w:p>
      <w:pPr>
        <w:jc w:val="both"/>
        <w:ind w:right="120"/>
        <w:spacing w:after="0" w:line="238" w:lineRule="auto"/>
        <w:rPr>
          <w:sz w:val="20"/>
          <w:szCs w:val="20"/>
          <w:color w:val="auto"/>
        </w:rPr>
      </w:pPr>
      <w:r>
        <w:rPr>
          <w:rFonts w:ascii="Arial" w:cs="Arial" w:eastAsia="Arial" w:hAnsi="Arial"/>
          <w:sz w:val="18"/>
          <w:szCs w:val="18"/>
          <w:color w:val="auto"/>
        </w:rPr>
        <w:t>In the third quarter of 2006, the board of directors increased our quarterly cash dividend (to $0.04 per share from $0.03 per share). In the second quarter of 2007, the board of directors doubled our quarterly cash dividend (to $0.08 per share). In the third quarter of 2007, the board of directors increased our quarterly cash dividend to $0.10 per share, and on October 18, 2007, declared a dividend at that quarterly rate.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Information in this note is inclusive of both continuing and discontinued operations, except as noted.</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Long-term Incentive and Director Compensation Plans</w:t>
      </w:r>
    </w:p>
    <w:p>
      <w:pPr>
        <w:spacing w:after="0" w:line="158"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We have stock options outstanding to participants under the Texas Instruments 2000 Long-Term Incentive Plan, the Texas Instruments 2003 Long-Term Incentive Plan and the 1996 Long-Term Incentive Plan, but no further options may be granted under the 1996 plan. We also assumed stock options granted under the Burr-Brown 1993 Stock Incentive Plan and the Radia Communications, Inc. 2000 Stock Option/Stock Issuance Plan. Unless the options are acquisition-related replacement options, the option price per share may not be less than 100 percent of the fair market value on the date of the grant. Substantially all the options have a 10-year term and vest ratably over four years. Options generally provide for the continuation of vesting after the option recipient retires.</w:t>
      </w:r>
    </w:p>
    <w:p>
      <w:pPr>
        <w:spacing w:after="0" w:line="156"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We have RSUs outstanding under the 2000 Long-Term Incentive Plan and the 2003 Long-Term Incentive Plan. Each RSU represents the right to receive one share of TI common stock on the vesting date, which is generally four years after the date of grant. Upon vesting, the shares are subject to issuance without payment by the grantee.</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120" w:type="dxa"/>
            <w:vAlign w:val="bottom"/>
          </w:tcPr>
          <w:p>
            <w:pPr>
              <w:spacing w:after="0"/>
              <w:rPr>
                <w:sz w:val="20"/>
                <w:szCs w:val="20"/>
                <w:color w:val="auto"/>
              </w:rPr>
            </w:pPr>
            <w:r>
              <w:rPr>
                <w:rFonts w:ascii="Arial" w:cs="Arial" w:eastAsia="Arial" w:hAnsi="Arial"/>
                <w:sz w:val="14"/>
                <w:szCs w:val="14"/>
                <w:color w:val="auto"/>
              </w:rPr>
              <w:t>TEXAS INSTRUMENTS 2007 ANNUAL REPORT</w:t>
            </w:r>
          </w:p>
        </w:tc>
        <w:tc>
          <w:tcPr>
            <w:tcW w:w="4300" w:type="dxa"/>
            <w:vAlign w:val="bottom"/>
          </w:tcPr>
          <w:p>
            <w:pPr>
              <w:jc w:val="right"/>
              <w:spacing w:after="0"/>
              <w:rPr>
                <w:sz w:val="20"/>
                <w:szCs w:val="20"/>
                <w:color w:val="auto"/>
              </w:rPr>
            </w:pPr>
            <w:r>
              <w:rPr>
                <w:rFonts w:ascii="Arial" w:cs="Arial" w:eastAsia="Arial" w:hAnsi="Arial"/>
                <w:sz w:val="14"/>
                <w:szCs w:val="14"/>
                <w:color w:val="auto"/>
              </w:rPr>
              <w:t>23</w:t>
            </w:r>
          </w:p>
        </w:tc>
      </w:tr>
    </w:tbl>
    <w:p>
      <w:pPr>
        <w:sectPr>
          <w:pgSz w:w="11900" w:h="16838" w:orient="portrait"/>
          <w:cols w:equalWidth="0" w:num="1">
            <w:col w:w="11420"/>
          </w:cols>
          <w:pgMar w:left="240" w:top="291" w:right="239" w:bottom="1440" w:gutter="0" w:footer="0" w:header="0"/>
        </w:sectPr>
      </w:pPr>
    </w:p>
    <w:bookmarkStart w:id="43" w:name="page44"/>
    <w:bookmarkEnd w:id="43"/>
    <w:p>
      <w:pPr>
        <w:ind w:right="60"/>
        <w:spacing w:after="0" w:line="23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Under the 2000 Long-Term Incentive Plan, we may grant stock options, including incentive stock options, restricted stock and RSUs, performance units and other stock-based awards. The plan provides for the issuance of 120,000,000 shares of TI common stock. In addition, if any stock-based award under the 1996 Long-Term Incentive Plan terminates, then any unissued shares subject to the terminated award become available to be granted under the 2000 Long-Term Incentive Plan. No more than 13,400,000 shares of common stock may be awarded as restricted stock, RSUs or other stock-based awards (other than stock options) under the plan.</w:t>
      </w:r>
    </w:p>
    <w:p>
      <w:pPr>
        <w:spacing w:after="0" w:line="157"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Under the 2003 Long-Term Incentive Plan, we may grant stock options (other than incentive stock options), restricted stock and RSUs, performance units and other stock-based awards to non-management employees. The plan provides for the issuance of 240,000,000 shares of TI common stock. Executive officers and approximately 225 managers are ineligible to receive awards under this plan.</w:t>
      </w:r>
    </w:p>
    <w:p>
      <w:pPr>
        <w:spacing w:after="0" w:line="154"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Under our 2003 Director Compensation Plan, we may grant stock options, RSUs and other stock-based awards to non-employee directors, as well as issue TI common stock upon the distribution of stock units credited to deferred-compensation accounts established for such directors. The plan provides for the grant of a stock option to each non-employee director once per year in the period from January 2004 through 2010. For the years 2001 through 2006, each grant is an option to purchase 15,000 shares with an option price equal to fair market value on the date of grant. Under the plan, we also make a one-time grant of 2,000 RSUs to each new non-employee director of TI. The plan provides for the issuance of 2,000,000 shares of TI common stock. Effective in 2007, the plan reduced the annual stock option grant to 7,000 shares and included an annual grant of 2,500 RSUs to each non-employee director.</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Stock option and RSU transactions under the above-mentioned long-term incentive and director compensation plans during 2007 were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60" w:type="dxa"/>
            <w:vAlign w:val="bottom"/>
            <w:shd w:val="clear" w:color="auto" w:fill="E5E5E5"/>
          </w:tcPr>
          <w:p>
            <w:pPr>
              <w:spacing w:after="0"/>
              <w:rPr>
                <w:sz w:val="14"/>
                <w:szCs w:val="14"/>
                <w:color w:val="auto"/>
              </w:rPr>
            </w:pPr>
          </w:p>
        </w:tc>
        <w:tc>
          <w:tcPr>
            <w:tcW w:w="320" w:type="dxa"/>
            <w:vAlign w:val="bottom"/>
            <w:shd w:val="clear" w:color="auto" w:fill="E5E5E5"/>
          </w:tcPr>
          <w:p>
            <w:pPr>
              <w:spacing w:after="0"/>
              <w:rPr>
                <w:sz w:val="14"/>
                <w:szCs w:val="14"/>
                <w:color w:val="auto"/>
              </w:rPr>
            </w:pPr>
          </w:p>
        </w:tc>
        <w:tc>
          <w:tcPr>
            <w:tcW w:w="2640" w:type="dxa"/>
            <w:vAlign w:val="bottom"/>
            <w:gridSpan w:val="3"/>
            <w:shd w:val="clear" w:color="auto" w:fill="E5E5E5"/>
          </w:tcPr>
          <w:p>
            <w:pPr>
              <w:jc w:val="right"/>
              <w:ind w:right="752"/>
              <w:spacing w:after="0"/>
              <w:rPr>
                <w:sz w:val="20"/>
                <w:szCs w:val="20"/>
                <w:color w:val="auto"/>
              </w:rPr>
            </w:pPr>
            <w:r>
              <w:rPr>
                <w:rFonts w:ascii="Arial" w:cs="Arial" w:eastAsia="Arial" w:hAnsi="Arial"/>
                <w:sz w:val="14"/>
                <w:szCs w:val="14"/>
                <w:b w:val="1"/>
                <w:bCs w:val="1"/>
                <w:color w:val="auto"/>
              </w:rPr>
              <w:t>STOCK OPTIONS</w:t>
            </w:r>
          </w:p>
        </w:tc>
        <w:tc>
          <w:tcPr>
            <w:tcW w:w="2880" w:type="dxa"/>
            <w:vAlign w:val="bottom"/>
            <w:gridSpan w:val="3"/>
            <w:shd w:val="clear" w:color="auto" w:fill="E5E5E5"/>
          </w:tcPr>
          <w:p>
            <w:pPr>
              <w:jc w:val="right"/>
              <w:ind w:right="372"/>
              <w:spacing w:after="0"/>
              <w:rPr>
                <w:sz w:val="20"/>
                <w:szCs w:val="20"/>
                <w:color w:val="auto"/>
              </w:rPr>
            </w:pPr>
            <w:r>
              <w:rPr>
                <w:rFonts w:ascii="Arial" w:cs="Arial" w:eastAsia="Arial" w:hAnsi="Arial"/>
                <w:sz w:val="14"/>
                <w:szCs w:val="14"/>
                <w:b w:val="1"/>
                <w:bCs w:val="1"/>
                <w:color w:val="auto"/>
              </w:rPr>
              <w:t>RESTRICTED STOCK UNITS</w:t>
            </w:r>
          </w:p>
        </w:tc>
      </w:tr>
      <w:tr>
        <w:trPr>
          <w:trHeight w:val="152"/>
        </w:trPr>
        <w:tc>
          <w:tcPr>
            <w:tcW w:w="20" w:type="dxa"/>
            <w:vAlign w:val="bottom"/>
          </w:tcPr>
          <w:p>
            <w:pPr>
              <w:spacing w:after="0"/>
              <w:rPr>
                <w:sz w:val="13"/>
                <w:szCs w:val="13"/>
                <w:color w:val="auto"/>
              </w:rPr>
            </w:pPr>
          </w:p>
        </w:tc>
        <w:tc>
          <w:tcPr>
            <w:tcW w:w="5560" w:type="dxa"/>
            <w:vAlign w:val="bottom"/>
            <w:shd w:val="clear" w:color="auto" w:fill="E5E5E5"/>
          </w:tcPr>
          <w:p>
            <w:pPr>
              <w:spacing w:after="0"/>
              <w:rPr>
                <w:sz w:val="13"/>
                <w:szCs w:val="13"/>
                <w:color w:val="auto"/>
              </w:rPr>
            </w:pPr>
          </w:p>
        </w:tc>
        <w:tc>
          <w:tcPr>
            <w:tcW w:w="320" w:type="dxa"/>
            <w:vAlign w:val="bottom"/>
            <w:shd w:val="clear" w:color="auto" w:fill="E5E5E5"/>
          </w:tcPr>
          <w:p>
            <w:pPr>
              <w:spacing w:after="0"/>
              <w:rPr>
                <w:sz w:val="13"/>
                <w:szCs w:val="13"/>
                <w:color w:val="auto"/>
              </w:rPr>
            </w:pPr>
          </w:p>
        </w:tc>
        <w:tc>
          <w:tcPr>
            <w:tcW w:w="1200" w:type="dxa"/>
            <w:vAlign w:val="bottom"/>
            <w:shd w:val="clear" w:color="auto" w:fill="E5E5E5"/>
          </w:tcPr>
          <w:p>
            <w:pPr>
              <w:spacing w:after="0"/>
              <w:rPr>
                <w:sz w:val="13"/>
                <w:szCs w:val="13"/>
                <w:color w:val="auto"/>
              </w:rPr>
            </w:pPr>
          </w:p>
        </w:tc>
        <w:tc>
          <w:tcPr>
            <w:tcW w:w="1440" w:type="dxa"/>
            <w:vAlign w:val="bottom"/>
            <w:gridSpan w:val="2"/>
            <w:shd w:val="clear" w:color="auto" w:fill="E5E5E5"/>
          </w:tcPr>
          <w:p>
            <w:pPr>
              <w:jc w:val="center"/>
              <w:spacing w:after="0" w:line="152" w:lineRule="exact"/>
              <w:rPr>
                <w:sz w:val="20"/>
                <w:szCs w:val="20"/>
                <w:color w:val="auto"/>
              </w:rPr>
            </w:pPr>
            <w:r>
              <w:rPr>
                <w:rFonts w:ascii="Arial" w:cs="Arial" w:eastAsia="Arial" w:hAnsi="Arial"/>
                <w:sz w:val="14"/>
                <w:szCs w:val="14"/>
                <w:b w:val="1"/>
                <w:bCs w:val="1"/>
                <w:color w:val="auto"/>
                <w:w w:val="98"/>
              </w:rPr>
              <w:t>Weighted</w:t>
            </w:r>
          </w:p>
        </w:tc>
        <w:tc>
          <w:tcPr>
            <w:tcW w:w="1160" w:type="dxa"/>
            <w:vAlign w:val="bottom"/>
            <w:shd w:val="clear" w:color="auto" w:fill="E5E5E5"/>
          </w:tcPr>
          <w:p>
            <w:pPr>
              <w:spacing w:after="0"/>
              <w:rPr>
                <w:sz w:val="13"/>
                <w:szCs w:val="13"/>
                <w:color w:val="auto"/>
              </w:rPr>
            </w:pPr>
          </w:p>
        </w:tc>
        <w:tc>
          <w:tcPr>
            <w:tcW w:w="1720" w:type="dxa"/>
            <w:vAlign w:val="bottom"/>
            <w:gridSpan w:val="2"/>
            <w:shd w:val="clear" w:color="auto" w:fill="E5E5E5"/>
          </w:tcPr>
          <w:p>
            <w:pPr>
              <w:jc w:val="center"/>
              <w:ind w:left="84"/>
              <w:spacing w:after="0" w:line="152" w:lineRule="exact"/>
              <w:rPr>
                <w:sz w:val="20"/>
                <w:szCs w:val="20"/>
                <w:color w:val="auto"/>
              </w:rPr>
            </w:pPr>
            <w:r>
              <w:rPr>
                <w:rFonts w:ascii="Arial" w:cs="Arial" w:eastAsia="Arial" w:hAnsi="Arial"/>
                <w:sz w:val="14"/>
                <w:szCs w:val="14"/>
                <w:b w:val="1"/>
                <w:bCs w:val="1"/>
                <w:color w:val="auto"/>
                <w:w w:val="95"/>
              </w:rPr>
              <w:t>Weighted</w:t>
            </w:r>
          </w:p>
        </w:tc>
      </w:tr>
      <w:tr>
        <w:trPr>
          <w:trHeight w:val="149"/>
        </w:trPr>
        <w:tc>
          <w:tcPr>
            <w:tcW w:w="20" w:type="dxa"/>
            <w:vAlign w:val="bottom"/>
          </w:tcPr>
          <w:p>
            <w:pPr>
              <w:spacing w:after="0"/>
              <w:rPr>
                <w:sz w:val="12"/>
                <w:szCs w:val="12"/>
                <w:color w:val="auto"/>
              </w:rPr>
            </w:pPr>
          </w:p>
        </w:tc>
        <w:tc>
          <w:tcPr>
            <w:tcW w:w="5560" w:type="dxa"/>
            <w:vAlign w:val="bottom"/>
            <w:shd w:val="clear" w:color="auto" w:fill="E5E5E5"/>
          </w:tcPr>
          <w:p>
            <w:pPr>
              <w:spacing w:after="0"/>
              <w:rPr>
                <w:sz w:val="12"/>
                <w:szCs w:val="12"/>
                <w:color w:val="auto"/>
              </w:rPr>
            </w:pPr>
          </w:p>
        </w:tc>
        <w:tc>
          <w:tcPr>
            <w:tcW w:w="320" w:type="dxa"/>
            <w:vAlign w:val="bottom"/>
            <w:shd w:val="clear" w:color="auto" w:fill="E5E5E5"/>
          </w:tcPr>
          <w:p>
            <w:pPr>
              <w:spacing w:after="0"/>
              <w:rPr>
                <w:sz w:val="12"/>
                <w:szCs w:val="12"/>
                <w:color w:val="auto"/>
              </w:rPr>
            </w:pPr>
          </w:p>
        </w:tc>
        <w:tc>
          <w:tcPr>
            <w:tcW w:w="1200" w:type="dxa"/>
            <w:vAlign w:val="bottom"/>
            <w:shd w:val="clear" w:color="auto" w:fill="E5E5E5"/>
          </w:tcPr>
          <w:p>
            <w:pPr>
              <w:spacing w:after="0"/>
              <w:rPr>
                <w:sz w:val="12"/>
                <w:szCs w:val="12"/>
                <w:color w:val="auto"/>
              </w:rPr>
            </w:pPr>
          </w:p>
        </w:tc>
        <w:tc>
          <w:tcPr>
            <w:tcW w:w="1440" w:type="dxa"/>
            <w:vAlign w:val="bottom"/>
            <w:gridSpan w:val="2"/>
            <w:shd w:val="clear" w:color="auto" w:fill="E5E5E5"/>
          </w:tcPr>
          <w:p>
            <w:pPr>
              <w:jc w:val="center"/>
              <w:spacing w:after="0" w:line="149" w:lineRule="exact"/>
              <w:rPr>
                <w:sz w:val="20"/>
                <w:szCs w:val="20"/>
                <w:color w:val="auto"/>
              </w:rPr>
            </w:pPr>
            <w:r>
              <w:rPr>
                <w:rFonts w:ascii="Arial" w:cs="Arial" w:eastAsia="Arial" w:hAnsi="Arial"/>
                <w:sz w:val="14"/>
                <w:szCs w:val="14"/>
                <w:b w:val="1"/>
                <w:bCs w:val="1"/>
                <w:color w:val="auto"/>
                <w:w w:val="95"/>
              </w:rPr>
              <w:t>Average Exercise</w:t>
            </w:r>
          </w:p>
        </w:tc>
        <w:tc>
          <w:tcPr>
            <w:tcW w:w="1160" w:type="dxa"/>
            <w:vAlign w:val="bottom"/>
            <w:shd w:val="clear" w:color="auto" w:fill="E5E5E5"/>
          </w:tcPr>
          <w:p>
            <w:pPr>
              <w:spacing w:after="0"/>
              <w:rPr>
                <w:sz w:val="12"/>
                <w:szCs w:val="12"/>
                <w:color w:val="auto"/>
              </w:rPr>
            </w:pPr>
          </w:p>
        </w:tc>
        <w:tc>
          <w:tcPr>
            <w:tcW w:w="1720" w:type="dxa"/>
            <w:vAlign w:val="bottom"/>
            <w:gridSpan w:val="2"/>
            <w:shd w:val="clear" w:color="auto" w:fill="E5E5E5"/>
          </w:tcPr>
          <w:p>
            <w:pPr>
              <w:jc w:val="center"/>
              <w:ind w:left="84"/>
              <w:spacing w:after="0" w:line="149" w:lineRule="exact"/>
              <w:rPr>
                <w:sz w:val="20"/>
                <w:szCs w:val="20"/>
                <w:color w:val="auto"/>
              </w:rPr>
            </w:pPr>
            <w:r>
              <w:rPr>
                <w:rFonts w:ascii="Arial" w:cs="Arial" w:eastAsia="Arial" w:hAnsi="Arial"/>
                <w:sz w:val="14"/>
                <w:szCs w:val="14"/>
                <w:b w:val="1"/>
                <w:bCs w:val="1"/>
                <w:color w:val="auto"/>
                <w:w w:val="96"/>
              </w:rPr>
              <w:t>Average Grant-Date Fair</w:t>
            </w:r>
          </w:p>
        </w:tc>
      </w:tr>
      <w:tr>
        <w:trPr>
          <w:trHeight w:val="176"/>
        </w:trPr>
        <w:tc>
          <w:tcPr>
            <w:tcW w:w="20" w:type="dxa"/>
            <w:vAlign w:val="bottom"/>
          </w:tcPr>
          <w:p>
            <w:pPr>
              <w:spacing w:after="0"/>
              <w:rPr>
                <w:sz w:val="15"/>
                <w:szCs w:val="15"/>
                <w:color w:val="auto"/>
              </w:rPr>
            </w:pPr>
          </w:p>
        </w:tc>
        <w:tc>
          <w:tcPr>
            <w:tcW w:w="5560" w:type="dxa"/>
            <w:vAlign w:val="bottom"/>
            <w:shd w:val="clear" w:color="auto" w:fill="E5E5E5"/>
          </w:tcPr>
          <w:p>
            <w:pPr>
              <w:spacing w:after="0"/>
              <w:rPr>
                <w:sz w:val="15"/>
                <w:szCs w:val="15"/>
                <w:color w:val="auto"/>
              </w:rPr>
            </w:pPr>
          </w:p>
        </w:tc>
        <w:tc>
          <w:tcPr>
            <w:tcW w:w="320" w:type="dxa"/>
            <w:vAlign w:val="bottom"/>
            <w:shd w:val="clear" w:color="auto" w:fill="E5E5E5"/>
          </w:tcPr>
          <w:p>
            <w:pPr>
              <w:spacing w:after="0"/>
              <w:rPr>
                <w:sz w:val="15"/>
                <w:szCs w:val="15"/>
                <w:color w:val="auto"/>
              </w:rPr>
            </w:pPr>
          </w:p>
        </w:tc>
        <w:tc>
          <w:tcPr>
            <w:tcW w:w="1200" w:type="dxa"/>
            <w:vAlign w:val="bottom"/>
            <w:shd w:val="clear" w:color="auto" w:fill="E5E5E5"/>
          </w:tcPr>
          <w:p>
            <w:pPr>
              <w:jc w:val="right"/>
              <w:ind w:right="402"/>
              <w:spacing w:after="0"/>
              <w:rPr>
                <w:sz w:val="20"/>
                <w:szCs w:val="20"/>
                <w:color w:val="auto"/>
              </w:rPr>
            </w:pPr>
            <w:r>
              <w:rPr>
                <w:rFonts w:ascii="Arial" w:cs="Arial" w:eastAsia="Arial" w:hAnsi="Arial"/>
                <w:sz w:val="14"/>
                <w:szCs w:val="14"/>
                <w:b w:val="1"/>
                <w:bCs w:val="1"/>
                <w:color w:val="auto"/>
              </w:rPr>
              <w:t>Shares</w:t>
            </w:r>
          </w:p>
        </w:tc>
        <w:tc>
          <w:tcPr>
            <w:tcW w:w="1440" w:type="dxa"/>
            <w:vAlign w:val="bottom"/>
            <w:gridSpan w:val="2"/>
            <w:shd w:val="clear" w:color="auto" w:fill="E5E5E5"/>
          </w:tcPr>
          <w:p>
            <w:pPr>
              <w:jc w:val="center"/>
              <w:spacing w:after="0"/>
              <w:rPr>
                <w:sz w:val="20"/>
                <w:szCs w:val="20"/>
                <w:color w:val="auto"/>
              </w:rPr>
            </w:pPr>
            <w:r>
              <w:rPr>
                <w:rFonts w:ascii="Arial" w:cs="Arial" w:eastAsia="Arial" w:hAnsi="Arial"/>
                <w:sz w:val="14"/>
                <w:szCs w:val="14"/>
                <w:b w:val="1"/>
                <w:bCs w:val="1"/>
                <w:color w:val="auto"/>
                <w:w w:val="95"/>
              </w:rPr>
              <w:t>Price per Share</w:t>
            </w:r>
          </w:p>
        </w:tc>
        <w:tc>
          <w:tcPr>
            <w:tcW w:w="1160" w:type="dxa"/>
            <w:vAlign w:val="bottom"/>
            <w:shd w:val="clear" w:color="auto" w:fill="E5E5E5"/>
          </w:tcPr>
          <w:p>
            <w:pPr>
              <w:jc w:val="right"/>
              <w:ind w:right="297"/>
              <w:spacing w:after="0"/>
              <w:rPr>
                <w:sz w:val="20"/>
                <w:szCs w:val="20"/>
                <w:color w:val="auto"/>
              </w:rPr>
            </w:pPr>
            <w:r>
              <w:rPr>
                <w:rFonts w:ascii="Arial" w:cs="Arial" w:eastAsia="Arial" w:hAnsi="Arial"/>
                <w:sz w:val="14"/>
                <w:szCs w:val="14"/>
                <w:b w:val="1"/>
                <w:bCs w:val="1"/>
                <w:color w:val="auto"/>
              </w:rPr>
              <w:t>Shares</w:t>
            </w:r>
          </w:p>
        </w:tc>
        <w:tc>
          <w:tcPr>
            <w:tcW w:w="1720" w:type="dxa"/>
            <w:vAlign w:val="bottom"/>
            <w:gridSpan w:val="2"/>
            <w:shd w:val="clear" w:color="auto" w:fill="E5E5E5"/>
          </w:tcPr>
          <w:p>
            <w:pPr>
              <w:jc w:val="center"/>
              <w:ind w:left="104"/>
              <w:spacing w:after="0"/>
              <w:rPr>
                <w:sz w:val="20"/>
                <w:szCs w:val="20"/>
                <w:color w:val="auto"/>
              </w:rPr>
            </w:pPr>
            <w:r>
              <w:rPr>
                <w:rFonts w:ascii="Arial" w:cs="Arial" w:eastAsia="Arial" w:hAnsi="Arial"/>
                <w:sz w:val="14"/>
                <w:szCs w:val="14"/>
                <w:b w:val="1"/>
                <w:bCs w:val="1"/>
                <w:color w:val="auto"/>
                <w:w w:val="96"/>
              </w:rPr>
              <w:t>Value per Share</w:t>
            </w:r>
          </w:p>
        </w:tc>
      </w:tr>
      <w:tr>
        <w:trPr>
          <w:trHeight w:val="270"/>
        </w:trPr>
        <w:tc>
          <w:tcPr>
            <w:tcW w:w="5580" w:type="dxa"/>
            <w:vAlign w:val="bottom"/>
            <w:gridSpan w:val="2"/>
          </w:tcPr>
          <w:p>
            <w:pPr>
              <w:spacing w:after="0"/>
              <w:rPr>
                <w:sz w:val="20"/>
                <w:szCs w:val="20"/>
                <w:color w:val="auto"/>
              </w:rPr>
            </w:pPr>
            <w:r>
              <w:rPr>
                <w:rFonts w:ascii="Arial" w:cs="Arial" w:eastAsia="Arial" w:hAnsi="Arial"/>
                <w:sz w:val="18"/>
                <w:szCs w:val="18"/>
                <w:b w:val="1"/>
                <w:bCs w:val="1"/>
                <w:color w:val="auto"/>
              </w:rPr>
              <w:t>Outstanding grants, December 31, 2006</w:t>
            </w:r>
          </w:p>
        </w:tc>
        <w:tc>
          <w:tcPr>
            <w:tcW w:w="1520" w:type="dxa"/>
            <w:vAlign w:val="bottom"/>
            <w:gridSpan w:val="2"/>
          </w:tcPr>
          <w:p>
            <w:pPr>
              <w:jc w:val="right"/>
              <w:ind w:right="142"/>
              <w:spacing w:after="0"/>
              <w:rPr>
                <w:sz w:val="20"/>
                <w:szCs w:val="20"/>
                <w:color w:val="auto"/>
              </w:rPr>
            </w:pPr>
            <w:r>
              <w:rPr>
                <w:rFonts w:ascii="Arial" w:cs="Arial" w:eastAsia="Arial" w:hAnsi="Arial"/>
                <w:sz w:val="18"/>
                <w:szCs w:val="18"/>
                <w:b w:val="1"/>
                <w:bCs w:val="1"/>
                <w:color w:val="auto"/>
              </w:rPr>
              <w:t>218,771,948</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352"/>
              <w:spacing w:after="0"/>
              <w:rPr>
                <w:sz w:val="20"/>
                <w:szCs w:val="20"/>
                <w:color w:val="auto"/>
              </w:rPr>
            </w:pPr>
            <w:r>
              <w:rPr>
                <w:rFonts w:ascii="Arial" w:cs="Arial" w:eastAsia="Arial" w:hAnsi="Arial"/>
                <w:sz w:val="18"/>
                <w:szCs w:val="18"/>
                <w:b w:val="1"/>
                <w:bCs w:val="1"/>
                <w:color w:val="auto"/>
              </w:rPr>
              <w:t>28.81</w:t>
            </w:r>
          </w:p>
        </w:tc>
        <w:tc>
          <w:tcPr>
            <w:tcW w:w="1160" w:type="dxa"/>
            <w:vAlign w:val="bottom"/>
          </w:tcPr>
          <w:p>
            <w:pPr>
              <w:jc w:val="right"/>
              <w:ind w:right="137"/>
              <w:spacing w:after="0"/>
              <w:rPr>
                <w:sz w:val="20"/>
                <w:szCs w:val="20"/>
                <w:color w:val="auto"/>
              </w:rPr>
            </w:pPr>
            <w:r>
              <w:rPr>
                <w:rFonts w:ascii="Arial" w:cs="Arial" w:eastAsia="Arial" w:hAnsi="Arial"/>
                <w:sz w:val="18"/>
                <w:szCs w:val="18"/>
                <w:b w:val="1"/>
                <w:bCs w:val="1"/>
                <w:color w:val="auto"/>
              </w:rPr>
              <w:t>4,740,368</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392"/>
              <w:spacing w:after="0"/>
              <w:rPr>
                <w:sz w:val="20"/>
                <w:szCs w:val="20"/>
                <w:color w:val="auto"/>
              </w:rPr>
            </w:pPr>
            <w:r>
              <w:rPr>
                <w:rFonts w:ascii="Arial" w:cs="Arial" w:eastAsia="Arial" w:hAnsi="Arial"/>
                <w:sz w:val="18"/>
                <w:szCs w:val="18"/>
                <w:b w:val="1"/>
                <w:bCs w:val="1"/>
                <w:color w:val="auto"/>
              </w:rPr>
              <w:t>26.37</w:t>
            </w:r>
          </w:p>
        </w:tc>
      </w:tr>
      <w:tr>
        <w:trPr>
          <w:trHeight w:val="203"/>
        </w:trPr>
        <w:tc>
          <w:tcPr>
            <w:tcW w:w="20" w:type="dxa"/>
            <w:vAlign w:val="bottom"/>
          </w:tcPr>
          <w:p>
            <w:pPr>
              <w:spacing w:after="0"/>
              <w:rPr>
                <w:sz w:val="17"/>
                <w:szCs w:val="17"/>
                <w:color w:val="auto"/>
              </w:rPr>
            </w:pPr>
          </w:p>
        </w:tc>
        <w:tc>
          <w:tcPr>
            <w:tcW w:w="5560" w:type="dxa"/>
            <w:vAlign w:val="bottom"/>
            <w:shd w:val="clear" w:color="auto" w:fill="E5E5E5"/>
          </w:tcPr>
          <w:p>
            <w:pPr>
              <w:spacing w:after="0" w:line="202" w:lineRule="exact"/>
              <w:rPr>
                <w:sz w:val="20"/>
                <w:szCs w:val="20"/>
                <w:color w:val="auto"/>
              </w:rPr>
            </w:pPr>
            <w:r>
              <w:rPr>
                <w:rFonts w:ascii="Arial" w:cs="Arial" w:eastAsia="Arial" w:hAnsi="Arial"/>
                <w:sz w:val="18"/>
                <w:szCs w:val="18"/>
                <w:b w:val="1"/>
                <w:bCs w:val="1"/>
                <w:color w:val="auto"/>
              </w:rPr>
              <w:t>Granted</w:t>
            </w:r>
          </w:p>
        </w:tc>
        <w:tc>
          <w:tcPr>
            <w:tcW w:w="1520" w:type="dxa"/>
            <w:vAlign w:val="bottom"/>
            <w:gridSpan w:val="2"/>
            <w:shd w:val="clear" w:color="auto" w:fill="E5E5E5"/>
          </w:tcPr>
          <w:p>
            <w:pPr>
              <w:jc w:val="right"/>
              <w:ind w:right="142"/>
              <w:spacing w:after="0" w:line="202" w:lineRule="exact"/>
              <w:rPr>
                <w:sz w:val="20"/>
                <w:szCs w:val="20"/>
                <w:color w:val="auto"/>
              </w:rPr>
            </w:pPr>
            <w:r>
              <w:rPr>
                <w:rFonts w:ascii="Arial" w:cs="Arial" w:eastAsia="Arial" w:hAnsi="Arial"/>
                <w:sz w:val="18"/>
                <w:szCs w:val="18"/>
                <w:b w:val="1"/>
                <w:bCs w:val="1"/>
                <w:color w:val="auto"/>
              </w:rPr>
              <w:t>9,909,839</w:t>
            </w:r>
          </w:p>
        </w:tc>
        <w:tc>
          <w:tcPr>
            <w:tcW w:w="520" w:type="dxa"/>
            <w:vAlign w:val="bottom"/>
            <w:shd w:val="clear" w:color="auto" w:fill="E5E5E5"/>
          </w:tcPr>
          <w:p>
            <w:pPr>
              <w:spacing w:after="0"/>
              <w:rPr>
                <w:sz w:val="17"/>
                <w:szCs w:val="17"/>
                <w:color w:val="auto"/>
              </w:rPr>
            </w:pPr>
          </w:p>
        </w:tc>
        <w:tc>
          <w:tcPr>
            <w:tcW w:w="920" w:type="dxa"/>
            <w:vAlign w:val="bottom"/>
            <w:shd w:val="clear" w:color="auto" w:fill="E5E5E5"/>
          </w:tcPr>
          <w:p>
            <w:pPr>
              <w:jc w:val="right"/>
              <w:ind w:right="352"/>
              <w:spacing w:after="0" w:line="202" w:lineRule="exact"/>
              <w:rPr>
                <w:sz w:val="20"/>
                <w:szCs w:val="20"/>
                <w:color w:val="auto"/>
              </w:rPr>
            </w:pPr>
            <w:r>
              <w:rPr>
                <w:rFonts w:ascii="Arial" w:cs="Arial" w:eastAsia="Arial" w:hAnsi="Arial"/>
                <w:sz w:val="18"/>
                <w:szCs w:val="18"/>
                <w:b w:val="1"/>
                <w:bCs w:val="1"/>
                <w:color w:val="auto"/>
              </w:rPr>
              <w:t>28.57</w:t>
            </w:r>
          </w:p>
        </w:tc>
        <w:tc>
          <w:tcPr>
            <w:tcW w:w="1160" w:type="dxa"/>
            <w:vAlign w:val="bottom"/>
            <w:shd w:val="clear" w:color="auto" w:fill="E5E5E5"/>
          </w:tcPr>
          <w:p>
            <w:pPr>
              <w:jc w:val="right"/>
              <w:ind w:right="137"/>
              <w:spacing w:after="0" w:line="202" w:lineRule="exact"/>
              <w:rPr>
                <w:sz w:val="20"/>
                <w:szCs w:val="20"/>
                <w:color w:val="auto"/>
              </w:rPr>
            </w:pPr>
            <w:r>
              <w:rPr>
                <w:rFonts w:ascii="Arial" w:cs="Arial" w:eastAsia="Arial" w:hAnsi="Arial"/>
                <w:sz w:val="18"/>
                <w:szCs w:val="18"/>
                <w:b w:val="1"/>
                <w:bCs w:val="1"/>
                <w:color w:val="auto"/>
              </w:rPr>
              <w:t>4,127,738</w:t>
            </w:r>
          </w:p>
        </w:tc>
        <w:tc>
          <w:tcPr>
            <w:tcW w:w="740" w:type="dxa"/>
            <w:vAlign w:val="bottom"/>
            <w:shd w:val="clear" w:color="auto" w:fill="E5E5E5"/>
          </w:tcPr>
          <w:p>
            <w:pPr>
              <w:spacing w:after="0"/>
              <w:rPr>
                <w:sz w:val="17"/>
                <w:szCs w:val="17"/>
                <w:color w:val="auto"/>
              </w:rPr>
            </w:pPr>
          </w:p>
        </w:tc>
        <w:tc>
          <w:tcPr>
            <w:tcW w:w="980" w:type="dxa"/>
            <w:vAlign w:val="bottom"/>
            <w:shd w:val="clear" w:color="auto" w:fill="E5E5E5"/>
          </w:tcPr>
          <w:p>
            <w:pPr>
              <w:jc w:val="right"/>
              <w:ind w:right="392"/>
              <w:spacing w:after="0" w:line="202" w:lineRule="exact"/>
              <w:rPr>
                <w:sz w:val="20"/>
                <w:szCs w:val="20"/>
                <w:color w:val="auto"/>
              </w:rPr>
            </w:pPr>
            <w:r>
              <w:rPr>
                <w:rFonts w:ascii="Arial" w:cs="Arial" w:eastAsia="Arial" w:hAnsi="Arial"/>
                <w:sz w:val="18"/>
                <w:szCs w:val="18"/>
                <w:b w:val="1"/>
                <w:bCs w:val="1"/>
                <w:color w:val="auto"/>
              </w:rPr>
              <w:t>29.46</w:t>
            </w:r>
          </w:p>
        </w:tc>
      </w:tr>
      <w:tr>
        <w:trPr>
          <w:trHeight w:val="203"/>
        </w:trPr>
        <w:tc>
          <w:tcPr>
            <w:tcW w:w="20" w:type="dxa"/>
            <w:vAlign w:val="bottom"/>
          </w:tcPr>
          <w:p>
            <w:pPr>
              <w:spacing w:after="0"/>
              <w:rPr>
                <w:sz w:val="17"/>
                <w:szCs w:val="17"/>
                <w:color w:val="auto"/>
              </w:rPr>
            </w:pPr>
          </w:p>
        </w:tc>
        <w:tc>
          <w:tcPr>
            <w:tcW w:w="5560" w:type="dxa"/>
            <w:vAlign w:val="bottom"/>
          </w:tcPr>
          <w:p>
            <w:pPr>
              <w:spacing w:after="0" w:line="202" w:lineRule="exact"/>
              <w:rPr>
                <w:sz w:val="20"/>
                <w:szCs w:val="20"/>
                <w:color w:val="auto"/>
              </w:rPr>
            </w:pPr>
            <w:r>
              <w:rPr>
                <w:rFonts w:ascii="Arial" w:cs="Arial" w:eastAsia="Arial" w:hAnsi="Arial"/>
                <w:sz w:val="18"/>
                <w:szCs w:val="18"/>
                <w:b w:val="1"/>
                <w:bCs w:val="1"/>
                <w:color w:val="auto"/>
              </w:rPr>
              <w:t>Vested (RSUs)</w:t>
            </w:r>
          </w:p>
        </w:tc>
        <w:tc>
          <w:tcPr>
            <w:tcW w:w="320" w:type="dxa"/>
            <w:vAlign w:val="bottom"/>
          </w:tcPr>
          <w:p>
            <w:pPr>
              <w:spacing w:after="0"/>
              <w:rPr>
                <w:sz w:val="17"/>
                <w:szCs w:val="17"/>
                <w:color w:val="auto"/>
              </w:rPr>
            </w:pPr>
          </w:p>
        </w:tc>
        <w:tc>
          <w:tcPr>
            <w:tcW w:w="1200" w:type="dxa"/>
            <w:vAlign w:val="bottom"/>
          </w:tcPr>
          <w:p>
            <w:pPr>
              <w:jc w:val="right"/>
              <w:ind w:right="142"/>
              <w:spacing w:after="0" w:line="202" w:lineRule="exact"/>
              <w:rPr>
                <w:sz w:val="20"/>
                <w:szCs w:val="20"/>
                <w:color w:val="auto"/>
              </w:rPr>
            </w:pPr>
            <w:r>
              <w:rPr>
                <w:rFonts w:ascii="Arial" w:cs="Arial" w:eastAsia="Arial" w:hAnsi="Arial"/>
                <w:sz w:val="18"/>
                <w:szCs w:val="18"/>
                <w:b w:val="1"/>
                <w:bCs w:val="1"/>
                <w:color w:val="auto"/>
              </w:rPr>
              <w:t>—</w:t>
            </w:r>
          </w:p>
        </w:tc>
        <w:tc>
          <w:tcPr>
            <w:tcW w:w="520" w:type="dxa"/>
            <w:vAlign w:val="bottom"/>
          </w:tcPr>
          <w:p>
            <w:pPr>
              <w:spacing w:after="0"/>
              <w:rPr>
                <w:sz w:val="17"/>
                <w:szCs w:val="17"/>
                <w:color w:val="auto"/>
              </w:rPr>
            </w:pPr>
          </w:p>
        </w:tc>
        <w:tc>
          <w:tcPr>
            <w:tcW w:w="920" w:type="dxa"/>
            <w:vAlign w:val="bottom"/>
          </w:tcPr>
          <w:p>
            <w:pPr>
              <w:jc w:val="right"/>
              <w:ind w:right="352"/>
              <w:spacing w:after="0" w:line="202" w:lineRule="exact"/>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77"/>
              <w:spacing w:after="0" w:line="202" w:lineRule="exact"/>
              <w:rPr>
                <w:sz w:val="20"/>
                <w:szCs w:val="20"/>
                <w:color w:val="auto"/>
              </w:rPr>
            </w:pPr>
            <w:r>
              <w:rPr>
                <w:rFonts w:ascii="Arial" w:cs="Arial" w:eastAsia="Arial" w:hAnsi="Arial"/>
                <w:sz w:val="18"/>
                <w:szCs w:val="18"/>
                <w:b w:val="1"/>
                <w:bCs w:val="1"/>
                <w:color w:val="auto"/>
              </w:rPr>
              <w:t>(707,880)</w:t>
            </w:r>
          </w:p>
        </w:tc>
        <w:tc>
          <w:tcPr>
            <w:tcW w:w="740" w:type="dxa"/>
            <w:vAlign w:val="bottom"/>
          </w:tcPr>
          <w:p>
            <w:pPr>
              <w:spacing w:after="0"/>
              <w:rPr>
                <w:sz w:val="17"/>
                <w:szCs w:val="17"/>
                <w:color w:val="auto"/>
              </w:rPr>
            </w:pPr>
          </w:p>
        </w:tc>
        <w:tc>
          <w:tcPr>
            <w:tcW w:w="980" w:type="dxa"/>
            <w:vAlign w:val="bottom"/>
          </w:tcPr>
          <w:p>
            <w:pPr>
              <w:jc w:val="right"/>
              <w:ind w:right="392"/>
              <w:spacing w:after="0" w:line="202" w:lineRule="exact"/>
              <w:rPr>
                <w:sz w:val="20"/>
                <w:szCs w:val="20"/>
                <w:color w:val="auto"/>
              </w:rPr>
            </w:pPr>
            <w:r>
              <w:rPr>
                <w:rFonts w:ascii="Arial" w:cs="Arial" w:eastAsia="Arial" w:hAnsi="Arial"/>
                <w:sz w:val="18"/>
                <w:szCs w:val="18"/>
                <w:b w:val="1"/>
                <w:bCs w:val="1"/>
                <w:color w:val="auto"/>
              </w:rPr>
              <w:t>17.25</w:t>
            </w:r>
          </w:p>
        </w:tc>
      </w:tr>
      <w:tr>
        <w:trPr>
          <w:trHeight w:val="203"/>
        </w:trPr>
        <w:tc>
          <w:tcPr>
            <w:tcW w:w="20" w:type="dxa"/>
            <w:vAlign w:val="bottom"/>
          </w:tcPr>
          <w:p>
            <w:pPr>
              <w:spacing w:after="0"/>
              <w:rPr>
                <w:sz w:val="17"/>
                <w:szCs w:val="17"/>
                <w:color w:val="auto"/>
              </w:rPr>
            </w:pPr>
          </w:p>
        </w:tc>
        <w:tc>
          <w:tcPr>
            <w:tcW w:w="5560" w:type="dxa"/>
            <w:vAlign w:val="bottom"/>
            <w:shd w:val="clear" w:color="auto" w:fill="E5E5E5"/>
          </w:tcPr>
          <w:p>
            <w:pPr>
              <w:spacing w:after="0" w:line="202" w:lineRule="exact"/>
              <w:rPr>
                <w:sz w:val="20"/>
                <w:szCs w:val="20"/>
                <w:color w:val="auto"/>
              </w:rPr>
            </w:pPr>
            <w:r>
              <w:rPr>
                <w:rFonts w:ascii="Arial" w:cs="Arial" w:eastAsia="Arial" w:hAnsi="Arial"/>
                <w:sz w:val="18"/>
                <w:szCs w:val="18"/>
                <w:b w:val="1"/>
                <w:bCs w:val="1"/>
                <w:color w:val="auto"/>
              </w:rPr>
              <w:t>Forfeited</w:t>
            </w:r>
          </w:p>
        </w:tc>
        <w:tc>
          <w:tcPr>
            <w:tcW w:w="1520" w:type="dxa"/>
            <w:vAlign w:val="bottom"/>
            <w:gridSpan w:val="2"/>
            <w:shd w:val="clear" w:color="auto" w:fill="E5E5E5"/>
          </w:tcPr>
          <w:p>
            <w:pPr>
              <w:jc w:val="right"/>
              <w:ind w:right="82"/>
              <w:spacing w:after="0" w:line="202" w:lineRule="exact"/>
              <w:rPr>
                <w:sz w:val="20"/>
                <w:szCs w:val="20"/>
                <w:color w:val="auto"/>
              </w:rPr>
            </w:pPr>
            <w:r>
              <w:rPr>
                <w:rFonts w:ascii="Arial" w:cs="Arial" w:eastAsia="Arial" w:hAnsi="Arial"/>
                <w:sz w:val="18"/>
                <w:szCs w:val="18"/>
                <w:b w:val="1"/>
                <w:bCs w:val="1"/>
                <w:color w:val="auto"/>
              </w:rPr>
              <w:t>(4,587,482)</w:t>
            </w:r>
          </w:p>
        </w:tc>
        <w:tc>
          <w:tcPr>
            <w:tcW w:w="520" w:type="dxa"/>
            <w:vAlign w:val="bottom"/>
            <w:shd w:val="clear" w:color="auto" w:fill="E5E5E5"/>
          </w:tcPr>
          <w:p>
            <w:pPr>
              <w:spacing w:after="0"/>
              <w:rPr>
                <w:sz w:val="17"/>
                <w:szCs w:val="17"/>
                <w:color w:val="auto"/>
              </w:rPr>
            </w:pPr>
          </w:p>
        </w:tc>
        <w:tc>
          <w:tcPr>
            <w:tcW w:w="920" w:type="dxa"/>
            <w:vAlign w:val="bottom"/>
            <w:shd w:val="clear" w:color="auto" w:fill="E5E5E5"/>
          </w:tcPr>
          <w:p>
            <w:pPr>
              <w:jc w:val="right"/>
              <w:ind w:right="352"/>
              <w:spacing w:after="0" w:line="202" w:lineRule="exact"/>
              <w:rPr>
                <w:sz w:val="20"/>
                <w:szCs w:val="20"/>
                <w:color w:val="auto"/>
              </w:rPr>
            </w:pPr>
            <w:r>
              <w:rPr>
                <w:rFonts w:ascii="Arial" w:cs="Arial" w:eastAsia="Arial" w:hAnsi="Arial"/>
                <w:sz w:val="18"/>
                <w:szCs w:val="18"/>
                <w:b w:val="1"/>
                <w:bCs w:val="1"/>
                <w:color w:val="auto"/>
              </w:rPr>
              <w:t>35.30</w:t>
            </w:r>
          </w:p>
        </w:tc>
        <w:tc>
          <w:tcPr>
            <w:tcW w:w="1160" w:type="dxa"/>
            <w:vAlign w:val="bottom"/>
            <w:shd w:val="clear" w:color="auto" w:fill="E5E5E5"/>
          </w:tcPr>
          <w:p>
            <w:pPr>
              <w:jc w:val="right"/>
              <w:ind w:right="77"/>
              <w:spacing w:after="0" w:line="202" w:lineRule="exact"/>
              <w:rPr>
                <w:sz w:val="20"/>
                <w:szCs w:val="20"/>
                <w:color w:val="auto"/>
              </w:rPr>
            </w:pPr>
            <w:r>
              <w:rPr>
                <w:rFonts w:ascii="Arial" w:cs="Arial" w:eastAsia="Arial" w:hAnsi="Arial"/>
                <w:sz w:val="18"/>
                <w:szCs w:val="18"/>
                <w:b w:val="1"/>
                <w:bCs w:val="1"/>
                <w:color w:val="auto"/>
              </w:rPr>
              <w:t>(448,819)</w:t>
            </w:r>
          </w:p>
        </w:tc>
        <w:tc>
          <w:tcPr>
            <w:tcW w:w="740" w:type="dxa"/>
            <w:vAlign w:val="bottom"/>
            <w:shd w:val="clear" w:color="auto" w:fill="E5E5E5"/>
          </w:tcPr>
          <w:p>
            <w:pPr>
              <w:spacing w:after="0"/>
              <w:rPr>
                <w:sz w:val="17"/>
                <w:szCs w:val="17"/>
                <w:color w:val="auto"/>
              </w:rPr>
            </w:pPr>
          </w:p>
        </w:tc>
        <w:tc>
          <w:tcPr>
            <w:tcW w:w="980" w:type="dxa"/>
            <w:vAlign w:val="bottom"/>
            <w:shd w:val="clear" w:color="auto" w:fill="E5E5E5"/>
          </w:tcPr>
          <w:p>
            <w:pPr>
              <w:jc w:val="right"/>
              <w:ind w:right="392"/>
              <w:spacing w:after="0" w:line="202" w:lineRule="exact"/>
              <w:rPr>
                <w:sz w:val="20"/>
                <w:szCs w:val="20"/>
                <w:color w:val="auto"/>
              </w:rPr>
            </w:pPr>
            <w:r>
              <w:rPr>
                <w:rFonts w:ascii="Arial" w:cs="Arial" w:eastAsia="Arial" w:hAnsi="Arial"/>
                <w:sz w:val="18"/>
                <w:szCs w:val="18"/>
                <w:b w:val="1"/>
                <w:bCs w:val="1"/>
                <w:color w:val="auto"/>
              </w:rPr>
              <w:t>28.24</w:t>
            </w:r>
          </w:p>
        </w:tc>
      </w:tr>
      <w:tr>
        <w:trPr>
          <w:trHeight w:val="210"/>
        </w:trPr>
        <w:tc>
          <w:tcPr>
            <w:tcW w:w="20" w:type="dxa"/>
            <w:vAlign w:val="bottom"/>
          </w:tcPr>
          <w:p>
            <w:pPr>
              <w:spacing w:after="0"/>
              <w:rPr>
                <w:sz w:val="18"/>
                <w:szCs w:val="18"/>
                <w:color w:val="auto"/>
              </w:rPr>
            </w:pPr>
          </w:p>
        </w:tc>
        <w:tc>
          <w:tcPr>
            <w:tcW w:w="5560" w:type="dxa"/>
            <w:vAlign w:val="bottom"/>
          </w:tcPr>
          <w:p>
            <w:pPr>
              <w:spacing w:after="0" w:line="202" w:lineRule="exact"/>
              <w:rPr>
                <w:sz w:val="20"/>
                <w:szCs w:val="20"/>
                <w:color w:val="auto"/>
              </w:rPr>
            </w:pPr>
            <w:r>
              <w:rPr>
                <w:rFonts w:ascii="Arial" w:cs="Arial" w:eastAsia="Arial" w:hAnsi="Arial"/>
                <w:sz w:val="18"/>
                <w:szCs w:val="18"/>
                <w:b w:val="1"/>
                <w:bCs w:val="1"/>
                <w:color w:val="auto"/>
              </w:rPr>
              <w:t>Exercised</w:t>
            </w:r>
          </w:p>
        </w:tc>
        <w:tc>
          <w:tcPr>
            <w:tcW w:w="320" w:type="dxa"/>
            <w:vAlign w:val="bottom"/>
          </w:tcPr>
          <w:p>
            <w:pPr>
              <w:spacing w:after="0"/>
              <w:rPr>
                <w:sz w:val="18"/>
                <w:szCs w:val="18"/>
                <w:color w:val="auto"/>
              </w:rPr>
            </w:pPr>
          </w:p>
        </w:tc>
        <w:tc>
          <w:tcPr>
            <w:tcW w:w="1200" w:type="dxa"/>
            <w:vAlign w:val="bottom"/>
            <w:tcBorders>
              <w:bottom w:val="single" w:sz="8" w:color="auto"/>
            </w:tcBorders>
          </w:tcPr>
          <w:p>
            <w:pPr>
              <w:jc w:val="right"/>
              <w:ind w:right="82"/>
              <w:spacing w:after="0" w:line="202" w:lineRule="exact"/>
              <w:rPr>
                <w:sz w:val="20"/>
                <w:szCs w:val="20"/>
                <w:color w:val="auto"/>
              </w:rPr>
            </w:pPr>
            <w:r>
              <w:rPr>
                <w:rFonts w:ascii="Arial" w:cs="Arial" w:eastAsia="Arial" w:hAnsi="Arial"/>
                <w:sz w:val="18"/>
                <w:szCs w:val="18"/>
                <w:b w:val="1"/>
                <w:bCs w:val="1"/>
                <w:color w:val="auto"/>
                <w:w w:val="99"/>
              </w:rPr>
              <w:t>(38,126,974)</w:t>
            </w: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2"/>
              <w:spacing w:after="0" w:line="202" w:lineRule="exact"/>
              <w:rPr>
                <w:sz w:val="20"/>
                <w:szCs w:val="20"/>
                <w:color w:val="auto"/>
              </w:rPr>
            </w:pPr>
            <w:r>
              <w:rPr>
                <w:rFonts w:ascii="Arial" w:cs="Arial" w:eastAsia="Arial" w:hAnsi="Arial"/>
                <w:sz w:val="18"/>
                <w:szCs w:val="18"/>
                <w:b w:val="1"/>
                <w:bCs w:val="1"/>
                <w:color w:val="auto"/>
              </w:rPr>
              <w:t>18.36</w:t>
            </w:r>
          </w:p>
        </w:tc>
        <w:tc>
          <w:tcPr>
            <w:tcW w:w="1160" w:type="dxa"/>
            <w:vAlign w:val="bottom"/>
            <w:tcBorders>
              <w:bottom w:val="single" w:sz="8" w:color="auto"/>
            </w:tcBorders>
          </w:tcPr>
          <w:p>
            <w:pPr>
              <w:jc w:val="right"/>
              <w:ind w:right="137"/>
              <w:spacing w:after="0" w:line="202" w:lineRule="exact"/>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2"/>
              <w:spacing w:after="0" w:line="202" w:lineRule="exact"/>
              <w:rPr>
                <w:sz w:val="20"/>
                <w:szCs w:val="20"/>
                <w:color w:val="auto"/>
              </w:rPr>
            </w:pPr>
            <w:r>
              <w:rPr>
                <w:rFonts w:ascii="Arial" w:cs="Arial" w:eastAsia="Arial" w:hAnsi="Arial"/>
                <w:sz w:val="18"/>
                <w:szCs w:val="18"/>
                <w:b w:val="1"/>
                <w:bCs w:val="1"/>
                <w:color w:val="auto"/>
              </w:rPr>
              <w:t>—</w:t>
            </w:r>
          </w:p>
        </w:tc>
      </w:tr>
      <w:tr>
        <w:trPr>
          <w:trHeight w:val="203"/>
        </w:trPr>
        <w:tc>
          <w:tcPr>
            <w:tcW w:w="20" w:type="dxa"/>
            <w:vAlign w:val="bottom"/>
          </w:tcPr>
          <w:p>
            <w:pPr>
              <w:spacing w:after="0"/>
              <w:rPr>
                <w:sz w:val="17"/>
                <w:szCs w:val="17"/>
                <w:color w:val="auto"/>
              </w:rPr>
            </w:pPr>
          </w:p>
        </w:tc>
        <w:tc>
          <w:tcPr>
            <w:tcW w:w="5560" w:type="dxa"/>
            <w:vAlign w:val="bottom"/>
            <w:shd w:val="clear" w:color="auto" w:fill="E5E5E5"/>
          </w:tcPr>
          <w:p>
            <w:pPr>
              <w:spacing w:after="0" w:line="202" w:lineRule="exact"/>
              <w:rPr>
                <w:sz w:val="20"/>
                <w:szCs w:val="20"/>
                <w:color w:val="auto"/>
              </w:rPr>
            </w:pPr>
            <w:r>
              <w:rPr>
                <w:rFonts w:ascii="Arial" w:cs="Arial" w:eastAsia="Arial" w:hAnsi="Arial"/>
                <w:sz w:val="18"/>
                <w:szCs w:val="18"/>
                <w:b w:val="1"/>
                <w:bCs w:val="1"/>
                <w:color w:val="auto"/>
              </w:rPr>
              <w:t>Outstanding grants, December 31, 2007</w:t>
            </w:r>
          </w:p>
        </w:tc>
        <w:tc>
          <w:tcPr>
            <w:tcW w:w="1520" w:type="dxa"/>
            <w:vAlign w:val="bottom"/>
            <w:gridSpan w:val="2"/>
            <w:shd w:val="clear" w:color="auto" w:fill="E5E5E5"/>
          </w:tcPr>
          <w:p>
            <w:pPr>
              <w:jc w:val="right"/>
              <w:ind w:right="142"/>
              <w:spacing w:after="0" w:line="202" w:lineRule="exact"/>
              <w:rPr>
                <w:sz w:val="20"/>
                <w:szCs w:val="20"/>
                <w:color w:val="auto"/>
              </w:rPr>
            </w:pPr>
            <w:r>
              <w:rPr>
                <w:rFonts w:ascii="Arial" w:cs="Arial" w:eastAsia="Arial" w:hAnsi="Arial"/>
                <w:sz w:val="18"/>
                <w:szCs w:val="18"/>
                <w:b w:val="1"/>
                <w:bCs w:val="1"/>
                <w:color w:val="auto"/>
              </w:rPr>
              <w:t>185,967,331</w:t>
            </w:r>
          </w:p>
        </w:tc>
        <w:tc>
          <w:tcPr>
            <w:tcW w:w="5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E5E5E5"/>
          </w:tcPr>
          <w:p>
            <w:pPr>
              <w:jc w:val="right"/>
              <w:ind w:right="352"/>
              <w:spacing w:after="0" w:line="202" w:lineRule="exact"/>
              <w:rPr>
                <w:sz w:val="20"/>
                <w:szCs w:val="20"/>
                <w:color w:val="auto"/>
              </w:rPr>
            </w:pPr>
            <w:r>
              <w:rPr>
                <w:rFonts w:ascii="Arial" w:cs="Arial" w:eastAsia="Arial" w:hAnsi="Arial"/>
                <w:sz w:val="18"/>
                <w:szCs w:val="18"/>
                <w:b w:val="1"/>
                <w:bCs w:val="1"/>
                <w:color w:val="auto"/>
              </w:rPr>
              <w:t>30.78</w:t>
            </w:r>
          </w:p>
        </w:tc>
        <w:tc>
          <w:tcPr>
            <w:tcW w:w="1160" w:type="dxa"/>
            <w:vAlign w:val="bottom"/>
            <w:shd w:val="clear" w:color="auto" w:fill="E5E5E5"/>
          </w:tcPr>
          <w:p>
            <w:pPr>
              <w:jc w:val="right"/>
              <w:ind w:right="137"/>
              <w:spacing w:after="0" w:line="202" w:lineRule="exact"/>
              <w:rPr>
                <w:sz w:val="20"/>
                <w:szCs w:val="20"/>
                <w:color w:val="auto"/>
              </w:rPr>
            </w:pPr>
            <w:r>
              <w:rPr>
                <w:rFonts w:ascii="Arial" w:cs="Arial" w:eastAsia="Arial" w:hAnsi="Arial"/>
                <w:sz w:val="18"/>
                <w:szCs w:val="18"/>
                <w:b w:val="1"/>
                <w:bCs w:val="1"/>
                <w:color w:val="auto"/>
              </w:rPr>
              <w:t>7,711,407</w:t>
            </w:r>
          </w:p>
        </w:tc>
        <w:tc>
          <w:tcPr>
            <w:tcW w:w="7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E5E5E5"/>
          </w:tcPr>
          <w:p>
            <w:pPr>
              <w:jc w:val="right"/>
              <w:ind w:right="392"/>
              <w:spacing w:after="0" w:line="202" w:lineRule="exact"/>
              <w:rPr>
                <w:sz w:val="20"/>
                <w:szCs w:val="20"/>
                <w:color w:val="auto"/>
              </w:rPr>
            </w:pPr>
            <w:r>
              <w:rPr>
                <w:rFonts w:ascii="Arial" w:cs="Arial" w:eastAsia="Arial" w:hAnsi="Arial"/>
                <w:sz w:val="18"/>
                <w:szCs w:val="18"/>
                <w:b w:val="1"/>
                <w:bCs w:val="1"/>
                <w:color w:val="auto"/>
              </w:rPr>
              <w:t>28.75</w:t>
            </w: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right="500"/>
        <w:spacing w:after="0" w:line="239" w:lineRule="auto"/>
        <w:rPr>
          <w:sz w:val="20"/>
          <w:szCs w:val="20"/>
          <w:color w:val="auto"/>
        </w:rPr>
      </w:pPr>
      <w:r>
        <w:rPr>
          <w:rFonts w:ascii="Arial" w:cs="Arial" w:eastAsia="Arial" w:hAnsi="Arial"/>
          <w:sz w:val="18"/>
          <w:szCs w:val="18"/>
          <w:color w:val="auto"/>
        </w:rPr>
        <w:t>The fair values of RSUs are determined based on the price of TI common stock on the date of grant. Compensation expense associated with RSUs, which was all in continuing operations, totaled $49 million, $29 million and $18 million in 2007, 2006 and 2005.</w:t>
      </w:r>
    </w:p>
    <w:p>
      <w:pPr>
        <w:spacing w:after="0" w:line="155" w:lineRule="exact"/>
        <w:rPr>
          <w:sz w:val="20"/>
          <w:szCs w:val="20"/>
          <w:color w:val="auto"/>
        </w:rPr>
      </w:pPr>
    </w:p>
    <w:p>
      <w:pPr>
        <w:jc w:val="both"/>
        <w:ind w:right="360"/>
        <w:spacing w:after="0" w:line="238" w:lineRule="auto"/>
        <w:rPr>
          <w:sz w:val="20"/>
          <w:szCs w:val="20"/>
          <w:color w:val="auto"/>
        </w:rPr>
      </w:pPr>
      <w:r>
        <w:rPr>
          <w:rFonts w:ascii="Arial" w:cs="Arial" w:eastAsia="Arial" w:hAnsi="Arial"/>
          <w:sz w:val="18"/>
          <w:szCs w:val="18"/>
          <w:color w:val="auto"/>
        </w:rPr>
        <w:t>The weighted average grant-date fair value of stock options granted during the years 2007, 2006 and 2005 was $9.72, $11.82 and $10.07 per share. The weighted average grant-date fair value of RSUs granted during the years 2007, 2006 and 2005 was $29.46, $31.36 and $24.42 per share.</w:t>
      </w:r>
    </w:p>
    <w:p>
      <w:pPr>
        <w:spacing w:after="0" w:line="137" w:lineRule="exact"/>
        <w:rPr>
          <w:sz w:val="20"/>
          <w:szCs w:val="20"/>
          <w:color w:val="auto"/>
        </w:rPr>
      </w:pPr>
    </w:p>
    <w:p>
      <w:pPr>
        <w:spacing w:after="0"/>
        <w:tabs>
          <w:tab w:leader="none" w:pos="8420" w:val="left"/>
        </w:tabs>
        <w:rPr>
          <w:sz w:val="20"/>
          <w:szCs w:val="20"/>
          <w:color w:val="auto"/>
        </w:rPr>
      </w:pPr>
      <w:r>
        <w:rPr>
          <w:rFonts w:ascii="Arial" w:cs="Arial" w:eastAsia="Arial" w:hAnsi="Arial"/>
          <w:sz w:val="12"/>
          <w:szCs w:val="12"/>
          <w:color w:val="auto"/>
        </w:rPr>
        <w:t>24</w:t>
      </w:r>
      <w:r>
        <w:rPr>
          <w:sz w:val="20"/>
          <w:szCs w:val="20"/>
          <w:color w:val="auto"/>
        </w:rPr>
        <w:tab/>
      </w:r>
      <w:r>
        <w:rPr>
          <w:rFonts w:ascii="Arial" w:cs="Arial" w:eastAsia="Arial" w:hAnsi="Arial"/>
          <w:sz w:val="12"/>
          <w:szCs w:val="12"/>
          <w:color w:val="auto"/>
        </w:rPr>
        <w:t>TEXAS INSTRUMENTS 2007 ANNUAL REPORT</w:t>
      </w:r>
    </w:p>
    <w:p>
      <w:pPr>
        <w:sectPr>
          <w:pgSz w:w="11900" w:h="16838" w:orient="portrait"/>
          <w:cols w:equalWidth="0" w:num="1">
            <w:col w:w="11420"/>
          </w:cols>
          <w:pgMar w:left="240" w:top="291" w:right="239" w:bottom="1440" w:gutter="0" w:footer="0" w:header="0"/>
        </w:sectPr>
      </w:pPr>
    </w:p>
    <w:bookmarkStart w:id="44" w:name="page45"/>
    <w:bookmarkEnd w:id="4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Summarized information about stock options outstanding under the various long-term plans mentioned above at December 31, 2007, is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1540" w:type="dxa"/>
            <w:vAlign w:val="bottom"/>
            <w:shd w:val="clear" w:color="auto" w:fill="E5E5E5"/>
          </w:tcPr>
          <w:p>
            <w:pPr>
              <w:spacing w:after="0"/>
              <w:rPr>
                <w:sz w:val="14"/>
                <w:szCs w:val="14"/>
                <w:color w:val="auto"/>
              </w:rPr>
            </w:pPr>
          </w:p>
        </w:tc>
        <w:tc>
          <w:tcPr>
            <w:tcW w:w="4400" w:type="dxa"/>
            <w:vAlign w:val="bottom"/>
            <w:gridSpan w:val="2"/>
            <w:shd w:val="clear" w:color="auto" w:fill="E5E5E5"/>
          </w:tcPr>
          <w:p>
            <w:pPr>
              <w:ind w:left="1140"/>
              <w:spacing w:after="0"/>
              <w:rPr>
                <w:sz w:val="20"/>
                <w:szCs w:val="20"/>
                <w:color w:val="auto"/>
              </w:rPr>
            </w:pPr>
            <w:r>
              <w:rPr>
                <w:rFonts w:ascii="Arial" w:cs="Arial" w:eastAsia="Arial" w:hAnsi="Arial"/>
                <w:sz w:val="14"/>
                <w:szCs w:val="14"/>
                <w:b w:val="1"/>
                <w:bCs w:val="1"/>
                <w:color w:val="auto"/>
              </w:rPr>
              <w:t>STOCK OPTIONS OUTSTANDING</w:t>
            </w:r>
          </w:p>
        </w:tc>
        <w:tc>
          <w:tcPr>
            <w:tcW w:w="740" w:type="dxa"/>
            <w:vAlign w:val="bottom"/>
            <w:shd w:val="clear" w:color="auto" w:fill="E5E5E5"/>
          </w:tcPr>
          <w:p>
            <w:pPr>
              <w:spacing w:after="0"/>
              <w:rPr>
                <w:sz w:val="14"/>
                <w:szCs w:val="14"/>
                <w:color w:val="auto"/>
              </w:rPr>
            </w:pPr>
          </w:p>
        </w:tc>
        <w:tc>
          <w:tcPr>
            <w:tcW w:w="1180" w:type="dxa"/>
            <w:vAlign w:val="bottom"/>
            <w:shd w:val="clear" w:color="auto" w:fill="E5E5E5"/>
          </w:tcPr>
          <w:p>
            <w:pPr>
              <w:spacing w:after="0"/>
              <w:rPr>
                <w:sz w:val="14"/>
                <w:szCs w:val="14"/>
                <w:color w:val="auto"/>
              </w:rPr>
            </w:pPr>
          </w:p>
        </w:tc>
        <w:tc>
          <w:tcPr>
            <w:tcW w:w="3440" w:type="dxa"/>
            <w:vAlign w:val="bottom"/>
            <w:gridSpan w:val="4"/>
            <w:shd w:val="clear" w:color="auto" w:fill="E5E5E5"/>
          </w:tcPr>
          <w:p>
            <w:pPr>
              <w:ind w:left="1080"/>
              <w:spacing w:after="0"/>
              <w:rPr>
                <w:sz w:val="20"/>
                <w:szCs w:val="20"/>
                <w:color w:val="auto"/>
              </w:rPr>
            </w:pPr>
            <w:r>
              <w:rPr>
                <w:rFonts w:ascii="Arial" w:cs="Arial" w:eastAsia="Arial" w:hAnsi="Arial"/>
                <w:sz w:val="14"/>
                <w:szCs w:val="14"/>
                <w:b w:val="1"/>
                <w:bCs w:val="1"/>
                <w:color w:val="auto"/>
              </w:rPr>
              <w:t>OPTIONS EXERCISABLE</w:t>
            </w:r>
          </w:p>
        </w:tc>
      </w:tr>
      <w:tr>
        <w:trPr>
          <w:trHeight w:val="149"/>
        </w:trPr>
        <w:tc>
          <w:tcPr>
            <w:tcW w:w="20" w:type="dxa"/>
            <w:vAlign w:val="bottom"/>
          </w:tcPr>
          <w:p>
            <w:pPr>
              <w:spacing w:after="0"/>
              <w:rPr>
                <w:sz w:val="12"/>
                <w:szCs w:val="12"/>
                <w:color w:val="auto"/>
              </w:rPr>
            </w:pPr>
          </w:p>
        </w:tc>
        <w:tc>
          <w:tcPr>
            <w:tcW w:w="100" w:type="dxa"/>
            <w:vAlign w:val="bottom"/>
            <w:shd w:val="clear" w:color="auto" w:fill="E5E5E5"/>
          </w:tcPr>
          <w:p>
            <w:pPr>
              <w:spacing w:after="0"/>
              <w:rPr>
                <w:sz w:val="12"/>
                <w:szCs w:val="12"/>
                <w:color w:val="auto"/>
              </w:rPr>
            </w:pPr>
          </w:p>
        </w:tc>
        <w:tc>
          <w:tcPr>
            <w:tcW w:w="1540" w:type="dxa"/>
            <w:vAlign w:val="bottom"/>
            <w:shd w:val="clear" w:color="auto" w:fill="E5E5E5"/>
          </w:tcPr>
          <w:p>
            <w:pPr>
              <w:spacing w:after="0"/>
              <w:rPr>
                <w:sz w:val="12"/>
                <w:szCs w:val="12"/>
                <w:color w:val="auto"/>
              </w:rPr>
            </w:pPr>
          </w:p>
        </w:tc>
        <w:tc>
          <w:tcPr>
            <w:tcW w:w="2120" w:type="dxa"/>
            <w:vAlign w:val="bottom"/>
            <w:shd w:val="clear" w:color="auto" w:fill="E5E5E5"/>
          </w:tcPr>
          <w:p>
            <w:pPr>
              <w:spacing w:after="0"/>
              <w:rPr>
                <w:sz w:val="12"/>
                <w:szCs w:val="12"/>
                <w:color w:val="auto"/>
              </w:rPr>
            </w:pPr>
          </w:p>
        </w:tc>
        <w:tc>
          <w:tcPr>
            <w:tcW w:w="2280" w:type="dxa"/>
            <w:vAlign w:val="bottom"/>
            <w:shd w:val="clear" w:color="auto" w:fill="E5E5E5"/>
          </w:tcPr>
          <w:p>
            <w:pPr>
              <w:jc w:val="center"/>
              <w:spacing w:after="0" w:line="149" w:lineRule="exact"/>
              <w:rPr>
                <w:sz w:val="20"/>
                <w:szCs w:val="20"/>
                <w:color w:val="auto"/>
              </w:rPr>
            </w:pPr>
            <w:r>
              <w:rPr>
                <w:rFonts w:ascii="Arial" w:cs="Arial" w:eastAsia="Arial" w:hAnsi="Arial"/>
                <w:sz w:val="14"/>
                <w:szCs w:val="14"/>
                <w:b w:val="1"/>
                <w:bCs w:val="1"/>
                <w:color w:val="auto"/>
                <w:w w:val="95"/>
              </w:rPr>
              <w:t>Weighted</w:t>
            </w:r>
          </w:p>
        </w:tc>
        <w:tc>
          <w:tcPr>
            <w:tcW w:w="1920" w:type="dxa"/>
            <w:vAlign w:val="bottom"/>
            <w:gridSpan w:val="2"/>
            <w:shd w:val="clear" w:color="auto" w:fill="E5E5E5"/>
          </w:tcPr>
          <w:p>
            <w:pPr>
              <w:jc w:val="center"/>
              <w:spacing w:after="0" w:line="149" w:lineRule="exact"/>
              <w:rPr>
                <w:sz w:val="20"/>
                <w:szCs w:val="20"/>
                <w:color w:val="auto"/>
              </w:rPr>
            </w:pPr>
            <w:r>
              <w:rPr>
                <w:rFonts w:ascii="Arial" w:cs="Arial" w:eastAsia="Arial" w:hAnsi="Arial"/>
                <w:sz w:val="14"/>
                <w:szCs w:val="14"/>
                <w:b w:val="1"/>
                <w:bCs w:val="1"/>
                <w:color w:val="auto"/>
                <w:w w:val="95"/>
              </w:rPr>
              <w:t>Weighted</w:t>
            </w:r>
          </w:p>
        </w:tc>
        <w:tc>
          <w:tcPr>
            <w:tcW w:w="1820" w:type="dxa"/>
            <w:vAlign w:val="bottom"/>
            <w:shd w:val="clear" w:color="auto" w:fill="E5E5E5"/>
          </w:tcPr>
          <w:p>
            <w:pPr>
              <w:jc w:val="center"/>
              <w:spacing w:after="0" w:line="149" w:lineRule="exact"/>
              <w:rPr>
                <w:sz w:val="20"/>
                <w:szCs w:val="20"/>
                <w:color w:val="auto"/>
              </w:rPr>
            </w:pPr>
            <w:r>
              <w:rPr>
                <w:rFonts w:ascii="Arial" w:cs="Arial" w:eastAsia="Arial" w:hAnsi="Arial"/>
                <w:sz w:val="14"/>
                <w:szCs w:val="14"/>
                <w:b w:val="1"/>
                <w:bCs w:val="1"/>
                <w:color w:val="auto"/>
                <w:w w:val="94"/>
              </w:rPr>
              <w:t>Number</w:t>
            </w:r>
          </w:p>
        </w:tc>
        <w:tc>
          <w:tcPr>
            <w:tcW w:w="1620" w:type="dxa"/>
            <w:vAlign w:val="bottom"/>
            <w:gridSpan w:val="3"/>
            <w:shd w:val="clear" w:color="auto" w:fill="E5E5E5"/>
          </w:tcPr>
          <w:p>
            <w:pPr>
              <w:jc w:val="center"/>
              <w:ind w:left="304"/>
              <w:spacing w:after="0" w:line="149" w:lineRule="exact"/>
              <w:rPr>
                <w:sz w:val="20"/>
                <w:szCs w:val="20"/>
                <w:color w:val="auto"/>
              </w:rPr>
            </w:pPr>
            <w:r>
              <w:rPr>
                <w:rFonts w:ascii="Arial" w:cs="Arial" w:eastAsia="Arial" w:hAnsi="Arial"/>
                <w:sz w:val="14"/>
                <w:szCs w:val="14"/>
                <w:b w:val="1"/>
                <w:bCs w:val="1"/>
                <w:color w:val="auto"/>
                <w:w w:val="95"/>
              </w:rPr>
              <w:t>Weighted</w:t>
            </w:r>
          </w:p>
        </w:tc>
      </w:tr>
      <w:tr>
        <w:trPr>
          <w:trHeight w:val="149"/>
        </w:trPr>
        <w:tc>
          <w:tcPr>
            <w:tcW w:w="20" w:type="dxa"/>
            <w:vAlign w:val="bottom"/>
          </w:tcPr>
          <w:p>
            <w:pPr>
              <w:spacing w:after="0"/>
              <w:rPr>
                <w:sz w:val="12"/>
                <w:szCs w:val="12"/>
                <w:color w:val="auto"/>
              </w:rPr>
            </w:pPr>
          </w:p>
        </w:tc>
        <w:tc>
          <w:tcPr>
            <w:tcW w:w="1640" w:type="dxa"/>
            <w:vAlign w:val="bottom"/>
            <w:gridSpan w:val="2"/>
            <w:shd w:val="clear" w:color="auto" w:fill="E5E5E5"/>
          </w:tcPr>
          <w:p>
            <w:pPr>
              <w:jc w:val="right"/>
              <w:ind w:right="355"/>
              <w:spacing w:after="0" w:line="149" w:lineRule="exact"/>
              <w:rPr>
                <w:sz w:val="20"/>
                <w:szCs w:val="20"/>
                <w:color w:val="auto"/>
              </w:rPr>
            </w:pPr>
            <w:r>
              <w:rPr>
                <w:rFonts w:ascii="Arial" w:cs="Arial" w:eastAsia="Arial" w:hAnsi="Arial"/>
                <w:sz w:val="14"/>
                <w:szCs w:val="14"/>
                <w:b w:val="1"/>
                <w:bCs w:val="1"/>
                <w:color w:val="auto"/>
                <w:w w:val="97"/>
              </w:rPr>
              <w:t>Range of Exercise</w:t>
            </w:r>
          </w:p>
        </w:tc>
        <w:tc>
          <w:tcPr>
            <w:tcW w:w="2120" w:type="dxa"/>
            <w:vAlign w:val="bottom"/>
            <w:shd w:val="clear" w:color="auto" w:fill="E5E5E5"/>
          </w:tcPr>
          <w:p>
            <w:pPr>
              <w:jc w:val="right"/>
              <w:ind w:right="718"/>
              <w:spacing w:after="0" w:line="149" w:lineRule="exact"/>
              <w:rPr>
                <w:sz w:val="20"/>
                <w:szCs w:val="20"/>
                <w:color w:val="auto"/>
              </w:rPr>
            </w:pPr>
            <w:r>
              <w:rPr>
                <w:rFonts w:ascii="Arial" w:cs="Arial" w:eastAsia="Arial" w:hAnsi="Arial"/>
                <w:sz w:val="14"/>
                <w:szCs w:val="14"/>
                <w:b w:val="1"/>
                <w:bCs w:val="1"/>
                <w:color w:val="auto"/>
              </w:rPr>
              <w:t>Number</w:t>
            </w:r>
          </w:p>
        </w:tc>
        <w:tc>
          <w:tcPr>
            <w:tcW w:w="2280" w:type="dxa"/>
            <w:vAlign w:val="bottom"/>
            <w:shd w:val="clear" w:color="auto" w:fill="E5E5E5"/>
          </w:tcPr>
          <w:p>
            <w:pPr>
              <w:jc w:val="center"/>
              <w:spacing w:after="0" w:line="149" w:lineRule="exact"/>
              <w:rPr>
                <w:sz w:val="20"/>
                <w:szCs w:val="20"/>
                <w:color w:val="auto"/>
              </w:rPr>
            </w:pPr>
            <w:r>
              <w:rPr>
                <w:rFonts w:ascii="Arial" w:cs="Arial" w:eastAsia="Arial" w:hAnsi="Arial"/>
                <w:sz w:val="14"/>
                <w:szCs w:val="14"/>
                <w:b w:val="1"/>
                <w:bCs w:val="1"/>
                <w:color w:val="auto"/>
                <w:w w:val="96"/>
              </w:rPr>
              <w:t>Average Remaining</w:t>
            </w:r>
          </w:p>
        </w:tc>
        <w:tc>
          <w:tcPr>
            <w:tcW w:w="1920" w:type="dxa"/>
            <w:vAlign w:val="bottom"/>
            <w:gridSpan w:val="2"/>
            <w:shd w:val="clear" w:color="auto" w:fill="E5E5E5"/>
          </w:tcPr>
          <w:p>
            <w:pPr>
              <w:jc w:val="center"/>
              <w:spacing w:after="0" w:line="149" w:lineRule="exact"/>
              <w:rPr>
                <w:sz w:val="20"/>
                <w:szCs w:val="20"/>
                <w:color w:val="auto"/>
              </w:rPr>
            </w:pPr>
            <w:r>
              <w:rPr>
                <w:rFonts w:ascii="Arial" w:cs="Arial" w:eastAsia="Arial" w:hAnsi="Arial"/>
                <w:sz w:val="14"/>
                <w:szCs w:val="14"/>
                <w:b w:val="1"/>
                <w:bCs w:val="1"/>
                <w:color w:val="auto"/>
                <w:w w:val="95"/>
              </w:rPr>
              <w:t>Average Exercise</w:t>
            </w:r>
          </w:p>
        </w:tc>
        <w:tc>
          <w:tcPr>
            <w:tcW w:w="1820" w:type="dxa"/>
            <w:vAlign w:val="bottom"/>
            <w:shd w:val="clear" w:color="auto" w:fill="E5E5E5"/>
          </w:tcPr>
          <w:p>
            <w:pPr>
              <w:jc w:val="center"/>
              <w:spacing w:after="0" w:line="149" w:lineRule="exact"/>
              <w:rPr>
                <w:sz w:val="20"/>
                <w:szCs w:val="20"/>
                <w:color w:val="auto"/>
              </w:rPr>
            </w:pPr>
            <w:r>
              <w:rPr>
                <w:rFonts w:ascii="Arial" w:cs="Arial" w:eastAsia="Arial" w:hAnsi="Arial"/>
                <w:sz w:val="14"/>
                <w:szCs w:val="14"/>
                <w:b w:val="1"/>
                <w:bCs w:val="1"/>
                <w:color w:val="auto"/>
                <w:w w:val="95"/>
              </w:rPr>
              <w:t>Exercisable</w:t>
            </w:r>
          </w:p>
        </w:tc>
        <w:tc>
          <w:tcPr>
            <w:tcW w:w="1620" w:type="dxa"/>
            <w:vAlign w:val="bottom"/>
            <w:gridSpan w:val="3"/>
            <w:shd w:val="clear" w:color="auto" w:fill="E5E5E5"/>
          </w:tcPr>
          <w:p>
            <w:pPr>
              <w:jc w:val="center"/>
              <w:ind w:left="304"/>
              <w:spacing w:after="0" w:line="149" w:lineRule="exact"/>
              <w:rPr>
                <w:sz w:val="20"/>
                <w:szCs w:val="20"/>
                <w:color w:val="auto"/>
              </w:rPr>
            </w:pPr>
            <w:r>
              <w:rPr>
                <w:rFonts w:ascii="Arial" w:cs="Arial" w:eastAsia="Arial" w:hAnsi="Arial"/>
                <w:sz w:val="14"/>
                <w:szCs w:val="14"/>
                <w:b w:val="1"/>
                <w:bCs w:val="1"/>
                <w:color w:val="auto"/>
                <w:w w:val="95"/>
              </w:rPr>
              <w:t>Average Exercise</w:t>
            </w:r>
          </w:p>
        </w:tc>
      </w:tr>
      <w:tr>
        <w:trPr>
          <w:trHeight w:val="213"/>
        </w:trPr>
        <w:tc>
          <w:tcPr>
            <w:tcW w:w="20" w:type="dxa"/>
            <w:vAlign w:val="bottom"/>
          </w:tcPr>
          <w:p>
            <w:pPr>
              <w:spacing w:after="0"/>
              <w:rPr>
                <w:sz w:val="18"/>
                <w:szCs w:val="18"/>
                <w:color w:val="auto"/>
              </w:rPr>
            </w:pPr>
          </w:p>
        </w:tc>
        <w:tc>
          <w:tcPr>
            <w:tcW w:w="100" w:type="dxa"/>
            <w:vAlign w:val="bottom"/>
            <w:tcBorders>
              <w:bottom w:val="single" w:sz="8" w:color="E5E5E5"/>
            </w:tcBorders>
            <w:shd w:val="clear" w:color="auto" w:fill="E5E5E5"/>
          </w:tcPr>
          <w:p>
            <w:pPr>
              <w:spacing w:after="0"/>
              <w:rPr>
                <w:sz w:val="18"/>
                <w:szCs w:val="18"/>
                <w:color w:val="auto"/>
              </w:rPr>
            </w:pPr>
          </w:p>
        </w:tc>
        <w:tc>
          <w:tcPr>
            <w:tcW w:w="1540" w:type="dxa"/>
            <w:vAlign w:val="bottom"/>
            <w:tcBorders>
              <w:bottom w:val="single" w:sz="8" w:color="E5E5E5"/>
            </w:tcBorders>
            <w:shd w:val="clear" w:color="auto" w:fill="E5E5E5"/>
          </w:tcPr>
          <w:p>
            <w:pPr>
              <w:jc w:val="right"/>
              <w:ind w:right="535"/>
              <w:spacing w:after="0"/>
              <w:rPr>
                <w:sz w:val="20"/>
                <w:szCs w:val="20"/>
                <w:color w:val="auto"/>
              </w:rPr>
            </w:pPr>
            <w:r>
              <w:rPr>
                <w:rFonts w:ascii="Arial" w:cs="Arial" w:eastAsia="Arial" w:hAnsi="Arial"/>
                <w:sz w:val="14"/>
                <w:szCs w:val="14"/>
                <w:b w:val="1"/>
                <w:bCs w:val="1"/>
                <w:color w:val="auto"/>
              </w:rPr>
              <w:t>Share Prices</w:t>
            </w:r>
          </w:p>
        </w:tc>
        <w:tc>
          <w:tcPr>
            <w:tcW w:w="2120" w:type="dxa"/>
            <w:vAlign w:val="bottom"/>
            <w:tcBorders>
              <w:bottom w:val="single" w:sz="8" w:color="E5E5E5"/>
            </w:tcBorders>
            <w:shd w:val="clear" w:color="auto" w:fill="E5E5E5"/>
          </w:tcPr>
          <w:p>
            <w:pPr>
              <w:jc w:val="right"/>
              <w:ind w:right="298"/>
              <w:spacing w:after="0"/>
              <w:rPr>
                <w:sz w:val="20"/>
                <w:szCs w:val="20"/>
                <w:color w:val="auto"/>
              </w:rPr>
            </w:pPr>
            <w:r>
              <w:rPr>
                <w:rFonts w:ascii="Arial" w:cs="Arial" w:eastAsia="Arial" w:hAnsi="Arial"/>
                <w:sz w:val="14"/>
                <w:szCs w:val="14"/>
                <w:b w:val="1"/>
                <w:bCs w:val="1"/>
                <w:color w:val="auto"/>
              </w:rPr>
              <w:t>Outstanding (shares)</w:t>
            </w:r>
          </w:p>
        </w:tc>
        <w:tc>
          <w:tcPr>
            <w:tcW w:w="2280" w:type="dxa"/>
            <w:vAlign w:val="bottom"/>
            <w:tcBorders>
              <w:bottom w:val="single" w:sz="8" w:color="E5E5E5"/>
            </w:tcBorders>
            <w:shd w:val="clear" w:color="auto" w:fill="E5E5E5"/>
          </w:tcPr>
          <w:p>
            <w:pPr>
              <w:jc w:val="center"/>
              <w:spacing w:after="0"/>
              <w:rPr>
                <w:sz w:val="20"/>
                <w:szCs w:val="20"/>
                <w:color w:val="auto"/>
              </w:rPr>
            </w:pPr>
            <w:r>
              <w:rPr>
                <w:rFonts w:ascii="Arial" w:cs="Arial" w:eastAsia="Arial" w:hAnsi="Arial"/>
                <w:sz w:val="14"/>
                <w:szCs w:val="14"/>
                <w:b w:val="1"/>
                <w:bCs w:val="1"/>
                <w:color w:val="auto"/>
                <w:w w:val="97"/>
              </w:rPr>
              <w:t>Contractual Life (years)</w:t>
            </w:r>
          </w:p>
        </w:tc>
        <w:tc>
          <w:tcPr>
            <w:tcW w:w="1920" w:type="dxa"/>
            <w:vAlign w:val="bottom"/>
            <w:tcBorders>
              <w:bottom w:val="single" w:sz="8" w:color="E5E5E5"/>
            </w:tcBorders>
            <w:gridSpan w:val="2"/>
            <w:shd w:val="clear" w:color="auto" w:fill="E5E5E5"/>
          </w:tcPr>
          <w:p>
            <w:pPr>
              <w:jc w:val="center"/>
              <w:spacing w:after="0"/>
              <w:rPr>
                <w:sz w:val="20"/>
                <w:szCs w:val="20"/>
                <w:color w:val="auto"/>
              </w:rPr>
            </w:pPr>
            <w:r>
              <w:rPr>
                <w:rFonts w:ascii="Arial" w:cs="Arial" w:eastAsia="Arial" w:hAnsi="Arial"/>
                <w:sz w:val="14"/>
                <w:szCs w:val="14"/>
                <w:b w:val="1"/>
                <w:bCs w:val="1"/>
                <w:color w:val="auto"/>
                <w:w w:val="97"/>
              </w:rPr>
              <w:t>Price per Share</w:t>
            </w:r>
          </w:p>
        </w:tc>
        <w:tc>
          <w:tcPr>
            <w:tcW w:w="1820" w:type="dxa"/>
            <w:vAlign w:val="bottom"/>
            <w:tcBorders>
              <w:bottom w:val="single" w:sz="8" w:color="E5E5E5"/>
            </w:tcBorders>
            <w:shd w:val="clear" w:color="auto" w:fill="E5E5E5"/>
          </w:tcPr>
          <w:p>
            <w:pPr>
              <w:jc w:val="center"/>
              <w:spacing w:after="0"/>
              <w:rPr>
                <w:sz w:val="20"/>
                <w:szCs w:val="20"/>
                <w:color w:val="auto"/>
              </w:rPr>
            </w:pPr>
            <w:r>
              <w:rPr>
                <w:rFonts w:ascii="Arial" w:cs="Arial" w:eastAsia="Arial" w:hAnsi="Arial"/>
                <w:sz w:val="14"/>
                <w:szCs w:val="14"/>
                <w:b w:val="1"/>
                <w:bCs w:val="1"/>
                <w:color w:val="auto"/>
                <w:w w:val="99"/>
              </w:rPr>
              <w:t>(shares)</w:t>
            </w:r>
          </w:p>
        </w:tc>
        <w:tc>
          <w:tcPr>
            <w:tcW w:w="1620" w:type="dxa"/>
            <w:vAlign w:val="bottom"/>
            <w:tcBorders>
              <w:bottom w:val="single" w:sz="8" w:color="E5E5E5"/>
            </w:tcBorders>
            <w:gridSpan w:val="3"/>
            <w:shd w:val="clear" w:color="auto" w:fill="E5E5E5"/>
          </w:tcPr>
          <w:p>
            <w:pPr>
              <w:jc w:val="center"/>
              <w:ind w:left="304"/>
              <w:spacing w:after="0"/>
              <w:rPr>
                <w:sz w:val="20"/>
                <w:szCs w:val="20"/>
                <w:color w:val="auto"/>
              </w:rPr>
            </w:pPr>
            <w:r>
              <w:rPr>
                <w:rFonts w:ascii="Arial" w:cs="Arial" w:eastAsia="Arial" w:hAnsi="Arial"/>
                <w:sz w:val="14"/>
                <w:szCs w:val="14"/>
                <w:b w:val="1"/>
                <w:bCs w:val="1"/>
                <w:color w:val="auto"/>
                <w:w w:val="97"/>
              </w:rPr>
              <w:t>Price per Share</w:t>
            </w:r>
          </w:p>
        </w:tc>
      </w:tr>
      <w:tr>
        <w:trPr>
          <w:trHeight w:val="284"/>
        </w:trPr>
        <w:tc>
          <w:tcPr>
            <w:tcW w:w="120" w:type="dxa"/>
            <w:vAlign w:val="bottom"/>
            <w:gridSpan w:val="2"/>
          </w:tcPr>
          <w:p>
            <w:pPr>
              <w:jc w:val="right"/>
              <w:spacing w:after="0"/>
              <w:rPr>
                <w:sz w:val="20"/>
                <w:szCs w:val="20"/>
                <w:color w:val="auto"/>
              </w:rPr>
            </w:pPr>
            <w:r>
              <w:rPr>
                <w:rFonts w:ascii="Arial" w:cs="Arial" w:eastAsia="Arial" w:hAnsi="Arial"/>
                <w:sz w:val="18"/>
                <w:szCs w:val="18"/>
                <w:b w:val="1"/>
                <w:bCs w:val="1"/>
                <w:color w:val="auto"/>
                <w:w w:val="79"/>
              </w:rPr>
              <w:t>$</w:t>
            </w:r>
          </w:p>
        </w:tc>
        <w:tc>
          <w:tcPr>
            <w:tcW w:w="1540" w:type="dxa"/>
            <w:vAlign w:val="bottom"/>
          </w:tcPr>
          <w:p>
            <w:pPr>
              <w:jc w:val="right"/>
              <w:ind w:right="315"/>
              <w:spacing w:after="0"/>
              <w:rPr>
                <w:sz w:val="20"/>
                <w:szCs w:val="20"/>
                <w:color w:val="auto"/>
              </w:rPr>
            </w:pPr>
            <w:r>
              <w:rPr>
                <w:rFonts w:ascii="Arial" w:cs="Arial" w:eastAsia="Arial" w:hAnsi="Arial"/>
                <w:sz w:val="18"/>
                <w:szCs w:val="18"/>
                <w:b w:val="1"/>
                <w:bCs w:val="1"/>
                <w:color w:val="auto"/>
              </w:rPr>
              <w:t>.24 to 10.00</w:t>
            </w:r>
          </w:p>
        </w:tc>
        <w:tc>
          <w:tcPr>
            <w:tcW w:w="2120" w:type="dxa"/>
            <w:vAlign w:val="bottom"/>
          </w:tcPr>
          <w:p>
            <w:pPr>
              <w:jc w:val="right"/>
              <w:ind w:right="398"/>
              <w:spacing w:after="0"/>
              <w:rPr>
                <w:sz w:val="20"/>
                <w:szCs w:val="20"/>
                <w:color w:val="auto"/>
              </w:rPr>
            </w:pPr>
            <w:r>
              <w:rPr>
                <w:rFonts w:ascii="Arial" w:cs="Arial" w:eastAsia="Arial" w:hAnsi="Arial"/>
                <w:sz w:val="18"/>
                <w:szCs w:val="18"/>
                <w:b w:val="1"/>
                <w:bCs w:val="1"/>
                <w:color w:val="auto"/>
              </w:rPr>
              <w:t>417,438</w:t>
            </w: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95"/>
              </w:rPr>
              <w:t>2.0</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592"/>
              <w:spacing w:after="0"/>
              <w:rPr>
                <w:sz w:val="20"/>
                <w:szCs w:val="20"/>
                <w:color w:val="auto"/>
              </w:rPr>
            </w:pPr>
            <w:r>
              <w:rPr>
                <w:rFonts w:ascii="Arial" w:cs="Arial" w:eastAsia="Arial" w:hAnsi="Arial"/>
                <w:sz w:val="18"/>
                <w:szCs w:val="18"/>
                <w:b w:val="1"/>
                <w:bCs w:val="1"/>
                <w:color w:val="auto"/>
              </w:rPr>
              <w:t>4.16</w:t>
            </w:r>
          </w:p>
        </w:tc>
        <w:tc>
          <w:tcPr>
            <w:tcW w:w="1820" w:type="dxa"/>
            <w:vAlign w:val="bottom"/>
          </w:tcPr>
          <w:p>
            <w:pPr>
              <w:jc w:val="right"/>
              <w:ind w:right="360"/>
              <w:spacing w:after="0"/>
              <w:rPr>
                <w:sz w:val="20"/>
                <w:szCs w:val="20"/>
                <w:color w:val="auto"/>
              </w:rPr>
            </w:pPr>
            <w:r>
              <w:rPr>
                <w:rFonts w:ascii="Arial" w:cs="Arial" w:eastAsia="Arial" w:hAnsi="Arial"/>
                <w:sz w:val="18"/>
                <w:szCs w:val="18"/>
                <w:b w:val="1"/>
                <w:bCs w:val="1"/>
                <w:color w:val="auto"/>
              </w:rPr>
              <w:t>416,039</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192"/>
              <w:spacing w:after="0"/>
              <w:rPr>
                <w:sz w:val="20"/>
                <w:szCs w:val="20"/>
                <w:color w:val="auto"/>
              </w:rPr>
            </w:pPr>
            <w:r>
              <w:rPr>
                <w:rFonts w:ascii="Arial" w:cs="Arial" w:eastAsia="Arial" w:hAnsi="Arial"/>
                <w:sz w:val="18"/>
                <w:szCs w:val="18"/>
                <w:b w:val="1"/>
                <w:bCs w:val="1"/>
                <w:color w:val="auto"/>
              </w:rPr>
              <w:t>4.16</w:t>
            </w:r>
          </w:p>
        </w:tc>
        <w:tc>
          <w:tcPr>
            <w:tcW w:w="6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540" w:type="dxa"/>
            <w:vAlign w:val="bottom"/>
            <w:shd w:val="clear" w:color="auto" w:fill="E5E5E5"/>
          </w:tcPr>
          <w:p>
            <w:pPr>
              <w:jc w:val="right"/>
              <w:ind w:right="315"/>
              <w:spacing w:after="0" w:line="202" w:lineRule="exact"/>
              <w:rPr>
                <w:sz w:val="20"/>
                <w:szCs w:val="20"/>
                <w:color w:val="auto"/>
              </w:rPr>
            </w:pPr>
            <w:r>
              <w:rPr>
                <w:rFonts w:ascii="Arial" w:cs="Arial" w:eastAsia="Arial" w:hAnsi="Arial"/>
                <w:sz w:val="18"/>
                <w:szCs w:val="18"/>
                <w:b w:val="1"/>
                <w:bCs w:val="1"/>
                <w:color w:val="auto"/>
                <w:w w:val="95"/>
              </w:rPr>
              <w:t>10.01 to 20.00</w:t>
            </w:r>
          </w:p>
        </w:tc>
        <w:tc>
          <w:tcPr>
            <w:tcW w:w="2120" w:type="dxa"/>
            <w:vAlign w:val="bottom"/>
            <w:shd w:val="clear" w:color="auto" w:fill="E5E5E5"/>
          </w:tcPr>
          <w:p>
            <w:pPr>
              <w:jc w:val="right"/>
              <w:ind w:right="398"/>
              <w:spacing w:after="0" w:line="202" w:lineRule="exact"/>
              <w:rPr>
                <w:sz w:val="20"/>
                <w:szCs w:val="20"/>
                <w:color w:val="auto"/>
              </w:rPr>
            </w:pPr>
            <w:r>
              <w:rPr>
                <w:rFonts w:ascii="Arial" w:cs="Arial" w:eastAsia="Arial" w:hAnsi="Arial"/>
                <w:sz w:val="18"/>
                <w:szCs w:val="18"/>
                <w:b w:val="1"/>
                <w:bCs w:val="1"/>
                <w:color w:val="auto"/>
              </w:rPr>
              <w:t>32,356,005</w:t>
            </w:r>
          </w:p>
        </w:tc>
        <w:tc>
          <w:tcPr>
            <w:tcW w:w="2280" w:type="dxa"/>
            <w:vAlign w:val="bottom"/>
            <w:shd w:val="clear" w:color="auto" w:fill="E5E5E5"/>
          </w:tcPr>
          <w:p>
            <w:pPr>
              <w:jc w:val="center"/>
              <w:spacing w:after="0" w:line="202" w:lineRule="exact"/>
              <w:rPr>
                <w:sz w:val="20"/>
                <w:szCs w:val="20"/>
                <w:color w:val="auto"/>
              </w:rPr>
            </w:pPr>
            <w:r>
              <w:rPr>
                <w:rFonts w:ascii="Arial" w:cs="Arial" w:eastAsia="Arial" w:hAnsi="Arial"/>
                <w:sz w:val="18"/>
                <w:szCs w:val="18"/>
                <w:b w:val="1"/>
                <w:bCs w:val="1"/>
                <w:color w:val="auto"/>
                <w:w w:val="95"/>
              </w:rPr>
              <w:t>4.5</w:t>
            </w:r>
          </w:p>
        </w:tc>
        <w:tc>
          <w:tcPr>
            <w:tcW w:w="740" w:type="dxa"/>
            <w:vAlign w:val="bottom"/>
            <w:shd w:val="clear" w:color="auto" w:fill="E5E5E5"/>
          </w:tcPr>
          <w:p>
            <w:pPr>
              <w:spacing w:after="0"/>
              <w:rPr>
                <w:sz w:val="17"/>
                <w:szCs w:val="17"/>
                <w:color w:val="auto"/>
              </w:rPr>
            </w:pPr>
          </w:p>
        </w:tc>
        <w:tc>
          <w:tcPr>
            <w:tcW w:w="1180" w:type="dxa"/>
            <w:vAlign w:val="bottom"/>
            <w:shd w:val="clear" w:color="auto" w:fill="E5E5E5"/>
          </w:tcPr>
          <w:p>
            <w:pPr>
              <w:jc w:val="right"/>
              <w:ind w:right="592"/>
              <w:spacing w:after="0" w:line="202" w:lineRule="exact"/>
              <w:rPr>
                <w:sz w:val="20"/>
                <w:szCs w:val="20"/>
                <w:color w:val="auto"/>
              </w:rPr>
            </w:pPr>
            <w:r>
              <w:rPr>
                <w:rFonts w:ascii="Arial" w:cs="Arial" w:eastAsia="Arial" w:hAnsi="Arial"/>
                <w:sz w:val="18"/>
                <w:szCs w:val="18"/>
                <w:b w:val="1"/>
                <w:bCs w:val="1"/>
                <w:color w:val="auto"/>
              </w:rPr>
              <w:t>15.72</w:t>
            </w:r>
          </w:p>
        </w:tc>
        <w:tc>
          <w:tcPr>
            <w:tcW w:w="1820" w:type="dxa"/>
            <w:vAlign w:val="bottom"/>
            <w:shd w:val="clear" w:color="auto" w:fill="E5E5E5"/>
          </w:tcPr>
          <w:p>
            <w:pPr>
              <w:jc w:val="right"/>
              <w:ind w:right="360"/>
              <w:spacing w:after="0" w:line="202" w:lineRule="exact"/>
              <w:rPr>
                <w:sz w:val="20"/>
                <w:szCs w:val="20"/>
                <w:color w:val="auto"/>
              </w:rPr>
            </w:pPr>
            <w:r>
              <w:rPr>
                <w:rFonts w:ascii="Arial" w:cs="Arial" w:eastAsia="Arial" w:hAnsi="Arial"/>
                <w:sz w:val="18"/>
                <w:szCs w:val="18"/>
                <w:b w:val="1"/>
                <w:bCs w:val="1"/>
                <w:color w:val="auto"/>
              </w:rPr>
              <w:t>32,326,789</w:t>
            </w:r>
          </w:p>
        </w:tc>
        <w:tc>
          <w:tcPr>
            <w:tcW w:w="780" w:type="dxa"/>
            <w:vAlign w:val="bottom"/>
            <w:shd w:val="clear" w:color="auto" w:fill="E5E5E5"/>
          </w:tcPr>
          <w:p>
            <w:pPr>
              <w:spacing w:after="0"/>
              <w:rPr>
                <w:sz w:val="17"/>
                <w:szCs w:val="17"/>
                <w:color w:val="auto"/>
              </w:rPr>
            </w:pPr>
          </w:p>
        </w:tc>
        <w:tc>
          <w:tcPr>
            <w:tcW w:w="780" w:type="dxa"/>
            <w:vAlign w:val="bottom"/>
            <w:shd w:val="clear" w:color="auto" w:fill="E5E5E5"/>
          </w:tcPr>
          <w:p>
            <w:pPr>
              <w:jc w:val="right"/>
              <w:ind w:right="192"/>
              <w:spacing w:after="0" w:line="202" w:lineRule="exact"/>
              <w:rPr>
                <w:sz w:val="20"/>
                <w:szCs w:val="20"/>
                <w:color w:val="auto"/>
              </w:rPr>
            </w:pPr>
            <w:r>
              <w:rPr>
                <w:rFonts w:ascii="Arial" w:cs="Arial" w:eastAsia="Arial" w:hAnsi="Arial"/>
                <w:sz w:val="18"/>
                <w:szCs w:val="18"/>
                <w:b w:val="1"/>
                <w:bCs w:val="1"/>
                <w:color w:val="auto"/>
              </w:rPr>
              <w:t>15.72</w:t>
            </w:r>
          </w:p>
        </w:tc>
        <w:tc>
          <w:tcPr>
            <w:tcW w:w="60" w:type="dxa"/>
            <w:vAlign w:val="bottom"/>
            <w:shd w:val="clear" w:color="auto" w:fill="E5E5E5"/>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jc w:val="right"/>
              <w:ind w:right="315"/>
              <w:spacing w:after="0" w:line="202" w:lineRule="exact"/>
              <w:rPr>
                <w:sz w:val="20"/>
                <w:szCs w:val="20"/>
                <w:color w:val="auto"/>
              </w:rPr>
            </w:pPr>
            <w:r>
              <w:rPr>
                <w:rFonts w:ascii="Arial" w:cs="Arial" w:eastAsia="Arial" w:hAnsi="Arial"/>
                <w:sz w:val="18"/>
                <w:szCs w:val="18"/>
                <w:b w:val="1"/>
                <w:bCs w:val="1"/>
                <w:color w:val="auto"/>
                <w:w w:val="95"/>
              </w:rPr>
              <w:t>20.01 to 30.00</w:t>
            </w:r>
          </w:p>
        </w:tc>
        <w:tc>
          <w:tcPr>
            <w:tcW w:w="2120" w:type="dxa"/>
            <w:vAlign w:val="bottom"/>
          </w:tcPr>
          <w:p>
            <w:pPr>
              <w:jc w:val="right"/>
              <w:ind w:right="398"/>
              <w:spacing w:after="0" w:line="202" w:lineRule="exact"/>
              <w:rPr>
                <w:sz w:val="20"/>
                <w:szCs w:val="20"/>
                <w:color w:val="auto"/>
              </w:rPr>
            </w:pPr>
            <w:r>
              <w:rPr>
                <w:rFonts w:ascii="Arial" w:cs="Arial" w:eastAsia="Arial" w:hAnsi="Arial"/>
                <w:sz w:val="18"/>
                <w:szCs w:val="18"/>
                <w:b w:val="1"/>
                <w:bCs w:val="1"/>
                <w:color w:val="auto"/>
              </w:rPr>
              <w:t>64,783,961</w:t>
            </w:r>
          </w:p>
        </w:tc>
        <w:tc>
          <w:tcPr>
            <w:tcW w:w="22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5"/>
              </w:rPr>
              <w:t>4.9</w:t>
            </w:r>
          </w:p>
        </w:tc>
        <w:tc>
          <w:tcPr>
            <w:tcW w:w="740" w:type="dxa"/>
            <w:vAlign w:val="bottom"/>
          </w:tcPr>
          <w:p>
            <w:pPr>
              <w:spacing w:after="0"/>
              <w:rPr>
                <w:sz w:val="17"/>
                <w:szCs w:val="17"/>
                <w:color w:val="auto"/>
              </w:rPr>
            </w:pPr>
          </w:p>
        </w:tc>
        <w:tc>
          <w:tcPr>
            <w:tcW w:w="1180" w:type="dxa"/>
            <w:vAlign w:val="bottom"/>
          </w:tcPr>
          <w:p>
            <w:pPr>
              <w:jc w:val="right"/>
              <w:ind w:right="592"/>
              <w:spacing w:after="0" w:line="202" w:lineRule="exact"/>
              <w:rPr>
                <w:sz w:val="20"/>
                <w:szCs w:val="20"/>
                <w:color w:val="auto"/>
              </w:rPr>
            </w:pPr>
            <w:r>
              <w:rPr>
                <w:rFonts w:ascii="Arial" w:cs="Arial" w:eastAsia="Arial" w:hAnsi="Arial"/>
                <w:sz w:val="18"/>
                <w:szCs w:val="18"/>
                <w:b w:val="1"/>
                <w:bCs w:val="1"/>
                <w:color w:val="auto"/>
              </w:rPr>
              <w:t>25.09</w:t>
            </w:r>
          </w:p>
        </w:tc>
        <w:tc>
          <w:tcPr>
            <w:tcW w:w="1820" w:type="dxa"/>
            <w:vAlign w:val="bottom"/>
          </w:tcPr>
          <w:p>
            <w:pPr>
              <w:jc w:val="right"/>
              <w:ind w:right="360"/>
              <w:spacing w:after="0" w:line="202" w:lineRule="exact"/>
              <w:rPr>
                <w:sz w:val="20"/>
                <w:szCs w:val="20"/>
                <w:color w:val="auto"/>
              </w:rPr>
            </w:pPr>
            <w:r>
              <w:rPr>
                <w:rFonts w:ascii="Arial" w:cs="Arial" w:eastAsia="Arial" w:hAnsi="Arial"/>
                <w:sz w:val="18"/>
                <w:szCs w:val="18"/>
                <w:b w:val="1"/>
                <w:bCs w:val="1"/>
                <w:color w:val="auto"/>
              </w:rPr>
              <w:t>45,363,908</w:t>
            </w:r>
          </w:p>
        </w:tc>
        <w:tc>
          <w:tcPr>
            <w:tcW w:w="780" w:type="dxa"/>
            <w:vAlign w:val="bottom"/>
          </w:tcPr>
          <w:p>
            <w:pPr>
              <w:spacing w:after="0"/>
              <w:rPr>
                <w:sz w:val="17"/>
                <w:szCs w:val="17"/>
                <w:color w:val="auto"/>
              </w:rPr>
            </w:pPr>
          </w:p>
        </w:tc>
        <w:tc>
          <w:tcPr>
            <w:tcW w:w="780" w:type="dxa"/>
            <w:vAlign w:val="bottom"/>
          </w:tcPr>
          <w:p>
            <w:pPr>
              <w:jc w:val="right"/>
              <w:ind w:right="192"/>
              <w:spacing w:after="0" w:line="202" w:lineRule="exact"/>
              <w:rPr>
                <w:sz w:val="20"/>
                <w:szCs w:val="20"/>
                <w:color w:val="auto"/>
              </w:rPr>
            </w:pPr>
            <w:r>
              <w:rPr>
                <w:rFonts w:ascii="Arial" w:cs="Arial" w:eastAsia="Arial" w:hAnsi="Arial"/>
                <w:sz w:val="18"/>
                <w:szCs w:val="18"/>
                <w:b w:val="1"/>
                <w:bCs w:val="1"/>
                <w:color w:val="auto"/>
              </w:rPr>
              <w:t>25.16</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540" w:type="dxa"/>
            <w:vAlign w:val="bottom"/>
            <w:shd w:val="clear" w:color="auto" w:fill="E5E5E5"/>
          </w:tcPr>
          <w:p>
            <w:pPr>
              <w:jc w:val="right"/>
              <w:ind w:right="315"/>
              <w:spacing w:after="0" w:line="202" w:lineRule="exact"/>
              <w:rPr>
                <w:sz w:val="20"/>
                <w:szCs w:val="20"/>
                <w:color w:val="auto"/>
              </w:rPr>
            </w:pPr>
            <w:r>
              <w:rPr>
                <w:rFonts w:ascii="Arial" w:cs="Arial" w:eastAsia="Arial" w:hAnsi="Arial"/>
                <w:sz w:val="18"/>
                <w:szCs w:val="18"/>
                <w:b w:val="1"/>
                <w:bCs w:val="1"/>
                <w:color w:val="auto"/>
                <w:w w:val="95"/>
              </w:rPr>
              <w:t>30.01 to 40.00</w:t>
            </w:r>
          </w:p>
        </w:tc>
        <w:tc>
          <w:tcPr>
            <w:tcW w:w="2120" w:type="dxa"/>
            <w:vAlign w:val="bottom"/>
            <w:shd w:val="clear" w:color="auto" w:fill="E5E5E5"/>
          </w:tcPr>
          <w:p>
            <w:pPr>
              <w:jc w:val="right"/>
              <w:ind w:right="398"/>
              <w:spacing w:after="0" w:line="202" w:lineRule="exact"/>
              <w:rPr>
                <w:sz w:val="20"/>
                <w:szCs w:val="20"/>
                <w:color w:val="auto"/>
              </w:rPr>
            </w:pPr>
            <w:r>
              <w:rPr>
                <w:rFonts w:ascii="Arial" w:cs="Arial" w:eastAsia="Arial" w:hAnsi="Arial"/>
                <w:sz w:val="18"/>
                <w:szCs w:val="18"/>
                <w:b w:val="1"/>
                <w:bCs w:val="1"/>
                <w:color w:val="auto"/>
              </w:rPr>
              <w:t>56,454,322</w:t>
            </w:r>
          </w:p>
        </w:tc>
        <w:tc>
          <w:tcPr>
            <w:tcW w:w="2280" w:type="dxa"/>
            <w:vAlign w:val="bottom"/>
            <w:shd w:val="clear" w:color="auto" w:fill="E5E5E5"/>
          </w:tcPr>
          <w:p>
            <w:pPr>
              <w:jc w:val="center"/>
              <w:spacing w:after="0" w:line="202" w:lineRule="exact"/>
              <w:rPr>
                <w:sz w:val="20"/>
                <w:szCs w:val="20"/>
                <w:color w:val="auto"/>
              </w:rPr>
            </w:pPr>
            <w:r>
              <w:rPr>
                <w:rFonts w:ascii="Arial" w:cs="Arial" w:eastAsia="Arial" w:hAnsi="Arial"/>
                <w:sz w:val="18"/>
                <w:szCs w:val="18"/>
                <w:b w:val="1"/>
                <w:bCs w:val="1"/>
                <w:color w:val="auto"/>
                <w:w w:val="95"/>
              </w:rPr>
              <w:t>5.9</w:t>
            </w:r>
          </w:p>
        </w:tc>
        <w:tc>
          <w:tcPr>
            <w:tcW w:w="740" w:type="dxa"/>
            <w:vAlign w:val="bottom"/>
            <w:shd w:val="clear" w:color="auto" w:fill="E5E5E5"/>
          </w:tcPr>
          <w:p>
            <w:pPr>
              <w:spacing w:after="0"/>
              <w:rPr>
                <w:sz w:val="17"/>
                <w:szCs w:val="17"/>
                <w:color w:val="auto"/>
              </w:rPr>
            </w:pPr>
          </w:p>
        </w:tc>
        <w:tc>
          <w:tcPr>
            <w:tcW w:w="1180" w:type="dxa"/>
            <w:vAlign w:val="bottom"/>
            <w:shd w:val="clear" w:color="auto" w:fill="E5E5E5"/>
          </w:tcPr>
          <w:p>
            <w:pPr>
              <w:jc w:val="right"/>
              <w:ind w:right="592"/>
              <w:spacing w:after="0" w:line="202" w:lineRule="exact"/>
              <w:rPr>
                <w:sz w:val="20"/>
                <w:szCs w:val="20"/>
                <w:color w:val="auto"/>
              </w:rPr>
            </w:pPr>
            <w:r>
              <w:rPr>
                <w:rFonts w:ascii="Arial" w:cs="Arial" w:eastAsia="Arial" w:hAnsi="Arial"/>
                <w:sz w:val="18"/>
                <w:szCs w:val="18"/>
                <w:b w:val="1"/>
                <w:bCs w:val="1"/>
                <w:color w:val="auto"/>
              </w:rPr>
              <w:t>33.11</w:t>
            </w:r>
          </w:p>
        </w:tc>
        <w:tc>
          <w:tcPr>
            <w:tcW w:w="1820" w:type="dxa"/>
            <w:vAlign w:val="bottom"/>
            <w:shd w:val="clear" w:color="auto" w:fill="E5E5E5"/>
          </w:tcPr>
          <w:p>
            <w:pPr>
              <w:jc w:val="right"/>
              <w:ind w:right="360"/>
              <w:spacing w:after="0" w:line="202" w:lineRule="exact"/>
              <w:rPr>
                <w:sz w:val="20"/>
                <w:szCs w:val="20"/>
                <w:color w:val="auto"/>
              </w:rPr>
            </w:pPr>
            <w:r>
              <w:rPr>
                <w:rFonts w:ascii="Arial" w:cs="Arial" w:eastAsia="Arial" w:hAnsi="Arial"/>
                <w:sz w:val="18"/>
                <w:szCs w:val="18"/>
                <w:b w:val="1"/>
                <w:bCs w:val="1"/>
                <w:color w:val="auto"/>
              </w:rPr>
              <w:t>36,824,667</w:t>
            </w:r>
          </w:p>
        </w:tc>
        <w:tc>
          <w:tcPr>
            <w:tcW w:w="780" w:type="dxa"/>
            <w:vAlign w:val="bottom"/>
            <w:shd w:val="clear" w:color="auto" w:fill="E5E5E5"/>
          </w:tcPr>
          <w:p>
            <w:pPr>
              <w:spacing w:after="0"/>
              <w:rPr>
                <w:sz w:val="17"/>
                <w:szCs w:val="17"/>
                <w:color w:val="auto"/>
              </w:rPr>
            </w:pPr>
          </w:p>
        </w:tc>
        <w:tc>
          <w:tcPr>
            <w:tcW w:w="780" w:type="dxa"/>
            <w:vAlign w:val="bottom"/>
            <w:shd w:val="clear" w:color="auto" w:fill="E5E5E5"/>
          </w:tcPr>
          <w:p>
            <w:pPr>
              <w:jc w:val="right"/>
              <w:ind w:right="192"/>
              <w:spacing w:after="0" w:line="202" w:lineRule="exact"/>
              <w:rPr>
                <w:sz w:val="20"/>
                <w:szCs w:val="20"/>
                <w:color w:val="auto"/>
              </w:rPr>
            </w:pPr>
            <w:r>
              <w:rPr>
                <w:rFonts w:ascii="Arial" w:cs="Arial" w:eastAsia="Arial" w:hAnsi="Arial"/>
                <w:sz w:val="18"/>
                <w:szCs w:val="18"/>
                <w:b w:val="1"/>
                <w:bCs w:val="1"/>
                <w:color w:val="auto"/>
              </w:rPr>
              <w:t>33.48</w:t>
            </w:r>
          </w:p>
        </w:tc>
        <w:tc>
          <w:tcPr>
            <w:tcW w:w="60" w:type="dxa"/>
            <w:vAlign w:val="bottom"/>
            <w:shd w:val="clear" w:color="auto" w:fill="E5E5E5"/>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jc w:val="right"/>
              <w:ind w:right="315"/>
              <w:spacing w:after="0" w:line="202" w:lineRule="exact"/>
              <w:rPr>
                <w:sz w:val="20"/>
                <w:szCs w:val="20"/>
                <w:color w:val="auto"/>
              </w:rPr>
            </w:pPr>
            <w:r>
              <w:rPr>
                <w:rFonts w:ascii="Arial" w:cs="Arial" w:eastAsia="Arial" w:hAnsi="Arial"/>
                <w:sz w:val="18"/>
                <w:szCs w:val="18"/>
                <w:b w:val="1"/>
                <w:bCs w:val="1"/>
                <w:color w:val="auto"/>
                <w:w w:val="95"/>
              </w:rPr>
              <w:t>40.01 to 50.00</w:t>
            </w:r>
          </w:p>
        </w:tc>
        <w:tc>
          <w:tcPr>
            <w:tcW w:w="2120" w:type="dxa"/>
            <w:vAlign w:val="bottom"/>
          </w:tcPr>
          <w:p>
            <w:pPr>
              <w:jc w:val="right"/>
              <w:ind w:right="398"/>
              <w:spacing w:after="0" w:line="202" w:lineRule="exact"/>
              <w:rPr>
                <w:sz w:val="20"/>
                <w:szCs w:val="20"/>
                <w:color w:val="auto"/>
              </w:rPr>
            </w:pPr>
            <w:r>
              <w:rPr>
                <w:rFonts w:ascii="Arial" w:cs="Arial" w:eastAsia="Arial" w:hAnsi="Arial"/>
                <w:sz w:val="18"/>
                <w:szCs w:val="18"/>
                <w:b w:val="1"/>
                <w:bCs w:val="1"/>
                <w:color w:val="auto"/>
              </w:rPr>
              <w:t>907,632</w:t>
            </w:r>
          </w:p>
        </w:tc>
        <w:tc>
          <w:tcPr>
            <w:tcW w:w="22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5"/>
              </w:rPr>
              <w:t>2.2</w:t>
            </w:r>
          </w:p>
        </w:tc>
        <w:tc>
          <w:tcPr>
            <w:tcW w:w="740" w:type="dxa"/>
            <w:vAlign w:val="bottom"/>
          </w:tcPr>
          <w:p>
            <w:pPr>
              <w:spacing w:after="0"/>
              <w:rPr>
                <w:sz w:val="17"/>
                <w:szCs w:val="17"/>
                <w:color w:val="auto"/>
              </w:rPr>
            </w:pPr>
          </w:p>
        </w:tc>
        <w:tc>
          <w:tcPr>
            <w:tcW w:w="1180" w:type="dxa"/>
            <w:vAlign w:val="bottom"/>
          </w:tcPr>
          <w:p>
            <w:pPr>
              <w:jc w:val="right"/>
              <w:ind w:right="592"/>
              <w:spacing w:after="0" w:line="202" w:lineRule="exact"/>
              <w:rPr>
                <w:sz w:val="20"/>
                <w:szCs w:val="20"/>
                <w:color w:val="auto"/>
              </w:rPr>
            </w:pPr>
            <w:r>
              <w:rPr>
                <w:rFonts w:ascii="Arial" w:cs="Arial" w:eastAsia="Arial" w:hAnsi="Arial"/>
                <w:sz w:val="18"/>
                <w:szCs w:val="18"/>
                <w:b w:val="1"/>
                <w:bCs w:val="1"/>
                <w:color w:val="auto"/>
              </w:rPr>
              <w:t>43.70</w:t>
            </w:r>
          </w:p>
        </w:tc>
        <w:tc>
          <w:tcPr>
            <w:tcW w:w="1820" w:type="dxa"/>
            <w:vAlign w:val="bottom"/>
          </w:tcPr>
          <w:p>
            <w:pPr>
              <w:jc w:val="right"/>
              <w:ind w:right="360"/>
              <w:spacing w:after="0" w:line="202" w:lineRule="exact"/>
              <w:rPr>
                <w:sz w:val="20"/>
                <w:szCs w:val="20"/>
                <w:color w:val="auto"/>
              </w:rPr>
            </w:pPr>
            <w:r>
              <w:rPr>
                <w:rFonts w:ascii="Arial" w:cs="Arial" w:eastAsia="Arial" w:hAnsi="Arial"/>
                <w:sz w:val="18"/>
                <w:szCs w:val="18"/>
                <w:b w:val="1"/>
                <w:bCs w:val="1"/>
                <w:color w:val="auto"/>
              </w:rPr>
              <w:t>907,632</w:t>
            </w:r>
          </w:p>
        </w:tc>
        <w:tc>
          <w:tcPr>
            <w:tcW w:w="780" w:type="dxa"/>
            <w:vAlign w:val="bottom"/>
          </w:tcPr>
          <w:p>
            <w:pPr>
              <w:spacing w:after="0"/>
              <w:rPr>
                <w:sz w:val="17"/>
                <w:szCs w:val="17"/>
                <w:color w:val="auto"/>
              </w:rPr>
            </w:pPr>
          </w:p>
        </w:tc>
        <w:tc>
          <w:tcPr>
            <w:tcW w:w="780" w:type="dxa"/>
            <w:vAlign w:val="bottom"/>
          </w:tcPr>
          <w:p>
            <w:pPr>
              <w:jc w:val="right"/>
              <w:ind w:right="192"/>
              <w:spacing w:after="0" w:line="202" w:lineRule="exact"/>
              <w:rPr>
                <w:sz w:val="20"/>
                <w:szCs w:val="20"/>
                <w:color w:val="auto"/>
              </w:rPr>
            </w:pPr>
            <w:r>
              <w:rPr>
                <w:rFonts w:ascii="Arial" w:cs="Arial" w:eastAsia="Arial" w:hAnsi="Arial"/>
                <w:sz w:val="18"/>
                <w:szCs w:val="18"/>
                <w:b w:val="1"/>
                <w:bCs w:val="1"/>
                <w:color w:val="auto"/>
              </w:rPr>
              <w:t>43.70</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00" w:type="dxa"/>
            <w:vAlign w:val="bottom"/>
            <w:tcBorders>
              <w:bottom w:val="single" w:sz="8" w:color="auto"/>
            </w:tcBorders>
            <w:shd w:val="clear" w:color="auto" w:fill="E5E5E5"/>
          </w:tcPr>
          <w:p>
            <w:pPr>
              <w:spacing w:after="0"/>
              <w:rPr>
                <w:sz w:val="17"/>
                <w:szCs w:val="17"/>
                <w:color w:val="auto"/>
              </w:rPr>
            </w:pPr>
          </w:p>
        </w:tc>
        <w:tc>
          <w:tcPr>
            <w:tcW w:w="1540" w:type="dxa"/>
            <w:vAlign w:val="bottom"/>
            <w:tcBorders>
              <w:bottom w:val="single" w:sz="8" w:color="auto"/>
            </w:tcBorders>
            <w:shd w:val="clear" w:color="auto" w:fill="E5E5E5"/>
          </w:tcPr>
          <w:p>
            <w:pPr>
              <w:jc w:val="right"/>
              <w:ind w:right="315"/>
              <w:spacing w:after="0" w:line="202" w:lineRule="exact"/>
              <w:rPr>
                <w:sz w:val="20"/>
                <w:szCs w:val="20"/>
                <w:color w:val="auto"/>
              </w:rPr>
            </w:pPr>
            <w:r>
              <w:rPr>
                <w:rFonts w:ascii="Arial" w:cs="Arial" w:eastAsia="Arial" w:hAnsi="Arial"/>
                <w:sz w:val="18"/>
                <w:szCs w:val="18"/>
                <w:b w:val="1"/>
                <w:bCs w:val="1"/>
                <w:color w:val="auto"/>
                <w:w w:val="95"/>
              </w:rPr>
              <w:t>50.01 to 84.32</w:t>
            </w:r>
          </w:p>
        </w:tc>
        <w:tc>
          <w:tcPr>
            <w:tcW w:w="2120" w:type="dxa"/>
            <w:vAlign w:val="bottom"/>
            <w:tcBorders>
              <w:bottom w:val="single" w:sz="8" w:color="auto"/>
            </w:tcBorders>
            <w:shd w:val="clear" w:color="auto" w:fill="E5E5E5"/>
          </w:tcPr>
          <w:p>
            <w:pPr>
              <w:jc w:val="right"/>
              <w:ind w:right="398"/>
              <w:spacing w:after="0" w:line="202" w:lineRule="exact"/>
              <w:rPr>
                <w:sz w:val="20"/>
                <w:szCs w:val="20"/>
                <w:color w:val="auto"/>
              </w:rPr>
            </w:pPr>
            <w:r>
              <w:rPr>
                <w:rFonts w:ascii="Arial" w:cs="Arial" w:eastAsia="Arial" w:hAnsi="Arial"/>
                <w:sz w:val="18"/>
                <w:szCs w:val="18"/>
                <w:b w:val="1"/>
                <w:bCs w:val="1"/>
                <w:color w:val="auto"/>
              </w:rPr>
              <w:t>31,047,973</w:t>
            </w:r>
          </w:p>
        </w:tc>
        <w:tc>
          <w:tcPr>
            <w:tcW w:w="2280" w:type="dxa"/>
            <w:vAlign w:val="bottom"/>
            <w:tcBorders>
              <w:bottom w:val="single" w:sz="8" w:color="auto"/>
            </w:tcBorders>
            <w:shd w:val="clear" w:color="auto" w:fill="E5E5E5"/>
          </w:tcPr>
          <w:p>
            <w:pPr>
              <w:jc w:val="center"/>
              <w:spacing w:after="0" w:line="202" w:lineRule="exact"/>
              <w:rPr>
                <w:sz w:val="20"/>
                <w:szCs w:val="20"/>
                <w:color w:val="auto"/>
              </w:rPr>
            </w:pPr>
            <w:r>
              <w:rPr>
                <w:rFonts w:ascii="Arial" w:cs="Arial" w:eastAsia="Arial" w:hAnsi="Arial"/>
                <w:sz w:val="18"/>
                <w:szCs w:val="18"/>
                <w:b w:val="1"/>
                <w:bCs w:val="1"/>
                <w:color w:val="auto"/>
                <w:w w:val="95"/>
              </w:rPr>
              <w:t>2.5</w:t>
            </w:r>
          </w:p>
        </w:tc>
        <w:tc>
          <w:tcPr>
            <w:tcW w:w="740" w:type="dxa"/>
            <w:vAlign w:val="bottom"/>
            <w:tcBorders>
              <w:bottom w:val="single" w:sz="8" w:color="auto"/>
            </w:tcBorders>
            <w:shd w:val="clear" w:color="auto" w:fill="E5E5E5"/>
          </w:tcPr>
          <w:p>
            <w:pPr>
              <w:spacing w:after="0"/>
              <w:rPr>
                <w:sz w:val="17"/>
                <w:szCs w:val="17"/>
                <w:color w:val="auto"/>
              </w:rPr>
            </w:pPr>
          </w:p>
        </w:tc>
        <w:tc>
          <w:tcPr>
            <w:tcW w:w="1180" w:type="dxa"/>
            <w:vAlign w:val="bottom"/>
            <w:tcBorders>
              <w:bottom w:val="single" w:sz="8" w:color="auto"/>
            </w:tcBorders>
            <w:shd w:val="clear" w:color="auto" w:fill="E5E5E5"/>
          </w:tcPr>
          <w:p>
            <w:pPr>
              <w:jc w:val="right"/>
              <w:ind w:right="592"/>
              <w:spacing w:after="0" w:line="202" w:lineRule="exact"/>
              <w:rPr>
                <w:sz w:val="20"/>
                <w:szCs w:val="20"/>
                <w:color w:val="auto"/>
              </w:rPr>
            </w:pPr>
            <w:r>
              <w:rPr>
                <w:rFonts w:ascii="Arial" w:cs="Arial" w:eastAsia="Arial" w:hAnsi="Arial"/>
                <w:sz w:val="18"/>
                <w:szCs w:val="18"/>
                <w:b w:val="1"/>
                <w:bCs w:val="1"/>
                <w:color w:val="auto"/>
              </w:rPr>
              <w:t>54.07</w:t>
            </w:r>
          </w:p>
        </w:tc>
        <w:tc>
          <w:tcPr>
            <w:tcW w:w="1820" w:type="dxa"/>
            <w:vAlign w:val="bottom"/>
            <w:tcBorders>
              <w:bottom w:val="single" w:sz="8" w:color="auto"/>
            </w:tcBorders>
            <w:shd w:val="clear" w:color="auto" w:fill="E5E5E5"/>
          </w:tcPr>
          <w:p>
            <w:pPr>
              <w:jc w:val="right"/>
              <w:ind w:right="360"/>
              <w:spacing w:after="0" w:line="202" w:lineRule="exact"/>
              <w:rPr>
                <w:sz w:val="20"/>
                <w:szCs w:val="20"/>
                <w:color w:val="auto"/>
              </w:rPr>
            </w:pPr>
            <w:r>
              <w:rPr>
                <w:rFonts w:ascii="Arial" w:cs="Arial" w:eastAsia="Arial" w:hAnsi="Arial"/>
                <w:sz w:val="18"/>
                <w:szCs w:val="18"/>
                <w:b w:val="1"/>
                <w:bCs w:val="1"/>
                <w:color w:val="auto"/>
              </w:rPr>
              <w:t>31,047,973</w:t>
            </w:r>
          </w:p>
        </w:tc>
        <w:tc>
          <w:tcPr>
            <w:tcW w:w="780" w:type="dxa"/>
            <w:vAlign w:val="bottom"/>
            <w:tcBorders>
              <w:bottom w:val="single" w:sz="8" w:color="auto"/>
            </w:tcBorders>
            <w:shd w:val="clear" w:color="auto" w:fill="E5E5E5"/>
          </w:tcPr>
          <w:p>
            <w:pPr>
              <w:spacing w:after="0"/>
              <w:rPr>
                <w:sz w:val="17"/>
                <w:szCs w:val="17"/>
                <w:color w:val="auto"/>
              </w:rPr>
            </w:pPr>
          </w:p>
        </w:tc>
        <w:tc>
          <w:tcPr>
            <w:tcW w:w="780" w:type="dxa"/>
            <w:vAlign w:val="bottom"/>
            <w:tcBorders>
              <w:bottom w:val="single" w:sz="8" w:color="auto"/>
            </w:tcBorders>
            <w:shd w:val="clear" w:color="auto" w:fill="E5E5E5"/>
          </w:tcPr>
          <w:p>
            <w:pPr>
              <w:jc w:val="right"/>
              <w:ind w:right="192"/>
              <w:spacing w:after="0" w:line="202" w:lineRule="exact"/>
              <w:rPr>
                <w:sz w:val="20"/>
                <w:szCs w:val="20"/>
                <w:color w:val="auto"/>
              </w:rPr>
            </w:pPr>
            <w:r>
              <w:rPr>
                <w:rFonts w:ascii="Arial" w:cs="Arial" w:eastAsia="Arial" w:hAnsi="Arial"/>
                <w:sz w:val="18"/>
                <w:szCs w:val="18"/>
                <w:b w:val="1"/>
                <w:bCs w:val="1"/>
                <w:color w:val="auto"/>
              </w:rPr>
              <w:t>54.07</w:t>
            </w:r>
          </w:p>
        </w:tc>
        <w:tc>
          <w:tcPr>
            <w:tcW w:w="60" w:type="dxa"/>
            <w:vAlign w:val="bottom"/>
            <w:shd w:val="clear" w:color="auto" w:fill="E5E5E5"/>
          </w:tcPr>
          <w:p>
            <w:pPr>
              <w:spacing w:after="0"/>
              <w:rPr>
                <w:sz w:val="17"/>
                <w:szCs w:val="17"/>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540" w:type="dxa"/>
            <w:vAlign w:val="bottom"/>
            <w:tcBorders>
              <w:bottom w:val="single" w:sz="8" w:color="auto"/>
            </w:tcBorders>
          </w:tcPr>
          <w:p>
            <w:pPr>
              <w:jc w:val="right"/>
              <w:ind w:right="315"/>
              <w:spacing w:after="0"/>
              <w:rPr>
                <w:sz w:val="20"/>
                <w:szCs w:val="20"/>
                <w:color w:val="auto"/>
              </w:rPr>
            </w:pPr>
            <w:r>
              <w:rPr>
                <w:rFonts w:ascii="Arial" w:cs="Arial" w:eastAsia="Arial" w:hAnsi="Arial"/>
                <w:sz w:val="18"/>
                <w:szCs w:val="18"/>
                <w:b w:val="1"/>
                <w:bCs w:val="1"/>
                <w:color w:val="auto"/>
              </w:rPr>
              <w:t>.24 to 84.32</w:t>
            </w:r>
          </w:p>
        </w:tc>
        <w:tc>
          <w:tcPr>
            <w:tcW w:w="2120" w:type="dxa"/>
            <w:vAlign w:val="bottom"/>
            <w:tcBorders>
              <w:bottom w:val="single" w:sz="8" w:color="auto"/>
            </w:tcBorders>
          </w:tcPr>
          <w:p>
            <w:pPr>
              <w:jc w:val="right"/>
              <w:ind w:right="398"/>
              <w:spacing w:after="0"/>
              <w:rPr>
                <w:sz w:val="20"/>
                <w:szCs w:val="20"/>
                <w:color w:val="auto"/>
              </w:rPr>
            </w:pPr>
            <w:r>
              <w:rPr>
                <w:rFonts w:ascii="Arial" w:cs="Arial" w:eastAsia="Arial" w:hAnsi="Arial"/>
                <w:sz w:val="18"/>
                <w:szCs w:val="18"/>
                <w:b w:val="1"/>
                <w:bCs w:val="1"/>
                <w:color w:val="auto"/>
              </w:rPr>
              <w:t>185,967,331</w:t>
            </w: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4.7</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tcBorders>
          </w:tcPr>
          <w:p>
            <w:pPr>
              <w:jc w:val="right"/>
              <w:ind w:right="592"/>
              <w:spacing w:after="0"/>
              <w:rPr>
                <w:sz w:val="20"/>
                <w:szCs w:val="20"/>
                <w:color w:val="auto"/>
              </w:rPr>
            </w:pPr>
            <w:r>
              <w:rPr>
                <w:rFonts w:ascii="Arial" w:cs="Arial" w:eastAsia="Arial" w:hAnsi="Arial"/>
                <w:sz w:val="18"/>
                <w:szCs w:val="18"/>
                <w:b w:val="1"/>
                <w:bCs w:val="1"/>
                <w:color w:val="auto"/>
              </w:rPr>
              <w:t>30.78</w:t>
            </w:r>
          </w:p>
        </w:tc>
        <w:tc>
          <w:tcPr>
            <w:tcW w:w="1820" w:type="dxa"/>
            <w:vAlign w:val="bottom"/>
            <w:tcBorders>
              <w:bottom w:val="single" w:sz="8" w:color="auto"/>
            </w:tcBorders>
          </w:tcPr>
          <w:p>
            <w:pPr>
              <w:jc w:val="right"/>
              <w:ind w:right="360"/>
              <w:spacing w:after="0"/>
              <w:rPr>
                <w:sz w:val="20"/>
                <w:szCs w:val="20"/>
                <w:color w:val="auto"/>
              </w:rPr>
            </w:pPr>
            <w:r>
              <w:rPr>
                <w:rFonts w:ascii="Arial" w:cs="Arial" w:eastAsia="Arial" w:hAnsi="Arial"/>
                <w:sz w:val="18"/>
                <w:szCs w:val="18"/>
                <w:b w:val="1"/>
                <w:bCs w:val="1"/>
                <w:color w:val="auto"/>
              </w:rPr>
              <w:t>146,887,008</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31.34</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9"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During the years ended December 31, 2007, 2006 and 2005, the aggregate intrinsic value (i.e., the difference in the closing market price and the exercise price to be paid by the optionee) of options exercised under these plans was $606 million, $419 million and $394 million.</w:t>
      </w:r>
    </w:p>
    <w:p>
      <w:pPr>
        <w:spacing w:after="0" w:line="155"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color w:val="auto"/>
        </w:rPr>
        <w:t>For the years ended December 31, 2007, 2006 and 2005, the total fair value of shares vested from RSU grants was $12 million, $13 million and $24 million.</w:t>
      </w:r>
    </w:p>
    <w:p>
      <w:pPr>
        <w:spacing w:after="0" w:line="155"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Summarized information as of December 31, 2007, about outstanding stock options that are vested and expected to vest, as well as stock options that are currently exercisable, is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shd w:val="clear" w:color="auto" w:fill="E5E5E5"/>
          </w:tcPr>
          <w:p>
            <w:pPr>
              <w:spacing w:after="0"/>
              <w:rPr>
                <w:sz w:val="14"/>
                <w:szCs w:val="14"/>
                <w:color w:val="auto"/>
              </w:rPr>
            </w:pPr>
          </w:p>
        </w:tc>
        <w:tc>
          <w:tcPr>
            <w:tcW w:w="4140" w:type="dxa"/>
            <w:vAlign w:val="bottom"/>
            <w:gridSpan w:val="2"/>
            <w:shd w:val="clear" w:color="auto" w:fill="E5E5E5"/>
          </w:tcPr>
          <w:p>
            <w:pPr>
              <w:jc w:val="center"/>
              <w:ind w:left="1682"/>
              <w:spacing w:after="0"/>
              <w:rPr>
                <w:sz w:val="20"/>
                <w:szCs w:val="20"/>
                <w:color w:val="auto"/>
              </w:rPr>
            </w:pPr>
            <w:r>
              <w:rPr>
                <w:rFonts w:ascii="Arial" w:cs="Arial" w:eastAsia="Arial" w:hAnsi="Arial"/>
                <w:sz w:val="14"/>
                <w:szCs w:val="14"/>
                <w:b w:val="1"/>
                <w:bCs w:val="1"/>
                <w:color w:val="auto"/>
                <w:w w:val="95"/>
              </w:rPr>
              <w:t>Outstanding Stock Options</w:t>
            </w:r>
          </w:p>
        </w:tc>
        <w:tc>
          <w:tcPr>
            <w:tcW w:w="420" w:type="dxa"/>
            <w:vAlign w:val="bottom"/>
            <w:shd w:val="clear" w:color="auto" w:fill="E5E5E5"/>
          </w:tcPr>
          <w:p>
            <w:pPr>
              <w:spacing w:after="0"/>
              <w:rPr>
                <w:sz w:val="14"/>
                <w:szCs w:val="14"/>
                <w:color w:val="auto"/>
              </w:rPr>
            </w:pPr>
          </w:p>
        </w:tc>
        <w:tc>
          <w:tcPr>
            <w:tcW w:w="1080" w:type="dxa"/>
            <w:vAlign w:val="bottom"/>
            <w:shd w:val="clear" w:color="auto" w:fill="E5E5E5"/>
          </w:tcPr>
          <w:p>
            <w:pPr>
              <w:spacing w:after="0"/>
              <w:rPr>
                <w:sz w:val="14"/>
                <w:szCs w:val="14"/>
                <w:color w:val="auto"/>
              </w:rPr>
            </w:pPr>
          </w:p>
        </w:tc>
      </w:tr>
      <w:tr>
        <w:trPr>
          <w:trHeight w:val="149"/>
        </w:trPr>
        <w:tc>
          <w:tcPr>
            <w:tcW w:w="5780" w:type="dxa"/>
            <w:vAlign w:val="bottom"/>
            <w:shd w:val="clear" w:color="auto" w:fill="E5E5E5"/>
          </w:tcPr>
          <w:p>
            <w:pPr>
              <w:spacing w:after="0"/>
              <w:rPr>
                <w:sz w:val="12"/>
                <w:szCs w:val="12"/>
                <w:color w:val="auto"/>
              </w:rPr>
            </w:pPr>
          </w:p>
        </w:tc>
        <w:tc>
          <w:tcPr>
            <w:tcW w:w="4140" w:type="dxa"/>
            <w:vAlign w:val="bottom"/>
            <w:gridSpan w:val="2"/>
            <w:shd w:val="clear" w:color="auto" w:fill="E5E5E5"/>
          </w:tcPr>
          <w:p>
            <w:pPr>
              <w:jc w:val="center"/>
              <w:ind w:left="1682"/>
              <w:spacing w:after="0" w:line="149" w:lineRule="exact"/>
              <w:rPr>
                <w:sz w:val="20"/>
                <w:szCs w:val="20"/>
                <w:color w:val="auto"/>
              </w:rPr>
            </w:pPr>
            <w:r>
              <w:rPr>
                <w:rFonts w:ascii="Arial" w:cs="Arial" w:eastAsia="Arial" w:hAnsi="Arial"/>
                <w:sz w:val="14"/>
                <w:szCs w:val="14"/>
                <w:b w:val="1"/>
                <w:bCs w:val="1"/>
                <w:color w:val="auto"/>
                <w:w w:val="95"/>
              </w:rPr>
              <w:t>(Fully Vested and Expected</w:t>
            </w:r>
          </w:p>
        </w:tc>
        <w:tc>
          <w:tcPr>
            <w:tcW w:w="420" w:type="dxa"/>
            <w:vAlign w:val="bottom"/>
            <w:shd w:val="clear" w:color="auto" w:fill="E5E5E5"/>
          </w:tcPr>
          <w:p>
            <w:pPr>
              <w:spacing w:after="0"/>
              <w:rPr>
                <w:sz w:val="12"/>
                <w:szCs w:val="12"/>
                <w:color w:val="auto"/>
              </w:rPr>
            </w:pPr>
          </w:p>
        </w:tc>
        <w:tc>
          <w:tcPr>
            <w:tcW w:w="1080" w:type="dxa"/>
            <w:vAlign w:val="bottom"/>
            <w:shd w:val="clear" w:color="auto" w:fill="E5E5E5"/>
          </w:tcPr>
          <w:p>
            <w:pPr>
              <w:ind w:left="240"/>
              <w:spacing w:after="0" w:line="149" w:lineRule="exact"/>
              <w:rPr>
                <w:sz w:val="20"/>
                <w:szCs w:val="20"/>
                <w:color w:val="auto"/>
              </w:rPr>
            </w:pPr>
            <w:r>
              <w:rPr>
                <w:rFonts w:ascii="Arial" w:cs="Arial" w:eastAsia="Arial" w:hAnsi="Arial"/>
                <w:sz w:val="14"/>
                <w:szCs w:val="14"/>
                <w:b w:val="1"/>
                <w:bCs w:val="1"/>
                <w:color w:val="auto"/>
              </w:rPr>
              <w:t>Options</w:t>
            </w:r>
          </w:p>
        </w:tc>
      </w:tr>
      <w:tr>
        <w:trPr>
          <w:trHeight w:val="213"/>
        </w:trPr>
        <w:tc>
          <w:tcPr>
            <w:tcW w:w="5780" w:type="dxa"/>
            <w:vAlign w:val="bottom"/>
            <w:tcBorders>
              <w:bottom w:val="single" w:sz="8" w:color="E5E5E5"/>
            </w:tcBorders>
            <w:shd w:val="clear" w:color="auto" w:fill="E5E5E5"/>
          </w:tcPr>
          <w:p>
            <w:pPr>
              <w:spacing w:after="0"/>
              <w:rPr>
                <w:sz w:val="18"/>
                <w:szCs w:val="18"/>
                <w:color w:val="auto"/>
              </w:rPr>
            </w:pPr>
          </w:p>
        </w:tc>
        <w:tc>
          <w:tcPr>
            <w:tcW w:w="2540" w:type="dxa"/>
            <w:vAlign w:val="bottom"/>
            <w:tcBorders>
              <w:bottom w:val="single" w:sz="8" w:color="E5E5E5"/>
            </w:tcBorders>
            <w:shd w:val="clear" w:color="auto" w:fill="E5E5E5"/>
          </w:tcPr>
          <w:p>
            <w:pPr>
              <w:spacing w:after="0"/>
              <w:rPr>
                <w:sz w:val="18"/>
                <w:szCs w:val="18"/>
                <w:color w:val="auto"/>
              </w:rPr>
            </w:pPr>
          </w:p>
        </w:tc>
        <w:tc>
          <w:tcPr>
            <w:tcW w:w="1600" w:type="dxa"/>
            <w:vAlign w:val="bottom"/>
            <w:tcBorders>
              <w:bottom w:val="single" w:sz="8" w:color="E5E5E5"/>
            </w:tcBorders>
            <w:shd w:val="clear" w:color="auto" w:fill="E5E5E5"/>
          </w:tcPr>
          <w:p>
            <w:pPr>
              <w:jc w:val="center"/>
              <w:ind w:right="696"/>
              <w:spacing w:after="0"/>
              <w:rPr>
                <w:sz w:val="20"/>
                <w:szCs w:val="20"/>
                <w:color w:val="auto"/>
              </w:rPr>
            </w:pPr>
            <w:r>
              <w:rPr>
                <w:rFonts w:ascii="Arial" w:cs="Arial" w:eastAsia="Arial" w:hAnsi="Arial"/>
                <w:sz w:val="14"/>
                <w:szCs w:val="14"/>
                <w:b w:val="1"/>
                <w:bCs w:val="1"/>
                <w:color w:val="auto"/>
                <w:w w:val="96"/>
              </w:rPr>
              <w:t>to Vest) (a)</w:t>
            </w:r>
          </w:p>
        </w:tc>
        <w:tc>
          <w:tcPr>
            <w:tcW w:w="420" w:type="dxa"/>
            <w:vAlign w:val="bottom"/>
            <w:tcBorders>
              <w:bottom w:val="single" w:sz="8" w:color="E5E5E5"/>
            </w:tcBorders>
            <w:shd w:val="clear" w:color="auto" w:fill="E5E5E5"/>
          </w:tcPr>
          <w:p>
            <w:pPr>
              <w:spacing w:after="0"/>
              <w:rPr>
                <w:sz w:val="18"/>
                <w:szCs w:val="18"/>
                <w:color w:val="auto"/>
              </w:rPr>
            </w:pPr>
          </w:p>
        </w:tc>
        <w:tc>
          <w:tcPr>
            <w:tcW w:w="1080" w:type="dxa"/>
            <w:vAlign w:val="bottom"/>
            <w:tcBorders>
              <w:bottom w:val="single" w:sz="8" w:color="E5E5E5"/>
            </w:tcBorders>
            <w:shd w:val="clear" w:color="auto" w:fill="E5E5E5"/>
          </w:tcPr>
          <w:p>
            <w:pPr>
              <w:jc w:val="right"/>
              <w:ind w:right="139"/>
              <w:spacing w:after="0"/>
              <w:rPr>
                <w:sz w:val="20"/>
                <w:szCs w:val="20"/>
                <w:color w:val="auto"/>
              </w:rPr>
            </w:pPr>
            <w:r>
              <w:rPr>
                <w:rFonts w:ascii="Arial" w:cs="Arial" w:eastAsia="Arial" w:hAnsi="Arial"/>
                <w:sz w:val="14"/>
                <w:szCs w:val="14"/>
                <w:b w:val="1"/>
                <w:bCs w:val="1"/>
                <w:color w:val="auto"/>
              </w:rPr>
              <w:t>Exercisable</w:t>
            </w:r>
          </w:p>
        </w:tc>
      </w:tr>
      <w:tr>
        <w:trPr>
          <w:trHeight w:val="284"/>
        </w:trPr>
        <w:tc>
          <w:tcPr>
            <w:tcW w:w="5780" w:type="dxa"/>
            <w:vAlign w:val="bottom"/>
          </w:tcPr>
          <w:p>
            <w:pPr>
              <w:spacing w:after="0"/>
              <w:rPr>
                <w:sz w:val="20"/>
                <w:szCs w:val="20"/>
                <w:color w:val="auto"/>
              </w:rPr>
            </w:pPr>
            <w:r>
              <w:rPr>
                <w:rFonts w:ascii="Arial" w:cs="Arial" w:eastAsia="Arial" w:hAnsi="Arial"/>
                <w:sz w:val="18"/>
                <w:szCs w:val="18"/>
                <w:b w:val="1"/>
                <w:bCs w:val="1"/>
                <w:color w:val="auto"/>
              </w:rPr>
              <w:t>Number of outstanding (shares)</w:t>
            </w:r>
          </w:p>
        </w:tc>
        <w:tc>
          <w:tcPr>
            <w:tcW w:w="2540" w:type="dxa"/>
            <w:vAlign w:val="bottom"/>
          </w:tcPr>
          <w:p>
            <w:pPr>
              <w:spacing w:after="0"/>
              <w:rPr>
                <w:sz w:val="24"/>
                <w:szCs w:val="24"/>
                <w:color w:val="auto"/>
              </w:rPr>
            </w:pPr>
          </w:p>
        </w:tc>
        <w:tc>
          <w:tcPr>
            <w:tcW w:w="1600" w:type="dxa"/>
            <w:vAlign w:val="bottom"/>
          </w:tcPr>
          <w:p>
            <w:pPr>
              <w:jc w:val="right"/>
              <w:ind w:right="516"/>
              <w:spacing w:after="0"/>
              <w:rPr>
                <w:sz w:val="20"/>
                <w:szCs w:val="20"/>
                <w:color w:val="auto"/>
              </w:rPr>
            </w:pPr>
            <w:r>
              <w:rPr>
                <w:rFonts w:ascii="Arial" w:cs="Arial" w:eastAsia="Arial" w:hAnsi="Arial"/>
                <w:sz w:val="18"/>
                <w:szCs w:val="18"/>
                <w:b w:val="1"/>
                <w:bCs w:val="1"/>
                <w:color w:val="auto"/>
                <w:w w:val="97"/>
              </w:rPr>
              <w:t>184,995,626</w:t>
            </w:r>
          </w:p>
        </w:tc>
        <w:tc>
          <w:tcPr>
            <w:tcW w:w="420" w:type="dxa"/>
            <w:vAlign w:val="bottom"/>
          </w:tcPr>
          <w:p>
            <w:pPr>
              <w:spacing w:after="0"/>
              <w:rPr>
                <w:sz w:val="24"/>
                <w:szCs w:val="24"/>
                <w:color w:val="auto"/>
              </w:rPr>
            </w:pPr>
          </w:p>
        </w:tc>
        <w:tc>
          <w:tcPr>
            <w:tcW w:w="1080" w:type="dxa"/>
            <w:vAlign w:val="bottom"/>
          </w:tcPr>
          <w:p>
            <w:pPr>
              <w:jc w:val="right"/>
              <w:ind w:right="19"/>
              <w:spacing w:after="0"/>
              <w:rPr>
                <w:sz w:val="20"/>
                <w:szCs w:val="20"/>
                <w:color w:val="auto"/>
              </w:rPr>
            </w:pPr>
            <w:r>
              <w:rPr>
                <w:rFonts w:ascii="Arial" w:cs="Arial" w:eastAsia="Arial" w:hAnsi="Arial"/>
                <w:sz w:val="18"/>
                <w:szCs w:val="18"/>
                <w:b w:val="1"/>
                <w:bCs w:val="1"/>
                <w:color w:val="auto"/>
                <w:w w:val="95"/>
              </w:rPr>
              <w:t>146,887,008</w:t>
            </w:r>
          </w:p>
        </w:tc>
      </w:tr>
      <w:tr>
        <w:trPr>
          <w:trHeight w:val="203"/>
        </w:trPr>
        <w:tc>
          <w:tcPr>
            <w:tcW w:w="5780" w:type="dxa"/>
            <w:vAlign w:val="bottom"/>
            <w:shd w:val="clear" w:color="auto" w:fill="E5E5E5"/>
          </w:tcPr>
          <w:p>
            <w:pPr>
              <w:spacing w:after="0" w:line="202" w:lineRule="exact"/>
              <w:rPr>
                <w:sz w:val="20"/>
                <w:szCs w:val="20"/>
                <w:color w:val="auto"/>
              </w:rPr>
            </w:pPr>
            <w:r>
              <w:rPr>
                <w:rFonts w:ascii="Arial" w:cs="Arial" w:eastAsia="Arial" w:hAnsi="Arial"/>
                <w:sz w:val="18"/>
                <w:szCs w:val="18"/>
                <w:b w:val="1"/>
                <w:bCs w:val="1"/>
                <w:color w:val="auto"/>
              </w:rPr>
              <w:t>Weighted average remaining contractual life</w:t>
            </w:r>
          </w:p>
        </w:tc>
        <w:tc>
          <w:tcPr>
            <w:tcW w:w="2540" w:type="dxa"/>
            <w:vAlign w:val="bottom"/>
            <w:shd w:val="clear" w:color="auto" w:fill="E5E5E5"/>
          </w:tcPr>
          <w:p>
            <w:pPr>
              <w:spacing w:after="0"/>
              <w:rPr>
                <w:sz w:val="17"/>
                <w:szCs w:val="17"/>
                <w:color w:val="auto"/>
              </w:rPr>
            </w:pPr>
          </w:p>
        </w:tc>
        <w:tc>
          <w:tcPr>
            <w:tcW w:w="1600" w:type="dxa"/>
            <w:vAlign w:val="bottom"/>
            <w:shd w:val="clear" w:color="auto" w:fill="E5E5E5"/>
          </w:tcPr>
          <w:p>
            <w:pPr>
              <w:jc w:val="right"/>
              <w:ind w:right="516"/>
              <w:spacing w:after="0" w:line="202" w:lineRule="exact"/>
              <w:rPr>
                <w:sz w:val="20"/>
                <w:szCs w:val="20"/>
                <w:color w:val="auto"/>
              </w:rPr>
            </w:pPr>
            <w:r>
              <w:rPr>
                <w:rFonts w:ascii="Arial" w:cs="Arial" w:eastAsia="Arial" w:hAnsi="Arial"/>
                <w:sz w:val="18"/>
                <w:szCs w:val="18"/>
                <w:b w:val="1"/>
                <w:bCs w:val="1"/>
                <w:color w:val="auto"/>
              </w:rPr>
              <w:t>4.7 years</w:t>
            </w:r>
          </w:p>
        </w:tc>
        <w:tc>
          <w:tcPr>
            <w:tcW w:w="420" w:type="dxa"/>
            <w:vAlign w:val="bottom"/>
            <w:shd w:val="clear" w:color="auto" w:fill="E5E5E5"/>
          </w:tcPr>
          <w:p>
            <w:pPr>
              <w:spacing w:after="0"/>
              <w:rPr>
                <w:sz w:val="17"/>
                <w:szCs w:val="17"/>
                <w:color w:val="auto"/>
              </w:rPr>
            </w:pPr>
          </w:p>
        </w:tc>
        <w:tc>
          <w:tcPr>
            <w:tcW w:w="1080" w:type="dxa"/>
            <w:vAlign w:val="bottom"/>
            <w:shd w:val="clear" w:color="auto" w:fill="E5E5E5"/>
          </w:tcPr>
          <w:p>
            <w:pPr>
              <w:ind w:left="240"/>
              <w:spacing w:after="0" w:line="202" w:lineRule="exact"/>
              <w:rPr>
                <w:sz w:val="20"/>
                <w:szCs w:val="20"/>
                <w:color w:val="auto"/>
              </w:rPr>
            </w:pPr>
            <w:r>
              <w:rPr>
                <w:rFonts w:ascii="Arial" w:cs="Arial" w:eastAsia="Arial" w:hAnsi="Arial"/>
                <w:sz w:val="18"/>
                <w:szCs w:val="18"/>
                <w:b w:val="1"/>
                <w:bCs w:val="1"/>
                <w:color w:val="auto"/>
              </w:rPr>
              <w:t>4.0 years</w:t>
            </w:r>
          </w:p>
        </w:tc>
      </w:tr>
      <w:tr>
        <w:trPr>
          <w:trHeight w:val="203"/>
        </w:trPr>
        <w:tc>
          <w:tcPr>
            <w:tcW w:w="5780" w:type="dxa"/>
            <w:vAlign w:val="bottom"/>
          </w:tcPr>
          <w:p>
            <w:pPr>
              <w:spacing w:after="0" w:line="202" w:lineRule="exact"/>
              <w:rPr>
                <w:sz w:val="20"/>
                <w:szCs w:val="20"/>
                <w:color w:val="auto"/>
              </w:rPr>
            </w:pPr>
            <w:r>
              <w:rPr>
                <w:rFonts w:ascii="Arial" w:cs="Arial" w:eastAsia="Arial" w:hAnsi="Arial"/>
                <w:sz w:val="18"/>
                <w:szCs w:val="18"/>
                <w:b w:val="1"/>
                <w:bCs w:val="1"/>
                <w:color w:val="auto"/>
              </w:rPr>
              <w:t>Weighted average exercise price per share</w:t>
            </w:r>
          </w:p>
        </w:tc>
        <w:tc>
          <w:tcPr>
            <w:tcW w:w="25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600" w:type="dxa"/>
            <w:vAlign w:val="bottom"/>
          </w:tcPr>
          <w:p>
            <w:pPr>
              <w:jc w:val="right"/>
              <w:ind w:right="516"/>
              <w:spacing w:after="0" w:line="202" w:lineRule="exact"/>
              <w:rPr>
                <w:sz w:val="20"/>
                <w:szCs w:val="20"/>
                <w:color w:val="auto"/>
              </w:rPr>
            </w:pPr>
            <w:r>
              <w:rPr>
                <w:rFonts w:ascii="Arial" w:cs="Arial" w:eastAsia="Arial" w:hAnsi="Arial"/>
                <w:sz w:val="18"/>
                <w:szCs w:val="18"/>
                <w:b w:val="1"/>
                <w:bCs w:val="1"/>
                <w:color w:val="auto"/>
              </w:rPr>
              <w:t>30.75</w:t>
            </w:r>
          </w:p>
        </w:tc>
        <w:tc>
          <w:tcPr>
            <w:tcW w:w="4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9"/>
              <w:spacing w:after="0" w:line="202" w:lineRule="exact"/>
              <w:rPr>
                <w:sz w:val="20"/>
                <w:szCs w:val="20"/>
                <w:color w:val="auto"/>
              </w:rPr>
            </w:pPr>
            <w:r>
              <w:rPr>
                <w:rFonts w:ascii="Arial" w:cs="Arial" w:eastAsia="Arial" w:hAnsi="Arial"/>
                <w:sz w:val="18"/>
                <w:szCs w:val="18"/>
                <w:b w:val="1"/>
                <w:bCs w:val="1"/>
                <w:color w:val="auto"/>
              </w:rPr>
              <w:t>31.34</w:t>
            </w:r>
          </w:p>
        </w:tc>
      </w:tr>
      <w:tr>
        <w:trPr>
          <w:trHeight w:val="203"/>
        </w:trPr>
        <w:tc>
          <w:tcPr>
            <w:tcW w:w="5780" w:type="dxa"/>
            <w:vAlign w:val="bottom"/>
            <w:shd w:val="clear" w:color="auto" w:fill="E5E5E5"/>
          </w:tcPr>
          <w:p>
            <w:pPr>
              <w:spacing w:after="0" w:line="202" w:lineRule="exact"/>
              <w:rPr>
                <w:sz w:val="20"/>
                <w:szCs w:val="20"/>
                <w:color w:val="auto"/>
              </w:rPr>
            </w:pPr>
            <w:r>
              <w:rPr>
                <w:rFonts w:ascii="Arial" w:cs="Arial" w:eastAsia="Arial" w:hAnsi="Arial"/>
                <w:sz w:val="18"/>
                <w:szCs w:val="18"/>
                <w:b w:val="1"/>
                <w:bCs w:val="1"/>
                <w:color w:val="auto"/>
              </w:rPr>
              <w:t>Intrinsic value</w:t>
            </w:r>
          </w:p>
        </w:tc>
        <w:tc>
          <w:tcPr>
            <w:tcW w:w="25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600" w:type="dxa"/>
            <w:vAlign w:val="bottom"/>
            <w:shd w:val="clear" w:color="auto" w:fill="E5E5E5"/>
          </w:tcPr>
          <w:p>
            <w:pPr>
              <w:jc w:val="right"/>
              <w:ind w:right="516"/>
              <w:spacing w:after="0" w:line="202" w:lineRule="exact"/>
              <w:rPr>
                <w:sz w:val="20"/>
                <w:szCs w:val="20"/>
                <w:color w:val="auto"/>
              </w:rPr>
            </w:pPr>
            <w:r>
              <w:rPr>
                <w:rFonts w:ascii="Arial" w:cs="Arial" w:eastAsia="Arial" w:hAnsi="Arial"/>
                <w:sz w:val="18"/>
                <w:szCs w:val="18"/>
                <w:b w:val="1"/>
                <w:bCs w:val="1"/>
                <w:color w:val="auto"/>
              </w:rPr>
              <w:t>1,160</w:t>
            </w:r>
          </w:p>
        </w:tc>
        <w:tc>
          <w:tcPr>
            <w:tcW w:w="4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E5E5E5"/>
          </w:tcPr>
          <w:p>
            <w:pPr>
              <w:jc w:val="right"/>
              <w:ind w:right="19"/>
              <w:spacing w:after="0" w:line="202" w:lineRule="exact"/>
              <w:rPr>
                <w:sz w:val="20"/>
                <w:szCs w:val="20"/>
                <w:color w:val="auto"/>
              </w:rPr>
            </w:pPr>
            <w:r>
              <w:rPr>
                <w:rFonts w:ascii="Arial" w:cs="Arial" w:eastAsia="Arial" w:hAnsi="Arial"/>
                <w:sz w:val="18"/>
                <w:szCs w:val="18"/>
                <w:b w:val="1"/>
                <w:bCs w:val="1"/>
                <w:color w:val="auto"/>
              </w:rPr>
              <w:t>980</w:t>
            </w:r>
          </w:p>
        </w:tc>
      </w:tr>
    </w:tbl>
    <w:p>
      <w:pPr>
        <w:spacing w:after="0" w:line="202"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Includes effects of expected forfeitures. Excluding the effects of expected forfeitures, the aggregate intrinsic value of stock options outstanding was $1.17 billion.</w:t>
      </w:r>
    </w:p>
    <w:p>
      <w:pPr>
        <w:spacing w:after="0" w:line="153"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As of December 31, 2007, the total future compensation cost related to unvested stock options and RSUs not yet recognized in the statement of income was $216 million and $127 million. Of that total, $179 million, $106 million, $51 million and $7 million will be recognized in 2008, 2009, 2010 and 2011.</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Employee Stock Purchase Plans</w:t>
      </w:r>
    </w:p>
    <w:p>
      <w:pPr>
        <w:spacing w:after="0" w:line="158"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Under the TI Employees 2005 Stock Purchase Plan, options are offered to all eligible employees in amounts based on a percentage of the employee’s compensation. Under the plan, the option price per share is 85 percent of the fair market value on the exercise date, and options have a three-month term.</w:t>
      </w:r>
    </w:p>
    <w:p>
      <w:pPr>
        <w:spacing w:after="0" w:line="154"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The options outstanding under the Plan at December 31, 2007, had an exercise price of $27.50 per share (85 percent of the fair market value of TI common stock on the date of automatic exercise). Of the total outstanding options, none were exercisable at year-end 2007.</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120" w:type="dxa"/>
            <w:vAlign w:val="bottom"/>
          </w:tcPr>
          <w:p>
            <w:pPr>
              <w:spacing w:after="0"/>
              <w:rPr>
                <w:sz w:val="20"/>
                <w:szCs w:val="20"/>
                <w:color w:val="auto"/>
              </w:rPr>
            </w:pPr>
            <w:r>
              <w:rPr>
                <w:rFonts w:ascii="Arial" w:cs="Arial" w:eastAsia="Arial" w:hAnsi="Arial"/>
                <w:sz w:val="14"/>
                <w:szCs w:val="14"/>
                <w:color w:val="auto"/>
              </w:rPr>
              <w:t>TEXAS INSTRUMENTS 2007 ANNUAL REPORT</w:t>
            </w:r>
          </w:p>
        </w:tc>
        <w:tc>
          <w:tcPr>
            <w:tcW w:w="4300" w:type="dxa"/>
            <w:vAlign w:val="bottom"/>
          </w:tcPr>
          <w:p>
            <w:pPr>
              <w:jc w:val="right"/>
              <w:spacing w:after="0"/>
              <w:rPr>
                <w:sz w:val="20"/>
                <w:szCs w:val="20"/>
                <w:color w:val="auto"/>
              </w:rPr>
            </w:pPr>
            <w:r>
              <w:rPr>
                <w:rFonts w:ascii="Arial" w:cs="Arial" w:eastAsia="Arial" w:hAnsi="Arial"/>
                <w:sz w:val="14"/>
                <w:szCs w:val="14"/>
                <w:color w:val="auto"/>
              </w:rPr>
              <w:t>25</w:t>
            </w:r>
          </w:p>
        </w:tc>
      </w:tr>
    </w:tbl>
    <w:p>
      <w:pPr>
        <w:sectPr>
          <w:pgSz w:w="11900" w:h="16838" w:orient="portrait"/>
          <w:cols w:equalWidth="0" w:num="1">
            <w:col w:w="11420"/>
          </w:cols>
          <w:pgMar w:left="240" w:top="291" w:right="239" w:bottom="1440" w:gutter="0" w:footer="0" w:header="0"/>
        </w:sectPr>
      </w:pPr>
    </w:p>
    <w:bookmarkStart w:id="45" w:name="page46"/>
    <w:bookmarkEnd w:id="45"/>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Employee stock purchase plan transactions during 2007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40" w:type="dxa"/>
            <w:vAlign w:val="bottom"/>
            <w:shd w:val="clear" w:color="auto" w:fill="E5E5E5"/>
          </w:tcPr>
          <w:p>
            <w:pPr>
              <w:spacing w:after="0"/>
              <w:rPr>
                <w:sz w:val="14"/>
                <w:szCs w:val="14"/>
                <w:color w:val="auto"/>
              </w:rPr>
            </w:pPr>
          </w:p>
        </w:tc>
        <w:tc>
          <w:tcPr>
            <w:tcW w:w="1220" w:type="dxa"/>
            <w:vAlign w:val="bottom"/>
            <w:shd w:val="clear" w:color="auto" w:fill="E5E5E5"/>
          </w:tcPr>
          <w:p>
            <w:pPr>
              <w:jc w:val="center"/>
              <w:ind w:right="101"/>
              <w:spacing w:after="0"/>
              <w:rPr>
                <w:sz w:val="20"/>
                <w:szCs w:val="20"/>
                <w:color w:val="auto"/>
              </w:rPr>
            </w:pPr>
            <w:r>
              <w:rPr>
                <w:rFonts w:ascii="Arial" w:cs="Arial" w:eastAsia="Arial" w:hAnsi="Arial"/>
                <w:sz w:val="14"/>
                <w:szCs w:val="14"/>
                <w:b w:val="1"/>
                <w:bCs w:val="1"/>
                <w:color w:val="auto"/>
                <w:w w:val="96"/>
              </w:rPr>
              <w:t>Employee Stock</w:t>
            </w:r>
          </w:p>
        </w:tc>
        <w:tc>
          <w:tcPr>
            <w:tcW w:w="560" w:type="dxa"/>
            <w:vAlign w:val="bottom"/>
            <w:shd w:val="clear" w:color="auto" w:fill="E5E5E5"/>
          </w:tcPr>
          <w:p>
            <w:pPr>
              <w:spacing w:after="0"/>
              <w:rPr>
                <w:sz w:val="14"/>
                <w:szCs w:val="14"/>
                <w:color w:val="auto"/>
              </w:rPr>
            </w:pPr>
          </w:p>
        </w:tc>
        <w:tc>
          <w:tcPr>
            <w:tcW w:w="780" w:type="dxa"/>
            <w:vAlign w:val="bottom"/>
            <w:shd w:val="clear" w:color="auto" w:fill="E5E5E5"/>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8840" w:type="dxa"/>
            <w:vAlign w:val="bottom"/>
            <w:shd w:val="clear" w:color="auto" w:fill="E5E5E5"/>
          </w:tcPr>
          <w:p>
            <w:pPr>
              <w:spacing w:after="0"/>
              <w:rPr>
                <w:sz w:val="12"/>
                <w:szCs w:val="12"/>
                <w:color w:val="auto"/>
              </w:rPr>
            </w:pPr>
          </w:p>
        </w:tc>
        <w:tc>
          <w:tcPr>
            <w:tcW w:w="1220" w:type="dxa"/>
            <w:vAlign w:val="bottom"/>
            <w:shd w:val="clear" w:color="auto" w:fill="E5E5E5"/>
          </w:tcPr>
          <w:p>
            <w:pPr>
              <w:jc w:val="center"/>
              <w:ind w:right="101"/>
              <w:spacing w:after="0" w:line="149" w:lineRule="exact"/>
              <w:rPr>
                <w:sz w:val="20"/>
                <w:szCs w:val="20"/>
                <w:color w:val="auto"/>
              </w:rPr>
            </w:pPr>
            <w:r>
              <w:rPr>
                <w:rFonts w:ascii="Arial" w:cs="Arial" w:eastAsia="Arial" w:hAnsi="Arial"/>
                <w:sz w:val="14"/>
                <w:szCs w:val="14"/>
                <w:b w:val="1"/>
                <w:bCs w:val="1"/>
                <w:color w:val="auto"/>
                <w:w w:val="95"/>
              </w:rPr>
              <w:t>Purchase Plan</w:t>
            </w:r>
          </w:p>
        </w:tc>
        <w:tc>
          <w:tcPr>
            <w:tcW w:w="1340" w:type="dxa"/>
            <w:vAlign w:val="bottom"/>
            <w:gridSpan w:val="2"/>
            <w:shd w:val="clear" w:color="auto" w:fill="E5E5E5"/>
          </w:tcPr>
          <w:p>
            <w:pPr>
              <w:jc w:val="right"/>
              <w:spacing w:after="0" w:line="149" w:lineRule="exact"/>
              <w:rPr>
                <w:sz w:val="20"/>
                <w:szCs w:val="20"/>
                <w:color w:val="auto"/>
              </w:rPr>
            </w:pPr>
            <w:r>
              <w:rPr>
                <w:rFonts w:ascii="Arial" w:cs="Arial" w:eastAsia="Arial" w:hAnsi="Arial"/>
                <w:sz w:val="14"/>
                <w:szCs w:val="14"/>
                <w:b w:val="1"/>
                <w:bCs w:val="1"/>
                <w:color w:val="auto"/>
              </w:rPr>
              <w:t>Weighted Average</w:t>
            </w:r>
          </w:p>
        </w:tc>
      </w:tr>
      <w:tr>
        <w:trPr>
          <w:trHeight w:val="165"/>
        </w:trPr>
        <w:tc>
          <w:tcPr>
            <w:tcW w:w="20" w:type="dxa"/>
            <w:vAlign w:val="bottom"/>
          </w:tcPr>
          <w:p>
            <w:pPr>
              <w:spacing w:after="0"/>
              <w:rPr>
                <w:sz w:val="14"/>
                <w:szCs w:val="14"/>
                <w:color w:val="auto"/>
              </w:rPr>
            </w:pPr>
          </w:p>
        </w:tc>
        <w:tc>
          <w:tcPr>
            <w:tcW w:w="8840" w:type="dxa"/>
            <w:vAlign w:val="bottom"/>
            <w:shd w:val="clear" w:color="auto" w:fill="E5E5E5"/>
          </w:tcPr>
          <w:p>
            <w:pPr>
              <w:spacing w:after="0"/>
              <w:rPr>
                <w:sz w:val="14"/>
                <w:szCs w:val="14"/>
                <w:color w:val="auto"/>
              </w:rPr>
            </w:pPr>
          </w:p>
        </w:tc>
        <w:tc>
          <w:tcPr>
            <w:tcW w:w="1220" w:type="dxa"/>
            <w:vAlign w:val="bottom"/>
            <w:shd w:val="clear" w:color="auto" w:fill="E5E5E5"/>
          </w:tcPr>
          <w:p>
            <w:pPr>
              <w:jc w:val="center"/>
              <w:ind w:right="101"/>
              <w:spacing w:after="0"/>
              <w:rPr>
                <w:sz w:val="20"/>
                <w:szCs w:val="20"/>
                <w:color w:val="auto"/>
              </w:rPr>
            </w:pPr>
            <w:r>
              <w:rPr>
                <w:rFonts w:ascii="Arial" w:cs="Arial" w:eastAsia="Arial" w:hAnsi="Arial"/>
                <w:sz w:val="14"/>
                <w:szCs w:val="14"/>
                <w:b w:val="1"/>
                <w:bCs w:val="1"/>
                <w:color w:val="auto"/>
                <w:w w:val="95"/>
              </w:rPr>
              <w:t>(shares) (a)</w:t>
            </w:r>
          </w:p>
        </w:tc>
        <w:tc>
          <w:tcPr>
            <w:tcW w:w="1340" w:type="dxa"/>
            <w:vAlign w:val="bottom"/>
            <w:gridSpan w:val="2"/>
            <w:shd w:val="clear" w:color="auto" w:fill="E5E5E5"/>
          </w:tcPr>
          <w:p>
            <w:pPr>
              <w:jc w:val="right"/>
              <w:ind w:right="32"/>
              <w:spacing w:after="0"/>
              <w:rPr>
                <w:sz w:val="20"/>
                <w:szCs w:val="20"/>
                <w:color w:val="auto"/>
              </w:rPr>
            </w:pPr>
            <w:r>
              <w:rPr>
                <w:rFonts w:ascii="Arial" w:cs="Arial" w:eastAsia="Arial" w:hAnsi="Arial"/>
                <w:sz w:val="14"/>
                <w:szCs w:val="14"/>
                <w:b w:val="1"/>
                <w:bCs w:val="1"/>
                <w:color w:val="auto"/>
              </w:rPr>
              <w:t>Exercise Price</w:t>
            </w:r>
          </w:p>
        </w:tc>
      </w:tr>
      <w:tr>
        <w:trPr>
          <w:trHeight w:val="270"/>
        </w:trPr>
        <w:tc>
          <w:tcPr>
            <w:tcW w:w="8860" w:type="dxa"/>
            <w:vAlign w:val="bottom"/>
            <w:gridSpan w:val="2"/>
          </w:tcPr>
          <w:p>
            <w:pPr>
              <w:spacing w:after="0"/>
              <w:rPr>
                <w:sz w:val="20"/>
                <w:szCs w:val="20"/>
                <w:color w:val="auto"/>
              </w:rPr>
            </w:pPr>
            <w:r>
              <w:rPr>
                <w:rFonts w:ascii="Arial" w:cs="Arial" w:eastAsia="Arial" w:hAnsi="Arial"/>
                <w:sz w:val="18"/>
                <w:szCs w:val="18"/>
                <w:b w:val="1"/>
                <w:bCs w:val="1"/>
                <w:color w:val="auto"/>
              </w:rPr>
              <w:t>Outstanding grants, December 31, 2006</w:t>
            </w:r>
          </w:p>
        </w:tc>
        <w:tc>
          <w:tcPr>
            <w:tcW w:w="1220" w:type="dxa"/>
            <w:vAlign w:val="bottom"/>
          </w:tcPr>
          <w:p>
            <w:pPr>
              <w:jc w:val="right"/>
              <w:ind w:right="241"/>
              <w:spacing w:after="0"/>
              <w:rPr>
                <w:sz w:val="20"/>
                <w:szCs w:val="20"/>
                <w:color w:val="auto"/>
              </w:rPr>
            </w:pPr>
            <w:r>
              <w:rPr>
                <w:rFonts w:ascii="Arial" w:cs="Arial" w:eastAsia="Arial" w:hAnsi="Arial"/>
                <w:sz w:val="18"/>
                <w:szCs w:val="18"/>
                <w:b w:val="1"/>
                <w:bCs w:val="1"/>
                <w:color w:val="auto"/>
              </w:rPr>
              <w:t>621,238</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212"/>
              <w:spacing w:after="0"/>
              <w:rPr>
                <w:sz w:val="20"/>
                <w:szCs w:val="20"/>
                <w:color w:val="auto"/>
              </w:rPr>
            </w:pPr>
            <w:r>
              <w:rPr>
                <w:rFonts w:ascii="Arial" w:cs="Arial" w:eastAsia="Arial" w:hAnsi="Arial"/>
                <w:sz w:val="18"/>
                <w:szCs w:val="18"/>
                <w:b w:val="1"/>
                <w:bCs w:val="1"/>
                <w:color w:val="auto"/>
              </w:rPr>
              <w:t>24.48</w:t>
            </w:r>
          </w:p>
        </w:tc>
      </w:tr>
      <w:tr>
        <w:trPr>
          <w:trHeight w:val="203"/>
        </w:trPr>
        <w:tc>
          <w:tcPr>
            <w:tcW w:w="20" w:type="dxa"/>
            <w:vAlign w:val="bottom"/>
          </w:tcPr>
          <w:p>
            <w:pPr>
              <w:spacing w:after="0"/>
              <w:rPr>
                <w:sz w:val="17"/>
                <w:szCs w:val="17"/>
                <w:color w:val="auto"/>
              </w:rPr>
            </w:pPr>
          </w:p>
        </w:tc>
        <w:tc>
          <w:tcPr>
            <w:tcW w:w="8840" w:type="dxa"/>
            <w:vAlign w:val="bottom"/>
            <w:shd w:val="clear" w:color="auto" w:fill="E5E5E5"/>
          </w:tcPr>
          <w:p>
            <w:pPr>
              <w:spacing w:after="0" w:line="202" w:lineRule="exact"/>
              <w:rPr>
                <w:sz w:val="20"/>
                <w:szCs w:val="20"/>
                <w:color w:val="auto"/>
              </w:rPr>
            </w:pPr>
            <w:r>
              <w:rPr>
                <w:rFonts w:ascii="Arial" w:cs="Arial" w:eastAsia="Arial" w:hAnsi="Arial"/>
                <w:sz w:val="18"/>
                <w:szCs w:val="18"/>
                <w:b w:val="1"/>
                <w:bCs w:val="1"/>
                <w:color w:val="auto"/>
              </w:rPr>
              <w:t>Granted</w:t>
            </w:r>
          </w:p>
        </w:tc>
        <w:tc>
          <w:tcPr>
            <w:tcW w:w="1220" w:type="dxa"/>
            <w:vAlign w:val="bottom"/>
            <w:shd w:val="clear" w:color="auto" w:fill="E5E5E5"/>
          </w:tcPr>
          <w:p>
            <w:pPr>
              <w:jc w:val="right"/>
              <w:ind w:right="241"/>
              <w:spacing w:after="0" w:line="202" w:lineRule="exact"/>
              <w:rPr>
                <w:sz w:val="20"/>
                <w:szCs w:val="20"/>
                <w:color w:val="auto"/>
              </w:rPr>
            </w:pPr>
            <w:r>
              <w:rPr>
                <w:rFonts w:ascii="Arial" w:cs="Arial" w:eastAsia="Arial" w:hAnsi="Arial"/>
                <w:sz w:val="18"/>
                <w:szCs w:val="18"/>
                <w:b w:val="1"/>
                <w:bCs w:val="1"/>
                <w:color w:val="auto"/>
              </w:rPr>
              <w:t>2,106,758</w:t>
            </w:r>
          </w:p>
        </w:tc>
        <w:tc>
          <w:tcPr>
            <w:tcW w:w="560" w:type="dxa"/>
            <w:vAlign w:val="bottom"/>
            <w:shd w:val="clear" w:color="auto" w:fill="E5E5E5"/>
          </w:tcPr>
          <w:p>
            <w:pPr>
              <w:spacing w:after="0"/>
              <w:rPr>
                <w:sz w:val="17"/>
                <w:szCs w:val="17"/>
                <w:color w:val="auto"/>
              </w:rPr>
            </w:pPr>
          </w:p>
        </w:tc>
        <w:tc>
          <w:tcPr>
            <w:tcW w:w="780" w:type="dxa"/>
            <w:vAlign w:val="bottom"/>
            <w:shd w:val="clear" w:color="auto" w:fill="E5E5E5"/>
          </w:tcPr>
          <w:p>
            <w:pPr>
              <w:jc w:val="right"/>
              <w:ind w:right="212"/>
              <w:spacing w:after="0" w:line="202" w:lineRule="exact"/>
              <w:rPr>
                <w:sz w:val="20"/>
                <w:szCs w:val="20"/>
                <w:color w:val="auto"/>
              </w:rPr>
            </w:pPr>
            <w:r>
              <w:rPr>
                <w:rFonts w:ascii="Arial" w:cs="Arial" w:eastAsia="Arial" w:hAnsi="Arial"/>
                <w:sz w:val="18"/>
                <w:szCs w:val="18"/>
                <w:b w:val="1"/>
                <w:bCs w:val="1"/>
                <w:color w:val="auto"/>
              </w:rPr>
              <w:t>28.91</w:t>
            </w:r>
          </w:p>
        </w:tc>
      </w:tr>
      <w:tr>
        <w:trPr>
          <w:trHeight w:val="210"/>
        </w:trPr>
        <w:tc>
          <w:tcPr>
            <w:tcW w:w="20" w:type="dxa"/>
            <w:vAlign w:val="bottom"/>
          </w:tcPr>
          <w:p>
            <w:pPr>
              <w:spacing w:after="0"/>
              <w:rPr>
                <w:sz w:val="18"/>
                <w:szCs w:val="18"/>
                <w:color w:val="auto"/>
              </w:rPr>
            </w:pPr>
          </w:p>
        </w:tc>
        <w:tc>
          <w:tcPr>
            <w:tcW w:w="8840" w:type="dxa"/>
            <w:vAlign w:val="bottom"/>
          </w:tcPr>
          <w:p>
            <w:pPr>
              <w:spacing w:after="0" w:line="202" w:lineRule="exact"/>
              <w:rPr>
                <w:sz w:val="20"/>
                <w:szCs w:val="20"/>
                <w:color w:val="auto"/>
              </w:rPr>
            </w:pPr>
            <w:r>
              <w:rPr>
                <w:rFonts w:ascii="Arial" w:cs="Arial" w:eastAsia="Arial" w:hAnsi="Arial"/>
                <w:sz w:val="18"/>
                <w:szCs w:val="18"/>
                <w:b w:val="1"/>
                <w:bCs w:val="1"/>
                <w:color w:val="auto"/>
              </w:rPr>
              <w:t>Exercised</w:t>
            </w:r>
          </w:p>
        </w:tc>
        <w:tc>
          <w:tcPr>
            <w:tcW w:w="1220" w:type="dxa"/>
            <w:vAlign w:val="bottom"/>
            <w:tcBorders>
              <w:bottom w:val="single" w:sz="8" w:color="auto"/>
            </w:tcBorders>
          </w:tcPr>
          <w:p>
            <w:pPr>
              <w:jc w:val="center"/>
              <w:ind w:right="141"/>
              <w:spacing w:after="0" w:line="202" w:lineRule="exact"/>
              <w:rPr>
                <w:sz w:val="20"/>
                <w:szCs w:val="20"/>
                <w:color w:val="auto"/>
              </w:rPr>
            </w:pPr>
            <w:r>
              <w:rPr>
                <w:rFonts w:ascii="Arial" w:cs="Arial" w:eastAsia="Arial" w:hAnsi="Arial"/>
                <w:sz w:val="18"/>
                <w:szCs w:val="18"/>
                <w:b w:val="1"/>
                <w:bCs w:val="1"/>
                <w:color w:val="auto"/>
                <w:w w:val="95"/>
              </w:rPr>
              <w:t>(2,176,228)</w:t>
            </w:r>
          </w:p>
        </w:tc>
        <w:tc>
          <w:tcPr>
            <w:tcW w:w="5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2"/>
              <w:spacing w:after="0" w:line="202" w:lineRule="exact"/>
              <w:rPr>
                <w:sz w:val="20"/>
                <w:szCs w:val="20"/>
                <w:color w:val="auto"/>
              </w:rPr>
            </w:pPr>
            <w:r>
              <w:rPr>
                <w:rFonts w:ascii="Arial" w:cs="Arial" w:eastAsia="Arial" w:hAnsi="Arial"/>
                <w:sz w:val="18"/>
                <w:szCs w:val="18"/>
                <w:b w:val="1"/>
                <w:bCs w:val="1"/>
                <w:color w:val="auto"/>
              </w:rPr>
              <w:t>28.00</w:t>
            </w:r>
          </w:p>
        </w:tc>
      </w:tr>
      <w:tr>
        <w:trPr>
          <w:trHeight w:val="203"/>
        </w:trPr>
        <w:tc>
          <w:tcPr>
            <w:tcW w:w="20" w:type="dxa"/>
            <w:vAlign w:val="bottom"/>
          </w:tcPr>
          <w:p>
            <w:pPr>
              <w:spacing w:after="0"/>
              <w:rPr>
                <w:sz w:val="17"/>
                <w:szCs w:val="17"/>
                <w:color w:val="auto"/>
              </w:rPr>
            </w:pPr>
          </w:p>
        </w:tc>
        <w:tc>
          <w:tcPr>
            <w:tcW w:w="8840" w:type="dxa"/>
            <w:vAlign w:val="bottom"/>
            <w:shd w:val="clear" w:color="auto" w:fill="E5E5E5"/>
          </w:tcPr>
          <w:p>
            <w:pPr>
              <w:spacing w:after="0" w:line="202" w:lineRule="exact"/>
              <w:rPr>
                <w:sz w:val="20"/>
                <w:szCs w:val="20"/>
                <w:color w:val="auto"/>
              </w:rPr>
            </w:pPr>
            <w:r>
              <w:rPr>
                <w:rFonts w:ascii="Arial" w:cs="Arial" w:eastAsia="Arial" w:hAnsi="Arial"/>
                <w:sz w:val="18"/>
                <w:szCs w:val="18"/>
                <w:b w:val="1"/>
                <w:bCs w:val="1"/>
                <w:color w:val="auto"/>
              </w:rPr>
              <w:t>Outstanding grants, December 31, 2007</w:t>
            </w:r>
          </w:p>
        </w:tc>
        <w:tc>
          <w:tcPr>
            <w:tcW w:w="1220" w:type="dxa"/>
            <w:vAlign w:val="bottom"/>
            <w:tcBorders>
              <w:bottom w:val="single" w:sz="8" w:color="auto"/>
            </w:tcBorders>
            <w:shd w:val="clear" w:color="auto" w:fill="E5E5E5"/>
          </w:tcPr>
          <w:p>
            <w:pPr>
              <w:jc w:val="right"/>
              <w:ind w:right="241"/>
              <w:spacing w:after="0" w:line="202" w:lineRule="exact"/>
              <w:rPr>
                <w:sz w:val="20"/>
                <w:szCs w:val="20"/>
                <w:color w:val="auto"/>
              </w:rPr>
            </w:pPr>
            <w:r>
              <w:rPr>
                <w:rFonts w:ascii="Arial" w:cs="Arial" w:eastAsia="Arial" w:hAnsi="Arial"/>
                <w:sz w:val="18"/>
                <w:szCs w:val="18"/>
                <w:b w:val="1"/>
                <w:bCs w:val="1"/>
                <w:color w:val="auto"/>
              </w:rPr>
              <w:t>551,768</w:t>
            </w:r>
          </w:p>
        </w:tc>
        <w:tc>
          <w:tcPr>
            <w:tcW w:w="560" w:type="dxa"/>
            <w:vAlign w:val="bottom"/>
            <w:tcBorders>
              <w:bottom w:val="single" w:sz="8" w:color="auto"/>
            </w:tcBorders>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E5E5E5"/>
          </w:tcPr>
          <w:p>
            <w:pPr>
              <w:jc w:val="right"/>
              <w:ind w:right="212"/>
              <w:spacing w:after="0" w:line="202" w:lineRule="exact"/>
              <w:rPr>
                <w:sz w:val="20"/>
                <w:szCs w:val="20"/>
                <w:color w:val="auto"/>
              </w:rPr>
            </w:pPr>
            <w:r>
              <w:rPr>
                <w:rFonts w:ascii="Arial" w:cs="Arial" w:eastAsia="Arial" w:hAnsi="Arial"/>
                <w:sz w:val="18"/>
                <w:szCs w:val="18"/>
                <w:b w:val="1"/>
                <w:bCs w:val="1"/>
                <w:color w:val="auto"/>
              </w:rPr>
              <w:t>27.50</w:t>
            </w:r>
          </w:p>
        </w:tc>
      </w:tr>
      <w:tr>
        <w:trPr>
          <w:trHeight w:val="20"/>
        </w:trPr>
        <w:tc>
          <w:tcPr>
            <w:tcW w:w="2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Excludes options offered but not granted.</w:t>
      </w:r>
    </w:p>
    <w:p>
      <w:pPr>
        <w:spacing w:after="0" w:line="153"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During the year ended December 31, 2007, 2006 and 2005, the total intrinsic value of options exercised under the employee stock plans was $11 million, $10 million and $59 million.</w:t>
      </w:r>
    </w:p>
    <w:p>
      <w:pPr>
        <w:spacing w:after="0" w:line="155"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Effect on Shares Outstanding and Treasury Shares</w:t>
      </w:r>
    </w:p>
    <w:p>
      <w:pPr>
        <w:spacing w:after="0" w:line="158"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It has been our practice to issue shares of common stock upon exercise of stock options generally from treasury shares and, on a limited basis, from previously unissued shares.</w:t>
      </w:r>
    </w:p>
    <w:p>
      <w:pPr>
        <w:spacing w:after="0" w:line="155" w:lineRule="exact"/>
        <w:rPr>
          <w:sz w:val="20"/>
          <w:szCs w:val="20"/>
          <w:color w:val="auto"/>
        </w:rPr>
      </w:pPr>
    </w:p>
    <w:p>
      <w:pPr>
        <w:ind w:right="400"/>
        <w:spacing w:after="0" w:line="239" w:lineRule="auto"/>
        <w:rPr>
          <w:sz w:val="20"/>
          <w:szCs w:val="20"/>
          <w:color w:val="auto"/>
        </w:rPr>
      </w:pPr>
      <w:r>
        <w:rPr>
          <w:rFonts w:ascii="Arial" w:cs="Arial" w:eastAsia="Arial" w:hAnsi="Arial"/>
          <w:sz w:val="18"/>
          <w:szCs w:val="18"/>
          <w:color w:val="auto"/>
        </w:rPr>
        <w:t>Stock option plan exercises were settled using treasury shares of 39,791,295 in 2007; 26,602,306 in 2006; and 31,997,416 in 2005. They also were settled using previously unissued common shares of 511,907 in 2007; 49,100 in 2006; and 53,855 in 2005.</w:t>
      </w:r>
    </w:p>
    <w:p>
      <w:pPr>
        <w:spacing w:after="0" w:line="155"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Treasury shares issued upon vesting of RSUs were 515,209 in 2007 and 128,578 in 2006. No treasury shares were issued upon vesting of RSUs in 2005. Previously unissued common shares issued for RSUs in 2007, 2006 and 2005 were 12,000; 279,082; and 570,042.</w:t>
      </w:r>
    </w:p>
    <w:p>
      <w:pPr>
        <w:spacing w:after="0" w:line="15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Shares available for future grant and reserved for issuance are summarized below:</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80" w:type="dxa"/>
            <w:vAlign w:val="bottom"/>
            <w:shd w:val="clear" w:color="auto" w:fill="E5E5E5"/>
          </w:tcPr>
          <w:p>
            <w:pPr>
              <w:spacing w:after="0"/>
              <w:rPr>
                <w:sz w:val="14"/>
                <w:szCs w:val="14"/>
                <w:color w:val="auto"/>
              </w:rPr>
            </w:pPr>
          </w:p>
        </w:tc>
        <w:tc>
          <w:tcPr>
            <w:tcW w:w="3540" w:type="dxa"/>
            <w:vAlign w:val="bottom"/>
            <w:gridSpan w:val="2"/>
            <w:shd w:val="clear" w:color="auto" w:fill="E5E5E5"/>
          </w:tcPr>
          <w:p>
            <w:pPr>
              <w:jc w:val="right"/>
              <w:ind w:right="682"/>
              <w:spacing w:after="0"/>
              <w:rPr>
                <w:sz w:val="20"/>
                <w:szCs w:val="20"/>
                <w:color w:val="auto"/>
              </w:rPr>
            </w:pPr>
            <w:r>
              <w:rPr>
                <w:rFonts w:ascii="Arial" w:cs="Arial" w:eastAsia="Arial" w:hAnsi="Arial"/>
                <w:sz w:val="14"/>
                <w:szCs w:val="14"/>
                <w:b w:val="1"/>
                <w:bCs w:val="1"/>
                <w:color w:val="auto"/>
              </w:rPr>
              <w:t>As of December 31, 2007</w:t>
            </w:r>
          </w:p>
        </w:tc>
      </w:tr>
      <w:tr>
        <w:trPr>
          <w:trHeight w:val="199"/>
        </w:trPr>
        <w:tc>
          <w:tcPr>
            <w:tcW w:w="7880" w:type="dxa"/>
            <w:vAlign w:val="bottom"/>
            <w:shd w:val="clear" w:color="auto" w:fill="E5E5E5"/>
          </w:tcPr>
          <w:p>
            <w:pPr>
              <w:spacing w:after="0"/>
              <w:rPr>
                <w:sz w:val="17"/>
                <w:szCs w:val="17"/>
                <w:color w:val="auto"/>
              </w:rPr>
            </w:pPr>
          </w:p>
        </w:tc>
        <w:tc>
          <w:tcPr>
            <w:tcW w:w="1980" w:type="dxa"/>
            <w:vAlign w:val="bottom"/>
            <w:shd w:val="clear" w:color="auto" w:fill="E5E5E5"/>
          </w:tcPr>
          <w:p>
            <w:pPr>
              <w:jc w:val="center"/>
              <w:ind w:left="146"/>
              <w:spacing w:after="0"/>
              <w:rPr>
                <w:sz w:val="20"/>
                <w:szCs w:val="20"/>
                <w:color w:val="auto"/>
              </w:rPr>
            </w:pPr>
            <w:r>
              <w:rPr>
                <w:rFonts w:ascii="Arial" w:cs="Arial" w:eastAsia="Arial" w:hAnsi="Arial"/>
                <w:sz w:val="14"/>
                <w:szCs w:val="14"/>
                <w:b w:val="1"/>
                <w:bCs w:val="1"/>
                <w:color w:val="auto"/>
                <w:w w:val="95"/>
              </w:rPr>
              <w:t>Long-term Incentive</w:t>
            </w:r>
          </w:p>
        </w:tc>
        <w:tc>
          <w:tcPr>
            <w:tcW w:w="1560" w:type="dxa"/>
            <w:vAlign w:val="bottom"/>
            <w:shd w:val="clear" w:color="auto" w:fill="E5E5E5"/>
          </w:tcPr>
          <w:p>
            <w:pPr>
              <w:spacing w:after="0"/>
              <w:rPr>
                <w:sz w:val="17"/>
                <w:szCs w:val="17"/>
                <w:color w:val="auto"/>
              </w:rPr>
            </w:pPr>
          </w:p>
        </w:tc>
      </w:tr>
      <w:tr>
        <w:trPr>
          <w:trHeight w:val="152"/>
        </w:trPr>
        <w:tc>
          <w:tcPr>
            <w:tcW w:w="7880" w:type="dxa"/>
            <w:vAlign w:val="bottom"/>
            <w:shd w:val="clear" w:color="auto" w:fill="E5E5E5"/>
          </w:tcPr>
          <w:p>
            <w:pPr>
              <w:spacing w:after="0"/>
              <w:rPr>
                <w:sz w:val="13"/>
                <w:szCs w:val="13"/>
                <w:color w:val="auto"/>
              </w:rPr>
            </w:pPr>
          </w:p>
        </w:tc>
        <w:tc>
          <w:tcPr>
            <w:tcW w:w="1980" w:type="dxa"/>
            <w:vAlign w:val="bottom"/>
            <w:shd w:val="clear" w:color="auto" w:fill="E5E5E5"/>
          </w:tcPr>
          <w:p>
            <w:pPr>
              <w:ind w:left="700"/>
              <w:spacing w:after="0" w:line="152" w:lineRule="exact"/>
              <w:rPr>
                <w:sz w:val="20"/>
                <w:szCs w:val="20"/>
                <w:color w:val="auto"/>
              </w:rPr>
            </w:pPr>
            <w:r>
              <w:rPr>
                <w:rFonts w:ascii="Arial" w:cs="Arial" w:eastAsia="Arial" w:hAnsi="Arial"/>
                <w:sz w:val="14"/>
                <w:szCs w:val="14"/>
                <w:b w:val="1"/>
                <w:bCs w:val="1"/>
                <w:color w:val="auto"/>
              </w:rPr>
              <w:t>and Director</w:t>
            </w:r>
          </w:p>
        </w:tc>
        <w:tc>
          <w:tcPr>
            <w:tcW w:w="1560" w:type="dxa"/>
            <w:vAlign w:val="bottom"/>
            <w:shd w:val="clear" w:color="auto" w:fill="E5E5E5"/>
          </w:tcPr>
          <w:p>
            <w:pPr>
              <w:jc w:val="right"/>
              <w:spacing w:after="0" w:line="152" w:lineRule="exact"/>
              <w:rPr>
                <w:sz w:val="20"/>
                <w:szCs w:val="20"/>
                <w:color w:val="auto"/>
              </w:rPr>
            </w:pPr>
            <w:r>
              <w:rPr>
                <w:rFonts w:ascii="Arial" w:cs="Arial" w:eastAsia="Arial" w:hAnsi="Arial"/>
                <w:sz w:val="14"/>
                <w:szCs w:val="14"/>
                <w:b w:val="1"/>
                <w:bCs w:val="1"/>
                <w:color w:val="auto"/>
              </w:rPr>
              <w:t>TI Employees 2005</w:t>
            </w:r>
          </w:p>
        </w:tc>
      </w:tr>
      <w:tr>
        <w:trPr>
          <w:trHeight w:val="176"/>
        </w:trPr>
        <w:tc>
          <w:tcPr>
            <w:tcW w:w="7880" w:type="dxa"/>
            <w:vAlign w:val="bottom"/>
            <w:shd w:val="clear" w:color="auto" w:fill="E5E5E5"/>
          </w:tcPr>
          <w:p>
            <w:pPr>
              <w:spacing w:after="0"/>
              <w:rPr>
                <w:sz w:val="20"/>
                <w:szCs w:val="20"/>
                <w:color w:val="auto"/>
              </w:rPr>
            </w:pPr>
            <w:r>
              <w:rPr>
                <w:rFonts w:ascii="Arial" w:cs="Arial" w:eastAsia="Arial" w:hAnsi="Arial"/>
                <w:sz w:val="14"/>
                <w:szCs w:val="14"/>
                <w:b w:val="1"/>
                <w:bCs w:val="1"/>
                <w:color w:val="auto"/>
              </w:rPr>
              <w:t>Shares</w:t>
            </w:r>
          </w:p>
        </w:tc>
        <w:tc>
          <w:tcPr>
            <w:tcW w:w="1980" w:type="dxa"/>
            <w:vAlign w:val="bottom"/>
            <w:shd w:val="clear" w:color="auto" w:fill="E5E5E5"/>
          </w:tcPr>
          <w:p>
            <w:pPr>
              <w:jc w:val="center"/>
              <w:ind w:left="166"/>
              <w:spacing w:after="0"/>
              <w:rPr>
                <w:sz w:val="20"/>
                <w:szCs w:val="20"/>
                <w:color w:val="auto"/>
              </w:rPr>
            </w:pPr>
            <w:r>
              <w:rPr>
                <w:rFonts w:ascii="Arial" w:cs="Arial" w:eastAsia="Arial" w:hAnsi="Arial"/>
                <w:sz w:val="14"/>
                <w:szCs w:val="14"/>
                <w:b w:val="1"/>
                <w:bCs w:val="1"/>
                <w:color w:val="auto"/>
                <w:w w:val="96"/>
              </w:rPr>
              <w:t>Compensation Plans</w:t>
            </w:r>
          </w:p>
        </w:tc>
        <w:tc>
          <w:tcPr>
            <w:tcW w:w="1560" w:type="dxa"/>
            <w:vAlign w:val="bottom"/>
            <w:shd w:val="clear" w:color="auto" w:fill="E5E5E5"/>
          </w:tcPr>
          <w:p>
            <w:pPr>
              <w:jc w:val="right"/>
              <w:spacing w:after="0"/>
              <w:rPr>
                <w:sz w:val="20"/>
                <w:szCs w:val="20"/>
                <w:color w:val="auto"/>
              </w:rPr>
            </w:pPr>
            <w:r>
              <w:rPr>
                <w:rFonts w:ascii="Arial" w:cs="Arial" w:eastAsia="Arial" w:hAnsi="Arial"/>
                <w:sz w:val="14"/>
                <w:szCs w:val="14"/>
                <w:b w:val="1"/>
                <w:bCs w:val="1"/>
                <w:color w:val="auto"/>
              </w:rPr>
              <w:t>Stock Purchase Plan</w:t>
            </w:r>
          </w:p>
        </w:tc>
      </w:tr>
      <w:tr>
        <w:trPr>
          <w:trHeight w:val="270"/>
        </w:trPr>
        <w:tc>
          <w:tcPr>
            <w:tcW w:w="7880" w:type="dxa"/>
            <w:vAlign w:val="bottom"/>
          </w:tcPr>
          <w:p>
            <w:pPr>
              <w:spacing w:after="0"/>
              <w:rPr>
                <w:sz w:val="20"/>
                <w:szCs w:val="20"/>
                <w:color w:val="auto"/>
              </w:rPr>
            </w:pPr>
            <w:r>
              <w:rPr>
                <w:rFonts w:ascii="Arial" w:cs="Arial" w:eastAsia="Arial" w:hAnsi="Arial"/>
                <w:sz w:val="18"/>
                <w:szCs w:val="18"/>
                <w:b w:val="1"/>
                <w:bCs w:val="1"/>
                <w:color w:val="auto"/>
              </w:rPr>
              <w:t>Available for future grant</w:t>
            </w:r>
          </w:p>
        </w:tc>
        <w:tc>
          <w:tcPr>
            <w:tcW w:w="1980" w:type="dxa"/>
            <w:vAlign w:val="bottom"/>
          </w:tcPr>
          <w:p>
            <w:pPr>
              <w:ind w:left="700"/>
              <w:spacing w:after="0"/>
              <w:rPr>
                <w:sz w:val="20"/>
                <w:szCs w:val="20"/>
                <w:color w:val="auto"/>
              </w:rPr>
            </w:pPr>
            <w:r>
              <w:rPr>
                <w:rFonts w:ascii="Arial" w:cs="Arial" w:eastAsia="Arial" w:hAnsi="Arial"/>
                <w:sz w:val="18"/>
                <w:szCs w:val="18"/>
                <w:b w:val="1"/>
                <w:bCs w:val="1"/>
                <w:color w:val="auto"/>
              </w:rPr>
              <w:t>215,941,843</w:t>
            </w:r>
          </w:p>
        </w:tc>
        <w:tc>
          <w:tcPr>
            <w:tcW w:w="1560" w:type="dxa"/>
            <w:vAlign w:val="bottom"/>
          </w:tcPr>
          <w:p>
            <w:pPr>
              <w:jc w:val="right"/>
              <w:ind w:right="22"/>
              <w:spacing w:after="0"/>
              <w:rPr>
                <w:sz w:val="20"/>
                <w:szCs w:val="20"/>
                <w:color w:val="auto"/>
              </w:rPr>
            </w:pPr>
            <w:r>
              <w:rPr>
                <w:rFonts w:ascii="Arial" w:cs="Arial" w:eastAsia="Arial" w:hAnsi="Arial"/>
                <w:sz w:val="18"/>
                <w:szCs w:val="18"/>
                <w:b w:val="1"/>
                <w:bCs w:val="1"/>
                <w:color w:val="auto"/>
              </w:rPr>
              <w:t>38,031,238</w:t>
            </w:r>
          </w:p>
        </w:tc>
      </w:tr>
      <w:tr>
        <w:trPr>
          <w:trHeight w:val="203"/>
        </w:trPr>
        <w:tc>
          <w:tcPr>
            <w:tcW w:w="7880" w:type="dxa"/>
            <w:vAlign w:val="bottom"/>
            <w:shd w:val="clear" w:color="auto" w:fill="E5E5E5"/>
          </w:tcPr>
          <w:p>
            <w:pPr>
              <w:spacing w:after="0" w:line="202" w:lineRule="exact"/>
              <w:rPr>
                <w:sz w:val="20"/>
                <w:szCs w:val="20"/>
                <w:color w:val="auto"/>
              </w:rPr>
            </w:pPr>
            <w:r>
              <w:rPr>
                <w:rFonts w:ascii="Arial" w:cs="Arial" w:eastAsia="Arial" w:hAnsi="Arial"/>
                <w:sz w:val="18"/>
                <w:szCs w:val="18"/>
                <w:b w:val="1"/>
                <w:bCs w:val="1"/>
                <w:color w:val="auto"/>
              </w:rPr>
              <w:t>Reserved for issuance</w:t>
            </w:r>
          </w:p>
        </w:tc>
        <w:tc>
          <w:tcPr>
            <w:tcW w:w="1980" w:type="dxa"/>
            <w:vAlign w:val="bottom"/>
            <w:shd w:val="clear" w:color="auto" w:fill="E5E5E5"/>
          </w:tcPr>
          <w:p>
            <w:pPr>
              <w:ind w:left="700"/>
              <w:spacing w:after="0" w:line="202" w:lineRule="exact"/>
              <w:rPr>
                <w:sz w:val="20"/>
                <w:szCs w:val="20"/>
                <w:color w:val="auto"/>
              </w:rPr>
            </w:pPr>
            <w:r>
              <w:rPr>
                <w:rFonts w:ascii="Arial" w:cs="Arial" w:eastAsia="Arial" w:hAnsi="Arial"/>
                <w:sz w:val="18"/>
                <w:szCs w:val="18"/>
                <w:b w:val="1"/>
                <w:bCs w:val="1"/>
                <w:color w:val="auto"/>
              </w:rPr>
              <w:t>409,717,186</w:t>
            </w:r>
          </w:p>
        </w:tc>
        <w:tc>
          <w:tcPr>
            <w:tcW w:w="1560" w:type="dxa"/>
            <w:vAlign w:val="bottom"/>
            <w:shd w:val="clear" w:color="auto" w:fill="E5E5E5"/>
          </w:tcPr>
          <w:p>
            <w:pPr>
              <w:jc w:val="right"/>
              <w:ind w:right="22"/>
              <w:spacing w:after="0" w:line="202" w:lineRule="exact"/>
              <w:rPr>
                <w:sz w:val="20"/>
                <w:szCs w:val="20"/>
                <w:color w:val="auto"/>
              </w:rPr>
            </w:pPr>
            <w:r>
              <w:rPr>
                <w:rFonts w:ascii="Arial" w:cs="Arial" w:eastAsia="Arial" w:hAnsi="Arial"/>
                <w:sz w:val="18"/>
                <w:szCs w:val="18"/>
                <w:b w:val="1"/>
                <w:bCs w:val="1"/>
                <w:color w:val="auto"/>
              </w:rPr>
              <w:t>38,583,006</w:t>
            </w:r>
          </w:p>
        </w:tc>
      </w:tr>
    </w:tbl>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Effect on Cash Flows</w:t>
      </w:r>
    </w:p>
    <w:p>
      <w:pPr>
        <w:spacing w:after="0" w:line="158" w:lineRule="exact"/>
        <w:rPr>
          <w:sz w:val="20"/>
          <w:szCs w:val="20"/>
          <w:color w:val="auto"/>
        </w:rPr>
      </w:pPr>
    </w:p>
    <w:p>
      <w:pPr>
        <w:ind w:right="280"/>
        <w:spacing w:after="0" w:line="238" w:lineRule="auto"/>
        <w:rPr>
          <w:sz w:val="20"/>
          <w:szCs w:val="20"/>
          <w:color w:val="auto"/>
        </w:rPr>
      </w:pPr>
      <w:r>
        <w:rPr>
          <w:rFonts w:ascii="Arial" w:cs="Arial" w:eastAsia="Arial" w:hAnsi="Arial"/>
          <w:sz w:val="18"/>
          <w:szCs w:val="18"/>
          <w:color w:val="auto"/>
        </w:rPr>
        <w:t>The total amount of cash received from exercise of options was $761 million in 2007, $418 million in 2006 and $461 million in 2005. The related net tax benefit realized was $204 million, $146 million and $132 million (which includes excess tax benefits realized of $116 million and $100 million in 2007 and 2006, and $59 million from the adoption date of SFAS 123(R) on July 1, 2005).</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Postretirement Benefit Plans</w:t>
      </w:r>
    </w:p>
    <w:p>
      <w:pPr>
        <w:spacing w:after="0" w:line="162"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 xml:space="preserve">On December 31, 2006, we adopted the recognition and disclosure provisions of SFAS No. 158, </w:t>
      </w:r>
      <w:r>
        <w:rPr>
          <w:rFonts w:ascii="Arial" w:cs="Arial" w:eastAsia="Arial" w:hAnsi="Arial"/>
          <w:sz w:val="18"/>
          <w:szCs w:val="18"/>
          <w:i w:val="1"/>
          <w:iCs w:val="1"/>
          <w:color w:val="auto"/>
        </w:rPr>
        <w:t>“Employers’ Accounting for Defined Benefit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Pension and Other Postretirement Plans, an amendment of FASB Statements No. 87, 88, 106, and 132(R).” </w:t>
      </w:r>
      <w:r>
        <w:rPr>
          <w:rFonts w:ascii="Arial" w:cs="Arial" w:eastAsia="Arial" w:hAnsi="Arial"/>
          <w:sz w:val="18"/>
          <w:szCs w:val="18"/>
          <w:color w:val="auto"/>
        </w:rPr>
        <w:t>SFAS 158 required us to recognize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funded status (i.e., the difference between the fair value of plan assets and the projected benefit obligations) of our defined benefit pension and other postretirement benefit plans as of December 31, 2006, with a corresponding adjustment to accumulated other comprehensive income (AOCI), net of tax. The adjustment to AOCI at adoption represented the recognition of previously unrecognized net actuarial losses and prior service costs, each of which were previously netted against the plans’ funded status in our balance sheets pursuant to the provisions of SFAS No. 87, </w:t>
      </w:r>
      <w:r>
        <w:rPr>
          <w:rFonts w:ascii="Arial" w:cs="Arial" w:eastAsia="Arial" w:hAnsi="Arial"/>
          <w:sz w:val="18"/>
          <w:szCs w:val="18"/>
          <w:i w:val="1"/>
          <w:iCs w:val="1"/>
          <w:color w:val="auto"/>
        </w:rPr>
        <w:t>“Employer’s Accounting for Pensions.”</w:t>
      </w:r>
      <w:r>
        <w:rPr>
          <w:rFonts w:ascii="Arial" w:cs="Arial" w:eastAsia="Arial" w:hAnsi="Arial"/>
          <w:sz w:val="18"/>
          <w:szCs w:val="18"/>
          <w:color w:val="auto"/>
        </w:rPr>
        <w:t xml:space="preserve"> These amounts continue</w:t>
      </w:r>
    </w:p>
    <w:p>
      <w:pPr>
        <w:spacing w:after="0" w:line="138" w:lineRule="exact"/>
        <w:rPr>
          <w:sz w:val="20"/>
          <w:szCs w:val="20"/>
          <w:color w:val="auto"/>
        </w:rPr>
      </w:pPr>
    </w:p>
    <w:p>
      <w:pPr>
        <w:spacing w:after="0"/>
        <w:tabs>
          <w:tab w:leader="none" w:pos="8420" w:val="left"/>
        </w:tabs>
        <w:rPr>
          <w:sz w:val="20"/>
          <w:szCs w:val="20"/>
          <w:color w:val="auto"/>
        </w:rPr>
      </w:pPr>
      <w:r>
        <w:rPr>
          <w:rFonts w:ascii="Arial" w:cs="Arial" w:eastAsia="Arial" w:hAnsi="Arial"/>
          <w:sz w:val="12"/>
          <w:szCs w:val="12"/>
          <w:color w:val="auto"/>
        </w:rPr>
        <w:t>26</w:t>
      </w:r>
      <w:r>
        <w:rPr>
          <w:sz w:val="20"/>
          <w:szCs w:val="20"/>
          <w:color w:val="auto"/>
        </w:rPr>
        <w:tab/>
      </w:r>
      <w:r>
        <w:rPr>
          <w:rFonts w:ascii="Arial" w:cs="Arial" w:eastAsia="Arial" w:hAnsi="Arial"/>
          <w:sz w:val="12"/>
          <w:szCs w:val="12"/>
          <w:color w:val="auto"/>
        </w:rPr>
        <w:t>TEXAS INSTRUMENTS 2007 ANNUAL REPORT</w:t>
      </w:r>
    </w:p>
    <w:p>
      <w:pPr>
        <w:sectPr>
          <w:pgSz w:w="11900" w:h="16838" w:orient="portrait"/>
          <w:cols w:equalWidth="0" w:num="1">
            <w:col w:w="11420"/>
          </w:cols>
          <w:pgMar w:left="240" w:top="291" w:right="239" w:bottom="1440" w:gutter="0" w:footer="0" w:header="0"/>
        </w:sectPr>
      </w:pPr>
    </w:p>
    <w:bookmarkStart w:id="46" w:name="page47"/>
    <w:bookmarkEnd w:id="46"/>
    <w:p>
      <w:pPr>
        <w:jc w:val="both"/>
        <w:ind w:right="380"/>
        <w:spacing w:after="0" w:line="23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be recognized in future periods as a component of net periodic benefit cost consistent with our past practice. Actuarial gains and losses and prior service costs that arise in periods subsequent to December 31, 2006, are not recognized as part of net periodic benefit cost in the period incurred but are recognized as a component of other comprehensive income. These amounts are subsequently recognized as a component of future net periodic benefit cost consistent with our past practice.</w:t>
      </w:r>
    </w:p>
    <w:p>
      <w:pPr>
        <w:spacing w:after="0" w:line="155"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In addition, SFAS 158 requires that companies using a measurement date for their defined benefit pension plans and other postretirement benefit plans other than their fiscal-year-end change to a fiscal-year-end measurement date effective for years ending after December 15, 2008. We chose to early adopt the measurement date changes as of December 31, 2006. Our non-U.S. plans previously used a September 30 measurement date.</w:t>
      </w:r>
    </w:p>
    <w:p>
      <w:pPr>
        <w:spacing w:after="0" w:line="124"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The adoption of SFAS 158 had no effect on our consolidated statements of income or our consolidated statement of comprehensive income for the year ended December 31, 2006, or for any prior period presented, and it will not affect our operating results in future periods.</w:t>
      </w:r>
    </w:p>
    <w:p>
      <w:pPr>
        <w:spacing w:after="0" w:line="155"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u w:val="single" w:color="auto"/>
          <w:color w:val="auto"/>
        </w:rPr>
        <w:t>Plan Descriptions</w:t>
      </w:r>
      <w:r>
        <w:rPr>
          <w:rFonts w:ascii="Arial" w:cs="Arial" w:eastAsia="Arial" w:hAnsi="Arial"/>
          <w:sz w:val="18"/>
          <w:szCs w:val="18"/>
          <w:color w:val="auto"/>
        </w:rPr>
        <w:t>: We provide various retirement plans for employees including defined benefit, defined contribution and retiree health care benefit plans, as well as deferred compensation arrangements for qualifying employees.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Retirement Plans:</w:t>
      </w:r>
    </w:p>
    <w:p>
      <w:pPr>
        <w:spacing w:after="0" w:line="176" w:lineRule="exact"/>
        <w:rPr>
          <w:sz w:val="20"/>
          <w:szCs w:val="20"/>
          <w:color w:val="auto"/>
        </w:rPr>
      </w:pPr>
    </w:p>
    <w:p>
      <w:pPr>
        <w:ind w:right="720"/>
        <w:spacing w:after="0" w:line="239" w:lineRule="auto"/>
        <w:rPr>
          <w:sz w:val="20"/>
          <w:szCs w:val="20"/>
          <w:color w:val="auto"/>
        </w:rPr>
      </w:pPr>
      <w:r>
        <w:rPr>
          <w:rFonts w:ascii="Arial" w:cs="Arial" w:eastAsia="Arial" w:hAnsi="Arial"/>
          <w:sz w:val="18"/>
          <w:szCs w:val="18"/>
          <w:color w:val="auto"/>
        </w:rPr>
        <w:t>The principal retirement plans in the U.S include qualified and non-qualified defined benefit pension plans (all of which were closed to new participants after November 1997), a defined contribution plan and an enhanced defined contribution plan.</w:t>
      </w:r>
    </w:p>
    <w:p>
      <w:pPr>
        <w:spacing w:after="0" w:line="155"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Both defined contribution plans offer an employer-matching savings option that allows employees to make pretax contributions to various investment choices, including a TI common stock fund. Employees who remain in the qualified defined benefit pension plan may also participate in the defined contribution plan, where employer-matching contributions are provided for up to 2 percent of the employee’s annual eligible earnings. Employees who elected not to remain in the defined benefit pension plan, and new employees hired after November 1997 and through December 31, 2003, may participate in the enhanced defined contribution plan. This plan provides for a fixed employer contribution of 2 percent of the employee’s annual eligible earnings, plus an employer-matching contribution of up to 4 percent of the employee’s annual eligible earnings. Employees hired after December 31, 2003, may participate in the enhanced defined contribution plan, where employer-matching contributions are provided for up to 4 percent of the employee’s annual eligible earnings.</w:t>
      </w:r>
    </w:p>
    <w:p>
      <w:pPr>
        <w:spacing w:after="0" w:line="154"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At December 31, 2007 and 2006, in accordance with the election of employees, TI’s U.S. defined contribution plans held shares of TI common stock totaling 33 million shares and 43 million shares valued at $1.11 billion and $1.23 billion. Dividends paid on these shares for 2007 and 2006 totaled $11 million and $6 million.</w:t>
      </w:r>
    </w:p>
    <w:p>
      <w:pPr>
        <w:spacing w:after="0" w:line="154" w:lineRule="exact"/>
        <w:rPr>
          <w:sz w:val="20"/>
          <w:szCs w:val="20"/>
          <w:color w:val="auto"/>
        </w:rPr>
      </w:pPr>
    </w:p>
    <w:p>
      <w:pPr>
        <w:ind w:right="340"/>
        <w:spacing w:after="0" w:line="239" w:lineRule="auto"/>
        <w:rPr>
          <w:sz w:val="20"/>
          <w:szCs w:val="20"/>
          <w:color w:val="auto"/>
        </w:rPr>
      </w:pPr>
      <w:r>
        <w:rPr>
          <w:rFonts w:ascii="Arial" w:cs="Arial" w:eastAsia="Arial" w:hAnsi="Arial"/>
          <w:sz w:val="18"/>
          <w:szCs w:val="18"/>
          <w:color w:val="auto"/>
        </w:rPr>
        <w:t>Our aggregate expense for employees under the U.S. defined contribution plans was $56 million in 2007, $56 million in 2006 and $53 million in 2005.</w:t>
      </w:r>
    </w:p>
    <w:p>
      <w:pPr>
        <w:spacing w:after="0" w:line="155" w:lineRule="exact"/>
        <w:rPr>
          <w:sz w:val="20"/>
          <w:szCs w:val="20"/>
          <w:color w:val="auto"/>
        </w:rPr>
      </w:pPr>
    </w:p>
    <w:p>
      <w:pPr>
        <w:ind w:right="240"/>
        <w:spacing w:after="0" w:line="281" w:lineRule="auto"/>
        <w:rPr>
          <w:sz w:val="20"/>
          <w:szCs w:val="20"/>
          <w:color w:val="auto"/>
        </w:rPr>
      </w:pPr>
      <w:r>
        <w:rPr>
          <w:rFonts w:ascii="Arial" w:cs="Arial" w:eastAsia="Arial" w:hAnsi="Arial"/>
          <w:sz w:val="16"/>
          <w:szCs w:val="16"/>
          <w:color w:val="auto"/>
        </w:rPr>
        <w:t>The benefits under the qualified defined benefit pension plan are determined using a formula based upon years of service and the highest five consecutive years of compensation. We intend to contribute amounts to this plan to meet the minimum funding requirements of federal laws and regulations plus such additional amounts as we deem appropriate. The non-qualified plans are unfunded and closed to new participants.</w:t>
      </w:r>
    </w:p>
    <w:p>
      <w:pPr>
        <w:spacing w:after="0" w:line="124" w:lineRule="exact"/>
        <w:rPr>
          <w:sz w:val="20"/>
          <w:szCs w:val="20"/>
          <w:color w:val="auto"/>
        </w:rPr>
      </w:pPr>
    </w:p>
    <w:p>
      <w:pPr>
        <w:jc w:val="both"/>
        <w:ind w:right="280"/>
        <w:spacing w:after="0" w:line="238" w:lineRule="auto"/>
        <w:rPr>
          <w:sz w:val="20"/>
          <w:szCs w:val="20"/>
          <w:color w:val="auto"/>
        </w:rPr>
      </w:pPr>
      <w:r>
        <w:rPr>
          <w:rFonts w:ascii="Arial" w:cs="Arial" w:eastAsia="Arial" w:hAnsi="Arial"/>
          <w:sz w:val="18"/>
          <w:szCs w:val="18"/>
          <w:color w:val="auto"/>
        </w:rPr>
        <w:t>During 2007, the U.S. defined benefit plans made $45 million in total benefit payments, primarily for the qualified pension plan. For comparison purposes, in 2006 the U.S. defined benefit plans made $124 million in benefit payments of which $119 million was accounted for as settlements and $5 million as benefits paid. During 2007, we made $3 million of non-qualified defined benefit payments.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120" w:type="dxa"/>
            <w:vAlign w:val="bottom"/>
          </w:tcPr>
          <w:p>
            <w:pPr>
              <w:spacing w:after="0"/>
              <w:rPr>
                <w:sz w:val="20"/>
                <w:szCs w:val="20"/>
                <w:color w:val="auto"/>
              </w:rPr>
            </w:pPr>
            <w:r>
              <w:rPr>
                <w:rFonts w:ascii="Arial" w:cs="Arial" w:eastAsia="Arial" w:hAnsi="Arial"/>
                <w:sz w:val="14"/>
                <w:szCs w:val="14"/>
                <w:color w:val="auto"/>
              </w:rPr>
              <w:t>TEXAS INSTRUMENTS 2007 ANNUAL REPORT</w:t>
            </w:r>
          </w:p>
        </w:tc>
        <w:tc>
          <w:tcPr>
            <w:tcW w:w="4300" w:type="dxa"/>
            <w:vAlign w:val="bottom"/>
          </w:tcPr>
          <w:p>
            <w:pPr>
              <w:jc w:val="right"/>
              <w:spacing w:after="0"/>
              <w:rPr>
                <w:sz w:val="20"/>
                <w:szCs w:val="20"/>
                <w:color w:val="auto"/>
              </w:rPr>
            </w:pPr>
            <w:r>
              <w:rPr>
                <w:rFonts w:ascii="Arial" w:cs="Arial" w:eastAsia="Arial" w:hAnsi="Arial"/>
                <w:sz w:val="14"/>
                <w:szCs w:val="14"/>
                <w:color w:val="auto"/>
              </w:rPr>
              <w:t>27</w:t>
            </w:r>
          </w:p>
        </w:tc>
      </w:tr>
    </w:tbl>
    <w:p>
      <w:pPr>
        <w:sectPr>
          <w:pgSz w:w="11900" w:h="16838" w:orient="portrait"/>
          <w:cols w:equalWidth="0" w:num="1">
            <w:col w:w="11420"/>
          </w:cols>
          <w:pgMar w:left="240" w:top="291"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U.S. Retiree Health Care Benefit Plan:</w:t>
      </w:r>
    </w:p>
    <w:p>
      <w:pPr>
        <w:spacing w:after="0" w:line="176"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We offer access to group medical coverage during retirement to most of our U.S. employees. We make a contribution toward the cost of those retiree medical benefits for certain retirees and their dependents. The contribution rates are based upon various factors, the most important of which are an employee’s date of hire, date of retirement, years of service and eligibility for Medicare benefits. The balance of the cost is borne by the participants in the plan. Employees hired after January 1, 2001, are responsible for the full cost of their medical benefits during retirement. During 2007 and 2006, we contributed $11 million and $91 million to the retiree health care plan.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Non-U.S. Retirement Plans:</w:t>
      </w:r>
    </w:p>
    <w:p>
      <w:pPr>
        <w:spacing w:after="0" w:line="176" w:lineRule="exact"/>
        <w:rPr>
          <w:sz w:val="20"/>
          <w:szCs w:val="20"/>
          <w:color w:val="auto"/>
        </w:rPr>
      </w:pPr>
    </w:p>
    <w:p>
      <w:pPr>
        <w:ind w:right="280"/>
        <w:spacing w:after="0" w:line="237" w:lineRule="auto"/>
        <w:rPr>
          <w:sz w:val="20"/>
          <w:szCs w:val="20"/>
          <w:color w:val="auto"/>
        </w:rPr>
      </w:pPr>
      <w:r>
        <w:rPr>
          <w:rFonts w:ascii="Arial" w:cs="Arial" w:eastAsia="Arial" w:hAnsi="Arial"/>
          <w:sz w:val="18"/>
          <w:szCs w:val="18"/>
          <w:color w:val="auto"/>
        </w:rPr>
        <w:t>Retirement coverage for non-U.S. employees is provided, to the extent deemed appropriate, through separate defined benefit and defined contribution plans. Retirement benefits are generally based on an employee’s years of service and compensation. Funding requirements are determined on an individual country and plan basis and subject to local country practices and market circumstances. During 2007 and 2006, we contributed $77 million and $143 million to our non-U.S. retirement plans.</w:t>
      </w:r>
    </w:p>
    <w:p>
      <w:pPr>
        <w:spacing w:after="0" w:line="155"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As of December 31, 2007 and 2006, in accordance with the election of employees, TI’s non-U.S. defined contribution plans held 601,115 shares of TI common stock valued at $20 million and 661,409 shares valued at $19 million. Dividends paid on these shares for 2007 and 2006 were immaterial.</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Effect on the Statements of Income and Balance Sheets</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Expense related to defined benefit and retiree health care benefit plans was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shd w:val="clear" w:color="auto" w:fill="E5E5E5"/>
          </w:tcPr>
          <w:p>
            <w:pPr>
              <w:spacing w:after="0"/>
              <w:rPr>
                <w:sz w:val="14"/>
                <w:szCs w:val="14"/>
                <w:color w:val="auto"/>
              </w:rPr>
            </w:pPr>
          </w:p>
        </w:tc>
        <w:tc>
          <w:tcPr>
            <w:tcW w:w="16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1400" w:type="dxa"/>
            <w:vAlign w:val="bottom"/>
            <w:gridSpan w:val="4"/>
            <w:shd w:val="clear" w:color="auto" w:fill="E5E5E5"/>
          </w:tcPr>
          <w:p>
            <w:pPr>
              <w:jc w:val="right"/>
              <w:spacing w:after="0"/>
              <w:rPr>
                <w:sz w:val="20"/>
                <w:szCs w:val="20"/>
                <w:color w:val="auto"/>
              </w:rPr>
            </w:pPr>
            <w:r>
              <w:rPr>
                <w:rFonts w:ascii="Arial" w:cs="Arial" w:eastAsia="Arial" w:hAnsi="Arial"/>
                <w:sz w:val="14"/>
                <w:szCs w:val="14"/>
                <w:b w:val="1"/>
                <w:bCs w:val="1"/>
                <w:color w:val="auto"/>
              </w:rPr>
              <w:t>U.S. Defined Benefit</w:t>
            </w:r>
          </w:p>
        </w:tc>
        <w:tc>
          <w:tcPr>
            <w:tcW w:w="400" w:type="dxa"/>
            <w:vAlign w:val="bottom"/>
            <w:shd w:val="clear" w:color="auto" w:fill="E5E5E5"/>
          </w:tcPr>
          <w:p>
            <w:pPr>
              <w:spacing w:after="0"/>
              <w:rPr>
                <w:sz w:val="14"/>
                <w:szCs w:val="14"/>
                <w:color w:val="auto"/>
              </w:rPr>
            </w:pPr>
          </w:p>
        </w:tc>
        <w:tc>
          <w:tcPr>
            <w:tcW w:w="200" w:type="dxa"/>
            <w:vAlign w:val="bottom"/>
            <w:shd w:val="clear" w:color="auto" w:fill="E5E5E5"/>
          </w:tcPr>
          <w:p>
            <w:pPr>
              <w:spacing w:after="0"/>
              <w:rPr>
                <w:sz w:val="14"/>
                <w:szCs w:val="14"/>
                <w:color w:val="auto"/>
              </w:rPr>
            </w:pPr>
          </w:p>
        </w:tc>
        <w:tc>
          <w:tcPr>
            <w:tcW w:w="1840" w:type="dxa"/>
            <w:vAlign w:val="bottom"/>
            <w:gridSpan w:val="5"/>
            <w:shd w:val="clear" w:color="auto" w:fill="E5E5E5"/>
          </w:tcPr>
          <w:p>
            <w:pPr>
              <w:jc w:val="right"/>
              <w:ind w:right="192"/>
              <w:spacing w:after="0"/>
              <w:rPr>
                <w:sz w:val="20"/>
                <w:szCs w:val="20"/>
                <w:color w:val="auto"/>
              </w:rPr>
            </w:pPr>
            <w:r>
              <w:rPr>
                <w:rFonts w:ascii="Arial" w:cs="Arial" w:eastAsia="Arial" w:hAnsi="Arial"/>
                <w:sz w:val="14"/>
                <w:szCs w:val="14"/>
                <w:b w:val="1"/>
                <w:bCs w:val="1"/>
                <w:color w:val="auto"/>
                <w:w w:val="96"/>
              </w:rPr>
              <w:t>U.S. Retiree Health Care</w:t>
            </w:r>
          </w:p>
        </w:tc>
        <w:tc>
          <w:tcPr>
            <w:tcW w:w="1780" w:type="dxa"/>
            <w:vAlign w:val="bottom"/>
            <w:gridSpan w:val="7"/>
            <w:shd w:val="clear" w:color="auto" w:fill="E5E5E5"/>
          </w:tcPr>
          <w:p>
            <w:pPr>
              <w:ind w:left="100"/>
              <w:spacing w:after="0"/>
              <w:rPr>
                <w:sz w:val="20"/>
                <w:szCs w:val="20"/>
                <w:color w:val="auto"/>
              </w:rPr>
            </w:pPr>
            <w:r>
              <w:rPr>
                <w:rFonts w:ascii="Arial" w:cs="Arial" w:eastAsia="Arial" w:hAnsi="Arial"/>
                <w:sz w:val="14"/>
                <w:szCs w:val="14"/>
                <w:b w:val="1"/>
                <w:bCs w:val="1"/>
                <w:color w:val="auto"/>
              </w:rPr>
              <w:t>Non-U.S. Defined Benefit</w:t>
            </w:r>
          </w:p>
        </w:tc>
      </w:tr>
      <w:tr>
        <w:trPr>
          <w:trHeight w:val="284"/>
        </w:trPr>
        <w:tc>
          <w:tcPr>
            <w:tcW w:w="5500" w:type="dxa"/>
            <w:vAlign w:val="bottom"/>
            <w:shd w:val="clear" w:color="auto" w:fill="E5E5E5"/>
          </w:tcPr>
          <w:p>
            <w:pPr>
              <w:spacing w:after="0"/>
              <w:rPr>
                <w:sz w:val="24"/>
                <w:szCs w:val="24"/>
                <w:color w:val="auto"/>
              </w:rPr>
            </w:pPr>
          </w:p>
        </w:tc>
        <w:tc>
          <w:tcPr>
            <w:tcW w:w="720" w:type="dxa"/>
            <w:vAlign w:val="bottom"/>
            <w:gridSpan w:val="3"/>
            <w:shd w:val="clear" w:color="auto" w:fill="E5E5E5"/>
          </w:tcPr>
          <w:p>
            <w:pPr>
              <w:ind w:left="180"/>
              <w:spacing w:after="0"/>
              <w:rPr>
                <w:sz w:val="20"/>
                <w:szCs w:val="20"/>
                <w:color w:val="auto"/>
              </w:rPr>
            </w:pPr>
            <w:r>
              <w:rPr>
                <w:rFonts w:ascii="Arial" w:cs="Arial" w:eastAsia="Arial" w:hAnsi="Arial"/>
                <w:sz w:val="18"/>
                <w:szCs w:val="18"/>
                <w:b w:val="1"/>
                <w:bCs w:val="1"/>
                <w:color w:val="auto"/>
              </w:rPr>
              <w:t>2007</w:t>
            </w:r>
          </w:p>
        </w:tc>
        <w:tc>
          <w:tcPr>
            <w:tcW w:w="760" w:type="dxa"/>
            <w:vAlign w:val="bottom"/>
            <w:gridSpan w:val="2"/>
            <w:shd w:val="clear" w:color="auto" w:fill="E5E5E5"/>
          </w:tcPr>
          <w:p>
            <w:pPr>
              <w:jc w:val="right"/>
              <w:ind w:right="192"/>
              <w:spacing w:after="0"/>
              <w:rPr>
                <w:sz w:val="20"/>
                <w:szCs w:val="20"/>
                <w:color w:val="auto"/>
              </w:rPr>
            </w:pPr>
            <w:r>
              <w:rPr>
                <w:rFonts w:ascii="Arial" w:cs="Arial" w:eastAsia="Arial" w:hAnsi="Arial"/>
                <w:sz w:val="18"/>
                <w:szCs w:val="18"/>
                <w:b w:val="1"/>
                <w:bCs w:val="1"/>
                <w:color w:val="auto"/>
              </w:rPr>
              <w:t>2006</w:t>
            </w:r>
          </w:p>
        </w:tc>
        <w:tc>
          <w:tcPr>
            <w:tcW w:w="620" w:type="dxa"/>
            <w:vAlign w:val="bottom"/>
            <w:gridSpan w:val="2"/>
            <w:shd w:val="clear" w:color="auto" w:fill="E5E5E5"/>
          </w:tcPr>
          <w:p>
            <w:pPr>
              <w:jc w:val="right"/>
              <w:ind w:right="52"/>
              <w:spacing w:after="0"/>
              <w:rPr>
                <w:sz w:val="20"/>
                <w:szCs w:val="20"/>
                <w:color w:val="auto"/>
              </w:rPr>
            </w:pPr>
            <w:r>
              <w:rPr>
                <w:rFonts w:ascii="Arial" w:cs="Arial" w:eastAsia="Arial" w:hAnsi="Arial"/>
                <w:sz w:val="18"/>
                <w:szCs w:val="18"/>
                <w:b w:val="1"/>
                <w:bCs w:val="1"/>
                <w:color w:val="auto"/>
              </w:rPr>
              <w:t>2005</w:t>
            </w:r>
          </w:p>
        </w:tc>
        <w:tc>
          <w:tcPr>
            <w:tcW w:w="660" w:type="dxa"/>
            <w:vAlign w:val="bottom"/>
            <w:gridSpan w:val="2"/>
            <w:shd w:val="clear" w:color="auto" w:fill="E5E5E5"/>
          </w:tcPr>
          <w:p>
            <w:pPr>
              <w:ind w:left="100"/>
              <w:spacing w:after="0"/>
              <w:rPr>
                <w:sz w:val="20"/>
                <w:szCs w:val="20"/>
                <w:color w:val="auto"/>
              </w:rPr>
            </w:pPr>
            <w:r>
              <w:rPr>
                <w:rFonts w:ascii="Arial" w:cs="Arial" w:eastAsia="Arial" w:hAnsi="Arial"/>
                <w:sz w:val="18"/>
                <w:szCs w:val="18"/>
                <w:b w:val="1"/>
                <w:bCs w:val="1"/>
                <w:color w:val="auto"/>
              </w:rPr>
              <w:t>2007</w:t>
            </w:r>
          </w:p>
        </w:tc>
        <w:tc>
          <w:tcPr>
            <w:tcW w:w="680" w:type="dxa"/>
            <w:vAlign w:val="bottom"/>
            <w:gridSpan w:val="2"/>
            <w:shd w:val="clear" w:color="auto" w:fill="E5E5E5"/>
          </w:tcPr>
          <w:p>
            <w:pPr>
              <w:jc w:val="right"/>
              <w:ind w:right="92"/>
              <w:spacing w:after="0"/>
              <w:rPr>
                <w:sz w:val="20"/>
                <w:szCs w:val="20"/>
                <w:color w:val="auto"/>
              </w:rPr>
            </w:pPr>
            <w:r>
              <w:rPr>
                <w:rFonts w:ascii="Arial" w:cs="Arial" w:eastAsia="Arial" w:hAnsi="Arial"/>
                <w:sz w:val="18"/>
                <w:szCs w:val="18"/>
                <w:b w:val="1"/>
                <w:bCs w:val="1"/>
                <w:color w:val="auto"/>
              </w:rPr>
              <w:t>2006</w:t>
            </w:r>
          </w:p>
        </w:tc>
        <w:tc>
          <w:tcPr>
            <w:tcW w:w="700" w:type="dxa"/>
            <w:vAlign w:val="bottom"/>
            <w:gridSpan w:val="2"/>
            <w:shd w:val="clear" w:color="auto" w:fill="E5E5E5"/>
          </w:tcPr>
          <w:p>
            <w:pPr>
              <w:jc w:val="right"/>
              <w:ind w:right="112"/>
              <w:spacing w:after="0"/>
              <w:rPr>
                <w:sz w:val="20"/>
                <w:szCs w:val="20"/>
                <w:color w:val="auto"/>
              </w:rPr>
            </w:pPr>
            <w:r>
              <w:rPr>
                <w:rFonts w:ascii="Arial" w:cs="Arial" w:eastAsia="Arial" w:hAnsi="Arial"/>
                <w:sz w:val="18"/>
                <w:szCs w:val="18"/>
                <w:b w:val="1"/>
                <w:bCs w:val="1"/>
                <w:color w:val="auto"/>
              </w:rPr>
              <w:t>2005</w:t>
            </w:r>
          </w:p>
        </w:tc>
        <w:tc>
          <w:tcPr>
            <w:tcW w:w="620" w:type="dxa"/>
            <w:vAlign w:val="bottom"/>
            <w:gridSpan w:val="2"/>
            <w:shd w:val="clear" w:color="auto" w:fill="E5E5E5"/>
          </w:tcPr>
          <w:p>
            <w:pPr>
              <w:jc w:val="right"/>
              <w:ind w:right="72"/>
              <w:spacing w:after="0"/>
              <w:rPr>
                <w:sz w:val="20"/>
                <w:szCs w:val="20"/>
                <w:color w:val="auto"/>
              </w:rPr>
            </w:pPr>
            <w:r>
              <w:rPr>
                <w:rFonts w:ascii="Arial" w:cs="Arial" w:eastAsia="Arial" w:hAnsi="Arial"/>
                <w:sz w:val="18"/>
                <w:szCs w:val="18"/>
                <w:b w:val="1"/>
                <w:bCs w:val="1"/>
                <w:color w:val="auto"/>
              </w:rPr>
              <w:t>2007</w:t>
            </w:r>
          </w:p>
        </w:tc>
        <w:tc>
          <w:tcPr>
            <w:tcW w:w="620" w:type="dxa"/>
            <w:vAlign w:val="bottom"/>
            <w:gridSpan w:val="2"/>
            <w:shd w:val="clear" w:color="auto" w:fill="E5E5E5"/>
          </w:tcPr>
          <w:p>
            <w:pPr>
              <w:jc w:val="right"/>
              <w:ind w:right="52"/>
              <w:spacing w:after="0"/>
              <w:rPr>
                <w:sz w:val="20"/>
                <w:szCs w:val="20"/>
                <w:color w:val="auto"/>
              </w:rPr>
            </w:pPr>
            <w:r>
              <w:rPr>
                <w:rFonts w:ascii="Arial" w:cs="Arial" w:eastAsia="Arial" w:hAnsi="Arial"/>
                <w:sz w:val="18"/>
                <w:szCs w:val="18"/>
                <w:b w:val="1"/>
                <w:bCs w:val="1"/>
                <w:color w:val="auto"/>
              </w:rPr>
              <w:t>2006</w:t>
            </w:r>
          </w:p>
        </w:tc>
        <w:tc>
          <w:tcPr>
            <w:tcW w:w="480" w:type="dxa"/>
            <w:vAlign w:val="bottom"/>
            <w:gridSpan w:val="2"/>
            <w:shd w:val="clear" w:color="auto" w:fill="E5E5E5"/>
          </w:tcPr>
          <w:p>
            <w:pPr>
              <w:jc w:val="right"/>
              <w:spacing w:after="0"/>
              <w:rPr>
                <w:sz w:val="20"/>
                <w:szCs w:val="20"/>
                <w:color w:val="auto"/>
              </w:rPr>
            </w:pPr>
            <w:r>
              <w:rPr>
                <w:rFonts w:ascii="Arial" w:cs="Arial" w:eastAsia="Arial" w:hAnsi="Arial"/>
                <w:sz w:val="18"/>
                <w:szCs w:val="18"/>
                <w:b w:val="1"/>
                <w:bCs w:val="1"/>
                <w:color w:val="auto"/>
              </w:rPr>
              <w:t>2005</w:t>
            </w:r>
          </w:p>
        </w:tc>
        <w:tc>
          <w:tcPr>
            <w:tcW w:w="60" w:type="dxa"/>
            <w:vAlign w:val="bottom"/>
            <w:shd w:val="clear" w:color="auto" w:fill="E5E5E5"/>
          </w:tcPr>
          <w:p>
            <w:pPr>
              <w:spacing w:after="0"/>
              <w:rPr>
                <w:sz w:val="24"/>
                <w:szCs w:val="24"/>
                <w:color w:val="auto"/>
              </w:rPr>
            </w:pPr>
          </w:p>
        </w:tc>
      </w:tr>
      <w:tr>
        <w:trPr>
          <w:trHeight w:val="203"/>
        </w:trPr>
        <w:tc>
          <w:tcPr>
            <w:tcW w:w="5500" w:type="dxa"/>
            <w:vAlign w:val="bottom"/>
          </w:tcPr>
          <w:p>
            <w:pPr>
              <w:spacing w:after="0" w:line="202" w:lineRule="exact"/>
              <w:rPr>
                <w:sz w:val="20"/>
                <w:szCs w:val="20"/>
                <w:color w:val="auto"/>
              </w:rPr>
            </w:pPr>
            <w:r>
              <w:rPr>
                <w:rFonts w:ascii="Arial" w:cs="Arial" w:eastAsia="Arial" w:hAnsi="Arial"/>
                <w:sz w:val="18"/>
                <w:szCs w:val="18"/>
                <w:color w:val="auto"/>
              </w:rPr>
              <w:t>Service cost</w:t>
            </w:r>
          </w:p>
        </w:tc>
        <w:tc>
          <w:tcPr>
            <w:tcW w:w="300" w:type="dxa"/>
            <w:vAlign w:val="bottom"/>
            <w:gridSpan w:val="2"/>
          </w:tcPr>
          <w:p>
            <w:pPr>
              <w:ind w:left="160"/>
              <w:spacing w:after="0" w:line="202" w:lineRule="exact"/>
              <w:rPr>
                <w:sz w:val="20"/>
                <w:szCs w:val="20"/>
                <w:color w:val="auto"/>
              </w:rPr>
            </w:pPr>
            <w:r>
              <w:rPr>
                <w:rFonts w:ascii="Arial" w:cs="Arial" w:eastAsia="Arial" w:hAnsi="Arial"/>
                <w:sz w:val="18"/>
                <w:szCs w:val="18"/>
                <w:b w:val="1"/>
                <w:bCs w:val="1"/>
                <w:color w:val="auto"/>
              </w:rPr>
              <w:t>$</w:t>
            </w:r>
          </w:p>
        </w:tc>
        <w:tc>
          <w:tcPr>
            <w:tcW w:w="42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24</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26</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27</w:t>
            </w:r>
          </w:p>
        </w:tc>
        <w:tc>
          <w:tcPr>
            <w:tcW w:w="200" w:type="dxa"/>
            <w:vAlign w:val="bottom"/>
          </w:tcPr>
          <w:p>
            <w:pPr>
              <w:ind w:left="100"/>
              <w:spacing w:after="0" w:line="202" w:lineRule="exact"/>
              <w:rPr>
                <w:sz w:val="20"/>
                <w:szCs w:val="20"/>
                <w:color w:val="auto"/>
              </w:rPr>
            </w:pPr>
            <w:r>
              <w:rPr>
                <w:rFonts w:ascii="Arial" w:cs="Arial" w:eastAsia="Arial" w:hAnsi="Arial"/>
                <w:sz w:val="18"/>
                <w:szCs w:val="18"/>
                <w:b w:val="1"/>
                <w:bCs w:val="1"/>
                <w:color w:val="auto"/>
                <w:w w:val="79"/>
              </w:rPr>
              <w:t>$</w:t>
            </w:r>
          </w:p>
        </w:tc>
        <w:tc>
          <w:tcPr>
            <w:tcW w:w="46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4</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jc w:val="right"/>
              <w:ind w:right="72"/>
              <w:spacing w:after="0" w:line="202" w:lineRule="exact"/>
              <w:rPr>
                <w:sz w:val="20"/>
                <w:szCs w:val="20"/>
                <w:color w:val="auto"/>
              </w:rPr>
            </w:pPr>
            <w:r>
              <w:rPr>
                <w:rFonts w:ascii="Arial" w:cs="Arial" w:eastAsia="Arial" w:hAnsi="Arial"/>
                <w:sz w:val="18"/>
                <w:szCs w:val="18"/>
                <w:color w:val="auto"/>
              </w:rPr>
              <w:t>4</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jc w:val="right"/>
              <w:ind w:right="72"/>
              <w:spacing w:after="0" w:line="202" w:lineRule="exact"/>
              <w:rPr>
                <w:sz w:val="20"/>
                <w:szCs w:val="20"/>
                <w:color w:val="auto"/>
              </w:rPr>
            </w:pPr>
            <w:r>
              <w:rPr>
                <w:rFonts w:ascii="Arial" w:cs="Arial" w:eastAsia="Arial" w:hAnsi="Arial"/>
                <w:sz w:val="18"/>
                <w:szCs w:val="18"/>
                <w:color w:val="auto"/>
              </w:rPr>
              <w:t>4</w:t>
            </w:r>
          </w:p>
        </w:tc>
        <w:tc>
          <w:tcPr>
            <w:tcW w:w="200" w:type="dxa"/>
            <w:vAlign w:val="bottom"/>
          </w:tcPr>
          <w:p>
            <w:pPr>
              <w:ind w:left="80"/>
              <w:spacing w:after="0" w:line="202" w:lineRule="exact"/>
              <w:rPr>
                <w:sz w:val="20"/>
                <w:szCs w:val="20"/>
                <w:color w:val="auto"/>
              </w:rPr>
            </w:pPr>
            <w:r>
              <w:rPr>
                <w:rFonts w:ascii="Arial" w:cs="Arial" w:eastAsia="Arial" w:hAnsi="Arial"/>
                <w:sz w:val="18"/>
                <w:szCs w:val="18"/>
                <w:b w:val="1"/>
                <w:bCs w:val="1"/>
                <w:color w:val="auto"/>
                <w:w w:val="99"/>
              </w:rPr>
              <w:t>$</w:t>
            </w:r>
          </w:p>
        </w:tc>
        <w:tc>
          <w:tcPr>
            <w:tcW w:w="420" w:type="dxa"/>
            <w:vAlign w:val="bottom"/>
          </w:tcPr>
          <w:p>
            <w:pPr>
              <w:jc w:val="right"/>
              <w:ind w:right="52"/>
              <w:spacing w:after="0" w:line="202" w:lineRule="exact"/>
              <w:rPr>
                <w:sz w:val="20"/>
                <w:szCs w:val="20"/>
                <w:color w:val="auto"/>
              </w:rPr>
            </w:pPr>
            <w:r>
              <w:rPr>
                <w:rFonts w:ascii="Arial" w:cs="Arial" w:eastAsia="Arial" w:hAnsi="Arial"/>
                <w:sz w:val="18"/>
                <w:szCs w:val="18"/>
                <w:b w:val="1"/>
                <w:bCs w:val="1"/>
                <w:color w:val="auto"/>
              </w:rPr>
              <w:t>46</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44</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44</w:t>
            </w:r>
          </w:p>
        </w:tc>
        <w:tc>
          <w:tcPr>
            <w:tcW w:w="60" w:type="dxa"/>
            <w:vAlign w:val="bottom"/>
          </w:tcPr>
          <w:p>
            <w:pPr>
              <w:spacing w:after="0"/>
              <w:rPr>
                <w:sz w:val="17"/>
                <w:szCs w:val="17"/>
                <w:color w:val="auto"/>
              </w:rPr>
            </w:pPr>
          </w:p>
        </w:tc>
      </w:tr>
      <w:tr>
        <w:trPr>
          <w:trHeight w:val="203"/>
        </w:trPr>
        <w:tc>
          <w:tcPr>
            <w:tcW w:w="55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Interest cost</w:t>
            </w:r>
          </w:p>
        </w:tc>
        <w:tc>
          <w:tcPr>
            <w:tcW w:w="16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420" w:type="dxa"/>
            <w:vAlign w:val="bottom"/>
            <w:shd w:val="clear" w:color="auto" w:fill="E5E5E5"/>
          </w:tcPr>
          <w:p>
            <w:pPr>
              <w:jc w:val="right"/>
              <w:ind w:right="54"/>
              <w:spacing w:after="0" w:line="202" w:lineRule="exact"/>
              <w:rPr>
                <w:sz w:val="20"/>
                <w:szCs w:val="20"/>
                <w:color w:val="auto"/>
              </w:rPr>
            </w:pPr>
            <w:r>
              <w:rPr>
                <w:rFonts w:ascii="Arial" w:cs="Arial" w:eastAsia="Arial" w:hAnsi="Arial"/>
                <w:sz w:val="18"/>
                <w:szCs w:val="18"/>
                <w:b w:val="1"/>
                <w:bCs w:val="1"/>
                <w:color w:val="auto"/>
              </w:rPr>
              <w:t>43</w:t>
            </w:r>
          </w:p>
        </w:tc>
        <w:tc>
          <w:tcPr>
            <w:tcW w:w="200" w:type="dxa"/>
            <w:vAlign w:val="bottom"/>
            <w:shd w:val="clear" w:color="auto" w:fill="E5E5E5"/>
          </w:tcPr>
          <w:p>
            <w:pPr>
              <w:spacing w:after="0"/>
              <w:rPr>
                <w:sz w:val="17"/>
                <w:szCs w:val="17"/>
                <w:color w:val="auto"/>
              </w:rPr>
            </w:pPr>
          </w:p>
        </w:tc>
        <w:tc>
          <w:tcPr>
            <w:tcW w:w="560" w:type="dxa"/>
            <w:vAlign w:val="bottom"/>
            <w:shd w:val="clear" w:color="auto" w:fill="E5E5E5"/>
          </w:tcPr>
          <w:p>
            <w:pPr>
              <w:jc w:val="right"/>
              <w:ind w:right="192"/>
              <w:spacing w:after="0" w:line="202" w:lineRule="exact"/>
              <w:rPr>
                <w:sz w:val="20"/>
                <w:szCs w:val="20"/>
                <w:color w:val="auto"/>
              </w:rPr>
            </w:pPr>
            <w:r>
              <w:rPr>
                <w:rFonts w:ascii="Arial" w:cs="Arial" w:eastAsia="Arial" w:hAnsi="Arial"/>
                <w:sz w:val="18"/>
                <w:szCs w:val="18"/>
                <w:color w:val="auto"/>
              </w:rPr>
              <w:t>45</w:t>
            </w:r>
          </w:p>
        </w:tc>
        <w:tc>
          <w:tcPr>
            <w:tcW w:w="220" w:type="dxa"/>
            <w:vAlign w:val="bottom"/>
            <w:shd w:val="clear" w:color="auto" w:fill="E5E5E5"/>
          </w:tcPr>
          <w:p>
            <w:pPr>
              <w:spacing w:after="0"/>
              <w:rPr>
                <w:sz w:val="17"/>
                <w:szCs w:val="17"/>
                <w:color w:val="auto"/>
              </w:rPr>
            </w:pPr>
          </w:p>
        </w:tc>
        <w:tc>
          <w:tcPr>
            <w:tcW w:w="400" w:type="dxa"/>
            <w:vAlign w:val="bottom"/>
            <w:shd w:val="clear" w:color="auto" w:fill="E5E5E5"/>
          </w:tcPr>
          <w:p>
            <w:pPr>
              <w:jc w:val="right"/>
              <w:ind w:right="52"/>
              <w:spacing w:after="0" w:line="202" w:lineRule="exact"/>
              <w:rPr>
                <w:sz w:val="20"/>
                <w:szCs w:val="20"/>
                <w:color w:val="auto"/>
              </w:rPr>
            </w:pPr>
            <w:r>
              <w:rPr>
                <w:rFonts w:ascii="Arial" w:cs="Arial" w:eastAsia="Arial" w:hAnsi="Arial"/>
                <w:sz w:val="18"/>
                <w:szCs w:val="18"/>
                <w:color w:val="auto"/>
              </w:rPr>
              <w:t>40</w:t>
            </w:r>
          </w:p>
        </w:tc>
        <w:tc>
          <w:tcPr>
            <w:tcW w:w="200" w:type="dxa"/>
            <w:vAlign w:val="bottom"/>
            <w:shd w:val="clear" w:color="auto" w:fill="E5E5E5"/>
          </w:tcPr>
          <w:p>
            <w:pPr>
              <w:spacing w:after="0"/>
              <w:rPr>
                <w:sz w:val="17"/>
                <w:szCs w:val="17"/>
                <w:color w:val="auto"/>
              </w:rPr>
            </w:pPr>
          </w:p>
        </w:tc>
        <w:tc>
          <w:tcPr>
            <w:tcW w:w="460" w:type="dxa"/>
            <w:vAlign w:val="bottom"/>
            <w:shd w:val="clear" w:color="auto" w:fill="E5E5E5"/>
          </w:tcPr>
          <w:p>
            <w:pPr>
              <w:jc w:val="right"/>
              <w:ind w:right="54"/>
              <w:spacing w:after="0" w:line="202" w:lineRule="exact"/>
              <w:rPr>
                <w:sz w:val="20"/>
                <w:szCs w:val="20"/>
                <w:color w:val="auto"/>
              </w:rPr>
            </w:pPr>
            <w:r>
              <w:rPr>
                <w:rFonts w:ascii="Arial" w:cs="Arial" w:eastAsia="Arial" w:hAnsi="Arial"/>
                <w:sz w:val="18"/>
                <w:szCs w:val="18"/>
                <w:b w:val="1"/>
                <w:bCs w:val="1"/>
                <w:color w:val="auto"/>
              </w:rPr>
              <w:t>25</w:t>
            </w:r>
          </w:p>
        </w:tc>
        <w:tc>
          <w:tcPr>
            <w:tcW w:w="220" w:type="dxa"/>
            <w:vAlign w:val="bottom"/>
            <w:shd w:val="clear" w:color="auto" w:fill="E5E5E5"/>
          </w:tcPr>
          <w:p>
            <w:pPr>
              <w:spacing w:after="0"/>
              <w:rPr>
                <w:sz w:val="17"/>
                <w:szCs w:val="17"/>
                <w:color w:val="auto"/>
              </w:rPr>
            </w:pPr>
          </w:p>
        </w:tc>
        <w:tc>
          <w:tcPr>
            <w:tcW w:w="460" w:type="dxa"/>
            <w:vAlign w:val="bottom"/>
            <w:shd w:val="clear" w:color="auto" w:fill="E5E5E5"/>
          </w:tcPr>
          <w:p>
            <w:pPr>
              <w:jc w:val="right"/>
              <w:ind w:right="72"/>
              <w:spacing w:after="0" w:line="202" w:lineRule="exact"/>
              <w:rPr>
                <w:sz w:val="20"/>
                <w:szCs w:val="20"/>
                <w:color w:val="auto"/>
              </w:rPr>
            </w:pPr>
            <w:r>
              <w:rPr>
                <w:rFonts w:ascii="Arial" w:cs="Arial" w:eastAsia="Arial" w:hAnsi="Arial"/>
                <w:sz w:val="18"/>
                <w:szCs w:val="18"/>
                <w:color w:val="auto"/>
              </w:rPr>
              <w:t>25</w:t>
            </w:r>
          </w:p>
        </w:tc>
        <w:tc>
          <w:tcPr>
            <w:tcW w:w="240" w:type="dxa"/>
            <w:vAlign w:val="bottom"/>
            <w:shd w:val="clear" w:color="auto" w:fill="E5E5E5"/>
          </w:tcPr>
          <w:p>
            <w:pPr>
              <w:spacing w:after="0"/>
              <w:rPr>
                <w:sz w:val="17"/>
                <w:szCs w:val="17"/>
                <w:color w:val="auto"/>
              </w:rPr>
            </w:pPr>
          </w:p>
        </w:tc>
        <w:tc>
          <w:tcPr>
            <w:tcW w:w="460" w:type="dxa"/>
            <w:vAlign w:val="bottom"/>
            <w:shd w:val="clear" w:color="auto" w:fill="E5E5E5"/>
          </w:tcPr>
          <w:p>
            <w:pPr>
              <w:jc w:val="right"/>
              <w:ind w:right="72"/>
              <w:spacing w:after="0" w:line="202" w:lineRule="exact"/>
              <w:rPr>
                <w:sz w:val="20"/>
                <w:szCs w:val="20"/>
                <w:color w:val="auto"/>
              </w:rPr>
            </w:pPr>
            <w:r>
              <w:rPr>
                <w:rFonts w:ascii="Arial" w:cs="Arial" w:eastAsia="Arial" w:hAnsi="Arial"/>
                <w:sz w:val="18"/>
                <w:szCs w:val="18"/>
                <w:color w:val="auto"/>
              </w:rPr>
              <w:t>22</w:t>
            </w:r>
          </w:p>
        </w:tc>
        <w:tc>
          <w:tcPr>
            <w:tcW w:w="200" w:type="dxa"/>
            <w:vAlign w:val="bottom"/>
            <w:shd w:val="clear" w:color="auto" w:fill="E5E5E5"/>
          </w:tcPr>
          <w:p>
            <w:pPr>
              <w:spacing w:after="0"/>
              <w:rPr>
                <w:sz w:val="17"/>
                <w:szCs w:val="17"/>
                <w:color w:val="auto"/>
              </w:rPr>
            </w:pPr>
          </w:p>
        </w:tc>
        <w:tc>
          <w:tcPr>
            <w:tcW w:w="420" w:type="dxa"/>
            <w:vAlign w:val="bottom"/>
            <w:shd w:val="clear" w:color="auto" w:fill="E5E5E5"/>
          </w:tcPr>
          <w:p>
            <w:pPr>
              <w:jc w:val="right"/>
              <w:ind w:right="52"/>
              <w:spacing w:after="0" w:line="202" w:lineRule="exact"/>
              <w:rPr>
                <w:sz w:val="20"/>
                <w:szCs w:val="20"/>
                <w:color w:val="auto"/>
              </w:rPr>
            </w:pPr>
            <w:r>
              <w:rPr>
                <w:rFonts w:ascii="Arial" w:cs="Arial" w:eastAsia="Arial" w:hAnsi="Arial"/>
                <w:sz w:val="18"/>
                <w:szCs w:val="18"/>
                <w:b w:val="1"/>
                <w:bCs w:val="1"/>
                <w:color w:val="auto"/>
              </w:rPr>
              <w:t>52</w:t>
            </w:r>
          </w:p>
        </w:tc>
        <w:tc>
          <w:tcPr>
            <w:tcW w:w="200" w:type="dxa"/>
            <w:vAlign w:val="bottom"/>
            <w:shd w:val="clear" w:color="auto" w:fill="E5E5E5"/>
          </w:tcPr>
          <w:p>
            <w:pPr>
              <w:spacing w:after="0"/>
              <w:rPr>
                <w:sz w:val="17"/>
                <w:szCs w:val="17"/>
                <w:color w:val="auto"/>
              </w:rPr>
            </w:pPr>
          </w:p>
        </w:tc>
        <w:tc>
          <w:tcPr>
            <w:tcW w:w="420" w:type="dxa"/>
            <w:vAlign w:val="bottom"/>
            <w:shd w:val="clear" w:color="auto" w:fill="E5E5E5"/>
          </w:tcPr>
          <w:p>
            <w:pPr>
              <w:jc w:val="right"/>
              <w:ind w:right="52"/>
              <w:spacing w:after="0" w:line="202" w:lineRule="exact"/>
              <w:rPr>
                <w:sz w:val="20"/>
                <w:szCs w:val="20"/>
                <w:color w:val="auto"/>
              </w:rPr>
            </w:pPr>
            <w:r>
              <w:rPr>
                <w:rFonts w:ascii="Arial" w:cs="Arial" w:eastAsia="Arial" w:hAnsi="Arial"/>
                <w:sz w:val="18"/>
                <w:szCs w:val="18"/>
                <w:color w:val="auto"/>
              </w:rPr>
              <w:t>46</w:t>
            </w:r>
          </w:p>
        </w:tc>
        <w:tc>
          <w:tcPr>
            <w:tcW w:w="200" w:type="dxa"/>
            <w:vAlign w:val="bottom"/>
            <w:shd w:val="clear" w:color="auto" w:fill="E5E5E5"/>
          </w:tcPr>
          <w:p>
            <w:pPr>
              <w:spacing w:after="0"/>
              <w:rPr>
                <w:sz w:val="17"/>
                <w:szCs w:val="17"/>
                <w:color w:val="auto"/>
              </w:rPr>
            </w:pPr>
          </w:p>
        </w:tc>
        <w:tc>
          <w:tcPr>
            <w:tcW w:w="2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46</w:t>
            </w:r>
          </w:p>
        </w:tc>
        <w:tc>
          <w:tcPr>
            <w:tcW w:w="60" w:type="dxa"/>
            <w:vAlign w:val="bottom"/>
            <w:shd w:val="clear" w:color="auto" w:fill="E5E5E5"/>
          </w:tcPr>
          <w:p>
            <w:pPr>
              <w:spacing w:after="0"/>
              <w:rPr>
                <w:sz w:val="17"/>
                <w:szCs w:val="17"/>
                <w:color w:val="auto"/>
              </w:rPr>
            </w:pPr>
          </w:p>
        </w:tc>
      </w:tr>
      <w:tr>
        <w:trPr>
          <w:trHeight w:val="203"/>
        </w:trPr>
        <w:tc>
          <w:tcPr>
            <w:tcW w:w="5500" w:type="dxa"/>
            <w:vAlign w:val="bottom"/>
          </w:tcPr>
          <w:p>
            <w:pPr>
              <w:spacing w:after="0" w:line="202" w:lineRule="exact"/>
              <w:rPr>
                <w:sz w:val="20"/>
                <w:szCs w:val="20"/>
                <w:color w:val="auto"/>
              </w:rPr>
            </w:pPr>
            <w:r>
              <w:rPr>
                <w:rFonts w:ascii="Arial" w:cs="Arial" w:eastAsia="Arial" w:hAnsi="Arial"/>
                <w:sz w:val="18"/>
                <w:szCs w:val="18"/>
                <w:color w:val="auto"/>
              </w:rPr>
              <w:t>Expected return on plan assets</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99"/>
              </w:rPr>
              <w:t>(47)</w:t>
            </w:r>
          </w:p>
        </w:tc>
        <w:tc>
          <w:tcPr>
            <w:tcW w:w="200" w:type="dxa"/>
            <w:vAlign w:val="bottom"/>
          </w:tcPr>
          <w:p>
            <w:pPr>
              <w:spacing w:after="0"/>
              <w:rPr>
                <w:sz w:val="17"/>
                <w:szCs w:val="17"/>
                <w:color w:val="auto"/>
              </w:rPr>
            </w:pPr>
          </w:p>
        </w:tc>
        <w:tc>
          <w:tcPr>
            <w:tcW w:w="560" w:type="dxa"/>
            <w:vAlign w:val="bottom"/>
          </w:tcPr>
          <w:p>
            <w:pPr>
              <w:jc w:val="right"/>
              <w:ind w:right="132"/>
              <w:spacing w:after="0" w:line="202" w:lineRule="exact"/>
              <w:rPr>
                <w:sz w:val="20"/>
                <w:szCs w:val="20"/>
                <w:color w:val="auto"/>
              </w:rPr>
            </w:pPr>
            <w:r>
              <w:rPr>
                <w:rFonts w:ascii="Arial" w:cs="Arial" w:eastAsia="Arial" w:hAnsi="Arial"/>
                <w:sz w:val="18"/>
                <w:szCs w:val="18"/>
                <w:color w:val="auto"/>
                <w:w w:val="99"/>
              </w:rPr>
              <w:t>(45)</w:t>
            </w:r>
          </w:p>
        </w:tc>
        <w:tc>
          <w:tcPr>
            <w:tcW w:w="220" w:type="dxa"/>
            <w:vAlign w:val="bottom"/>
          </w:tcPr>
          <w:p>
            <w:pPr>
              <w:spacing w:after="0"/>
              <w:rPr>
                <w:sz w:val="17"/>
                <w:szCs w:val="17"/>
                <w:color w:val="auto"/>
              </w:rPr>
            </w:pP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w w:val="93"/>
              </w:rPr>
              <w:t>(44)</w:t>
            </w:r>
          </w:p>
        </w:tc>
        <w:tc>
          <w:tcPr>
            <w:tcW w:w="200" w:type="dxa"/>
            <w:vAlign w:val="bottom"/>
          </w:tcPr>
          <w:p>
            <w:pPr>
              <w:spacing w:after="0"/>
              <w:rPr>
                <w:sz w:val="17"/>
                <w:szCs w:val="17"/>
                <w:color w:val="auto"/>
              </w:rPr>
            </w:pPr>
          </w:p>
        </w:tc>
        <w:tc>
          <w:tcPr>
            <w:tcW w:w="46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(26)</w:t>
            </w:r>
          </w:p>
        </w:tc>
        <w:tc>
          <w:tcPr>
            <w:tcW w:w="220" w:type="dxa"/>
            <w:vAlign w:val="bottom"/>
          </w:tcPr>
          <w:p>
            <w:pPr>
              <w:spacing w:after="0"/>
              <w:rPr>
                <w:sz w:val="17"/>
                <w:szCs w:val="17"/>
                <w:color w:val="auto"/>
              </w:rPr>
            </w:pPr>
          </w:p>
        </w:tc>
        <w:tc>
          <w:tcPr>
            <w:tcW w:w="4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(21)</w:t>
            </w:r>
          </w:p>
        </w:tc>
        <w:tc>
          <w:tcPr>
            <w:tcW w:w="240" w:type="dxa"/>
            <w:vAlign w:val="bottom"/>
          </w:tcPr>
          <w:p>
            <w:pPr>
              <w:spacing w:after="0"/>
              <w:rPr>
                <w:sz w:val="17"/>
                <w:szCs w:val="17"/>
                <w:color w:val="auto"/>
              </w:rPr>
            </w:pPr>
          </w:p>
        </w:tc>
        <w:tc>
          <w:tcPr>
            <w:tcW w:w="4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(20)</w:t>
            </w:r>
          </w:p>
        </w:tc>
        <w:tc>
          <w:tcPr>
            <w:tcW w:w="200" w:type="dxa"/>
            <w:vAlign w:val="bottom"/>
          </w:tcPr>
          <w:p>
            <w:pPr>
              <w:spacing w:after="0"/>
              <w:rPr>
                <w:sz w:val="17"/>
                <w:szCs w:val="17"/>
                <w:color w:val="auto"/>
              </w:rPr>
            </w:pPr>
          </w:p>
        </w:tc>
        <w:tc>
          <w:tcPr>
            <w:tcW w:w="42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auto"/>
                <w:w w:val="93"/>
              </w:rPr>
              <w:t>(73)</w:t>
            </w:r>
          </w:p>
        </w:tc>
        <w:tc>
          <w:tcPr>
            <w:tcW w:w="200" w:type="dxa"/>
            <w:vAlign w:val="bottom"/>
          </w:tcPr>
          <w:p>
            <w:pPr>
              <w:spacing w:after="0"/>
              <w:rPr>
                <w:sz w:val="17"/>
                <w:szCs w:val="17"/>
                <w:color w:val="auto"/>
              </w:rPr>
            </w:pPr>
          </w:p>
        </w:tc>
        <w:tc>
          <w:tcPr>
            <w:tcW w:w="420" w:type="dxa"/>
            <w:vAlign w:val="bottom"/>
          </w:tcPr>
          <w:p>
            <w:pPr>
              <w:jc w:val="right"/>
              <w:ind w:right="12"/>
              <w:spacing w:after="0" w:line="202" w:lineRule="exact"/>
              <w:rPr>
                <w:sz w:val="20"/>
                <w:szCs w:val="20"/>
                <w:color w:val="auto"/>
              </w:rPr>
            </w:pPr>
            <w:r>
              <w:rPr>
                <w:rFonts w:ascii="Arial" w:cs="Arial" w:eastAsia="Arial" w:hAnsi="Arial"/>
                <w:sz w:val="18"/>
                <w:szCs w:val="18"/>
                <w:color w:val="auto"/>
                <w:w w:val="93"/>
              </w:rPr>
              <w:t>(66)</w:t>
            </w:r>
          </w:p>
        </w:tc>
        <w:tc>
          <w:tcPr>
            <w:tcW w:w="200" w:type="dxa"/>
            <w:vAlign w:val="bottom"/>
          </w:tcPr>
          <w:p>
            <w:pPr>
              <w:spacing w:after="0"/>
              <w:rPr>
                <w:sz w:val="17"/>
                <w:szCs w:val="17"/>
                <w:color w:val="auto"/>
              </w:rPr>
            </w:pP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9"/>
              </w:rPr>
              <w:t>(45)</w:t>
            </w:r>
          </w:p>
        </w:tc>
      </w:tr>
      <w:tr>
        <w:trPr>
          <w:trHeight w:val="203"/>
        </w:trPr>
        <w:tc>
          <w:tcPr>
            <w:tcW w:w="55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Amortization of prior service cost</w:t>
            </w:r>
          </w:p>
        </w:tc>
        <w:tc>
          <w:tcPr>
            <w:tcW w:w="16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420" w:type="dxa"/>
            <w:vAlign w:val="bottom"/>
            <w:shd w:val="clear" w:color="auto" w:fill="E5E5E5"/>
          </w:tcPr>
          <w:p>
            <w:pPr>
              <w:jc w:val="right"/>
              <w:ind w:right="54"/>
              <w:spacing w:after="0" w:line="202" w:lineRule="exact"/>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E5E5E5"/>
          </w:tcPr>
          <w:p>
            <w:pPr>
              <w:spacing w:after="0"/>
              <w:rPr>
                <w:sz w:val="17"/>
                <w:szCs w:val="17"/>
                <w:color w:val="auto"/>
              </w:rPr>
            </w:pPr>
          </w:p>
        </w:tc>
        <w:tc>
          <w:tcPr>
            <w:tcW w:w="560" w:type="dxa"/>
            <w:vAlign w:val="bottom"/>
            <w:shd w:val="clear" w:color="auto" w:fill="E5E5E5"/>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7"/>
                <w:szCs w:val="17"/>
                <w:color w:val="auto"/>
              </w:rPr>
            </w:pPr>
          </w:p>
        </w:tc>
        <w:tc>
          <w:tcPr>
            <w:tcW w:w="400" w:type="dxa"/>
            <w:vAlign w:val="bottom"/>
            <w:shd w:val="clear" w:color="auto" w:fill="E5E5E5"/>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7"/>
                <w:szCs w:val="17"/>
                <w:color w:val="auto"/>
              </w:rPr>
            </w:pPr>
          </w:p>
        </w:tc>
        <w:tc>
          <w:tcPr>
            <w:tcW w:w="460" w:type="dxa"/>
            <w:vAlign w:val="bottom"/>
            <w:shd w:val="clear" w:color="auto" w:fill="E5E5E5"/>
          </w:tcPr>
          <w:p>
            <w:pPr>
              <w:jc w:val="right"/>
              <w:ind w:right="54"/>
              <w:spacing w:after="0" w:line="202" w:lineRule="exact"/>
              <w:rPr>
                <w:sz w:val="20"/>
                <w:szCs w:val="20"/>
                <w:color w:val="auto"/>
              </w:rPr>
            </w:pPr>
            <w:r>
              <w:rPr>
                <w:rFonts w:ascii="Arial" w:cs="Arial" w:eastAsia="Arial" w:hAnsi="Arial"/>
                <w:sz w:val="18"/>
                <w:szCs w:val="18"/>
                <w:b w:val="1"/>
                <w:bCs w:val="1"/>
                <w:color w:val="auto"/>
              </w:rPr>
              <w:t>2</w:t>
            </w:r>
          </w:p>
        </w:tc>
        <w:tc>
          <w:tcPr>
            <w:tcW w:w="220" w:type="dxa"/>
            <w:vAlign w:val="bottom"/>
            <w:shd w:val="clear" w:color="auto" w:fill="E5E5E5"/>
          </w:tcPr>
          <w:p>
            <w:pPr>
              <w:spacing w:after="0"/>
              <w:rPr>
                <w:sz w:val="17"/>
                <w:szCs w:val="17"/>
                <w:color w:val="auto"/>
              </w:rPr>
            </w:pPr>
          </w:p>
        </w:tc>
        <w:tc>
          <w:tcPr>
            <w:tcW w:w="460" w:type="dxa"/>
            <w:vAlign w:val="bottom"/>
            <w:shd w:val="clear" w:color="auto" w:fill="E5E5E5"/>
          </w:tcPr>
          <w:p>
            <w:pPr>
              <w:jc w:val="right"/>
              <w:ind w:right="72"/>
              <w:spacing w:after="0" w:line="202" w:lineRule="exact"/>
              <w:rPr>
                <w:sz w:val="20"/>
                <w:szCs w:val="20"/>
                <w:color w:val="auto"/>
              </w:rPr>
            </w:pPr>
            <w:r>
              <w:rPr>
                <w:rFonts w:ascii="Arial" w:cs="Arial" w:eastAsia="Arial" w:hAnsi="Arial"/>
                <w:sz w:val="18"/>
                <w:szCs w:val="18"/>
                <w:color w:val="auto"/>
              </w:rPr>
              <w:t>2</w:t>
            </w:r>
          </w:p>
        </w:tc>
        <w:tc>
          <w:tcPr>
            <w:tcW w:w="240" w:type="dxa"/>
            <w:vAlign w:val="bottom"/>
            <w:shd w:val="clear" w:color="auto" w:fill="E5E5E5"/>
          </w:tcPr>
          <w:p>
            <w:pPr>
              <w:spacing w:after="0"/>
              <w:rPr>
                <w:sz w:val="17"/>
                <w:szCs w:val="17"/>
                <w:color w:val="auto"/>
              </w:rPr>
            </w:pPr>
          </w:p>
        </w:tc>
        <w:tc>
          <w:tcPr>
            <w:tcW w:w="460" w:type="dxa"/>
            <w:vAlign w:val="bottom"/>
            <w:shd w:val="clear" w:color="auto" w:fill="E5E5E5"/>
          </w:tcPr>
          <w:p>
            <w:pPr>
              <w:jc w:val="right"/>
              <w:ind w:right="72"/>
              <w:spacing w:after="0" w:line="202" w:lineRule="exact"/>
              <w:rPr>
                <w:sz w:val="20"/>
                <w:szCs w:val="20"/>
                <w:color w:val="auto"/>
              </w:rPr>
            </w:pPr>
            <w:r>
              <w:rPr>
                <w:rFonts w:ascii="Arial" w:cs="Arial" w:eastAsia="Arial" w:hAnsi="Arial"/>
                <w:sz w:val="18"/>
                <w:szCs w:val="18"/>
                <w:color w:val="auto"/>
              </w:rPr>
              <w:t>3</w:t>
            </w:r>
          </w:p>
        </w:tc>
        <w:tc>
          <w:tcPr>
            <w:tcW w:w="200" w:type="dxa"/>
            <w:vAlign w:val="bottom"/>
            <w:shd w:val="clear" w:color="auto" w:fill="E5E5E5"/>
          </w:tcPr>
          <w:p>
            <w:pPr>
              <w:spacing w:after="0"/>
              <w:rPr>
                <w:sz w:val="17"/>
                <w:szCs w:val="17"/>
                <w:color w:val="auto"/>
              </w:rPr>
            </w:pPr>
          </w:p>
        </w:tc>
        <w:tc>
          <w:tcPr>
            <w:tcW w:w="420" w:type="dxa"/>
            <w:vAlign w:val="bottom"/>
            <w:shd w:val="clear" w:color="auto" w:fill="E5E5E5"/>
          </w:tcPr>
          <w:p>
            <w:pPr>
              <w:jc w:val="right"/>
              <w:ind w:right="12"/>
              <w:spacing w:after="0" w:line="202" w:lineRule="exact"/>
              <w:rPr>
                <w:sz w:val="20"/>
                <w:szCs w:val="20"/>
                <w:color w:val="auto"/>
              </w:rPr>
            </w:pPr>
            <w:r>
              <w:rPr>
                <w:rFonts w:ascii="Arial" w:cs="Arial" w:eastAsia="Arial" w:hAnsi="Arial"/>
                <w:sz w:val="18"/>
                <w:szCs w:val="18"/>
                <w:b w:val="1"/>
                <w:bCs w:val="1"/>
                <w:color w:val="auto"/>
              </w:rPr>
              <w:t>(3)</w:t>
            </w:r>
          </w:p>
        </w:tc>
        <w:tc>
          <w:tcPr>
            <w:tcW w:w="200" w:type="dxa"/>
            <w:vAlign w:val="bottom"/>
            <w:shd w:val="clear" w:color="auto" w:fill="E5E5E5"/>
          </w:tcPr>
          <w:p>
            <w:pPr>
              <w:spacing w:after="0"/>
              <w:rPr>
                <w:sz w:val="17"/>
                <w:szCs w:val="17"/>
                <w:color w:val="auto"/>
              </w:rPr>
            </w:pPr>
          </w:p>
        </w:tc>
        <w:tc>
          <w:tcPr>
            <w:tcW w:w="420" w:type="dxa"/>
            <w:vAlign w:val="bottom"/>
            <w:shd w:val="clear" w:color="auto" w:fill="E5E5E5"/>
          </w:tcPr>
          <w:p>
            <w:pPr>
              <w:jc w:val="right"/>
              <w:ind w:right="12"/>
              <w:spacing w:after="0" w:line="202" w:lineRule="exact"/>
              <w:rPr>
                <w:sz w:val="20"/>
                <w:szCs w:val="20"/>
                <w:color w:val="auto"/>
              </w:rPr>
            </w:pPr>
            <w:r>
              <w:rPr>
                <w:rFonts w:ascii="Arial" w:cs="Arial" w:eastAsia="Arial" w:hAnsi="Arial"/>
                <w:sz w:val="18"/>
                <w:szCs w:val="18"/>
                <w:color w:val="auto"/>
              </w:rPr>
              <w:t>(3)</w:t>
            </w:r>
          </w:p>
        </w:tc>
        <w:tc>
          <w:tcPr>
            <w:tcW w:w="200" w:type="dxa"/>
            <w:vAlign w:val="bottom"/>
            <w:shd w:val="clear" w:color="auto" w:fill="E5E5E5"/>
          </w:tcPr>
          <w:p>
            <w:pPr>
              <w:spacing w:after="0"/>
              <w:rPr>
                <w:sz w:val="17"/>
                <w:szCs w:val="17"/>
                <w:color w:val="auto"/>
              </w:rPr>
            </w:pPr>
          </w:p>
        </w:tc>
        <w:tc>
          <w:tcPr>
            <w:tcW w:w="34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(2)</w:t>
            </w:r>
          </w:p>
        </w:tc>
      </w:tr>
      <w:tr>
        <w:trPr>
          <w:trHeight w:val="210"/>
        </w:trPr>
        <w:tc>
          <w:tcPr>
            <w:tcW w:w="5500" w:type="dxa"/>
            <w:vAlign w:val="bottom"/>
          </w:tcPr>
          <w:p>
            <w:pPr>
              <w:spacing w:after="0" w:line="202" w:lineRule="exact"/>
              <w:rPr>
                <w:sz w:val="20"/>
                <w:szCs w:val="20"/>
                <w:color w:val="auto"/>
              </w:rPr>
            </w:pPr>
            <w:r>
              <w:rPr>
                <w:rFonts w:ascii="Arial" w:cs="Arial" w:eastAsia="Arial" w:hAnsi="Arial"/>
                <w:sz w:val="18"/>
                <w:szCs w:val="18"/>
                <w:color w:val="auto"/>
              </w:rPr>
              <w:t>Recognized net actuarial loss</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54"/>
              <w:spacing w:after="0" w:line="202" w:lineRule="exact"/>
              <w:rPr>
                <w:sz w:val="20"/>
                <w:szCs w:val="20"/>
                <w:color w:val="auto"/>
              </w:rPr>
            </w:pPr>
            <w:r>
              <w:rPr>
                <w:rFonts w:ascii="Arial" w:cs="Arial" w:eastAsia="Arial" w:hAnsi="Arial"/>
                <w:sz w:val="18"/>
                <w:szCs w:val="18"/>
                <w:b w:val="1"/>
                <w:bCs w:val="1"/>
                <w:color w:val="auto"/>
              </w:rPr>
              <w:t>20</w:t>
            </w:r>
          </w:p>
        </w:tc>
        <w:tc>
          <w:tcPr>
            <w:tcW w:w="2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92"/>
              <w:spacing w:after="0" w:line="202" w:lineRule="exact"/>
              <w:rPr>
                <w:sz w:val="20"/>
                <w:szCs w:val="20"/>
                <w:color w:val="auto"/>
              </w:rPr>
            </w:pPr>
            <w:r>
              <w:rPr>
                <w:rFonts w:ascii="Arial" w:cs="Arial" w:eastAsia="Arial" w:hAnsi="Arial"/>
                <w:sz w:val="18"/>
                <w:szCs w:val="18"/>
                <w:color w:val="auto"/>
              </w:rPr>
              <w:t>21</w:t>
            </w:r>
          </w:p>
        </w:tc>
        <w:tc>
          <w:tcPr>
            <w:tcW w:w="2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52"/>
              <w:spacing w:after="0" w:line="202" w:lineRule="exact"/>
              <w:rPr>
                <w:sz w:val="20"/>
                <w:szCs w:val="20"/>
                <w:color w:val="auto"/>
              </w:rPr>
            </w:pPr>
            <w:r>
              <w:rPr>
                <w:rFonts w:ascii="Arial" w:cs="Arial" w:eastAsia="Arial" w:hAnsi="Arial"/>
                <w:sz w:val="18"/>
                <w:szCs w:val="18"/>
                <w:color w:val="auto"/>
              </w:rPr>
              <w:t>23</w:t>
            </w:r>
          </w:p>
        </w:tc>
        <w:tc>
          <w:tcPr>
            <w:tcW w:w="2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54"/>
              <w:spacing w:after="0" w:line="202" w:lineRule="exact"/>
              <w:rPr>
                <w:sz w:val="20"/>
                <w:szCs w:val="20"/>
                <w:color w:val="auto"/>
              </w:rPr>
            </w:pPr>
            <w:r>
              <w:rPr>
                <w:rFonts w:ascii="Arial" w:cs="Arial" w:eastAsia="Arial" w:hAnsi="Arial"/>
                <w:sz w:val="18"/>
                <w:szCs w:val="18"/>
                <w:b w:val="1"/>
                <w:bCs w:val="1"/>
                <w:color w:val="auto"/>
              </w:rPr>
              <w:t>6</w:t>
            </w:r>
          </w:p>
        </w:tc>
        <w:tc>
          <w:tcPr>
            <w:tcW w:w="2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72"/>
              <w:spacing w:after="0" w:line="202" w:lineRule="exact"/>
              <w:rPr>
                <w:sz w:val="20"/>
                <w:szCs w:val="20"/>
                <w:color w:val="auto"/>
              </w:rPr>
            </w:pPr>
            <w:r>
              <w:rPr>
                <w:rFonts w:ascii="Arial" w:cs="Arial" w:eastAsia="Arial" w:hAnsi="Arial"/>
                <w:sz w:val="18"/>
                <w:szCs w:val="18"/>
                <w:color w:val="auto"/>
              </w:rPr>
              <w:t>6</w:t>
            </w:r>
          </w:p>
        </w:tc>
        <w:tc>
          <w:tcPr>
            <w:tcW w:w="2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72"/>
              <w:spacing w:after="0" w:line="202" w:lineRule="exact"/>
              <w:rPr>
                <w:sz w:val="20"/>
                <w:szCs w:val="20"/>
                <w:color w:val="auto"/>
              </w:rPr>
            </w:pPr>
            <w:r>
              <w:rPr>
                <w:rFonts w:ascii="Arial" w:cs="Arial" w:eastAsia="Arial" w:hAnsi="Arial"/>
                <w:sz w:val="18"/>
                <w:szCs w:val="18"/>
                <w:color w:val="auto"/>
              </w:rPr>
              <w:t>8</w:t>
            </w:r>
          </w:p>
        </w:tc>
        <w:tc>
          <w:tcPr>
            <w:tcW w:w="2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52"/>
              <w:spacing w:after="0" w:line="202" w:lineRule="exact"/>
              <w:rPr>
                <w:sz w:val="20"/>
                <w:szCs w:val="20"/>
                <w:color w:val="auto"/>
              </w:rPr>
            </w:pPr>
            <w:r>
              <w:rPr>
                <w:rFonts w:ascii="Arial" w:cs="Arial" w:eastAsia="Arial" w:hAnsi="Arial"/>
                <w:sz w:val="18"/>
                <w:szCs w:val="18"/>
                <w:b w:val="1"/>
                <w:bCs w:val="1"/>
                <w:color w:val="auto"/>
              </w:rPr>
              <w:t>9</w:t>
            </w:r>
          </w:p>
        </w:tc>
        <w:tc>
          <w:tcPr>
            <w:tcW w:w="2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52"/>
              <w:spacing w:after="0" w:line="202" w:lineRule="exact"/>
              <w:rPr>
                <w:sz w:val="20"/>
                <w:szCs w:val="20"/>
                <w:color w:val="auto"/>
              </w:rPr>
            </w:pPr>
            <w:r>
              <w:rPr>
                <w:rFonts w:ascii="Arial" w:cs="Arial" w:eastAsia="Arial" w:hAnsi="Arial"/>
                <w:sz w:val="18"/>
                <w:szCs w:val="18"/>
                <w:color w:val="auto"/>
              </w:rPr>
              <w:t>13</w:t>
            </w:r>
          </w:p>
        </w:tc>
        <w:tc>
          <w:tcPr>
            <w:tcW w:w="2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w:t>
            </w:r>
          </w:p>
        </w:tc>
        <w:tc>
          <w:tcPr>
            <w:tcW w:w="60" w:type="dxa"/>
            <w:vAlign w:val="bottom"/>
          </w:tcPr>
          <w:p>
            <w:pPr>
              <w:spacing w:after="0"/>
              <w:rPr>
                <w:sz w:val="18"/>
                <w:szCs w:val="18"/>
                <w:color w:val="auto"/>
              </w:rPr>
            </w:pPr>
          </w:p>
        </w:tc>
      </w:tr>
      <w:tr>
        <w:trPr>
          <w:trHeight w:val="203"/>
        </w:trPr>
        <w:tc>
          <w:tcPr>
            <w:tcW w:w="55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Net periodic benefit cost</w:t>
            </w:r>
          </w:p>
        </w:tc>
        <w:tc>
          <w:tcPr>
            <w:tcW w:w="16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420" w:type="dxa"/>
            <w:vAlign w:val="bottom"/>
            <w:shd w:val="clear" w:color="auto" w:fill="E5E5E5"/>
          </w:tcPr>
          <w:p>
            <w:pPr>
              <w:jc w:val="right"/>
              <w:ind w:right="54"/>
              <w:spacing w:after="0" w:line="202" w:lineRule="exact"/>
              <w:rPr>
                <w:sz w:val="20"/>
                <w:szCs w:val="20"/>
                <w:color w:val="auto"/>
              </w:rPr>
            </w:pPr>
            <w:r>
              <w:rPr>
                <w:rFonts w:ascii="Arial" w:cs="Arial" w:eastAsia="Arial" w:hAnsi="Arial"/>
                <w:sz w:val="18"/>
                <w:szCs w:val="18"/>
                <w:b w:val="1"/>
                <w:bCs w:val="1"/>
                <w:color w:val="auto"/>
              </w:rPr>
              <w:t>40</w:t>
            </w:r>
          </w:p>
        </w:tc>
        <w:tc>
          <w:tcPr>
            <w:tcW w:w="200" w:type="dxa"/>
            <w:vAlign w:val="bottom"/>
            <w:shd w:val="clear" w:color="auto" w:fill="E5E5E5"/>
          </w:tcPr>
          <w:p>
            <w:pPr>
              <w:spacing w:after="0"/>
              <w:rPr>
                <w:sz w:val="17"/>
                <w:szCs w:val="17"/>
                <w:color w:val="auto"/>
              </w:rPr>
            </w:pPr>
          </w:p>
        </w:tc>
        <w:tc>
          <w:tcPr>
            <w:tcW w:w="560" w:type="dxa"/>
            <w:vAlign w:val="bottom"/>
            <w:shd w:val="clear" w:color="auto" w:fill="E5E5E5"/>
          </w:tcPr>
          <w:p>
            <w:pPr>
              <w:jc w:val="right"/>
              <w:ind w:right="192"/>
              <w:spacing w:after="0" w:line="202" w:lineRule="exact"/>
              <w:rPr>
                <w:sz w:val="20"/>
                <w:szCs w:val="20"/>
                <w:color w:val="auto"/>
              </w:rPr>
            </w:pPr>
            <w:r>
              <w:rPr>
                <w:rFonts w:ascii="Arial" w:cs="Arial" w:eastAsia="Arial" w:hAnsi="Arial"/>
                <w:sz w:val="18"/>
                <w:szCs w:val="18"/>
                <w:color w:val="auto"/>
              </w:rPr>
              <w:t>47</w:t>
            </w:r>
          </w:p>
        </w:tc>
        <w:tc>
          <w:tcPr>
            <w:tcW w:w="220" w:type="dxa"/>
            <w:vAlign w:val="bottom"/>
            <w:shd w:val="clear" w:color="auto" w:fill="E5E5E5"/>
          </w:tcPr>
          <w:p>
            <w:pPr>
              <w:spacing w:after="0"/>
              <w:rPr>
                <w:sz w:val="17"/>
                <w:szCs w:val="17"/>
                <w:color w:val="auto"/>
              </w:rPr>
            </w:pPr>
          </w:p>
        </w:tc>
        <w:tc>
          <w:tcPr>
            <w:tcW w:w="400" w:type="dxa"/>
            <w:vAlign w:val="bottom"/>
            <w:shd w:val="clear" w:color="auto" w:fill="E5E5E5"/>
          </w:tcPr>
          <w:p>
            <w:pPr>
              <w:jc w:val="right"/>
              <w:ind w:right="52"/>
              <w:spacing w:after="0" w:line="202" w:lineRule="exact"/>
              <w:rPr>
                <w:sz w:val="20"/>
                <w:szCs w:val="20"/>
                <w:color w:val="auto"/>
              </w:rPr>
            </w:pPr>
            <w:r>
              <w:rPr>
                <w:rFonts w:ascii="Arial" w:cs="Arial" w:eastAsia="Arial" w:hAnsi="Arial"/>
                <w:sz w:val="18"/>
                <w:szCs w:val="18"/>
                <w:color w:val="auto"/>
              </w:rPr>
              <w:t>46</w:t>
            </w:r>
          </w:p>
        </w:tc>
        <w:tc>
          <w:tcPr>
            <w:tcW w:w="200" w:type="dxa"/>
            <w:vAlign w:val="bottom"/>
            <w:shd w:val="clear" w:color="auto" w:fill="E5E5E5"/>
          </w:tcPr>
          <w:p>
            <w:pPr>
              <w:spacing w:after="0"/>
              <w:rPr>
                <w:sz w:val="17"/>
                <w:szCs w:val="17"/>
                <w:color w:val="auto"/>
              </w:rPr>
            </w:pPr>
          </w:p>
        </w:tc>
        <w:tc>
          <w:tcPr>
            <w:tcW w:w="460" w:type="dxa"/>
            <w:vAlign w:val="bottom"/>
            <w:shd w:val="clear" w:color="auto" w:fill="E5E5E5"/>
          </w:tcPr>
          <w:p>
            <w:pPr>
              <w:jc w:val="right"/>
              <w:ind w:right="54"/>
              <w:spacing w:after="0" w:line="202" w:lineRule="exact"/>
              <w:rPr>
                <w:sz w:val="20"/>
                <w:szCs w:val="20"/>
                <w:color w:val="auto"/>
              </w:rPr>
            </w:pPr>
            <w:r>
              <w:rPr>
                <w:rFonts w:ascii="Arial" w:cs="Arial" w:eastAsia="Arial" w:hAnsi="Arial"/>
                <w:sz w:val="18"/>
                <w:szCs w:val="18"/>
                <w:b w:val="1"/>
                <w:bCs w:val="1"/>
                <w:color w:val="auto"/>
              </w:rPr>
              <w:t>11</w:t>
            </w:r>
          </w:p>
        </w:tc>
        <w:tc>
          <w:tcPr>
            <w:tcW w:w="220" w:type="dxa"/>
            <w:vAlign w:val="bottom"/>
            <w:shd w:val="clear" w:color="auto" w:fill="E5E5E5"/>
          </w:tcPr>
          <w:p>
            <w:pPr>
              <w:spacing w:after="0"/>
              <w:rPr>
                <w:sz w:val="17"/>
                <w:szCs w:val="17"/>
                <w:color w:val="auto"/>
              </w:rPr>
            </w:pPr>
          </w:p>
        </w:tc>
        <w:tc>
          <w:tcPr>
            <w:tcW w:w="460" w:type="dxa"/>
            <w:vAlign w:val="bottom"/>
            <w:shd w:val="clear" w:color="auto" w:fill="E5E5E5"/>
          </w:tcPr>
          <w:p>
            <w:pPr>
              <w:jc w:val="right"/>
              <w:ind w:right="72"/>
              <w:spacing w:after="0" w:line="202" w:lineRule="exact"/>
              <w:rPr>
                <w:sz w:val="20"/>
                <w:szCs w:val="20"/>
                <w:color w:val="auto"/>
              </w:rPr>
            </w:pPr>
            <w:r>
              <w:rPr>
                <w:rFonts w:ascii="Arial" w:cs="Arial" w:eastAsia="Arial" w:hAnsi="Arial"/>
                <w:sz w:val="18"/>
                <w:szCs w:val="18"/>
                <w:color w:val="auto"/>
              </w:rPr>
              <w:t>16</w:t>
            </w:r>
          </w:p>
        </w:tc>
        <w:tc>
          <w:tcPr>
            <w:tcW w:w="240" w:type="dxa"/>
            <w:vAlign w:val="bottom"/>
            <w:shd w:val="clear" w:color="auto" w:fill="E5E5E5"/>
          </w:tcPr>
          <w:p>
            <w:pPr>
              <w:spacing w:after="0"/>
              <w:rPr>
                <w:sz w:val="17"/>
                <w:szCs w:val="17"/>
                <w:color w:val="auto"/>
              </w:rPr>
            </w:pPr>
          </w:p>
        </w:tc>
        <w:tc>
          <w:tcPr>
            <w:tcW w:w="460" w:type="dxa"/>
            <w:vAlign w:val="bottom"/>
            <w:shd w:val="clear" w:color="auto" w:fill="E5E5E5"/>
          </w:tcPr>
          <w:p>
            <w:pPr>
              <w:jc w:val="right"/>
              <w:ind w:right="72"/>
              <w:spacing w:after="0" w:line="202" w:lineRule="exact"/>
              <w:rPr>
                <w:sz w:val="20"/>
                <w:szCs w:val="20"/>
                <w:color w:val="auto"/>
              </w:rPr>
            </w:pPr>
            <w:r>
              <w:rPr>
                <w:rFonts w:ascii="Arial" w:cs="Arial" w:eastAsia="Arial" w:hAnsi="Arial"/>
                <w:sz w:val="18"/>
                <w:szCs w:val="18"/>
                <w:color w:val="auto"/>
              </w:rPr>
              <w:t>17</w:t>
            </w:r>
          </w:p>
        </w:tc>
        <w:tc>
          <w:tcPr>
            <w:tcW w:w="200" w:type="dxa"/>
            <w:vAlign w:val="bottom"/>
            <w:shd w:val="clear" w:color="auto" w:fill="E5E5E5"/>
          </w:tcPr>
          <w:p>
            <w:pPr>
              <w:spacing w:after="0"/>
              <w:rPr>
                <w:sz w:val="17"/>
                <w:szCs w:val="17"/>
                <w:color w:val="auto"/>
              </w:rPr>
            </w:pPr>
          </w:p>
        </w:tc>
        <w:tc>
          <w:tcPr>
            <w:tcW w:w="420" w:type="dxa"/>
            <w:vAlign w:val="bottom"/>
            <w:shd w:val="clear" w:color="auto" w:fill="E5E5E5"/>
          </w:tcPr>
          <w:p>
            <w:pPr>
              <w:jc w:val="right"/>
              <w:ind w:right="52"/>
              <w:spacing w:after="0" w:line="202" w:lineRule="exact"/>
              <w:rPr>
                <w:sz w:val="20"/>
                <w:szCs w:val="20"/>
                <w:color w:val="auto"/>
              </w:rPr>
            </w:pPr>
            <w:r>
              <w:rPr>
                <w:rFonts w:ascii="Arial" w:cs="Arial" w:eastAsia="Arial" w:hAnsi="Arial"/>
                <w:sz w:val="18"/>
                <w:szCs w:val="18"/>
                <w:b w:val="1"/>
                <w:bCs w:val="1"/>
                <w:color w:val="auto"/>
              </w:rPr>
              <w:t>31</w:t>
            </w:r>
          </w:p>
        </w:tc>
        <w:tc>
          <w:tcPr>
            <w:tcW w:w="200" w:type="dxa"/>
            <w:vAlign w:val="bottom"/>
            <w:shd w:val="clear" w:color="auto" w:fill="E5E5E5"/>
          </w:tcPr>
          <w:p>
            <w:pPr>
              <w:spacing w:after="0"/>
              <w:rPr>
                <w:sz w:val="17"/>
                <w:szCs w:val="17"/>
                <w:color w:val="auto"/>
              </w:rPr>
            </w:pPr>
          </w:p>
        </w:tc>
        <w:tc>
          <w:tcPr>
            <w:tcW w:w="420" w:type="dxa"/>
            <w:vAlign w:val="bottom"/>
            <w:shd w:val="clear" w:color="auto" w:fill="E5E5E5"/>
          </w:tcPr>
          <w:p>
            <w:pPr>
              <w:jc w:val="right"/>
              <w:ind w:right="52"/>
              <w:spacing w:after="0" w:line="202" w:lineRule="exact"/>
              <w:rPr>
                <w:sz w:val="20"/>
                <w:szCs w:val="20"/>
                <w:color w:val="auto"/>
              </w:rPr>
            </w:pPr>
            <w:r>
              <w:rPr>
                <w:rFonts w:ascii="Arial" w:cs="Arial" w:eastAsia="Arial" w:hAnsi="Arial"/>
                <w:sz w:val="18"/>
                <w:szCs w:val="18"/>
                <w:color w:val="auto"/>
              </w:rPr>
              <w:t>34</w:t>
            </w:r>
          </w:p>
        </w:tc>
        <w:tc>
          <w:tcPr>
            <w:tcW w:w="200" w:type="dxa"/>
            <w:vAlign w:val="bottom"/>
            <w:shd w:val="clear" w:color="auto" w:fill="E5E5E5"/>
          </w:tcPr>
          <w:p>
            <w:pPr>
              <w:spacing w:after="0"/>
              <w:rPr>
                <w:sz w:val="17"/>
                <w:szCs w:val="17"/>
                <w:color w:val="auto"/>
              </w:rPr>
            </w:pPr>
          </w:p>
        </w:tc>
        <w:tc>
          <w:tcPr>
            <w:tcW w:w="2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65</w:t>
            </w:r>
          </w:p>
        </w:tc>
        <w:tc>
          <w:tcPr>
            <w:tcW w:w="60" w:type="dxa"/>
            <w:vAlign w:val="bottom"/>
            <w:shd w:val="clear" w:color="auto" w:fill="E5E5E5"/>
          </w:tcPr>
          <w:p>
            <w:pPr>
              <w:spacing w:after="0"/>
              <w:rPr>
                <w:sz w:val="17"/>
                <w:szCs w:val="17"/>
                <w:color w:val="auto"/>
              </w:rPr>
            </w:pPr>
          </w:p>
        </w:tc>
      </w:tr>
      <w:tr>
        <w:trPr>
          <w:trHeight w:val="210"/>
        </w:trPr>
        <w:tc>
          <w:tcPr>
            <w:tcW w:w="5500" w:type="dxa"/>
            <w:vAlign w:val="bottom"/>
          </w:tcPr>
          <w:p>
            <w:pPr>
              <w:spacing w:after="0" w:line="202" w:lineRule="exact"/>
              <w:rPr>
                <w:sz w:val="20"/>
                <w:szCs w:val="20"/>
                <w:color w:val="auto"/>
              </w:rPr>
            </w:pPr>
            <w:r>
              <w:rPr>
                <w:rFonts w:ascii="Arial" w:cs="Arial" w:eastAsia="Arial" w:hAnsi="Arial"/>
                <w:sz w:val="18"/>
                <w:szCs w:val="18"/>
                <w:color w:val="auto"/>
              </w:rPr>
              <w:t>Settlement, curtailment and special termination benefit charges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5</w:t>
            </w:r>
          </w:p>
        </w:tc>
        <w:tc>
          <w:tcPr>
            <w:tcW w:w="200" w:type="dxa"/>
            <w:vAlign w:val="bottom"/>
          </w:tcPr>
          <w:p>
            <w:pPr>
              <w:spacing w:after="0"/>
              <w:rPr>
                <w:sz w:val="18"/>
                <w:szCs w:val="18"/>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26(a)</w:t>
            </w:r>
          </w:p>
        </w:tc>
        <w:tc>
          <w:tcPr>
            <w:tcW w:w="220" w:type="dxa"/>
            <w:vAlign w:val="bottom"/>
          </w:tcPr>
          <w:p>
            <w:pPr>
              <w:spacing w:after="0"/>
              <w:rPr>
                <w:sz w:val="18"/>
                <w:szCs w:val="18"/>
                <w:color w:val="auto"/>
              </w:rPr>
            </w:pPr>
          </w:p>
        </w:tc>
        <w:tc>
          <w:tcPr>
            <w:tcW w:w="4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46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1</w:t>
            </w:r>
          </w:p>
        </w:tc>
        <w:tc>
          <w:tcPr>
            <w:tcW w:w="220" w:type="dxa"/>
            <w:vAlign w:val="bottom"/>
          </w:tcPr>
          <w:p>
            <w:pPr>
              <w:spacing w:after="0"/>
              <w:rPr>
                <w:sz w:val="18"/>
                <w:szCs w:val="18"/>
                <w:color w:val="auto"/>
              </w:rPr>
            </w:pPr>
          </w:p>
        </w:tc>
        <w:tc>
          <w:tcPr>
            <w:tcW w:w="460" w:type="dxa"/>
            <w:vAlign w:val="bottom"/>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60" w:type="dxa"/>
            <w:vAlign w:val="bottom"/>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20" w:type="dxa"/>
            <w:vAlign w:val="bottom"/>
          </w:tcPr>
          <w:p>
            <w:pPr>
              <w:jc w:val="right"/>
              <w:ind w:right="52"/>
              <w:spacing w:after="0" w:line="202" w:lineRule="exact"/>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4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55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Total including charges</w:t>
            </w:r>
          </w:p>
        </w:tc>
        <w:tc>
          <w:tcPr>
            <w:tcW w:w="160" w:type="dxa"/>
            <w:vAlign w:val="bottom"/>
            <w:shd w:val="clear" w:color="auto" w:fill="E5E5E5"/>
          </w:tcPr>
          <w:p>
            <w:pPr>
              <w:spacing w:after="0"/>
              <w:rPr>
                <w:sz w:val="17"/>
                <w:szCs w:val="17"/>
                <w:color w:val="auto"/>
              </w:rPr>
            </w:pPr>
          </w:p>
        </w:tc>
        <w:tc>
          <w:tcPr>
            <w:tcW w:w="140" w:type="dxa"/>
            <w:vAlign w:val="bottom"/>
            <w:tcBorders>
              <w:top w:val="single" w:sz="8" w:color="auto"/>
              <w:bottom w:val="single" w:sz="8" w:color="auto"/>
            </w:tcBorders>
            <w:shd w:val="clear" w:color="auto" w:fill="E5E5E5"/>
          </w:tcPr>
          <w:p>
            <w:pPr>
              <w:spacing w:after="0" w:line="202" w:lineRule="exact"/>
              <w:rPr>
                <w:sz w:val="20"/>
                <w:szCs w:val="20"/>
                <w:color w:val="auto"/>
              </w:rPr>
            </w:pPr>
            <w:r>
              <w:rPr>
                <w:rFonts w:ascii="Arial" w:cs="Arial" w:eastAsia="Arial" w:hAnsi="Arial"/>
                <w:sz w:val="18"/>
                <w:szCs w:val="18"/>
                <w:b w:val="1"/>
                <w:bCs w:val="1"/>
                <w:color w:val="auto"/>
              </w:rPr>
              <w:t>$</w:t>
            </w:r>
          </w:p>
        </w:tc>
        <w:tc>
          <w:tcPr>
            <w:tcW w:w="420" w:type="dxa"/>
            <w:vAlign w:val="bottom"/>
            <w:tcBorders>
              <w:top w:val="single" w:sz="8" w:color="auto"/>
              <w:bottom w:val="single" w:sz="8" w:color="auto"/>
            </w:tcBorders>
            <w:shd w:val="clear" w:color="auto" w:fill="E5E5E5"/>
          </w:tcPr>
          <w:p>
            <w:pPr>
              <w:jc w:val="right"/>
              <w:ind w:right="54"/>
              <w:spacing w:after="0" w:line="202" w:lineRule="exact"/>
              <w:rPr>
                <w:sz w:val="20"/>
                <w:szCs w:val="20"/>
                <w:color w:val="auto"/>
              </w:rPr>
            </w:pPr>
            <w:r>
              <w:rPr>
                <w:rFonts w:ascii="Arial" w:cs="Arial" w:eastAsia="Arial" w:hAnsi="Arial"/>
                <w:sz w:val="18"/>
                <w:szCs w:val="18"/>
                <w:b w:val="1"/>
                <w:bCs w:val="1"/>
                <w:color w:val="auto"/>
              </w:rPr>
              <w:t>45</w:t>
            </w:r>
          </w:p>
        </w:tc>
        <w:tc>
          <w:tcPr>
            <w:tcW w:w="200" w:type="dxa"/>
            <w:vAlign w:val="bottom"/>
            <w:tcBorders>
              <w:top w:val="single" w:sz="8" w:color="auto"/>
              <w:bottom w:val="single" w:sz="8" w:color="auto"/>
            </w:tcBorders>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shd w:val="clear" w:color="auto" w:fill="E5E5E5"/>
          </w:tcPr>
          <w:p>
            <w:pPr>
              <w:jc w:val="right"/>
              <w:ind w:right="192"/>
              <w:spacing w:after="0" w:line="202" w:lineRule="exact"/>
              <w:rPr>
                <w:sz w:val="20"/>
                <w:szCs w:val="20"/>
                <w:color w:val="auto"/>
              </w:rPr>
            </w:pPr>
            <w:r>
              <w:rPr>
                <w:rFonts w:ascii="Arial" w:cs="Arial" w:eastAsia="Arial" w:hAnsi="Arial"/>
                <w:sz w:val="18"/>
                <w:szCs w:val="18"/>
                <w:color w:val="auto"/>
              </w:rPr>
              <w:t>73</w:t>
            </w:r>
          </w:p>
        </w:tc>
        <w:tc>
          <w:tcPr>
            <w:tcW w:w="220" w:type="dxa"/>
            <w:vAlign w:val="bottom"/>
            <w:tcBorders>
              <w:top w:val="single" w:sz="8" w:color="auto"/>
              <w:bottom w:val="single" w:sz="8" w:color="auto"/>
            </w:tcBorders>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shd w:val="clear" w:color="auto" w:fill="E5E5E5"/>
          </w:tcPr>
          <w:p>
            <w:pPr>
              <w:jc w:val="right"/>
              <w:ind w:right="52"/>
              <w:spacing w:after="0" w:line="202" w:lineRule="exact"/>
              <w:rPr>
                <w:sz w:val="20"/>
                <w:szCs w:val="20"/>
                <w:color w:val="auto"/>
              </w:rPr>
            </w:pPr>
            <w:r>
              <w:rPr>
                <w:rFonts w:ascii="Arial" w:cs="Arial" w:eastAsia="Arial" w:hAnsi="Arial"/>
                <w:sz w:val="18"/>
                <w:szCs w:val="18"/>
                <w:color w:val="auto"/>
              </w:rPr>
              <w:t>47</w:t>
            </w:r>
          </w:p>
        </w:tc>
        <w:tc>
          <w:tcPr>
            <w:tcW w:w="200" w:type="dxa"/>
            <w:vAlign w:val="bottom"/>
            <w:tcBorders>
              <w:top w:val="single" w:sz="8" w:color="auto"/>
              <w:bottom w:val="single" w:sz="8" w:color="auto"/>
            </w:tcBorders>
            <w:shd w:val="clear" w:color="auto" w:fill="E5E5E5"/>
          </w:tcPr>
          <w:p>
            <w:pPr>
              <w:ind w:left="100"/>
              <w:spacing w:after="0" w:line="202" w:lineRule="exact"/>
              <w:rPr>
                <w:sz w:val="20"/>
                <w:szCs w:val="20"/>
                <w:color w:val="auto"/>
              </w:rPr>
            </w:pPr>
            <w:r>
              <w:rPr>
                <w:rFonts w:ascii="Arial" w:cs="Arial" w:eastAsia="Arial" w:hAnsi="Arial"/>
                <w:sz w:val="18"/>
                <w:szCs w:val="18"/>
                <w:b w:val="1"/>
                <w:bCs w:val="1"/>
                <w:color w:val="auto"/>
                <w:w w:val="79"/>
              </w:rPr>
              <w:t>$</w:t>
            </w:r>
          </w:p>
        </w:tc>
        <w:tc>
          <w:tcPr>
            <w:tcW w:w="460" w:type="dxa"/>
            <w:vAlign w:val="bottom"/>
            <w:tcBorders>
              <w:top w:val="single" w:sz="8" w:color="auto"/>
              <w:bottom w:val="single" w:sz="8" w:color="auto"/>
            </w:tcBorders>
            <w:shd w:val="clear" w:color="auto" w:fill="E5E5E5"/>
          </w:tcPr>
          <w:p>
            <w:pPr>
              <w:jc w:val="right"/>
              <w:ind w:right="54"/>
              <w:spacing w:after="0" w:line="202" w:lineRule="exact"/>
              <w:rPr>
                <w:sz w:val="20"/>
                <w:szCs w:val="20"/>
                <w:color w:val="auto"/>
              </w:rPr>
            </w:pPr>
            <w:r>
              <w:rPr>
                <w:rFonts w:ascii="Arial" w:cs="Arial" w:eastAsia="Arial" w:hAnsi="Arial"/>
                <w:sz w:val="18"/>
                <w:szCs w:val="18"/>
                <w:b w:val="1"/>
                <w:bCs w:val="1"/>
                <w:color w:val="auto"/>
              </w:rPr>
              <w:t>12</w:t>
            </w:r>
          </w:p>
        </w:tc>
        <w:tc>
          <w:tcPr>
            <w:tcW w:w="220" w:type="dxa"/>
            <w:vAlign w:val="bottom"/>
            <w:tcBorders>
              <w:top w:val="single" w:sz="8" w:color="auto"/>
              <w:bottom w:val="single" w:sz="8" w:color="auto"/>
            </w:tcBorders>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shd w:val="clear" w:color="auto" w:fill="E5E5E5"/>
          </w:tcPr>
          <w:p>
            <w:pPr>
              <w:jc w:val="right"/>
              <w:ind w:right="72"/>
              <w:spacing w:after="0" w:line="202" w:lineRule="exact"/>
              <w:rPr>
                <w:sz w:val="20"/>
                <w:szCs w:val="20"/>
                <w:color w:val="auto"/>
              </w:rPr>
            </w:pPr>
            <w:r>
              <w:rPr>
                <w:rFonts w:ascii="Arial" w:cs="Arial" w:eastAsia="Arial" w:hAnsi="Arial"/>
                <w:sz w:val="18"/>
                <w:szCs w:val="18"/>
                <w:color w:val="auto"/>
              </w:rPr>
              <w:t>16</w:t>
            </w:r>
          </w:p>
        </w:tc>
        <w:tc>
          <w:tcPr>
            <w:tcW w:w="240" w:type="dxa"/>
            <w:vAlign w:val="bottom"/>
            <w:tcBorders>
              <w:top w:val="single" w:sz="8" w:color="auto"/>
              <w:bottom w:val="single" w:sz="8" w:color="auto"/>
            </w:tcBorders>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shd w:val="clear" w:color="auto" w:fill="E5E5E5"/>
          </w:tcPr>
          <w:p>
            <w:pPr>
              <w:jc w:val="right"/>
              <w:ind w:right="72"/>
              <w:spacing w:after="0" w:line="202" w:lineRule="exact"/>
              <w:rPr>
                <w:sz w:val="20"/>
                <w:szCs w:val="20"/>
                <w:color w:val="auto"/>
              </w:rPr>
            </w:pPr>
            <w:r>
              <w:rPr>
                <w:rFonts w:ascii="Arial" w:cs="Arial" w:eastAsia="Arial" w:hAnsi="Arial"/>
                <w:sz w:val="18"/>
                <w:szCs w:val="18"/>
                <w:color w:val="auto"/>
              </w:rPr>
              <w:t>17</w:t>
            </w:r>
          </w:p>
        </w:tc>
        <w:tc>
          <w:tcPr>
            <w:tcW w:w="200" w:type="dxa"/>
            <w:vAlign w:val="bottom"/>
            <w:tcBorders>
              <w:top w:val="single" w:sz="8" w:color="auto"/>
              <w:bottom w:val="single" w:sz="8" w:color="auto"/>
            </w:tcBorders>
            <w:shd w:val="clear" w:color="auto" w:fill="E5E5E5"/>
          </w:tcPr>
          <w:p>
            <w:pPr>
              <w:ind w:left="80"/>
              <w:spacing w:after="0" w:line="202" w:lineRule="exact"/>
              <w:rPr>
                <w:sz w:val="20"/>
                <w:szCs w:val="20"/>
                <w:color w:val="auto"/>
              </w:rPr>
            </w:pPr>
            <w:r>
              <w:rPr>
                <w:rFonts w:ascii="Arial" w:cs="Arial" w:eastAsia="Arial" w:hAnsi="Arial"/>
                <w:sz w:val="18"/>
                <w:szCs w:val="18"/>
                <w:b w:val="1"/>
                <w:bCs w:val="1"/>
                <w:color w:val="auto"/>
                <w:w w:val="99"/>
              </w:rPr>
              <w:t>$</w:t>
            </w:r>
          </w:p>
        </w:tc>
        <w:tc>
          <w:tcPr>
            <w:tcW w:w="420" w:type="dxa"/>
            <w:vAlign w:val="bottom"/>
            <w:tcBorders>
              <w:top w:val="single" w:sz="8" w:color="auto"/>
              <w:bottom w:val="single" w:sz="8" w:color="auto"/>
            </w:tcBorders>
            <w:shd w:val="clear" w:color="auto" w:fill="E5E5E5"/>
          </w:tcPr>
          <w:p>
            <w:pPr>
              <w:jc w:val="right"/>
              <w:ind w:right="52"/>
              <w:spacing w:after="0" w:line="202" w:lineRule="exact"/>
              <w:rPr>
                <w:sz w:val="20"/>
                <w:szCs w:val="20"/>
                <w:color w:val="auto"/>
              </w:rPr>
            </w:pPr>
            <w:r>
              <w:rPr>
                <w:rFonts w:ascii="Arial" w:cs="Arial" w:eastAsia="Arial" w:hAnsi="Arial"/>
                <w:sz w:val="18"/>
                <w:szCs w:val="18"/>
                <w:b w:val="1"/>
                <w:bCs w:val="1"/>
                <w:color w:val="auto"/>
              </w:rPr>
              <w:t>31</w:t>
            </w:r>
          </w:p>
        </w:tc>
        <w:tc>
          <w:tcPr>
            <w:tcW w:w="200" w:type="dxa"/>
            <w:vAlign w:val="bottom"/>
            <w:tcBorders>
              <w:top w:val="single" w:sz="8" w:color="auto"/>
              <w:bottom w:val="single" w:sz="8" w:color="auto"/>
            </w:tcBorders>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shd w:val="clear" w:color="auto" w:fill="E5E5E5"/>
          </w:tcPr>
          <w:p>
            <w:pPr>
              <w:jc w:val="right"/>
              <w:ind w:right="52"/>
              <w:spacing w:after="0" w:line="202" w:lineRule="exact"/>
              <w:rPr>
                <w:sz w:val="20"/>
                <w:szCs w:val="20"/>
                <w:color w:val="auto"/>
              </w:rPr>
            </w:pPr>
            <w:r>
              <w:rPr>
                <w:rFonts w:ascii="Arial" w:cs="Arial" w:eastAsia="Arial" w:hAnsi="Arial"/>
                <w:sz w:val="18"/>
                <w:szCs w:val="18"/>
                <w:color w:val="auto"/>
              </w:rPr>
              <w:t>34</w:t>
            </w:r>
          </w:p>
        </w:tc>
        <w:tc>
          <w:tcPr>
            <w:tcW w:w="200" w:type="dxa"/>
            <w:vAlign w:val="bottom"/>
            <w:tcBorders>
              <w:top w:val="single" w:sz="8" w:color="auto"/>
              <w:bottom w:val="single" w:sz="8" w:color="auto"/>
            </w:tcBorders>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shd w:val="clear" w:color="auto" w:fill="E5E5E5"/>
          </w:tcPr>
          <w:p>
            <w:pPr>
              <w:jc w:val="right"/>
              <w:spacing w:after="0" w:line="202" w:lineRule="exact"/>
              <w:rPr>
                <w:sz w:val="20"/>
                <w:szCs w:val="20"/>
                <w:color w:val="auto"/>
              </w:rPr>
            </w:pPr>
            <w:r>
              <w:rPr>
                <w:rFonts w:ascii="Arial" w:cs="Arial" w:eastAsia="Arial" w:hAnsi="Arial"/>
                <w:sz w:val="18"/>
                <w:szCs w:val="18"/>
                <w:color w:val="auto"/>
              </w:rPr>
              <w:t>65</w:t>
            </w:r>
          </w:p>
        </w:tc>
        <w:tc>
          <w:tcPr>
            <w:tcW w:w="60" w:type="dxa"/>
            <w:vAlign w:val="bottom"/>
            <w:shd w:val="clear" w:color="auto" w:fill="E5E5E5"/>
          </w:tcPr>
          <w:p>
            <w:pPr>
              <w:spacing w:after="0"/>
              <w:rPr>
                <w:sz w:val="17"/>
                <w:szCs w:val="17"/>
                <w:color w:val="auto"/>
              </w:rPr>
            </w:pPr>
          </w:p>
        </w:tc>
      </w:tr>
      <w:tr>
        <w:trPr>
          <w:trHeight w:val="20"/>
        </w:trPr>
        <w:tc>
          <w:tcPr>
            <w:tcW w:w="5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increase in settlement costs in 2006 is primarily due to an increase in lump sum distributions elected by retirees in 2006 as compared with previous years.</w:t>
      </w:r>
    </w:p>
    <w:p>
      <w:pPr>
        <w:spacing w:after="0" w:line="153"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For the U.S. qualified pension and retiree health care plans, the expected return on plan assets component of net periodic benefit cost is based upon a market-related value of assets. In accordance with U.S. GAAP, the market-related value of assets generally utilizes a smoothing technique whereby certain gains and losses are phased in over a period of three years.</w:t>
      </w:r>
    </w:p>
    <w:p>
      <w:pPr>
        <w:spacing w:after="0" w:line="137" w:lineRule="exact"/>
        <w:rPr>
          <w:sz w:val="20"/>
          <w:szCs w:val="20"/>
          <w:color w:val="auto"/>
        </w:rPr>
      </w:pPr>
    </w:p>
    <w:p>
      <w:pPr>
        <w:spacing w:after="0"/>
        <w:tabs>
          <w:tab w:leader="none" w:pos="8420" w:val="left"/>
        </w:tabs>
        <w:rPr>
          <w:sz w:val="20"/>
          <w:szCs w:val="20"/>
          <w:color w:val="auto"/>
        </w:rPr>
      </w:pPr>
      <w:r>
        <w:rPr>
          <w:rFonts w:ascii="Arial" w:cs="Arial" w:eastAsia="Arial" w:hAnsi="Arial"/>
          <w:sz w:val="12"/>
          <w:szCs w:val="12"/>
          <w:color w:val="auto"/>
        </w:rPr>
        <w:t>28</w:t>
      </w:r>
      <w:r>
        <w:rPr>
          <w:sz w:val="20"/>
          <w:szCs w:val="20"/>
          <w:color w:val="auto"/>
        </w:rPr>
        <w:tab/>
      </w:r>
      <w:r>
        <w:rPr>
          <w:rFonts w:ascii="Arial" w:cs="Arial" w:eastAsia="Arial" w:hAnsi="Arial"/>
          <w:sz w:val="12"/>
          <w:szCs w:val="12"/>
          <w:color w:val="auto"/>
        </w:rPr>
        <w:t>TEXAS INSTRUMENTS 2007 ANNUAL REPORT</w:t>
      </w:r>
    </w:p>
    <w:p>
      <w:pPr>
        <w:sectPr>
          <w:pgSz w:w="11900" w:h="16838" w:orient="portrait"/>
          <w:cols w:equalWidth="0" w:num="1">
            <w:col w:w="11420"/>
          </w:cols>
          <w:pgMar w:left="240" w:top="273"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Changes in the benefit obligations and plan assets for the defined benefit and retiree health care benefit plans were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60" w:type="dxa"/>
            <w:vAlign w:val="bottom"/>
            <w:shd w:val="clear" w:color="auto" w:fill="E5E5E5"/>
          </w:tcPr>
          <w:p>
            <w:pPr>
              <w:spacing w:after="0"/>
              <w:rPr>
                <w:sz w:val="14"/>
                <w:szCs w:val="14"/>
                <w:color w:val="auto"/>
              </w:rPr>
            </w:pPr>
          </w:p>
        </w:tc>
        <w:tc>
          <w:tcPr>
            <w:tcW w:w="180" w:type="dxa"/>
            <w:vAlign w:val="bottom"/>
            <w:shd w:val="clear" w:color="auto" w:fill="E5E5E5"/>
          </w:tcPr>
          <w:p>
            <w:pPr>
              <w:spacing w:after="0"/>
              <w:rPr>
                <w:sz w:val="14"/>
                <w:szCs w:val="14"/>
                <w:color w:val="auto"/>
              </w:rPr>
            </w:pPr>
          </w:p>
        </w:tc>
        <w:tc>
          <w:tcPr>
            <w:tcW w:w="160" w:type="dxa"/>
            <w:vAlign w:val="bottom"/>
            <w:shd w:val="clear" w:color="auto" w:fill="E5E5E5"/>
          </w:tcPr>
          <w:p>
            <w:pPr>
              <w:spacing w:after="0"/>
              <w:rPr>
                <w:sz w:val="14"/>
                <w:szCs w:val="14"/>
                <w:color w:val="auto"/>
              </w:rPr>
            </w:pPr>
          </w:p>
        </w:tc>
        <w:tc>
          <w:tcPr>
            <w:tcW w:w="1220" w:type="dxa"/>
            <w:vAlign w:val="bottom"/>
            <w:gridSpan w:val="3"/>
            <w:shd w:val="clear" w:color="auto" w:fill="E5E5E5"/>
          </w:tcPr>
          <w:p>
            <w:pPr>
              <w:jc w:val="right"/>
              <w:ind w:right="272"/>
              <w:spacing w:after="0"/>
              <w:rPr>
                <w:sz w:val="20"/>
                <w:szCs w:val="20"/>
                <w:color w:val="auto"/>
              </w:rPr>
            </w:pPr>
            <w:r>
              <w:rPr>
                <w:rFonts w:ascii="Arial" w:cs="Arial" w:eastAsia="Arial" w:hAnsi="Arial"/>
                <w:sz w:val="14"/>
                <w:szCs w:val="14"/>
                <w:b w:val="1"/>
                <w:bCs w:val="1"/>
                <w:color w:val="auto"/>
              </w:rPr>
              <w:t>U.S. Defined</w:t>
            </w:r>
          </w:p>
        </w:tc>
        <w:tc>
          <w:tcPr>
            <w:tcW w:w="260" w:type="dxa"/>
            <w:vAlign w:val="bottom"/>
            <w:shd w:val="clear" w:color="auto" w:fill="E5E5E5"/>
          </w:tcPr>
          <w:p>
            <w:pPr>
              <w:spacing w:after="0"/>
              <w:rPr>
                <w:sz w:val="14"/>
                <w:szCs w:val="14"/>
                <w:color w:val="auto"/>
              </w:rPr>
            </w:pPr>
          </w:p>
        </w:tc>
        <w:tc>
          <w:tcPr>
            <w:tcW w:w="1160" w:type="dxa"/>
            <w:vAlign w:val="bottom"/>
            <w:gridSpan w:val="2"/>
            <w:shd w:val="clear" w:color="auto" w:fill="E5E5E5"/>
          </w:tcPr>
          <w:p>
            <w:pPr>
              <w:jc w:val="right"/>
              <w:ind w:right="272"/>
              <w:spacing w:after="0"/>
              <w:rPr>
                <w:sz w:val="20"/>
                <w:szCs w:val="20"/>
                <w:color w:val="auto"/>
              </w:rPr>
            </w:pPr>
            <w:r>
              <w:rPr>
                <w:rFonts w:ascii="Arial" w:cs="Arial" w:eastAsia="Arial" w:hAnsi="Arial"/>
                <w:sz w:val="14"/>
                <w:szCs w:val="14"/>
                <w:b w:val="1"/>
                <w:bCs w:val="1"/>
                <w:color w:val="auto"/>
                <w:w w:val="99"/>
              </w:rPr>
              <w:t>U.S. Retiree</w:t>
            </w:r>
          </w:p>
        </w:tc>
        <w:tc>
          <w:tcPr>
            <w:tcW w:w="220" w:type="dxa"/>
            <w:vAlign w:val="bottom"/>
            <w:shd w:val="clear" w:color="auto" w:fill="E5E5E5"/>
          </w:tcPr>
          <w:p>
            <w:pPr>
              <w:spacing w:after="0"/>
              <w:rPr>
                <w:sz w:val="14"/>
                <w:szCs w:val="14"/>
                <w:color w:val="auto"/>
              </w:rPr>
            </w:pPr>
          </w:p>
        </w:tc>
        <w:tc>
          <w:tcPr>
            <w:tcW w:w="900" w:type="dxa"/>
            <w:vAlign w:val="bottom"/>
            <w:gridSpan w:val="2"/>
            <w:shd w:val="clear" w:color="auto" w:fill="E5E5E5"/>
          </w:tcPr>
          <w:p>
            <w:pPr>
              <w:jc w:val="right"/>
              <w:spacing w:after="0"/>
              <w:rPr>
                <w:sz w:val="20"/>
                <w:szCs w:val="20"/>
                <w:color w:val="auto"/>
              </w:rPr>
            </w:pPr>
            <w:r>
              <w:rPr>
                <w:rFonts w:ascii="Arial" w:cs="Arial" w:eastAsia="Arial" w:hAnsi="Arial"/>
                <w:sz w:val="14"/>
                <w:szCs w:val="14"/>
                <w:b w:val="1"/>
                <w:bCs w:val="1"/>
                <w:color w:val="auto"/>
              </w:rPr>
              <w:t>Non-U.S.</w:t>
            </w:r>
          </w:p>
        </w:tc>
        <w:tc>
          <w:tcPr>
            <w:tcW w:w="440" w:type="dxa"/>
            <w:vAlign w:val="bottom"/>
            <w:shd w:val="clear" w:color="auto" w:fill="E5E5E5"/>
          </w:tcPr>
          <w:p>
            <w:pPr>
              <w:spacing w:after="0"/>
              <w:rPr>
                <w:sz w:val="14"/>
                <w:szCs w:val="14"/>
                <w:color w:val="auto"/>
              </w:rPr>
            </w:pPr>
          </w:p>
        </w:tc>
        <w:tc>
          <w:tcPr>
            <w:tcW w:w="220" w:type="dxa"/>
            <w:vAlign w:val="bottom"/>
            <w:shd w:val="clear" w:color="auto" w:fill="E5E5E5"/>
          </w:tcPr>
          <w:p>
            <w:pPr>
              <w:spacing w:after="0"/>
              <w:rPr>
                <w:sz w:val="14"/>
                <w:szCs w:val="14"/>
                <w:color w:val="auto"/>
              </w:rPr>
            </w:pPr>
          </w:p>
        </w:tc>
      </w:tr>
      <w:tr>
        <w:trPr>
          <w:trHeight w:val="176"/>
        </w:trPr>
        <w:tc>
          <w:tcPr>
            <w:tcW w:w="6660" w:type="dxa"/>
            <w:vAlign w:val="bottom"/>
            <w:shd w:val="clear" w:color="auto" w:fill="E5E5E5"/>
          </w:tcPr>
          <w:p>
            <w:pPr>
              <w:spacing w:after="0"/>
              <w:rPr>
                <w:sz w:val="15"/>
                <w:szCs w:val="15"/>
                <w:color w:val="auto"/>
              </w:rPr>
            </w:pPr>
          </w:p>
        </w:tc>
        <w:tc>
          <w:tcPr>
            <w:tcW w:w="18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700" w:type="dxa"/>
            <w:vAlign w:val="bottom"/>
            <w:gridSpan w:val="2"/>
            <w:shd w:val="clear" w:color="auto" w:fill="E5E5E5"/>
          </w:tcPr>
          <w:p>
            <w:pPr>
              <w:jc w:val="right"/>
              <w:spacing w:after="0"/>
              <w:rPr>
                <w:sz w:val="20"/>
                <w:szCs w:val="20"/>
                <w:color w:val="auto"/>
              </w:rPr>
            </w:pPr>
            <w:r>
              <w:rPr>
                <w:rFonts w:ascii="Arial" w:cs="Arial" w:eastAsia="Arial" w:hAnsi="Arial"/>
                <w:sz w:val="14"/>
                <w:szCs w:val="14"/>
                <w:b w:val="1"/>
                <w:bCs w:val="1"/>
                <w:color w:val="auto"/>
              </w:rPr>
              <w:t>Benefit</w:t>
            </w:r>
          </w:p>
        </w:tc>
        <w:tc>
          <w:tcPr>
            <w:tcW w:w="520" w:type="dxa"/>
            <w:vAlign w:val="bottom"/>
            <w:shd w:val="clear" w:color="auto" w:fill="E5E5E5"/>
          </w:tcPr>
          <w:p>
            <w:pPr>
              <w:spacing w:after="0"/>
              <w:rPr>
                <w:sz w:val="15"/>
                <w:szCs w:val="15"/>
                <w:color w:val="auto"/>
              </w:rPr>
            </w:pPr>
          </w:p>
        </w:tc>
        <w:tc>
          <w:tcPr>
            <w:tcW w:w="260" w:type="dxa"/>
            <w:vAlign w:val="bottom"/>
            <w:shd w:val="clear" w:color="auto" w:fill="E5E5E5"/>
          </w:tcPr>
          <w:p>
            <w:pPr>
              <w:spacing w:after="0"/>
              <w:rPr>
                <w:sz w:val="15"/>
                <w:szCs w:val="15"/>
                <w:color w:val="auto"/>
              </w:rPr>
            </w:pPr>
          </w:p>
        </w:tc>
        <w:tc>
          <w:tcPr>
            <w:tcW w:w="1160" w:type="dxa"/>
            <w:vAlign w:val="bottom"/>
            <w:gridSpan w:val="2"/>
            <w:shd w:val="clear" w:color="auto" w:fill="E5E5E5"/>
          </w:tcPr>
          <w:p>
            <w:pPr>
              <w:jc w:val="right"/>
              <w:ind w:right="272"/>
              <w:spacing w:after="0"/>
              <w:rPr>
                <w:sz w:val="20"/>
                <w:szCs w:val="20"/>
                <w:color w:val="auto"/>
              </w:rPr>
            </w:pPr>
            <w:r>
              <w:rPr>
                <w:rFonts w:ascii="Arial" w:cs="Arial" w:eastAsia="Arial" w:hAnsi="Arial"/>
                <w:sz w:val="14"/>
                <w:szCs w:val="14"/>
                <w:b w:val="1"/>
                <w:bCs w:val="1"/>
                <w:color w:val="auto"/>
              </w:rPr>
              <w:t>Health Care</w:t>
            </w:r>
          </w:p>
        </w:tc>
        <w:tc>
          <w:tcPr>
            <w:tcW w:w="220" w:type="dxa"/>
            <w:vAlign w:val="bottom"/>
            <w:shd w:val="clear" w:color="auto" w:fill="E5E5E5"/>
          </w:tcPr>
          <w:p>
            <w:pPr>
              <w:spacing w:after="0"/>
              <w:rPr>
                <w:sz w:val="15"/>
                <w:szCs w:val="15"/>
                <w:color w:val="auto"/>
              </w:rPr>
            </w:pPr>
          </w:p>
        </w:tc>
        <w:tc>
          <w:tcPr>
            <w:tcW w:w="1560" w:type="dxa"/>
            <w:vAlign w:val="bottom"/>
            <w:gridSpan w:val="4"/>
            <w:shd w:val="clear" w:color="auto" w:fill="E5E5E5"/>
          </w:tcPr>
          <w:p>
            <w:pPr>
              <w:jc w:val="right"/>
              <w:ind w:right="460"/>
              <w:spacing w:after="0"/>
              <w:rPr>
                <w:sz w:val="20"/>
                <w:szCs w:val="20"/>
                <w:color w:val="auto"/>
              </w:rPr>
            </w:pPr>
            <w:r>
              <w:rPr>
                <w:rFonts w:ascii="Arial" w:cs="Arial" w:eastAsia="Arial" w:hAnsi="Arial"/>
                <w:sz w:val="14"/>
                <w:szCs w:val="14"/>
                <w:b w:val="1"/>
                <w:bCs w:val="1"/>
                <w:color w:val="auto"/>
              </w:rPr>
              <w:t>Defined Benefit</w:t>
            </w:r>
          </w:p>
        </w:tc>
      </w:tr>
      <w:tr>
        <w:trPr>
          <w:trHeight w:val="203"/>
        </w:trPr>
        <w:tc>
          <w:tcPr>
            <w:tcW w:w="6660" w:type="dxa"/>
            <w:vAlign w:val="bottom"/>
            <w:shd w:val="clear" w:color="auto" w:fill="E5E5E5"/>
          </w:tcPr>
          <w:p>
            <w:pPr>
              <w:spacing w:after="0"/>
              <w:rPr>
                <w:sz w:val="17"/>
                <w:szCs w:val="17"/>
                <w:color w:val="auto"/>
              </w:rPr>
            </w:pPr>
          </w:p>
        </w:tc>
        <w:tc>
          <w:tcPr>
            <w:tcW w:w="840" w:type="dxa"/>
            <w:vAlign w:val="bottom"/>
            <w:gridSpan w:val="3"/>
            <w:shd w:val="clear" w:color="auto" w:fill="E5E5E5"/>
          </w:tcPr>
          <w:p>
            <w:pPr>
              <w:jc w:val="right"/>
              <w:ind w:right="134"/>
              <w:spacing w:after="0" w:line="202" w:lineRule="exact"/>
              <w:rPr>
                <w:sz w:val="20"/>
                <w:szCs w:val="20"/>
                <w:color w:val="auto"/>
              </w:rPr>
            </w:pPr>
            <w:r>
              <w:rPr>
                <w:rFonts w:ascii="Arial" w:cs="Arial" w:eastAsia="Arial" w:hAnsi="Arial"/>
                <w:sz w:val="18"/>
                <w:szCs w:val="18"/>
                <w:b w:val="1"/>
                <w:bCs w:val="1"/>
                <w:color w:val="auto"/>
              </w:rPr>
              <w:t>2007</w:t>
            </w:r>
          </w:p>
        </w:tc>
        <w:tc>
          <w:tcPr>
            <w:tcW w:w="720" w:type="dxa"/>
            <w:vAlign w:val="bottom"/>
            <w:gridSpan w:val="2"/>
            <w:shd w:val="clear" w:color="auto" w:fill="E5E5E5"/>
          </w:tcPr>
          <w:p>
            <w:pPr>
              <w:jc w:val="right"/>
              <w:ind w:right="112"/>
              <w:spacing w:after="0" w:line="202" w:lineRule="exact"/>
              <w:rPr>
                <w:sz w:val="20"/>
                <w:szCs w:val="20"/>
                <w:color w:val="auto"/>
              </w:rPr>
            </w:pPr>
            <w:r>
              <w:rPr>
                <w:rFonts w:ascii="Arial" w:cs="Arial" w:eastAsia="Arial" w:hAnsi="Arial"/>
                <w:sz w:val="18"/>
                <w:szCs w:val="18"/>
                <w:b w:val="1"/>
                <w:bCs w:val="1"/>
                <w:color w:val="auto"/>
              </w:rPr>
              <w:t>2006</w:t>
            </w:r>
          </w:p>
        </w:tc>
        <w:tc>
          <w:tcPr>
            <w:tcW w:w="760" w:type="dxa"/>
            <w:vAlign w:val="bottom"/>
            <w:gridSpan w:val="2"/>
            <w:shd w:val="clear" w:color="auto" w:fill="E5E5E5"/>
          </w:tcPr>
          <w:p>
            <w:pPr>
              <w:jc w:val="right"/>
              <w:ind w:right="114"/>
              <w:spacing w:after="0" w:line="202" w:lineRule="exact"/>
              <w:rPr>
                <w:sz w:val="20"/>
                <w:szCs w:val="20"/>
                <w:color w:val="auto"/>
              </w:rPr>
            </w:pPr>
            <w:r>
              <w:rPr>
                <w:rFonts w:ascii="Arial" w:cs="Arial" w:eastAsia="Arial" w:hAnsi="Arial"/>
                <w:sz w:val="18"/>
                <w:szCs w:val="18"/>
                <w:b w:val="1"/>
                <w:bCs w:val="1"/>
                <w:color w:val="auto"/>
              </w:rPr>
              <w:t>2007</w:t>
            </w:r>
          </w:p>
        </w:tc>
        <w:tc>
          <w:tcPr>
            <w:tcW w:w="660" w:type="dxa"/>
            <w:vAlign w:val="bottom"/>
            <w:shd w:val="clear" w:color="auto" w:fill="E5E5E5"/>
          </w:tcPr>
          <w:p>
            <w:pPr>
              <w:jc w:val="right"/>
              <w:ind w:right="72"/>
              <w:spacing w:after="0" w:line="202" w:lineRule="exact"/>
              <w:rPr>
                <w:sz w:val="20"/>
                <w:szCs w:val="20"/>
                <w:color w:val="auto"/>
              </w:rPr>
            </w:pPr>
            <w:r>
              <w:rPr>
                <w:rFonts w:ascii="Arial" w:cs="Arial" w:eastAsia="Arial" w:hAnsi="Arial"/>
                <w:sz w:val="18"/>
                <w:szCs w:val="18"/>
                <w:b w:val="1"/>
                <w:bCs w:val="1"/>
                <w:color w:val="auto"/>
              </w:rPr>
              <w:t>2006</w:t>
            </w:r>
          </w:p>
        </w:tc>
        <w:tc>
          <w:tcPr>
            <w:tcW w:w="220" w:type="dxa"/>
            <w:vAlign w:val="bottom"/>
            <w:shd w:val="clear" w:color="auto" w:fill="E5E5E5"/>
          </w:tcPr>
          <w:p>
            <w:pPr>
              <w:spacing w:after="0"/>
              <w:rPr>
                <w:sz w:val="17"/>
                <w:szCs w:val="17"/>
                <w:color w:val="auto"/>
              </w:rPr>
            </w:pPr>
          </w:p>
        </w:tc>
        <w:tc>
          <w:tcPr>
            <w:tcW w:w="700" w:type="dxa"/>
            <w:vAlign w:val="bottom"/>
            <w:shd w:val="clear" w:color="auto" w:fill="E5E5E5"/>
          </w:tcPr>
          <w:p>
            <w:pPr>
              <w:jc w:val="right"/>
              <w:ind w:right="214"/>
              <w:spacing w:after="0" w:line="202" w:lineRule="exact"/>
              <w:rPr>
                <w:sz w:val="20"/>
                <w:szCs w:val="20"/>
                <w:color w:val="auto"/>
              </w:rPr>
            </w:pPr>
            <w:r>
              <w:rPr>
                <w:rFonts w:ascii="Arial" w:cs="Arial" w:eastAsia="Arial" w:hAnsi="Arial"/>
                <w:sz w:val="18"/>
                <w:szCs w:val="18"/>
                <w:b w:val="1"/>
                <w:bCs w:val="1"/>
                <w:color w:val="auto"/>
                <w:w w:val="94"/>
              </w:rPr>
              <w:t>2007</w:t>
            </w:r>
          </w:p>
        </w:tc>
        <w:tc>
          <w:tcPr>
            <w:tcW w:w="64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2006</w:t>
            </w:r>
          </w:p>
        </w:tc>
        <w:tc>
          <w:tcPr>
            <w:tcW w:w="220" w:type="dxa"/>
            <w:vAlign w:val="bottom"/>
            <w:shd w:val="clear" w:color="auto" w:fill="E5E5E5"/>
          </w:tcPr>
          <w:p>
            <w:pPr>
              <w:spacing w:after="0"/>
              <w:rPr>
                <w:sz w:val="17"/>
                <w:szCs w:val="17"/>
                <w:color w:val="auto"/>
              </w:rPr>
            </w:pPr>
          </w:p>
        </w:tc>
      </w:tr>
      <w:tr>
        <w:trPr>
          <w:trHeight w:val="351"/>
        </w:trPr>
        <w:tc>
          <w:tcPr>
            <w:tcW w:w="6660" w:type="dxa"/>
            <w:vAlign w:val="bottom"/>
          </w:tcPr>
          <w:p>
            <w:pPr>
              <w:spacing w:after="0"/>
              <w:rPr>
                <w:sz w:val="20"/>
                <w:szCs w:val="20"/>
                <w:color w:val="auto"/>
              </w:rPr>
            </w:pPr>
            <w:r>
              <w:rPr>
                <w:rFonts w:ascii="Arial" w:cs="Arial" w:eastAsia="Arial" w:hAnsi="Arial"/>
                <w:sz w:val="18"/>
                <w:szCs w:val="18"/>
                <w:color w:val="auto"/>
              </w:rPr>
              <w:t>Change in plan benefit obligation:</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03"/>
        </w:trPr>
        <w:tc>
          <w:tcPr>
            <w:tcW w:w="66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Benefit obligation at beginning of year</w:t>
            </w:r>
          </w:p>
        </w:tc>
        <w:tc>
          <w:tcPr>
            <w:tcW w:w="34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E5E5E5"/>
          </w:tcPr>
          <w:p>
            <w:pPr>
              <w:jc w:val="right"/>
              <w:ind w:right="74"/>
              <w:spacing w:after="0" w:line="202" w:lineRule="exact"/>
              <w:rPr>
                <w:sz w:val="20"/>
                <w:szCs w:val="20"/>
                <w:color w:val="auto"/>
              </w:rPr>
            </w:pPr>
            <w:r>
              <w:rPr>
                <w:rFonts w:ascii="Arial" w:cs="Arial" w:eastAsia="Arial" w:hAnsi="Arial"/>
                <w:sz w:val="18"/>
                <w:szCs w:val="18"/>
                <w:b w:val="1"/>
                <w:bCs w:val="1"/>
                <w:color w:val="auto"/>
              </w:rPr>
              <w:t>788</w:t>
            </w:r>
          </w:p>
        </w:tc>
        <w:tc>
          <w:tcPr>
            <w:tcW w:w="2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E5E5E5"/>
          </w:tcPr>
          <w:p>
            <w:pPr>
              <w:jc w:val="right"/>
              <w:ind w:right="52"/>
              <w:spacing w:after="0" w:line="202" w:lineRule="exact"/>
              <w:rPr>
                <w:sz w:val="20"/>
                <w:szCs w:val="20"/>
                <w:color w:val="auto"/>
              </w:rPr>
            </w:pPr>
            <w:r>
              <w:rPr>
                <w:rFonts w:ascii="Arial" w:cs="Arial" w:eastAsia="Arial" w:hAnsi="Arial"/>
                <w:sz w:val="18"/>
                <w:szCs w:val="18"/>
                <w:color w:val="auto"/>
              </w:rPr>
              <w:t>798</w:t>
            </w:r>
          </w:p>
        </w:tc>
        <w:tc>
          <w:tcPr>
            <w:tcW w:w="2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E5E5E5"/>
          </w:tcPr>
          <w:p>
            <w:pPr>
              <w:jc w:val="right"/>
              <w:ind w:right="74"/>
              <w:spacing w:after="0" w:line="202" w:lineRule="exact"/>
              <w:rPr>
                <w:sz w:val="20"/>
                <w:szCs w:val="20"/>
                <w:color w:val="auto"/>
              </w:rPr>
            </w:pPr>
            <w:r>
              <w:rPr>
                <w:rFonts w:ascii="Arial" w:cs="Arial" w:eastAsia="Arial" w:hAnsi="Arial"/>
                <w:sz w:val="18"/>
                <w:szCs w:val="18"/>
                <w:b w:val="1"/>
                <w:bCs w:val="1"/>
                <w:color w:val="auto"/>
              </w:rPr>
              <w:t>444</w:t>
            </w:r>
          </w:p>
        </w:tc>
        <w:tc>
          <w:tcPr>
            <w:tcW w:w="660" w:type="dxa"/>
            <w:vAlign w:val="bottom"/>
            <w:shd w:val="clear" w:color="auto" w:fill="E5E5E5"/>
          </w:tcPr>
          <w:p>
            <w:pPr>
              <w:jc w:val="right"/>
              <w:ind w:right="72"/>
              <w:spacing w:after="0" w:line="202" w:lineRule="exact"/>
              <w:rPr>
                <w:sz w:val="20"/>
                <w:szCs w:val="20"/>
                <w:color w:val="auto"/>
              </w:rPr>
            </w:pPr>
            <w:r>
              <w:rPr>
                <w:rFonts w:ascii="Arial" w:cs="Arial" w:eastAsia="Arial" w:hAnsi="Arial"/>
                <w:sz w:val="18"/>
                <w:szCs w:val="18"/>
                <w:color w:val="auto"/>
              </w:rPr>
              <w:t>$442</w:t>
            </w:r>
          </w:p>
        </w:tc>
        <w:tc>
          <w:tcPr>
            <w:tcW w:w="2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E5E5E5"/>
          </w:tcPr>
          <w:p>
            <w:pPr>
              <w:jc w:val="right"/>
              <w:ind w:right="74"/>
              <w:spacing w:after="0" w:line="202" w:lineRule="exact"/>
              <w:rPr>
                <w:sz w:val="20"/>
                <w:szCs w:val="20"/>
                <w:color w:val="auto"/>
              </w:rPr>
            </w:pPr>
            <w:r>
              <w:rPr>
                <w:rFonts w:ascii="Arial" w:cs="Arial" w:eastAsia="Arial" w:hAnsi="Arial"/>
                <w:sz w:val="18"/>
                <w:szCs w:val="18"/>
                <w:b w:val="1"/>
                <w:bCs w:val="1"/>
                <w:color w:val="auto"/>
              </w:rPr>
              <w:t>1,695</w:t>
            </w:r>
          </w:p>
        </w:tc>
        <w:tc>
          <w:tcPr>
            <w:tcW w:w="2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4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93"/>
              </w:rPr>
              <w:t>1,603</w:t>
            </w:r>
          </w:p>
        </w:tc>
        <w:tc>
          <w:tcPr>
            <w:tcW w:w="220" w:type="dxa"/>
            <w:vAlign w:val="bottom"/>
            <w:shd w:val="clear" w:color="auto" w:fill="E5E5E5"/>
          </w:tcPr>
          <w:p>
            <w:pPr>
              <w:spacing w:after="0"/>
              <w:rPr>
                <w:sz w:val="17"/>
                <w:szCs w:val="17"/>
                <w:color w:val="auto"/>
              </w:rPr>
            </w:pPr>
          </w:p>
        </w:tc>
      </w:tr>
      <w:tr>
        <w:trPr>
          <w:trHeight w:val="203"/>
        </w:trPr>
        <w:tc>
          <w:tcPr>
            <w:tcW w:w="6660" w:type="dxa"/>
            <w:vAlign w:val="bottom"/>
          </w:tcPr>
          <w:p>
            <w:pPr>
              <w:ind w:left="220"/>
              <w:spacing w:after="0" w:line="202" w:lineRule="exact"/>
              <w:rPr>
                <w:sz w:val="20"/>
                <w:szCs w:val="20"/>
                <w:color w:val="auto"/>
              </w:rPr>
            </w:pPr>
            <w:r>
              <w:rPr>
                <w:rFonts w:ascii="Arial" w:cs="Arial" w:eastAsia="Arial" w:hAnsi="Arial"/>
                <w:sz w:val="18"/>
                <w:szCs w:val="18"/>
                <w:color w:val="auto"/>
              </w:rPr>
              <w:t>Service cost</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jc w:val="right"/>
              <w:ind w:right="74"/>
              <w:spacing w:after="0" w:line="202" w:lineRule="exact"/>
              <w:rPr>
                <w:sz w:val="20"/>
                <w:szCs w:val="20"/>
                <w:color w:val="auto"/>
              </w:rPr>
            </w:pPr>
            <w:r>
              <w:rPr>
                <w:rFonts w:ascii="Arial" w:cs="Arial" w:eastAsia="Arial" w:hAnsi="Arial"/>
                <w:sz w:val="18"/>
                <w:szCs w:val="18"/>
                <w:b w:val="1"/>
                <w:bCs w:val="1"/>
                <w:color w:val="auto"/>
              </w:rPr>
              <w:t>24</w:t>
            </w:r>
          </w:p>
        </w:tc>
        <w:tc>
          <w:tcPr>
            <w:tcW w:w="200" w:type="dxa"/>
            <w:vAlign w:val="bottom"/>
          </w:tcPr>
          <w:p>
            <w:pPr>
              <w:spacing w:after="0"/>
              <w:rPr>
                <w:sz w:val="17"/>
                <w:szCs w:val="17"/>
                <w:color w:val="auto"/>
              </w:rPr>
            </w:pPr>
          </w:p>
        </w:tc>
        <w:tc>
          <w:tcPr>
            <w:tcW w:w="5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26</w:t>
            </w:r>
          </w:p>
        </w:tc>
        <w:tc>
          <w:tcPr>
            <w:tcW w:w="260" w:type="dxa"/>
            <w:vAlign w:val="bottom"/>
          </w:tcPr>
          <w:p>
            <w:pPr>
              <w:spacing w:after="0"/>
              <w:rPr>
                <w:sz w:val="17"/>
                <w:szCs w:val="17"/>
                <w:color w:val="auto"/>
              </w:rPr>
            </w:pPr>
          </w:p>
        </w:tc>
        <w:tc>
          <w:tcPr>
            <w:tcW w:w="500" w:type="dxa"/>
            <w:vAlign w:val="bottom"/>
          </w:tcPr>
          <w:p>
            <w:pPr>
              <w:jc w:val="right"/>
              <w:ind w:right="74"/>
              <w:spacing w:after="0" w:line="202" w:lineRule="exact"/>
              <w:rPr>
                <w:sz w:val="20"/>
                <w:szCs w:val="20"/>
                <w:color w:val="auto"/>
              </w:rPr>
            </w:pPr>
            <w:r>
              <w:rPr>
                <w:rFonts w:ascii="Arial" w:cs="Arial" w:eastAsia="Arial" w:hAnsi="Arial"/>
                <w:sz w:val="18"/>
                <w:szCs w:val="18"/>
                <w:b w:val="1"/>
                <w:bCs w:val="1"/>
                <w:color w:val="auto"/>
              </w:rPr>
              <w:t>4</w:t>
            </w:r>
          </w:p>
        </w:tc>
        <w:tc>
          <w:tcPr>
            <w:tcW w:w="660" w:type="dxa"/>
            <w:vAlign w:val="bottom"/>
          </w:tcPr>
          <w:p>
            <w:pPr>
              <w:jc w:val="right"/>
              <w:ind w:right="72"/>
              <w:spacing w:after="0" w:line="202" w:lineRule="exact"/>
              <w:rPr>
                <w:sz w:val="20"/>
                <w:szCs w:val="20"/>
                <w:color w:val="auto"/>
              </w:rPr>
            </w:pPr>
            <w:r>
              <w:rPr>
                <w:rFonts w:ascii="Arial" w:cs="Arial" w:eastAsia="Arial" w:hAnsi="Arial"/>
                <w:sz w:val="18"/>
                <w:szCs w:val="18"/>
                <w:color w:val="auto"/>
              </w:rPr>
              <w:t>4</w:t>
            </w:r>
          </w:p>
        </w:tc>
        <w:tc>
          <w:tcPr>
            <w:tcW w:w="220" w:type="dxa"/>
            <w:vAlign w:val="bottom"/>
          </w:tcPr>
          <w:p>
            <w:pPr>
              <w:spacing w:after="0"/>
              <w:rPr>
                <w:sz w:val="17"/>
                <w:szCs w:val="17"/>
                <w:color w:val="auto"/>
              </w:rPr>
            </w:pPr>
          </w:p>
        </w:tc>
        <w:tc>
          <w:tcPr>
            <w:tcW w:w="700" w:type="dxa"/>
            <w:vAlign w:val="bottom"/>
          </w:tcPr>
          <w:p>
            <w:pPr>
              <w:jc w:val="right"/>
              <w:ind w:right="74"/>
              <w:spacing w:after="0" w:line="202" w:lineRule="exact"/>
              <w:rPr>
                <w:sz w:val="20"/>
                <w:szCs w:val="20"/>
                <w:color w:val="auto"/>
              </w:rPr>
            </w:pPr>
            <w:r>
              <w:rPr>
                <w:rFonts w:ascii="Arial" w:cs="Arial" w:eastAsia="Arial" w:hAnsi="Arial"/>
                <w:sz w:val="18"/>
                <w:szCs w:val="18"/>
                <w:b w:val="1"/>
                <w:bCs w:val="1"/>
                <w:color w:val="auto"/>
              </w:rPr>
              <w:t>46</w:t>
            </w:r>
          </w:p>
        </w:tc>
        <w:tc>
          <w:tcPr>
            <w:tcW w:w="200" w:type="dxa"/>
            <w:vAlign w:val="bottom"/>
          </w:tcPr>
          <w:p>
            <w:pPr>
              <w:spacing w:after="0"/>
              <w:rPr>
                <w:sz w:val="17"/>
                <w:szCs w:val="17"/>
                <w:color w:val="auto"/>
              </w:rPr>
            </w:pPr>
          </w:p>
        </w:tc>
        <w:tc>
          <w:tcPr>
            <w:tcW w:w="6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44</w:t>
            </w:r>
          </w:p>
        </w:tc>
      </w:tr>
      <w:tr>
        <w:trPr>
          <w:trHeight w:val="203"/>
        </w:trPr>
        <w:tc>
          <w:tcPr>
            <w:tcW w:w="666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Interest cost</w:t>
            </w:r>
          </w:p>
        </w:tc>
        <w:tc>
          <w:tcPr>
            <w:tcW w:w="18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500" w:type="dxa"/>
            <w:vAlign w:val="bottom"/>
            <w:shd w:val="clear" w:color="auto" w:fill="E5E5E5"/>
          </w:tcPr>
          <w:p>
            <w:pPr>
              <w:jc w:val="right"/>
              <w:ind w:right="74"/>
              <w:spacing w:after="0" w:line="202" w:lineRule="exact"/>
              <w:rPr>
                <w:sz w:val="20"/>
                <w:szCs w:val="20"/>
                <w:color w:val="auto"/>
              </w:rPr>
            </w:pPr>
            <w:r>
              <w:rPr>
                <w:rFonts w:ascii="Arial" w:cs="Arial" w:eastAsia="Arial" w:hAnsi="Arial"/>
                <w:sz w:val="18"/>
                <w:szCs w:val="18"/>
                <w:b w:val="1"/>
                <w:bCs w:val="1"/>
                <w:color w:val="auto"/>
              </w:rPr>
              <w:t>43</w:t>
            </w:r>
          </w:p>
        </w:tc>
        <w:tc>
          <w:tcPr>
            <w:tcW w:w="200" w:type="dxa"/>
            <w:vAlign w:val="bottom"/>
            <w:shd w:val="clear" w:color="auto" w:fill="E5E5E5"/>
          </w:tcPr>
          <w:p>
            <w:pPr>
              <w:spacing w:after="0"/>
              <w:rPr>
                <w:sz w:val="17"/>
                <w:szCs w:val="17"/>
                <w:color w:val="auto"/>
              </w:rPr>
            </w:pPr>
          </w:p>
        </w:tc>
        <w:tc>
          <w:tcPr>
            <w:tcW w:w="520" w:type="dxa"/>
            <w:vAlign w:val="bottom"/>
            <w:shd w:val="clear" w:color="auto" w:fill="E5E5E5"/>
          </w:tcPr>
          <w:p>
            <w:pPr>
              <w:jc w:val="right"/>
              <w:ind w:right="52"/>
              <w:spacing w:after="0" w:line="202" w:lineRule="exact"/>
              <w:rPr>
                <w:sz w:val="20"/>
                <w:szCs w:val="20"/>
                <w:color w:val="auto"/>
              </w:rPr>
            </w:pPr>
            <w:r>
              <w:rPr>
                <w:rFonts w:ascii="Arial" w:cs="Arial" w:eastAsia="Arial" w:hAnsi="Arial"/>
                <w:sz w:val="18"/>
                <w:szCs w:val="18"/>
                <w:color w:val="auto"/>
              </w:rPr>
              <w:t>45</w:t>
            </w:r>
          </w:p>
        </w:tc>
        <w:tc>
          <w:tcPr>
            <w:tcW w:w="260" w:type="dxa"/>
            <w:vAlign w:val="bottom"/>
            <w:shd w:val="clear" w:color="auto" w:fill="E5E5E5"/>
          </w:tcPr>
          <w:p>
            <w:pPr>
              <w:spacing w:after="0"/>
              <w:rPr>
                <w:sz w:val="17"/>
                <w:szCs w:val="17"/>
                <w:color w:val="auto"/>
              </w:rPr>
            </w:pPr>
          </w:p>
        </w:tc>
        <w:tc>
          <w:tcPr>
            <w:tcW w:w="500" w:type="dxa"/>
            <w:vAlign w:val="bottom"/>
            <w:shd w:val="clear" w:color="auto" w:fill="E5E5E5"/>
          </w:tcPr>
          <w:p>
            <w:pPr>
              <w:jc w:val="right"/>
              <w:ind w:right="74"/>
              <w:spacing w:after="0" w:line="202" w:lineRule="exact"/>
              <w:rPr>
                <w:sz w:val="20"/>
                <w:szCs w:val="20"/>
                <w:color w:val="auto"/>
              </w:rPr>
            </w:pPr>
            <w:r>
              <w:rPr>
                <w:rFonts w:ascii="Arial" w:cs="Arial" w:eastAsia="Arial" w:hAnsi="Arial"/>
                <w:sz w:val="18"/>
                <w:szCs w:val="18"/>
                <w:b w:val="1"/>
                <w:bCs w:val="1"/>
                <w:color w:val="auto"/>
              </w:rPr>
              <w:t>25</w:t>
            </w:r>
          </w:p>
        </w:tc>
        <w:tc>
          <w:tcPr>
            <w:tcW w:w="660" w:type="dxa"/>
            <w:vAlign w:val="bottom"/>
            <w:shd w:val="clear" w:color="auto" w:fill="E5E5E5"/>
          </w:tcPr>
          <w:p>
            <w:pPr>
              <w:jc w:val="right"/>
              <w:ind w:right="72"/>
              <w:spacing w:after="0" w:line="202" w:lineRule="exact"/>
              <w:rPr>
                <w:sz w:val="20"/>
                <w:szCs w:val="20"/>
                <w:color w:val="auto"/>
              </w:rPr>
            </w:pPr>
            <w:r>
              <w:rPr>
                <w:rFonts w:ascii="Arial" w:cs="Arial" w:eastAsia="Arial" w:hAnsi="Arial"/>
                <w:sz w:val="18"/>
                <w:szCs w:val="18"/>
                <w:color w:val="auto"/>
              </w:rPr>
              <w:t>25</w:t>
            </w:r>
          </w:p>
        </w:tc>
        <w:tc>
          <w:tcPr>
            <w:tcW w:w="220" w:type="dxa"/>
            <w:vAlign w:val="bottom"/>
            <w:shd w:val="clear" w:color="auto" w:fill="E5E5E5"/>
          </w:tcPr>
          <w:p>
            <w:pPr>
              <w:spacing w:after="0"/>
              <w:rPr>
                <w:sz w:val="17"/>
                <w:szCs w:val="17"/>
                <w:color w:val="auto"/>
              </w:rPr>
            </w:pPr>
          </w:p>
        </w:tc>
        <w:tc>
          <w:tcPr>
            <w:tcW w:w="700" w:type="dxa"/>
            <w:vAlign w:val="bottom"/>
            <w:shd w:val="clear" w:color="auto" w:fill="E5E5E5"/>
          </w:tcPr>
          <w:p>
            <w:pPr>
              <w:jc w:val="right"/>
              <w:ind w:right="74"/>
              <w:spacing w:after="0" w:line="202" w:lineRule="exact"/>
              <w:rPr>
                <w:sz w:val="20"/>
                <w:szCs w:val="20"/>
                <w:color w:val="auto"/>
              </w:rPr>
            </w:pPr>
            <w:r>
              <w:rPr>
                <w:rFonts w:ascii="Arial" w:cs="Arial" w:eastAsia="Arial" w:hAnsi="Arial"/>
                <w:sz w:val="18"/>
                <w:szCs w:val="18"/>
                <w:b w:val="1"/>
                <w:bCs w:val="1"/>
                <w:color w:val="auto"/>
              </w:rPr>
              <w:t>52</w:t>
            </w:r>
          </w:p>
        </w:tc>
        <w:tc>
          <w:tcPr>
            <w:tcW w:w="200" w:type="dxa"/>
            <w:vAlign w:val="bottom"/>
            <w:shd w:val="clear" w:color="auto" w:fill="E5E5E5"/>
          </w:tcPr>
          <w:p>
            <w:pPr>
              <w:spacing w:after="0"/>
              <w:rPr>
                <w:sz w:val="17"/>
                <w:szCs w:val="17"/>
                <w:color w:val="auto"/>
              </w:rPr>
            </w:pPr>
          </w:p>
        </w:tc>
        <w:tc>
          <w:tcPr>
            <w:tcW w:w="66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46</w:t>
            </w:r>
          </w:p>
        </w:tc>
      </w:tr>
      <w:tr>
        <w:trPr>
          <w:trHeight w:val="203"/>
        </w:trPr>
        <w:tc>
          <w:tcPr>
            <w:tcW w:w="6660" w:type="dxa"/>
            <w:vAlign w:val="bottom"/>
          </w:tcPr>
          <w:p>
            <w:pPr>
              <w:ind w:left="220"/>
              <w:spacing w:after="0" w:line="202" w:lineRule="exact"/>
              <w:rPr>
                <w:sz w:val="20"/>
                <w:szCs w:val="20"/>
                <w:color w:val="auto"/>
              </w:rPr>
            </w:pPr>
            <w:r>
              <w:rPr>
                <w:rFonts w:ascii="Arial" w:cs="Arial" w:eastAsia="Arial" w:hAnsi="Arial"/>
                <w:sz w:val="18"/>
                <w:szCs w:val="18"/>
                <w:color w:val="auto"/>
              </w:rPr>
              <w:t>Change in measurement date</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jc w:val="right"/>
              <w:ind w:right="74"/>
              <w:spacing w:after="0" w:line="202" w:lineRule="exact"/>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7"/>
                <w:szCs w:val="17"/>
                <w:color w:val="auto"/>
              </w:rPr>
            </w:pPr>
          </w:p>
        </w:tc>
        <w:tc>
          <w:tcPr>
            <w:tcW w:w="5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500" w:type="dxa"/>
            <w:vAlign w:val="bottom"/>
          </w:tcPr>
          <w:p>
            <w:pPr>
              <w:jc w:val="right"/>
              <w:ind w:right="74"/>
              <w:spacing w:after="0" w:line="202" w:lineRule="exact"/>
              <w:rPr>
                <w:sz w:val="20"/>
                <w:szCs w:val="20"/>
                <w:color w:val="auto"/>
              </w:rPr>
            </w:pPr>
            <w:r>
              <w:rPr>
                <w:rFonts w:ascii="Arial" w:cs="Arial" w:eastAsia="Arial" w:hAnsi="Arial"/>
                <w:sz w:val="18"/>
                <w:szCs w:val="18"/>
                <w:b w:val="1"/>
                <w:bCs w:val="1"/>
                <w:color w:val="auto"/>
              </w:rPr>
              <w:t>—</w:t>
            </w:r>
          </w:p>
        </w:tc>
        <w:tc>
          <w:tcPr>
            <w:tcW w:w="660" w:type="dxa"/>
            <w:vAlign w:val="bottom"/>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00" w:type="dxa"/>
            <w:vAlign w:val="bottom"/>
          </w:tcPr>
          <w:p>
            <w:pPr>
              <w:jc w:val="right"/>
              <w:ind w:right="74"/>
              <w:spacing w:after="0" w:line="202" w:lineRule="exact"/>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7"/>
                <w:szCs w:val="17"/>
                <w:color w:val="auto"/>
              </w:rPr>
            </w:pPr>
          </w:p>
        </w:tc>
        <w:tc>
          <w:tcPr>
            <w:tcW w:w="6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22</w:t>
            </w:r>
          </w:p>
        </w:tc>
      </w:tr>
      <w:tr>
        <w:trPr>
          <w:trHeight w:val="203"/>
        </w:trPr>
        <w:tc>
          <w:tcPr>
            <w:tcW w:w="666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Participant contributions</w:t>
            </w:r>
          </w:p>
        </w:tc>
        <w:tc>
          <w:tcPr>
            <w:tcW w:w="18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500" w:type="dxa"/>
            <w:vAlign w:val="bottom"/>
            <w:shd w:val="clear" w:color="auto" w:fill="E5E5E5"/>
          </w:tcPr>
          <w:p>
            <w:pPr>
              <w:jc w:val="right"/>
              <w:ind w:right="74"/>
              <w:spacing w:after="0" w:line="202" w:lineRule="exact"/>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E5E5E5"/>
          </w:tcPr>
          <w:p>
            <w:pPr>
              <w:spacing w:after="0"/>
              <w:rPr>
                <w:sz w:val="17"/>
                <w:szCs w:val="17"/>
                <w:color w:val="auto"/>
              </w:rPr>
            </w:pPr>
          </w:p>
        </w:tc>
        <w:tc>
          <w:tcPr>
            <w:tcW w:w="520" w:type="dxa"/>
            <w:vAlign w:val="bottom"/>
            <w:shd w:val="clear" w:color="auto" w:fill="E5E5E5"/>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7"/>
                <w:szCs w:val="17"/>
                <w:color w:val="auto"/>
              </w:rPr>
            </w:pPr>
          </w:p>
        </w:tc>
        <w:tc>
          <w:tcPr>
            <w:tcW w:w="500" w:type="dxa"/>
            <w:vAlign w:val="bottom"/>
            <w:shd w:val="clear" w:color="auto" w:fill="E5E5E5"/>
          </w:tcPr>
          <w:p>
            <w:pPr>
              <w:jc w:val="right"/>
              <w:ind w:right="74"/>
              <w:spacing w:after="0" w:line="202" w:lineRule="exact"/>
              <w:rPr>
                <w:sz w:val="20"/>
                <w:szCs w:val="20"/>
                <w:color w:val="auto"/>
              </w:rPr>
            </w:pPr>
            <w:r>
              <w:rPr>
                <w:rFonts w:ascii="Arial" w:cs="Arial" w:eastAsia="Arial" w:hAnsi="Arial"/>
                <w:sz w:val="18"/>
                <w:szCs w:val="18"/>
                <w:b w:val="1"/>
                <w:bCs w:val="1"/>
                <w:color w:val="auto"/>
              </w:rPr>
              <w:t>16</w:t>
            </w:r>
          </w:p>
        </w:tc>
        <w:tc>
          <w:tcPr>
            <w:tcW w:w="660" w:type="dxa"/>
            <w:vAlign w:val="bottom"/>
            <w:shd w:val="clear" w:color="auto" w:fill="E5E5E5"/>
          </w:tcPr>
          <w:p>
            <w:pPr>
              <w:jc w:val="right"/>
              <w:ind w:right="72"/>
              <w:spacing w:after="0" w:line="202" w:lineRule="exact"/>
              <w:rPr>
                <w:sz w:val="20"/>
                <w:szCs w:val="20"/>
                <w:color w:val="auto"/>
              </w:rPr>
            </w:pPr>
            <w:r>
              <w:rPr>
                <w:rFonts w:ascii="Arial" w:cs="Arial" w:eastAsia="Arial" w:hAnsi="Arial"/>
                <w:sz w:val="18"/>
                <w:szCs w:val="18"/>
                <w:color w:val="auto"/>
              </w:rPr>
              <w:t>15</w:t>
            </w:r>
          </w:p>
        </w:tc>
        <w:tc>
          <w:tcPr>
            <w:tcW w:w="220" w:type="dxa"/>
            <w:vAlign w:val="bottom"/>
            <w:shd w:val="clear" w:color="auto" w:fill="E5E5E5"/>
          </w:tcPr>
          <w:p>
            <w:pPr>
              <w:spacing w:after="0"/>
              <w:rPr>
                <w:sz w:val="17"/>
                <w:szCs w:val="17"/>
                <w:color w:val="auto"/>
              </w:rPr>
            </w:pPr>
          </w:p>
        </w:tc>
        <w:tc>
          <w:tcPr>
            <w:tcW w:w="700" w:type="dxa"/>
            <w:vAlign w:val="bottom"/>
            <w:shd w:val="clear" w:color="auto" w:fill="E5E5E5"/>
          </w:tcPr>
          <w:p>
            <w:pPr>
              <w:jc w:val="right"/>
              <w:ind w:right="74"/>
              <w:spacing w:after="0" w:line="202" w:lineRule="exact"/>
              <w:rPr>
                <w:sz w:val="20"/>
                <w:szCs w:val="20"/>
                <w:color w:val="auto"/>
              </w:rPr>
            </w:pPr>
            <w:r>
              <w:rPr>
                <w:rFonts w:ascii="Arial" w:cs="Arial" w:eastAsia="Arial" w:hAnsi="Arial"/>
                <w:sz w:val="18"/>
                <w:szCs w:val="18"/>
                <w:b w:val="1"/>
                <w:bCs w:val="1"/>
                <w:color w:val="auto"/>
              </w:rPr>
              <w:t>3</w:t>
            </w:r>
          </w:p>
        </w:tc>
        <w:tc>
          <w:tcPr>
            <w:tcW w:w="200" w:type="dxa"/>
            <w:vAlign w:val="bottom"/>
            <w:shd w:val="clear" w:color="auto" w:fill="E5E5E5"/>
          </w:tcPr>
          <w:p>
            <w:pPr>
              <w:spacing w:after="0"/>
              <w:rPr>
                <w:sz w:val="17"/>
                <w:szCs w:val="17"/>
                <w:color w:val="auto"/>
              </w:rPr>
            </w:pPr>
          </w:p>
        </w:tc>
        <w:tc>
          <w:tcPr>
            <w:tcW w:w="66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4</w:t>
            </w:r>
          </w:p>
        </w:tc>
      </w:tr>
      <w:tr>
        <w:trPr>
          <w:trHeight w:val="203"/>
        </w:trPr>
        <w:tc>
          <w:tcPr>
            <w:tcW w:w="6660" w:type="dxa"/>
            <w:vAlign w:val="bottom"/>
          </w:tcPr>
          <w:p>
            <w:pPr>
              <w:ind w:left="220"/>
              <w:spacing w:after="0" w:line="202" w:lineRule="exact"/>
              <w:rPr>
                <w:sz w:val="20"/>
                <w:szCs w:val="20"/>
                <w:color w:val="auto"/>
              </w:rPr>
            </w:pPr>
            <w:r>
              <w:rPr>
                <w:rFonts w:ascii="Arial" w:cs="Arial" w:eastAsia="Arial" w:hAnsi="Arial"/>
                <w:sz w:val="18"/>
                <w:szCs w:val="18"/>
                <w:color w:val="auto"/>
              </w:rPr>
              <w:t>Benefits paid</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(45)</w:t>
            </w:r>
          </w:p>
        </w:tc>
        <w:tc>
          <w:tcPr>
            <w:tcW w:w="200" w:type="dxa"/>
            <w:vAlign w:val="bottom"/>
          </w:tcPr>
          <w:p>
            <w:pPr>
              <w:spacing w:after="0"/>
              <w:rPr>
                <w:sz w:val="17"/>
                <w:szCs w:val="17"/>
                <w:color w:val="auto"/>
              </w:rPr>
            </w:pPr>
          </w:p>
        </w:tc>
        <w:tc>
          <w:tcPr>
            <w:tcW w:w="5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(5)</w:t>
            </w:r>
          </w:p>
        </w:tc>
        <w:tc>
          <w:tcPr>
            <w:tcW w:w="260" w:type="dxa"/>
            <w:vAlign w:val="bottom"/>
          </w:tcPr>
          <w:p>
            <w:pPr>
              <w:spacing w:after="0"/>
              <w:rPr>
                <w:sz w:val="17"/>
                <w:szCs w:val="17"/>
                <w:color w:val="auto"/>
              </w:rPr>
            </w:pPr>
          </w:p>
        </w:tc>
        <w:tc>
          <w:tcPr>
            <w:tcW w:w="50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(48)</w:t>
            </w:r>
          </w:p>
        </w:tc>
        <w:tc>
          <w:tcPr>
            <w:tcW w:w="6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(45)</w:t>
            </w:r>
          </w:p>
        </w:tc>
        <w:tc>
          <w:tcPr>
            <w:tcW w:w="220" w:type="dxa"/>
            <w:vAlign w:val="bottom"/>
          </w:tcPr>
          <w:p>
            <w:pPr>
              <w:spacing w:after="0"/>
              <w:rPr>
                <w:sz w:val="17"/>
                <w:szCs w:val="17"/>
                <w:color w:val="auto"/>
              </w:rPr>
            </w:pPr>
          </w:p>
        </w:tc>
        <w:tc>
          <w:tcPr>
            <w:tcW w:w="70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(45)</w:t>
            </w:r>
          </w:p>
        </w:tc>
        <w:tc>
          <w:tcPr>
            <w:tcW w:w="200" w:type="dxa"/>
            <w:vAlign w:val="bottom"/>
          </w:tcPr>
          <w:p>
            <w:pPr>
              <w:spacing w:after="0"/>
              <w:rPr>
                <w:sz w:val="17"/>
                <w:szCs w:val="17"/>
                <w:color w:val="auto"/>
              </w:rPr>
            </w:pPr>
          </w:p>
        </w:tc>
        <w:tc>
          <w:tcPr>
            <w:tcW w:w="6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(55)</w:t>
            </w:r>
          </w:p>
        </w:tc>
      </w:tr>
      <w:tr>
        <w:trPr>
          <w:trHeight w:val="203"/>
        </w:trPr>
        <w:tc>
          <w:tcPr>
            <w:tcW w:w="666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Medicare subsidy</w:t>
            </w:r>
          </w:p>
        </w:tc>
        <w:tc>
          <w:tcPr>
            <w:tcW w:w="18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500" w:type="dxa"/>
            <w:vAlign w:val="bottom"/>
            <w:shd w:val="clear" w:color="auto" w:fill="E5E5E5"/>
          </w:tcPr>
          <w:p>
            <w:pPr>
              <w:jc w:val="right"/>
              <w:ind w:right="74"/>
              <w:spacing w:after="0" w:line="202" w:lineRule="exact"/>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E5E5E5"/>
          </w:tcPr>
          <w:p>
            <w:pPr>
              <w:spacing w:after="0"/>
              <w:rPr>
                <w:sz w:val="17"/>
                <w:szCs w:val="17"/>
                <w:color w:val="auto"/>
              </w:rPr>
            </w:pPr>
          </w:p>
        </w:tc>
        <w:tc>
          <w:tcPr>
            <w:tcW w:w="520" w:type="dxa"/>
            <w:vAlign w:val="bottom"/>
            <w:shd w:val="clear" w:color="auto" w:fill="E5E5E5"/>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7"/>
                <w:szCs w:val="17"/>
                <w:color w:val="auto"/>
              </w:rPr>
            </w:pPr>
          </w:p>
        </w:tc>
        <w:tc>
          <w:tcPr>
            <w:tcW w:w="500" w:type="dxa"/>
            <w:vAlign w:val="bottom"/>
            <w:shd w:val="clear" w:color="auto" w:fill="E5E5E5"/>
          </w:tcPr>
          <w:p>
            <w:pPr>
              <w:jc w:val="right"/>
              <w:ind w:right="74"/>
              <w:spacing w:after="0" w:line="202" w:lineRule="exact"/>
              <w:rPr>
                <w:sz w:val="20"/>
                <w:szCs w:val="20"/>
                <w:color w:val="auto"/>
              </w:rPr>
            </w:pPr>
            <w:r>
              <w:rPr>
                <w:rFonts w:ascii="Arial" w:cs="Arial" w:eastAsia="Arial" w:hAnsi="Arial"/>
                <w:sz w:val="18"/>
                <w:szCs w:val="18"/>
                <w:b w:val="1"/>
                <w:bCs w:val="1"/>
                <w:color w:val="auto"/>
              </w:rPr>
              <w:t>4</w:t>
            </w:r>
          </w:p>
        </w:tc>
        <w:tc>
          <w:tcPr>
            <w:tcW w:w="660" w:type="dxa"/>
            <w:vAlign w:val="bottom"/>
            <w:shd w:val="clear" w:color="auto" w:fill="E5E5E5"/>
          </w:tcPr>
          <w:p>
            <w:pPr>
              <w:jc w:val="right"/>
              <w:ind w:right="72"/>
              <w:spacing w:after="0" w:line="202" w:lineRule="exact"/>
              <w:rPr>
                <w:sz w:val="20"/>
                <w:szCs w:val="20"/>
                <w:color w:val="auto"/>
              </w:rPr>
            </w:pPr>
            <w:r>
              <w:rPr>
                <w:rFonts w:ascii="Arial" w:cs="Arial" w:eastAsia="Arial" w:hAnsi="Arial"/>
                <w:sz w:val="18"/>
                <w:szCs w:val="18"/>
                <w:color w:val="auto"/>
              </w:rPr>
              <w:t>4</w:t>
            </w:r>
          </w:p>
        </w:tc>
        <w:tc>
          <w:tcPr>
            <w:tcW w:w="220" w:type="dxa"/>
            <w:vAlign w:val="bottom"/>
            <w:shd w:val="clear" w:color="auto" w:fill="E5E5E5"/>
          </w:tcPr>
          <w:p>
            <w:pPr>
              <w:spacing w:after="0"/>
              <w:rPr>
                <w:sz w:val="17"/>
                <w:szCs w:val="17"/>
                <w:color w:val="auto"/>
              </w:rPr>
            </w:pPr>
          </w:p>
        </w:tc>
        <w:tc>
          <w:tcPr>
            <w:tcW w:w="700" w:type="dxa"/>
            <w:vAlign w:val="bottom"/>
            <w:shd w:val="clear" w:color="auto" w:fill="E5E5E5"/>
          </w:tcPr>
          <w:p>
            <w:pPr>
              <w:jc w:val="right"/>
              <w:ind w:right="74"/>
              <w:spacing w:after="0" w:line="202" w:lineRule="exact"/>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E5E5E5"/>
          </w:tcPr>
          <w:p>
            <w:pPr>
              <w:spacing w:after="0"/>
              <w:rPr>
                <w:sz w:val="17"/>
                <w:szCs w:val="17"/>
                <w:color w:val="auto"/>
              </w:rPr>
            </w:pPr>
          </w:p>
        </w:tc>
        <w:tc>
          <w:tcPr>
            <w:tcW w:w="66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w:t>
            </w:r>
          </w:p>
        </w:tc>
      </w:tr>
      <w:tr>
        <w:trPr>
          <w:trHeight w:val="203"/>
        </w:trPr>
        <w:tc>
          <w:tcPr>
            <w:tcW w:w="6660" w:type="dxa"/>
            <w:vAlign w:val="bottom"/>
          </w:tcPr>
          <w:p>
            <w:pPr>
              <w:ind w:left="220"/>
              <w:spacing w:after="0" w:line="202" w:lineRule="exact"/>
              <w:rPr>
                <w:sz w:val="20"/>
                <w:szCs w:val="20"/>
                <w:color w:val="auto"/>
              </w:rPr>
            </w:pPr>
            <w:r>
              <w:rPr>
                <w:rFonts w:ascii="Arial" w:cs="Arial" w:eastAsia="Arial" w:hAnsi="Arial"/>
                <w:sz w:val="18"/>
                <w:szCs w:val="18"/>
                <w:color w:val="auto"/>
              </w:rPr>
              <w:t>Plan amendments</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jc w:val="right"/>
              <w:ind w:right="74"/>
              <w:spacing w:after="0" w:line="202" w:lineRule="exact"/>
              <w:rPr>
                <w:sz w:val="20"/>
                <w:szCs w:val="20"/>
                <w:color w:val="auto"/>
              </w:rPr>
            </w:pPr>
            <w:r>
              <w:rPr>
                <w:rFonts w:ascii="Arial" w:cs="Arial" w:eastAsia="Arial" w:hAnsi="Arial"/>
                <w:sz w:val="18"/>
                <w:szCs w:val="18"/>
                <w:b w:val="1"/>
                <w:bCs w:val="1"/>
                <w:color w:val="auto"/>
              </w:rPr>
              <w:t>5</w:t>
            </w:r>
          </w:p>
        </w:tc>
        <w:tc>
          <w:tcPr>
            <w:tcW w:w="200" w:type="dxa"/>
            <w:vAlign w:val="bottom"/>
          </w:tcPr>
          <w:p>
            <w:pPr>
              <w:spacing w:after="0"/>
              <w:rPr>
                <w:sz w:val="17"/>
                <w:szCs w:val="17"/>
                <w:color w:val="auto"/>
              </w:rPr>
            </w:pPr>
          </w:p>
        </w:tc>
        <w:tc>
          <w:tcPr>
            <w:tcW w:w="5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500" w:type="dxa"/>
            <w:vAlign w:val="bottom"/>
          </w:tcPr>
          <w:p>
            <w:pPr>
              <w:jc w:val="right"/>
              <w:ind w:right="74"/>
              <w:spacing w:after="0" w:line="202" w:lineRule="exact"/>
              <w:rPr>
                <w:sz w:val="20"/>
                <w:szCs w:val="20"/>
                <w:color w:val="auto"/>
              </w:rPr>
            </w:pPr>
            <w:r>
              <w:rPr>
                <w:rFonts w:ascii="Arial" w:cs="Arial" w:eastAsia="Arial" w:hAnsi="Arial"/>
                <w:sz w:val="18"/>
                <w:szCs w:val="18"/>
                <w:b w:val="1"/>
                <w:bCs w:val="1"/>
                <w:color w:val="auto"/>
              </w:rPr>
              <w:t>—</w:t>
            </w:r>
          </w:p>
        </w:tc>
        <w:tc>
          <w:tcPr>
            <w:tcW w:w="660" w:type="dxa"/>
            <w:vAlign w:val="bottom"/>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00" w:type="dxa"/>
            <w:vAlign w:val="bottom"/>
          </w:tcPr>
          <w:p>
            <w:pPr>
              <w:jc w:val="right"/>
              <w:ind w:right="74"/>
              <w:spacing w:after="0" w:line="202" w:lineRule="exact"/>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7"/>
                <w:szCs w:val="17"/>
                <w:color w:val="auto"/>
              </w:rPr>
            </w:pPr>
          </w:p>
        </w:tc>
        <w:tc>
          <w:tcPr>
            <w:tcW w:w="6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r>
      <w:tr>
        <w:trPr>
          <w:trHeight w:val="203"/>
        </w:trPr>
        <w:tc>
          <w:tcPr>
            <w:tcW w:w="666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Actuarial (gain) loss</w:t>
            </w:r>
          </w:p>
        </w:tc>
        <w:tc>
          <w:tcPr>
            <w:tcW w:w="18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500" w:type="dxa"/>
            <w:vAlign w:val="bottom"/>
            <w:shd w:val="clear" w:color="auto" w:fill="E5E5E5"/>
          </w:tcPr>
          <w:p>
            <w:pPr>
              <w:jc w:val="right"/>
              <w:ind w:right="74"/>
              <w:spacing w:after="0" w:line="202" w:lineRule="exact"/>
              <w:rPr>
                <w:sz w:val="20"/>
                <w:szCs w:val="20"/>
                <w:color w:val="auto"/>
              </w:rPr>
            </w:pPr>
            <w:r>
              <w:rPr>
                <w:rFonts w:ascii="Arial" w:cs="Arial" w:eastAsia="Arial" w:hAnsi="Arial"/>
                <w:sz w:val="18"/>
                <w:szCs w:val="18"/>
                <w:b w:val="1"/>
                <w:bCs w:val="1"/>
                <w:color w:val="auto"/>
              </w:rPr>
              <w:t>19</w:t>
            </w:r>
          </w:p>
        </w:tc>
        <w:tc>
          <w:tcPr>
            <w:tcW w:w="200" w:type="dxa"/>
            <w:vAlign w:val="bottom"/>
            <w:shd w:val="clear" w:color="auto" w:fill="E5E5E5"/>
          </w:tcPr>
          <w:p>
            <w:pPr>
              <w:spacing w:after="0"/>
              <w:rPr>
                <w:sz w:val="17"/>
                <w:szCs w:val="17"/>
                <w:color w:val="auto"/>
              </w:rPr>
            </w:pPr>
          </w:p>
        </w:tc>
        <w:tc>
          <w:tcPr>
            <w:tcW w:w="520" w:type="dxa"/>
            <w:vAlign w:val="bottom"/>
            <w:shd w:val="clear" w:color="auto" w:fill="E5E5E5"/>
          </w:tcPr>
          <w:p>
            <w:pPr>
              <w:jc w:val="right"/>
              <w:ind w:right="52"/>
              <w:spacing w:after="0" w:line="202" w:lineRule="exact"/>
              <w:rPr>
                <w:sz w:val="20"/>
                <w:szCs w:val="20"/>
                <w:color w:val="auto"/>
              </w:rPr>
            </w:pPr>
            <w:r>
              <w:rPr>
                <w:rFonts w:ascii="Arial" w:cs="Arial" w:eastAsia="Arial" w:hAnsi="Arial"/>
                <w:sz w:val="18"/>
                <w:szCs w:val="18"/>
                <w:color w:val="auto"/>
              </w:rPr>
              <w:t>44</w:t>
            </w:r>
          </w:p>
        </w:tc>
        <w:tc>
          <w:tcPr>
            <w:tcW w:w="260" w:type="dxa"/>
            <w:vAlign w:val="bottom"/>
            <w:shd w:val="clear" w:color="auto" w:fill="E5E5E5"/>
          </w:tcPr>
          <w:p>
            <w:pPr>
              <w:spacing w:after="0"/>
              <w:rPr>
                <w:sz w:val="17"/>
                <w:szCs w:val="17"/>
                <w:color w:val="auto"/>
              </w:rPr>
            </w:pPr>
          </w:p>
        </w:tc>
        <w:tc>
          <w:tcPr>
            <w:tcW w:w="500" w:type="dxa"/>
            <w:vAlign w:val="bottom"/>
            <w:shd w:val="clear" w:color="auto" w:fill="E5E5E5"/>
          </w:tcPr>
          <w:p>
            <w:pPr>
              <w:jc w:val="right"/>
              <w:ind w:right="74"/>
              <w:spacing w:after="0" w:line="202" w:lineRule="exact"/>
              <w:rPr>
                <w:sz w:val="20"/>
                <w:szCs w:val="20"/>
                <w:color w:val="auto"/>
              </w:rPr>
            </w:pPr>
            <w:r>
              <w:rPr>
                <w:rFonts w:ascii="Arial" w:cs="Arial" w:eastAsia="Arial" w:hAnsi="Arial"/>
                <w:sz w:val="18"/>
                <w:szCs w:val="18"/>
                <w:b w:val="1"/>
                <w:bCs w:val="1"/>
                <w:color w:val="auto"/>
              </w:rPr>
              <w:t>25</w:t>
            </w:r>
          </w:p>
        </w:tc>
        <w:tc>
          <w:tcPr>
            <w:tcW w:w="660" w:type="dxa"/>
            <w:vAlign w:val="bottom"/>
            <w:shd w:val="clear" w:color="auto" w:fill="E5E5E5"/>
          </w:tcPr>
          <w:p>
            <w:pPr>
              <w:jc w:val="right"/>
              <w:ind w:right="12"/>
              <w:spacing w:after="0" w:line="202" w:lineRule="exact"/>
              <w:rPr>
                <w:sz w:val="20"/>
                <w:szCs w:val="20"/>
                <w:color w:val="auto"/>
              </w:rPr>
            </w:pPr>
            <w:r>
              <w:rPr>
                <w:rFonts w:ascii="Arial" w:cs="Arial" w:eastAsia="Arial" w:hAnsi="Arial"/>
                <w:sz w:val="18"/>
                <w:szCs w:val="18"/>
                <w:color w:val="auto"/>
              </w:rPr>
              <w:t>(1)</w:t>
            </w:r>
          </w:p>
        </w:tc>
        <w:tc>
          <w:tcPr>
            <w:tcW w:w="220" w:type="dxa"/>
            <w:vAlign w:val="bottom"/>
            <w:shd w:val="clear" w:color="auto" w:fill="E5E5E5"/>
          </w:tcPr>
          <w:p>
            <w:pPr>
              <w:spacing w:after="0"/>
              <w:rPr>
                <w:sz w:val="17"/>
                <w:szCs w:val="17"/>
                <w:color w:val="auto"/>
              </w:rPr>
            </w:pPr>
          </w:p>
        </w:tc>
        <w:tc>
          <w:tcPr>
            <w:tcW w:w="700" w:type="dxa"/>
            <w:vAlign w:val="bottom"/>
            <w:shd w:val="clear" w:color="auto" w:fill="E5E5E5"/>
          </w:tcPr>
          <w:p>
            <w:pPr>
              <w:jc w:val="right"/>
              <w:ind w:right="14"/>
              <w:spacing w:after="0" w:line="202" w:lineRule="exact"/>
              <w:rPr>
                <w:sz w:val="20"/>
                <w:szCs w:val="20"/>
                <w:color w:val="auto"/>
              </w:rPr>
            </w:pPr>
            <w:r>
              <w:rPr>
                <w:rFonts w:ascii="Arial" w:cs="Arial" w:eastAsia="Arial" w:hAnsi="Arial"/>
                <w:sz w:val="18"/>
                <w:szCs w:val="18"/>
                <w:b w:val="1"/>
                <w:bCs w:val="1"/>
                <w:color w:val="auto"/>
              </w:rPr>
              <w:t>(129)</w:t>
            </w:r>
          </w:p>
        </w:tc>
        <w:tc>
          <w:tcPr>
            <w:tcW w:w="200" w:type="dxa"/>
            <w:vAlign w:val="bottom"/>
            <w:shd w:val="clear" w:color="auto" w:fill="E5E5E5"/>
          </w:tcPr>
          <w:p>
            <w:pPr>
              <w:spacing w:after="0"/>
              <w:rPr>
                <w:sz w:val="17"/>
                <w:szCs w:val="17"/>
                <w:color w:val="auto"/>
              </w:rPr>
            </w:pPr>
          </w:p>
        </w:tc>
        <w:tc>
          <w:tcPr>
            <w:tcW w:w="66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32</w:t>
            </w:r>
          </w:p>
        </w:tc>
      </w:tr>
      <w:tr>
        <w:trPr>
          <w:trHeight w:val="203"/>
        </w:trPr>
        <w:tc>
          <w:tcPr>
            <w:tcW w:w="6660" w:type="dxa"/>
            <w:vAlign w:val="bottom"/>
          </w:tcPr>
          <w:p>
            <w:pPr>
              <w:ind w:left="220"/>
              <w:spacing w:after="0" w:line="202" w:lineRule="exact"/>
              <w:rPr>
                <w:sz w:val="20"/>
                <w:szCs w:val="20"/>
                <w:color w:val="auto"/>
              </w:rPr>
            </w:pPr>
            <w:r>
              <w:rPr>
                <w:rFonts w:ascii="Arial" w:cs="Arial" w:eastAsia="Arial" w:hAnsi="Arial"/>
                <w:sz w:val="18"/>
                <w:szCs w:val="18"/>
                <w:color w:val="auto"/>
              </w:rPr>
              <w:t>Settlements</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jc w:val="right"/>
              <w:ind w:right="74"/>
              <w:spacing w:after="0" w:line="202" w:lineRule="exact"/>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7"/>
                <w:szCs w:val="17"/>
                <w:color w:val="auto"/>
              </w:rPr>
            </w:pPr>
          </w:p>
        </w:tc>
        <w:tc>
          <w:tcPr>
            <w:tcW w:w="520" w:type="dxa"/>
            <w:vAlign w:val="bottom"/>
          </w:tcPr>
          <w:p>
            <w:pPr>
              <w:jc w:val="right"/>
              <w:ind w:right="12"/>
              <w:spacing w:after="0" w:line="202" w:lineRule="exact"/>
              <w:rPr>
                <w:sz w:val="20"/>
                <w:szCs w:val="20"/>
                <w:color w:val="auto"/>
              </w:rPr>
            </w:pPr>
            <w:r>
              <w:rPr>
                <w:rFonts w:ascii="Arial" w:cs="Arial" w:eastAsia="Arial" w:hAnsi="Arial"/>
                <w:sz w:val="18"/>
                <w:szCs w:val="18"/>
                <w:color w:val="auto"/>
                <w:w w:val="95"/>
              </w:rPr>
              <w:t>(119)</w:t>
            </w:r>
          </w:p>
        </w:tc>
        <w:tc>
          <w:tcPr>
            <w:tcW w:w="260" w:type="dxa"/>
            <w:vAlign w:val="bottom"/>
          </w:tcPr>
          <w:p>
            <w:pPr>
              <w:spacing w:after="0"/>
              <w:rPr>
                <w:sz w:val="17"/>
                <w:szCs w:val="17"/>
                <w:color w:val="auto"/>
              </w:rPr>
            </w:pPr>
          </w:p>
        </w:tc>
        <w:tc>
          <w:tcPr>
            <w:tcW w:w="500" w:type="dxa"/>
            <w:vAlign w:val="bottom"/>
          </w:tcPr>
          <w:p>
            <w:pPr>
              <w:jc w:val="right"/>
              <w:ind w:right="74"/>
              <w:spacing w:after="0" w:line="202" w:lineRule="exact"/>
              <w:rPr>
                <w:sz w:val="20"/>
                <w:szCs w:val="20"/>
                <w:color w:val="auto"/>
              </w:rPr>
            </w:pPr>
            <w:r>
              <w:rPr>
                <w:rFonts w:ascii="Arial" w:cs="Arial" w:eastAsia="Arial" w:hAnsi="Arial"/>
                <w:sz w:val="18"/>
                <w:szCs w:val="18"/>
                <w:b w:val="1"/>
                <w:bCs w:val="1"/>
                <w:color w:val="auto"/>
              </w:rPr>
              <w:t>—</w:t>
            </w:r>
          </w:p>
        </w:tc>
        <w:tc>
          <w:tcPr>
            <w:tcW w:w="660" w:type="dxa"/>
            <w:vAlign w:val="bottom"/>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00" w:type="dxa"/>
            <w:vAlign w:val="bottom"/>
          </w:tcPr>
          <w:p>
            <w:pPr>
              <w:jc w:val="right"/>
              <w:ind w:right="74"/>
              <w:spacing w:after="0" w:line="202" w:lineRule="exact"/>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7"/>
                <w:szCs w:val="17"/>
                <w:color w:val="auto"/>
              </w:rPr>
            </w:pPr>
          </w:p>
        </w:tc>
        <w:tc>
          <w:tcPr>
            <w:tcW w:w="6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r>
      <w:tr>
        <w:trPr>
          <w:trHeight w:val="203"/>
        </w:trPr>
        <w:tc>
          <w:tcPr>
            <w:tcW w:w="666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Curtailments</w:t>
            </w:r>
          </w:p>
        </w:tc>
        <w:tc>
          <w:tcPr>
            <w:tcW w:w="18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500" w:type="dxa"/>
            <w:vAlign w:val="bottom"/>
            <w:shd w:val="clear" w:color="auto" w:fill="E5E5E5"/>
          </w:tcPr>
          <w:p>
            <w:pPr>
              <w:jc w:val="right"/>
              <w:ind w:right="74"/>
              <w:spacing w:after="0" w:line="202" w:lineRule="exact"/>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E5E5E5"/>
          </w:tcPr>
          <w:p>
            <w:pPr>
              <w:spacing w:after="0"/>
              <w:rPr>
                <w:sz w:val="17"/>
                <w:szCs w:val="17"/>
                <w:color w:val="auto"/>
              </w:rPr>
            </w:pPr>
          </w:p>
        </w:tc>
        <w:tc>
          <w:tcPr>
            <w:tcW w:w="520" w:type="dxa"/>
            <w:vAlign w:val="bottom"/>
            <w:shd w:val="clear" w:color="auto" w:fill="E5E5E5"/>
          </w:tcPr>
          <w:p>
            <w:pPr>
              <w:jc w:val="right"/>
              <w:ind w:right="12"/>
              <w:spacing w:after="0" w:line="202" w:lineRule="exact"/>
              <w:rPr>
                <w:sz w:val="20"/>
                <w:szCs w:val="20"/>
                <w:color w:val="auto"/>
              </w:rPr>
            </w:pPr>
            <w:r>
              <w:rPr>
                <w:rFonts w:ascii="Arial" w:cs="Arial" w:eastAsia="Arial" w:hAnsi="Arial"/>
                <w:sz w:val="18"/>
                <w:szCs w:val="18"/>
                <w:color w:val="auto"/>
              </w:rPr>
              <w:t>(1)</w:t>
            </w:r>
          </w:p>
        </w:tc>
        <w:tc>
          <w:tcPr>
            <w:tcW w:w="260" w:type="dxa"/>
            <w:vAlign w:val="bottom"/>
            <w:shd w:val="clear" w:color="auto" w:fill="E5E5E5"/>
          </w:tcPr>
          <w:p>
            <w:pPr>
              <w:spacing w:after="0"/>
              <w:rPr>
                <w:sz w:val="17"/>
                <w:szCs w:val="17"/>
                <w:color w:val="auto"/>
              </w:rPr>
            </w:pPr>
          </w:p>
        </w:tc>
        <w:tc>
          <w:tcPr>
            <w:tcW w:w="500" w:type="dxa"/>
            <w:vAlign w:val="bottom"/>
            <w:shd w:val="clear" w:color="auto" w:fill="E5E5E5"/>
          </w:tcPr>
          <w:p>
            <w:pPr>
              <w:jc w:val="right"/>
              <w:ind w:right="74"/>
              <w:spacing w:after="0" w:line="202" w:lineRule="exact"/>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E5E5E5"/>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7"/>
                <w:szCs w:val="17"/>
                <w:color w:val="auto"/>
              </w:rPr>
            </w:pPr>
          </w:p>
        </w:tc>
        <w:tc>
          <w:tcPr>
            <w:tcW w:w="700" w:type="dxa"/>
            <w:vAlign w:val="bottom"/>
            <w:shd w:val="clear" w:color="auto" w:fill="E5E5E5"/>
          </w:tcPr>
          <w:p>
            <w:pPr>
              <w:jc w:val="right"/>
              <w:ind w:right="74"/>
              <w:spacing w:after="0" w:line="202" w:lineRule="exact"/>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E5E5E5"/>
          </w:tcPr>
          <w:p>
            <w:pPr>
              <w:spacing w:after="0"/>
              <w:rPr>
                <w:sz w:val="17"/>
                <w:szCs w:val="17"/>
                <w:color w:val="auto"/>
              </w:rPr>
            </w:pPr>
          </w:p>
        </w:tc>
        <w:tc>
          <w:tcPr>
            <w:tcW w:w="66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w:t>
            </w:r>
          </w:p>
        </w:tc>
      </w:tr>
      <w:tr>
        <w:trPr>
          <w:trHeight w:val="203"/>
        </w:trPr>
        <w:tc>
          <w:tcPr>
            <w:tcW w:w="6660" w:type="dxa"/>
            <w:vAlign w:val="bottom"/>
          </w:tcPr>
          <w:p>
            <w:pPr>
              <w:ind w:left="220"/>
              <w:spacing w:after="0" w:line="202" w:lineRule="exact"/>
              <w:rPr>
                <w:sz w:val="20"/>
                <w:szCs w:val="20"/>
                <w:color w:val="auto"/>
              </w:rPr>
            </w:pPr>
            <w:r>
              <w:rPr>
                <w:rFonts w:ascii="Arial" w:cs="Arial" w:eastAsia="Arial" w:hAnsi="Arial"/>
                <w:sz w:val="18"/>
                <w:szCs w:val="18"/>
                <w:color w:val="auto"/>
              </w:rPr>
              <w:t>Special termination benefits</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jc w:val="right"/>
              <w:ind w:right="74"/>
              <w:spacing w:after="0" w:line="202" w:lineRule="exact"/>
              <w:rPr>
                <w:sz w:val="20"/>
                <w:szCs w:val="20"/>
                <w:color w:val="auto"/>
              </w:rPr>
            </w:pPr>
            <w:r>
              <w:rPr>
                <w:rFonts w:ascii="Arial" w:cs="Arial" w:eastAsia="Arial" w:hAnsi="Arial"/>
                <w:sz w:val="18"/>
                <w:szCs w:val="18"/>
                <w:b w:val="1"/>
                <w:bCs w:val="1"/>
                <w:color w:val="auto"/>
              </w:rPr>
              <w:t>3</w:t>
            </w:r>
          </w:p>
        </w:tc>
        <w:tc>
          <w:tcPr>
            <w:tcW w:w="200" w:type="dxa"/>
            <w:vAlign w:val="bottom"/>
          </w:tcPr>
          <w:p>
            <w:pPr>
              <w:spacing w:after="0"/>
              <w:rPr>
                <w:sz w:val="17"/>
                <w:szCs w:val="17"/>
                <w:color w:val="auto"/>
              </w:rPr>
            </w:pPr>
          </w:p>
        </w:tc>
        <w:tc>
          <w:tcPr>
            <w:tcW w:w="5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500" w:type="dxa"/>
            <w:vAlign w:val="bottom"/>
          </w:tcPr>
          <w:p>
            <w:pPr>
              <w:jc w:val="right"/>
              <w:ind w:right="74"/>
              <w:spacing w:after="0" w:line="202" w:lineRule="exact"/>
              <w:rPr>
                <w:sz w:val="20"/>
                <w:szCs w:val="20"/>
                <w:color w:val="auto"/>
              </w:rPr>
            </w:pPr>
            <w:r>
              <w:rPr>
                <w:rFonts w:ascii="Arial" w:cs="Arial" w:eastAsia="Arial" w:hAnsi="Arial"/>
                <w:sz w:val="18"/>
                <w:szCs w:val="18"/>
                <w:b w:val="1"/>
                <w:bCs w:val="1"/>
                <w:color w:val="auto"/>
              </w:rPr>
              <w:t>—</w:t>
            </w:r>
          </w:p>
        </w:tc>
        <w:tc>
          <w:tcPr>
            <w:tcW w:w="660" w:type="dxa"/>
            <w:vAlign w:val="bottom"/>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00" w:type="dxa"/>
            <w:vAlign w:val="bottom"/>
          </w:tcPr>
          <w:p>
            <w:pPr>
              <w:jc w:val="right"/>
              <w:ind w:right="74"/>
              <w:spacing w:after="0" w:line="202" w:lineRule="exact"/>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7"/>
                <w:szCs w:val="17"/>
                <w:color w:val="auto"/>
              </w:rPr>
            </w:pPr>
          </w:p>
        </w:tc>
        <w:tc>
          <w:tcPr>
            <w:tcW w:w="6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r>
      <w:tr>
        <w:trPr>
          <w:trHeight w:val="203"/>
        </w:trPr>
        <w:tc>
          <w:tcPr>
            <w:tcW w:w="666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Effects of exchange rate changes</w:t>
            </w:r>
          </w:p>
        </w:tc>
        <w:tc>
          <w:tcPr>
            <w:tcW w:w="18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500" w:type="dxa"/>
            <w:vAlign w:val="bottom"/>
            <w:shd w:val="clear" w:color="auto" w:fill="E5E5E5"/>
          </w:tcPr>
          <w:p>
            <w:pPr>
              <w:jc w:val="right"/>
              <w:ind w:right="74"/>
              <w:spacing w:after="0" w:line="202" w:lineRule="exact"/>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E5E5E5"/>
          </w:tcPr>
          <w:p>
            <w:pPr>
              <w:spacing w:after="0"/>
              <w:rPr>
                <w:sz w:val="17"/>
                <w:szCs w:val="17"/>
                <w:color w:val="auto"/>
              </w:rPr>
            </w:pPr>
          </w:p>
        </w:tc>
        <w:tc>
          <w:tcPr>
            <w:tcW w:w="520" w:type="dxa"/>
            <w:vAlign w:val="bottom"/>
            <w:shd w:val="clear" w:color="auto" w:fill="E5E5E5"/>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7"/>
                <w:szCs w:val="17"/>
                <w:color w:val="auto"/>
              </w:rPr>
            </w:pPr>
          </w:p>
        </w:tc>
        <w:tc>
          <w:tcPr>
            <w:tcW w:w="500" w:type="dxa"/>
            <w:vAlign w:val="bottom"/>
            <w:shd w:val="clear" w:color="auto" w:fill="E5E5E5"/>
          </w:tcPr>
          <w:p>
            <w:pPr>
              <w:jc w:val="right"/>
              <w:ind w:right="74"/>
              <w:spacing w:after="0" w:line="202" w:lineRule="exact"/>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E5E5E5"/>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7"/>
                <w:szCs w:val="17"/>
                <w:color w:val="auto"/>
              </w:rPr>
            </w:pPr>
          </w:p>
        </w:tc>
        <w:tc>
          <w:tcPr>
            <w:tcW w:w="700" w:type="dxa"/>
            <w:vAlign w:val="bottom"/>
            <w:shd w:val="clear" w:color="auto" w:fill="E5E5E5"/>
          </w:tcPr>
          <w:p>
            <w:pPr>
              <w:jc w:val="right"/>
              <w:ind w:right="74"/>
              <w:spacing w:after="0" w:line="202" w:lineRule="exact"/>
              <w:rPr>
                <w:sz w:val="20"/>
                <w:szCs w:val="20"/>
                <w:color w:val="auto"/>
              </w:rPr>
            </w:pPr>
            <w:r>
              <w:rPr>
                <w:rFonts w:ascii="Arial" w:cs="Arial" w:eastAsia="Arial" w:hAnsi="Arial"/>
                <w:sz w:val="18"/>
                <w:szCs w:val="18"/>
                <w:b w:val="1"/>
                <w:bCs w:val="1"/>
                <w:color w:val="auto"/>
              </w:rPr>
              <w:t>61</w:t>
            </w:r>
          </w:p>
        </w:tc>
        <w:tc>
          <w:tcPr>
            <w:tcW w:w="200" w:type="dxa"/>
            <w:vAlign w:val="bottom"/>
            <w:shd w:val="clear" w:color="auto" w:fill="E5E5E5"/>
          </w:tcPr>
          <w:p>
            <w:pPr>
              <w:spacing w:after="0"/>
              <w:rPr>
                <w:sz w:val="17"/>
                <w:szCs w:val="17"/>
                <w:color w:val="auto"/>
              </w:rPr>
            </w:pPr>
          </w:p>
        </w:tc>
        <w:tc>
          <w:tcPr>
            <w:tcW w:w="66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(1)</w:t>
            </w:r>
          </w:p>
        </w:tc>
      </w:tr>
      <w:tr>
        <w:trPr>
          <w:trHeight w:val="210"/>
        </w:trPr>
        <w:tc>
          <w:tcPr>
            <w:tcW w:w="6660" w:type="dxa"/>
            <w:vAlign w:val="bottom"/>
          </w:tcPr>
          <w:p>
            <w:pPr>
              <w:spacing w:after="0"/>
              <w:rPr>
                <w:sz w:val="20"/>
                <w:szCs w:val="20"/>
                <w:color w:val="auto"/>
              </w:rPr>
            </w:pPr>
            <w:r>
              <w:rPr>
                <w:rFonts w:ascii="Arial" w:cs="Arial" w:eastAsia="Arial" w:hAnsi="Arial"/>
                <w:sz w:val="18"/>
                <w:szCs w:val="18"/>
                <w:color w:val="auto"/>
              </w:rPr>
              <w:t>Benefit obligation at end of year (BO)</w:t>
            </w: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837</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788</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470</w:t>
            </w:r>
          </w:p>
        </w:tc>
        <w:tc>
          <w:tcPr>
            <w:tcW w:w="6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444</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1,683</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1,695</w:t>
            </w:r>
          </w:p>
        </w:tc>
        <w:tc>
          <w:tcPr>
            <w:tcW w:w="220" w:type="dxa"/>
            <w:vAlign w:val="bottom"/>
          </w:tcPr>
          <w:p>
            <w:pPr>
              <w:spacing w:after="0"/>
              <w:rPr>
                <w:sz w:val="18"/>
                <w:szCs w:val="18"/>
                <w:color w:val="auto"/>
              </w:rPr>
            </w:pPr>
          </w:p>
        </w:tc>
      </w:tr>
      <w:tr>
        <w:trPr>
          <w:trHeight w:val="20"/>
        </w:trPr>
        <w:tc>
          <w:tcPr>
            <w:tcW w:w="6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
        </w:trPr>
        <w:tc>
          <w:tcPr>
            <w:tcW w:w="6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93"/>
        </w:trPr>
        <w:tc>
          <w:tcPr>
            <w:tcW w:w="6660" w:type="dxa"/>
            <w:vAlign w:val="bottom"/>
            <w:shd w:val="clear" w:color="auto" w:fill="E5E5E5"/>
          </w:tcPr>
          <w:p>
            <w:pPr>
              <w:spacing w:after="0"/>
              <w:rPr>
                <w:sz w:val="20"/>
                <w:szCs w:val="20"/>
                <w:color w:val="auto"/>
              </w:rPr>
            </w:pPr>
            <w:r>
              <w:rPr>
                <w:rFonts w:ascii="Arial" w:cs="Arial" w:eastAsia="Arial" w:hAnsi="Arial"/>
                <w:sz w:val="18"/>
                <w:szCs w:val="18"/>
                <w:color w:val="auto"/>
              </w:rPr>
              <w:t>Change in plan assets:</w:t>
            </w:r>
          </w:p>
        </w:tc>
        <w:tc>
          <w:tcPr>
            <w:tcW w:w="180" w:type="dxa"/>
            <w:vAlign w:val="bottom"/>
            <w:shd w:val="clear" w:color="auto" w:fill="E5E5E5"/>
          </w:tcPr>
          <w:p>
            <w:pPr>
              <w:spacing w:after="0"/>
              <w:rPr>
                <w:sz w:val="24"/>
                <w:szCs w:val="24"/>
                <w:color w:val="auto"/>
              </w:rPr>
            </w:pPr>
          </w:p>
        </w:tc>
        <w:tc>
          <w:tcPr>
            <w:tcW w:w="160" w:type="dxa"/>
            <w:vAlign w:val="bottom"/>
            <w:shd w:val="clear" w:color="auto" w:fill="E5E5E5"/>
          </w:tcPr>
          <w:p>
            <w:pPr>
              <w:spacing w:after="0"/>
              <w:rPr>
                <w:sz w:val="24"/>
                <w:szCs w:val="24"/>
                <w:color w:val="auto"/>
              </w:rPr>
            </w:pPr>
          </w:p>
        </w:tc>
        <w:tc>
          <w:tcPr>
            <w:tcW w:w="500" w:type="dxa"/>
            <w:vAlign w:val="bottom"/>
            <w:shd w:val="clear" w:color="auto" w:fill="E5E5E5"/>
          </w:tcPr>
          <w:p>
            <w:pPr>
              <w:spacing w:after="0"/>
              <w:rPr>
                <w:sz w:val="24"/>
                <w:szCs w:val="24"/>
                <w:color w:val="auto"/>
              </w:rPr>
            </w:pPr>
          </w:p>
        </w:tc>
        <w:tc>
          <w:tcPr>
            <w:tcW w:w="200" w:type="dxa"/>
            <w:vAlign w:val="bottom"/>
            <w:shd w:val="clear" w:color="auto" w:fill="E5E5E5"/>
          </w:tcPr>
          <w:p>
            <w:pPr>
              <w:spacing w:after="0"/>
              <w:rPr>
                <w:sz w:val="24"/>
                <w:szCs w:val="24"/>
                <w:color w:val="auto"/>
              </w:rPr>
            </w:pPr>
          </w:p>
        </w:tc>
        <w:tc>
          <w:tcPr>
            <w:tcW w:w="520" w:type="dxa"/>
            <w:vAlign w:val="bottom"/>
            <w:shd w:val="clear" w:color="auto" w:fill="E5E5E5"/>
          </w:tcPr>
          <w:p>
            <w:pPr>
              <w:spacing w:after="0"/>
              <w:rPr>
                <w:sz w:val="24"/>
                <w:szCs w:val="24"/>
                <w:color w:val="auto"/>
              </w:rPr>
            </w:pPr>
          </w:p>
        </w:tc>
        <w:tc>
          <w:tcPr>
            <w:tcW w:w="260" w:type="dxa"/>
            <w:vAlign w:val="bottom"/>
            <w:shd w:val="clear" w:color="auto" w:fill="E5E5E5"/>
          </w:tcPr>
          <w:p>
            <w:pPr>
              <w:spacing w:after="0"/>
              <w:rPr>
                <w:sz w:val="24"/>
                <w:szCs w:val="24"/>
                <w:color w:val="auto"/>
              </w:rPr>
            </w:pPr>
          </w:p>
        </w:tc>
        <w:tc>
          <w:tcPr>
            <w:tcW w:w="500" w:type="dxa"/>
            <w:vAlign w:val="bottom"/>
            <w:shd w:val="clear" w:color="auto" w:fill="E5E5E5"/>
          </w:tcPr>
          <w:p>
            <w:pPr>
              <w:spacing w:after="0"/>
              <w:rPr>
                <w:sz w:val="24"/>
                <w:szCs w:val="24"/>
                <w:color w:val="auto"/>
              </w:rPr>
            </w:pPr>
          </w:p>
        </w:tc>
        <w:tc>
          <w:tcPr>
            <w:tcW w:w="660" w:type="dxa"/>
            <w:vAlign w:val="bottom"/>
            <w:shd w:val="clear" w:color="auto" w:fill="E5E5E5"/>
          </w:tcPr>
          <w:p>
            <w:pPr>
              <w:spacing w:after="0"/>
              <w:rPr>
                <w:sz w:val="24"/>
                <w:szCs w:val="24"/>
                <w:color w:val="auto"/>
              </w:rPr>
            </w:pPr>
          </w:p>
        </w:tc>
        <w:tc>
          <w:tcPr>
            <w:tcW w:w="220" w:type="dxa"/>
            <w:vAlign w:val="bottom"/>
            <w:shd w:val="clear" w:color="auto" w:fill="E5E5E5"/>
          </w:tcPr>
          <w:p>
            <w:pPr>
              <w:spacing w:after="0"/>
              <w:rPr>
                <w:sz w:val="24"/>
                <w:szCs w:val="24"/>
                <w:color w:val="auto"/>
              </w:rPr>
            </w:pPr>
          </w:p>
        </w:tc>
        <w:tc>
          <w:tcPr>
            <w:tcW w:w="700" w:type="dxa"/>
            <w:vAlign w:val="bottom"/>
            <w:shd w:val="clear" w:color="auto" w:fill="E5E5E5"/>
          </w:tcPr>
          <w:p>
            <w:pPr>
              <w:spacing w:after="0"/>
              <w:rPr>
                <w:sz w:val="24"/>
                <w:szCs w:val="24"/>
                <w:color w:val="auto"/>
              </w:rPr>
            </w:pPr>
          </w:p>
        </w:tc>
        <w:tc>
          <w:tcPr>
            <w:tcW w:w="200" w:type="dxa"/>
            <w:vAlign w:val="bottom"/>
            <w:shd w:val="clear" w:color="auto" w:fill="E5E5E5"/>
          </w:tcPr>
          <w:p>
            <w:pPr>
              <w:spacing w:after="0"/>
              <w:rPr>
                <w:sz w:val="24"/>
                <w:szCs w:val="24"/>
                <w:color w:val="auto"/>
              </w:rPr>
            </w:pPr>
          </w:p>
        </w:tc>
        <w:tc>
          <w:tcPr>
            <w:tcW w:w="440" w:type="dxa"/>
            <w:vAlign w:val="bottom"/>
            <w:shd w:val="clear" w:color="auto" w:fill="E5E5E5"/>
          </w:tcPr>
          <w:p>
            <w:pPr>
              <w:spacing w:after="0"/>
              <w:rPr>
                <w:sz w:val="24"/>
                <w:szCs w:val="24"/>
                <w:color w:val="auto"/>
              </w:rPr>
            </w:pPr>
          </w:p>
        </w:tc>
        <w:tc>
          <w:tcPr>
            <w:tcW w:w="220" w:type="dxa"/>
            <w:vAlign w:val="bottom"/>
            <w:shd w:val="clear" w:color="auto" w:fill="E5E5E5"/>
          </w:tcPr>
          <w:p>
            <w:pPr>
              <w:spacing w:after="0"/>
              <w:rPr>
                <w:sz w:val="24"/>
                <w:szCs w:val="24"/>
                <w:color w:val="auto"/>
              </w:rPr>
            </w:pPr>
          </w:p>
        </w:tc>
      </w:tr>
      <w:tr>
        <w:trPr>
          <w:trHeight w:val="203"/>
        </w:trPr>
        <w:tc>
          <w:tcPr>
            <w:tcW w:w="6660" w:type="dxa"/>
            <w:vAlign w:val="bottom"/>
          </w:tcPr>
          <w:p>
            <w:pPr>
              <w:spacing w:after="0" w:line="202" w:lineRule="exact"/>
              <w:rPr>
                <w:sz w:val="20"/>
                <w:szCs w:val="20"/>
                <w:color w:val="auto"/>
              </w:rPr>
            </w:pPr>
            <w:r>
              <w:rPr>
                <w:rFonts w:ascii="Arial" w:cs="Arial" w:eastAsia="Arial" w:hAnsi="Arial"/>
                <w:sz w:val="18"/>
                <w:szCs w:val="18"/>
                <w:color w:val="auto"/>
              </w:rPr>
              <w:t>Fair value of plan assets at beginning of year</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500" w:type="dxa"/>
            <w:vAlign w:val="bottom"/>
          </w:tcPr>
          <w:p>
            <w:pPr>
              <w:jc w:val="right"/>
              <w:ind w:right="74"/>
              <w:spacing w:after="0" w:line="202" w:lineRule="exact"/>
              <w:rPr>
                <w:sz w:val="20"/>
                <w:szCs w:val="20"/>
                <w:color w:val="auto"/>
              </w:rPr>
            </w:pPr>
            <w:r>
              <w:rPr>
                <w:rFonts w:ascii="Arial" w:cs="Arial" w:eastAsia="Arial" w:hAnsi="Arial"/>
                <w:sz w:val="18"/>
                <w:szCs w:val="18"/>
                <w:b w:val="1"/>
                <w:bCs w:val="1"/>
                <w:color w:val="auto"/>
              </w:rPr>
              <w:t>796</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724</w:t>
            </w:r>
          </w:p>
        </w:tc>
        <w:tc>
          <w:tcPr>
            <w:tcW w:w="2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500" w:type="dxa"/>
            <w:vAlign w:val="bottom"/>
          </w:tcPr>
          <w:p>
            <w:pPr>
              <w:jc w:val="right"/>
              <w:ind w:right="74"/>
              <w:spacing w:after="0" w:line="202" w:lineRule="exact"/>
              <w:rPr>
                <w:sz w:val="20"/>
                <w:szCs w:val="20"/>
                <w:color w:val="auto"/>
              </w:rPr>
            </w:pPr>
            <w:r>
              <w:rPr>
                <w:rFonts w:ascii="Arial" w:cs="Arial" w:eastAsia="Arial" w:hAnsi="Arial"/>
                <w:sz w:val="18"/>
                <w:szCs w:val="18"/>
                <w:b w:val="1"/>
                <w:bCs w:val="1"/>
                <w:color w:val="auto"/>
              </w:rPr>
              <w:t>401</w:t>
            </w:r>
          </w:p>
        </w:tc>
        <w:tc>
          <w:tcPr>
            <w:tcW w:w="660" w:type="dxa"/>
            <w:vAlign w:val="bottom"/>
          </w:tcPr>
          <w:p>
            <w:pPr>
              <w:jc w:val="right"/>
              <w:ind w:right="72"/>
              <w:spacing w:after="0" w:line="202" w:lineRule="exact"/>
              <w:rPr>
                <w:sz w:val="20"/>
                <w:szCs w:val="20"/>
                <w:color w:val="auto"/>
              </w:rPr>
            </w:pPr>
            <w:r>
              <w:rPr>
                <w:rFonts w:ascii="Arial" w:cs="Arial" w:eastAsia="Arial" w:hAnsi="Arial"/>
                <w:sz w:val="18"/>
                <w:szCs w:val="18"/>
                <w:color w:val="auto"/>
              </w:rPr>
              <w:t>$303</w:t>
            </w:r>
          </w:p>
        </w:tc>
        <w:tc>
          <w:tcPr>
            <w:tcW w:w="2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700" w:type="dxa"/>
            <w:vAlign w:val="bottom"/>
          </w:tcPr>
          <w:p>
            <w:pPr>
              <w:jc w:val="right"/>
              <w:ind w:right="74"/>
              <w:spacing w:after="0" w:line="202" w:lineRule="exact"/>
              <w:rPr>
                <w:sz w:val="20"/>
                <w:szCs w:val="20"/>
                <w:color w:val="auto"/>
              </w:rPr>
            </w:pPr>
            <w:r>
              <w:rPr>
                <w:rFonts w:ascii="Arial" w:cs="Arial" w:eastAsia="Arial" w:hAnsi="Arial"/>
                <w:sz w:val="18"/>
                <w:szCs w:val="18"/>
                <w:b w:val="1"/>
                <w:bCs w:val="1"/>
                <w:color w:val="auto"/>
              </w:rPr>
              <w:t>1,566</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w w:val="93"/>
              </w:rPr>
              <w:t>1,054</w:t>
            </w:r>
          </w:p>
        </w:tc>
        <w:tc>
          <w:tcPr>
            <w:tcW w:w="220" w:type="dxa"/>
            <w:vAlign w:val="bottom"/>
          </w:tcPr>
          <w:p>
            <w:pPr>
              <w:spacing w:after="0"/>
              <w:rPr>
                <w:sz w:val="17"/>
                <w:szCs w:val="17"/>
                <w:color w:val="auto"/>
              </w:rPr>
            </w:pPr>
          </w:p>
        </w:tc>
      </w:tr>
      <w:tr>
        <w:trPr>
          <w:trHeight w:val="203"/>
        </w:trPr>
        <w:tc>
          <w:tcPr>
            <w:tcW w:w="666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Actual return on plan assets</w:t>
            </w:r>
          </w:p>
        </w:tc>
        <w:tc>
          <w:tcPr>
            <w:tcW w:w="18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500" w:type="dxa"/>
            <w:vAlign w:val="bottom"/>
            <w:shd w:val="clear" w:color="auto" w:fill="E5E5E5"/>
          </w:tcPr>
          <w:p>
            <w:pPr>
              <w:jc w:val="right"/>
              <w:ind w:right="74"/>
              <w:spacing w:after="0" w:line="202" w:lineRule="exact"/>
              <w:rPr>
                <w:sz w:val="20"/>
                <w:szCs w:val="20"/>
                <w:color w:val="auto"/>
              </w:rPr>
            </w:pPr>
            <w:r>
              <w:rPr>
                <w:rFonts w:ascii="Arial" w:cs="Arial" w:eastAsia="Arial" w:hAnsi="Arial"/>
                <w:sz w:val="18"/>
                <w:szCs w:val="18"/>
                <w:b w:val="1"/>
                <w:bCs w:val="1"/>
                <w:color w:val="auto"/>
              </w:rPr>
              <w:t>61</w:t>
            </w:r>
          </w:p>
        </w:tc>
        <w:tc>
          <w:tcPr>
            <w:tcW w:w="200" w:type="dxa"/>
            <w:vAlign w:val="bottom"/>
            <w:shd w:val="clear" w:color="auto" w:fill="E5E5E5"/>
          </w:tcPr>
          <w:p>
            <w:pPr>
              <w:spacing w:after="0"/>
              <w:rPr>
                <w:sz w:val="17"/>
                <w:szCs w:val="17"/>
                <w:color w:val="auto"/>
              </w:rPr>
            </w:pPr>
          </w:p>
        </w:tc>
        <w:tc>
          <w:tcPr>
            <w:tcW w:w="520" w:type="dxa"/>
            <w:vAlign w:val="bottom"/>
            <w:shd w:val="clear" w:color="auto" w:fill="E5E5E5"/>
          </w:tcPr>
          <w:p>
            <w:pPr>
              <w:jc w:val="right"/>
              <w:ind w:right="52"/>
              <w:spacing w:after="0" w:line="202" w:lineRule="exact"/>
              <w:rPr>
                <w:sz w:val="20"/>
                <w:szCs w:val="20"/>
                <w:color w:val="auto"/>
              </w:rPr>
            </w:pPr>
            <w:r>
              <w:rPr>
                <w:rFonts w:ascii="Arial" w:cs="Arial" w:eastAsia="Arial" w:hAnsi="Arial"/>
                <w:sz w:val="18"/>
                <w:szCs w:val="18"/>
                <w:color w:val="auto"/>
              </w:rPr>
              <w:t>71</w:t>
            </w:r>
          </w:p>
        </w:tc>
        <w:tc>
          <w:tcPr>
            <w:tcW w:w="260" w:type="dxa"/>
            <w:vAlign w:val="bottom"/>
            <w:shd w:val="clear" w:color="auto" w:fill="E5E5E5"/>
          </w:tcPr>
          <w:p>
            <w:pPr>
              <w:spacing w:after="0"/>
              <w:rPr>
                <w:sz w:val="17"/>
                <w:szCs w:val="17"/>
                <w:color w:val="auto"/>
              </w:rPr>
            </w:pPr>
          </w:p>
        </w:tc>
        <w:tc>
          <w:tcPr>
            <w:tcW w:w="500" w:type="dxa"/>
            <w:vAlign w:val="bottom"/>
            <w:shd w:val="clear" w:color="auto" w:fill="E5E5E5"/>
          </w:tcPr>
          <w:p>
            <w:pPr>
              <w:jc w:val="right"/>
              <w:ind w:right="74"/>
              <w:spacing w:after="0" w:line="202" w:lineRule="exact"/>
              <w:rPr>
                <w:sz w:val="20"/>
                <w:szCs w:val="20"/>
                <w:color w:val="auto"/>
              </w:rPr>
            </w:pPr>
            <w:r>
              <w:rPr>
                <w:rFonts w:ascii="Arial" w:cs="Arial" w:eastAsia="Arial" w:hAnsi="Arial"/>
                <w:sz w:val="18"/>
                <w:szCs w:val="18"/>
                <w:b w:val="1"/>
                <w:bCs w:val="1"/>
                <w:color w:val="auto"/>
              </w:rPr>
              <w:t>19</w:t>
            </w:r>
          </w:p>
        </w:tc>
        <w:tc>
          <w:tcPr>
            <w:tcW w:w="660" w:type="dxa"/>
            <w:vAlign w:val="bottom"/>
            <w:shd w:val="clear" w:color="auto" w:fill="E5E5E5"/>
          </w:tcPr>
          <w:p>
            <w:pPr>
              <w:jc w:val="right"/>
              <w:ind w:right="72"/>
              <w:spacing w:after="0" w:line="202" w:lineRule="exact"/>
              <w:rPr>
                <w:sz w:val="20"/>
                <w:szCs w:val="20"/>
                <w:color w:val="auto"/>
              </w:rPr>
            </w:pPr>
            <w:r>
              <w:rPr>
                <w:rFonts w:ascii="Arial" w:cs="Arial" w:eastAsia="Arial" w:hAnsi="Arial"/>
                <w:sz w:val="18"/>
                <w:szCs w:val="18"/>
                <w:color w:val="auto"/>
              </w:rPr>
              <w:t>37</w:t>
            </w:r>
          </w:p>
        </w:tc>
        <w:tc>
          <w:tcPr>
            <w:tcW w:w="220" w:type="dxa"/>
            <w:vAlign w:val="bottom"/>
            <w:shd w:val="clear" w:color="auto" w:fill="E5E5E5"/>
          </w:tcPr>
          <w:p>
            <w:pPr>
              <w:spacing w:after="0"/>
              <w:rPr>
                <w:sz w:val="17"/>
                <w:szCs w:val="17"/>
                <w:color w:val="auto"/>
              </w:rPr>
            </w:pPr>
          </w:p>
        </w:tc>
        <w:tc>
          <w:tcPr>
            <w:tcW w:w="700" w:type="dxa"/>
            <w:vAlign w:val="bottom"/>
            <w:shd w:val="clear" w:color="auto" w:fill="E5E5E5"/>
          </w:tcPr>
          <w:p>
            <w:pPr>
              <w:jc w:val="right"/>
              <w:ind w:right="74"/>
              <w:spacing w:after="0" w:line="202" w:lineRule="exact"/>
              <w:rPr>
                <w:sz w:val="20"/>
                <w:szCs w:val="20"/>
                <w:color w:val="auto"/>
              </w:rPr>
            </w:pPr>
            <w:r>
              <w:rPr>
                <w:rFonts w:ascii="Arial" w:cs="Arial" w:eastAsia="Arial" w:hAnsi="Arial"/>
                <w:sz w:val="18"/>
                <w:szCs w:val="18"/>
                <w:b w:val="1"/>
                <w:bCs w:val="1"/>
                <w:color w:val="auto"/>
              </w:rPr>
              <w:t>21</w:t>
            </w:r>
          </w:p>
        </w:tc>
        <w:tc>
          <w:tcPr>
            <w:tcW w:w="200" w:type="dxa"/>
            <w:vAlign w:val="bottom"/>
            <w:shd w:val="clear" w:color="auto" w:fill="E5E5E5"/>
          </w:tcPr>
          <w:p>
            <w:pPr>
              <w:spacing w:after="0"/>
              <w:rPr>
                <w:sz w:val="17"/>
                <w:szCs w:val="17"/>
                <w:color w:val="auto"/>
              </w:rPr>
            </w:pPr>
          </w:p>
        </w:tc>
        <w:tc>
          <w:tcPr>
            <w:tcW w:w="4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171</w:t>
            </w:r>
          </w:p>
        </w:tc>
        <w:tc>
          <w:tcPr>
            <w:tcW w:w="220" w:type="dxa"/>
            <w:vAlign w:val="bottom"/>
            <w:shd w:val="clear" w:color="auto" w:fill="E5E5E5"/>
          </w:tcPr>
          <w:p>
            <w:pPr>
              <w:spacing w:after="0"/>
              <w:rPr>
                <w:sz w:val="17"/>
                <w:szCs w:val="17"/>
                <w:color w:val="auto"/>
              </w:rPr>
            </w:pPr>
          </w:p>
        </w:tc>
      </w:tr>
      <w:tr>
        <w:trPr>
          <w:trHeight w:val="203"/>
        </w:trPr>
        <w:tc>
          <w:tcPr>
            <w:tcW w:w="6660" w:type="dxa"/>
            <w:vAlign w:val="bottom"/>
          </w:tcPr>
          <w:p>
            <w:pPr>
              <w:ind w:left="220"/>
              <w:spacing w:after="0" w:line="202" w:lineRule="exact"/>
              <w:rPr>
                <w:sz w:val="20"/>
                <w:szCs w:val="20"/>
                <w:color w:val="auto"/>
              </w:rPr>
            </w:pPr>
            <w:r>
              <w:rPr>
                <w:rFonts w:ascii="Arial" w:cs="Arial" w:eastAsia="Arial" w:hAnsi="Arial"/>
                <w:sz w:val="18"/>
                <w:szCs w:val="18"/>
                <w:color w:val="auto"/>
              </w:rPr>
              <w:t>Change in measurement date</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jc w:val="right"/>
              <w:ind w:right="74"/>
              <w:spacing w:after="0" w:line="202" w:lineRule="exact"/>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7"/>
                <w:szCs w:val="17"/>
                <w:color w:val="auto"/>
              </w:rPr>
            </w:pPr>
          </w:p>
        </w:tc>
        <w:tc>
          <w:tcPr>
            <w:tcW w:w="5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500" w:type="dxa"/>
            <w:vAlign w:val="bottom"/>
          </w:tcPr>
          <w:p>
            <w:pPr>
              <w:jc w:val="right"/>
              <w:ind w:right="74"/>
              <w:spacing w:after="0" w:line="202" w:lineRule="exact"/>
              <w:rPr>
                <w:sz w:val="20"/>
                <w:szCs w:val="20"/>
                <w:color w:val="auto"/>
              </w:rPr>
            </w:pPr>
            <w:r>
              <w:rPr>
                <w:rFonts w:ascii="Arial" w:cs="Arial" w:eastAsia="Arial" w:hAnsi="Arial"/>
                <w:sz w:val="18"/>
                <w:szCs w:val="18"/>
                <w:b w:val="1"/>
                <w:bCs w:val="1"/>
                <w:color w:val="auto"/>
              </w:rPr>
              <w:t>—</w:t>
            </w:r>
          </w:p>
        </w:tc>
        <w:tc>
          <w:tcPr>
            <w:tcW w:w="660" w:type="dxa"/>
            <w:vAlign w:val="bottom"/>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00" w:type="dxa"/>
            <w:vAlign w:val="bottom"/>
          </w:tcPr>
          <w:p>
            <w:pPr>
              <w:jc w:val="right"/>
              <w:ind w:right="74"/>
              <w:spacing w:after="0" w:line="202" w:lineRule="exact"/>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7"/>
                <w:szCs w:val="17"/>
                <w:color w:val="auto"/>
              </w:rPr>
            </w:pPr>
          </w:p>
        </w:tc>
        <w:tc>
          <w:tcPr>
            <w:tcW w:w="6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16</w:t>
            </w:r>
          </w:p>
        </w:tc>
      </w:tr>
      <w:tr>
        <w:trPr>
          <w:trHeight w:val="203"/>
        </w:trPr>
        <w:tc>
          <w:tcPr>
            <w:tcW w:w="666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Employer contributions</w:t>
            </w:r>
          </w:p>
        </w:tc>
        <w:tc>
          <w:tcPr>
            <w:tcW w:w="18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500" w:type="dxa"/>
            <w:vAlign w:val="bottom"/>
            <w:shd w:val="clear" w:color="auto" w:fill="E5E5E5"/>
          </w:tcPr>
          <w:p>
            <w:pPr>
              <w:jc w:val="right"/>
              <w:ind w:right="74"/>
              <w:spacing w:after="0" w:line="202" w:lineRule="exact"/>
              <w:rPr>
                <w:sz w:val="20"/>
                <w:szCs w:val="20"/>
                <w:color w:val="auto"/>
              </w:rPr>
            </w:pPr>
            <w:r>
              <w:rPr>
                <w:rFonts w:ascii="Arial" w:cs="Arial" w:eastAsia="Arial" w:hAnsi="Arial"/>
                <w:sz w:val="18"/>
                <w:szCs w:val="18"/>
                <w:b w:val="1"/>
                <w:bCs w:val="1"/>
                <w:color w:val="auto"/>
              </w:rPr>
              <w:t>3</w:t>
            </w:r>
          </w:p>
        </w:tc>
        <w:tc>
          <w:tcPr>
            <w:tcW w:w="200" w:type="dxa"/>
            <w:vAlign w:val="bottom"/>
            <w:shd w:val="clear" w:color="auto" w:fill="E5E5E5"/>
          </w:tcPr>
          <w:p>
            <w:pPr>
              <w:spacing w:after="0"/>
              <w:rPr>
                <w:sz w:val="17"/>
                <w:szCs w:val="17"/>
                <w:color w:val="auto"/>
              </w:rPr>
            </w:pPr>
          </w:p>
        </w:tc>
        <w:tc>
          <w:tcPr>
            <w:tcW w:w="520" w:type="dxa"/>
            <w:vAlign w:val="bottom"/>
            <w:shd w:val="clear" w:color="auto" w:fill="E5E5E5"/>
          </w:tcPr>
          <w:p>
            <w:pPr>
              <w:jc w:val="right"/>
              <w:ind w:right="52"/>
              <w:spacing w:after="0" w:line="202" w:lineRule="exact"/>
              <w:rPr>
                <w:sz w:val="20"/>
                <w:szCs w:val="20"/>
                <w:color w:val="auto"/>
              </w:rPr>
            </w:pPr>
            <w:r>
              <w:rPr>
                <w:rFonts w:ascii="Arial" w:cs="Arial" w:eastAsia="Arial" w:hAnsi="Arial"/>
                <w:sz w:val="18"/>
                <w:szCs w:val="18"/>
                <w:color w:val="auto"/>
              </w:rPr>
              <w:t>125</w:t>
            </w:r>
          </w:p>
        </w:tc>
        <w:tc>
          <w:tcPr>
            <w:tcW w:w="260" w:type="dxa"/>
            <w:vAlign w:val="bottom"/>
            <w:shd w:val="clear" w:color="auto" w:fill="E5E5E5"/>
          </w:tcPr>
          <w:p>
            <w:pPr>
              <w:spacing w:after="0"/>
              <w:rPr>
                <w:sz w:val="17"/>
                <w:szCs w:val="17"/>
                <w:color w:val="auto"/>
              </w:rPr>
            </w:pPr>
          </w:p>
        </w:tc>
        <w:tc>
          <w:tcPr>
            <w:tcW w:w="500" w:type="dxa"/>
            <w:vAlign w:val="bottom"/>
            <w:shd w:val="clear" w:color="auto" w:fill="E5E5E5"/>
          </w:tcPr>
          <w:p>
            <w:pPr>
              <w:jc w:val="right"/>
              <w:ind w:right="74"/>
              <w:spacing w:after="0" w:line="202" w:lineRule="exact"/>
              <w:rPr>
                <w:sz w:val="20"/>
                <w:szCs w:val="20"/>
                <w:color w:val="auto"/>
              </w:rPr>
            </w:pPr>
            <w:r>
              <w:rPr>
                <w:rFonts w:ascii="Arial" w:cs="Arial" w:eastAsia="Arial" w:hAnsi="Arial"/>
                <w:sz w:val="18"/>
                <w:szCs w:val="18"/>
                <w:b w:val="1"/>
                <w:bCs w:val="1"/>
                <w:color w:val="auto"/>
              </w:rPr>
              <w:t>11</w:t>
            </w:r>
          </w:p>
        </w:tc>
        <w:tc>
          <w:tcPr>
            <w:tcW w:w="660" w:type="dxa"/>
            <w:vAlign w:val="bottom"/>
            <w:shd w:val="clear" w:color="auto" w:fill="E5E5E5"/>
          </w:tcPr>
          <w:p>
            <w:pPr>
              <w:jc w:val="right"/>
              <w:ind w:right="72"/>
              <w:spacing w:after="0" w:line="202" w:lineRule="exact"/>
              <w:rPr>
                <w:sz w:val="20"/>
                <w:szCs w:val="20"/>
                <w:color w:val="auto"/>
              </w:rPr>
            </w:pPr>
            <w:r>
              <w:rPr>
                <w:rFonts w:ascii="Arial" w:cs="Arial" w:eastAsia="Arial" w:hAnsi="Arial"/>
                <w:sz w:val="18"/>
                <w:szCs w:val="18"/>
                <w:color w:val="auto"/>
              </w:rPr>
              <w:t>91</w:t>
            </w:r>
          </w:p>
        </w:tc>
        <w:tc>
          <w:tcPr>
            <w:tcW w:w="220" w:type="dxa"/>
            <w:vAlign w:val="bottom"/>
            <w:shd w:val="clear" w:color="auto" w:fill="E5E5E5"/>
          </w:tcPr>
          <w:p>
            <w:pPr>
              <w:spacing w:after="0"/>
              <w:rPr>
                <w:sz w:val="17"/>
                <w:szCs w:val="17"/>
                <w:color w:val="auto"/>
              </w:rPr>
            </w:pPr>
          </w:p>
        </w:tc>
        <w:tc>
          <w:tcPr>
            <w:tcW w:w="700" w:type="dxa"/>
            <w:vAlign w:val="bottom"/>
            <w:shd w:val="clear" w:color="auto" w:fill="E5E5E5"/>
          </w:tcPr>
          <w:p>
            <w:pPr>
              <w:jc w:val="right"/>
              <w:ind w:right="74"/>
              <w:spacing w:after="0" w:line="202" w:lineRule="exact"/>
              <w:rPr>
                <w:sz w:val="20"/>
                <w:szCs w:val="20"/>
                <w:color w:val="auto"/>
              </w:rPr>
            </w:pPr>
            <w:r>
              <w:rPr>
                <w:rFonts w:ascii="Arial" w:cs="Arial" w:eastAsia="Arial" w:hAnsi="Arial"/>
                <w:sz w:val="18"/>
                <w:szCs w:val="18"/>
                <w:b w:val="1"/>
                <w:bCs w:val="1"/>
                <w:color w:val="auto"/>
              </w:rPr>
              <w:t>77</w:t>
            </w:r>
          </w:p>
        </w:tc>
        <w:tc>
          <w:tcPr>
            <w:tcW w:w="200" w:type="dxa"/>
            <w:vAlign w:val="bottom"/>
            <w:shd w:val="clear" w:color="auto" w:fill="E5E5E5"/>
          </w:tcPr>
          <w:p>
            <w:pPr>
              <w:spacing w:after="0"/>
              <w:rPr>
                <w:sz w:val="17"/>
                <w:szCs w:val="17"/>
                <w:color w:val="auto"/>
              </w:rPr>
            </w:pPr>
          </w:p>
        </w:tc>
        <w:tc>
          <w:tcPr>
            <w:tcW w:w="66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379(a)</w:t>
            </w:r>
          </w:p>
        </w:tc>
      </w:tr>
      <w:tr>
        <w:trPr>
          <w:trHeight w:val="203"/>
        </w:trPr>
        <w:tc>
          <w:tcPr>
            <w:tcW w:w="6660" w:type="dxa"/>
            <w:vAlign w:val="bottom"/>
          </w:tcPr>
          <w:p>
            <w:pPr>
              <w:ind w:left="220"/>
              <w:spacing w:after="0" w:line="202" w:lineRule="exact"/>
              <w:rPr>
                <w:sz w:val="20"/>
                <w:szCs w:val="20"/>
                <w:color w:val="auto"/>
              </w:rPr>
            </w:pPr>
            <w:r>
              <w:rPr>
                <w:rFonts w:ascii="Arial" w:cs="Arial" w:eastAsia="Arial" w:hAnsi="Arial"/>
                <w:sz w:val="18"/>
                <w:szCs w:val="18"/>
                <w:color w:val="auto"/>
              </w:rPr>
              <w:t>Participant contributions</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jc w:val="right"/>
              <w:ind w:right="74"/>
              <w:spacing w:after="0" w:line="202" w:lineRule="exact"/>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7"/>
                <w:szCs w:val="17"/>
                <w:color w:val="auto"/>
              </w:rPr>
            </w:pPr>
          </w:p>
        </w:tc>
        <w:tc>
          <w:tcPr>
            <w:tcW w:w="5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500" w:type="dxa"/>
            <w:vAlign w:val="bottom"/>
          </w:tcPr>
          <w:p>
            <w:pPr>
              <w:jc w:val="right"/>
              <w:ind w:right="74"/>
              <w:spacing w:after="0" w:line="202" w:lineRule="exact"/>
              <w:rPr>
                <w:sz w:val="20"/>
                <w:szCs w:val="20"/>
                <w:color w:val="auto"/>
              </w:rPr>
            </w:pPr>
            <w:r>
              <w:rPr>
                <w:rFonts w:ascii="Arial" w:cs="Arial" w:eastAsia="Arial" w:hAnsi="Arial"/>
                <w:sz w:val="18"/>
                <w:szCs w:val="18"/>
                <w:b w:val="1"/>
                <w:bCs w:val="1"/>
                <w:color w:val="auto"/>
              </w:rPr>
              <w:t>16</w:t>
            </w:r>
          </w:p>
        </w:tc>
        <w:tc>
          <w:tcPr>
            <w:tcW w:w="660" w:type="dxa"/>
            <w:vAlign w:val="bottom"/>
          </w:tcPr>
          <w:p>
            <w:pPr>
              <w:jc w:val="right"/>
              <w:ind w:right="72"/>
              <w:spacing w:after="0" w:line="202" w:lineRule="exact"/>
              <w:rPr>
                <w:sz w:val="20"/>
                <w:szCs w:val="20"/>
                <w:color w:val="auto"/>
              </w:rPr>
            </w:pPr>
            <w:r>
              <w:rPr>
                <w:rFonts w:ascii="Arial" w:cs="Arial" w:eastAsia="Arial" w:hAnsi="Arial"/>
                <w:sz w:val="18"/>
                <w:szCs w:val="18"/>
                <w:color w:val="auto"/>
              </w:rPr>
              <w:t>15</w:t>
            </w:r>
          </w:p>
        </w:tc>
        <w:tc>
          <w:tcPr>
            <w:tcW w:w="220" w:type="dxa"/>
            <w:vAlign w:val="bottom"/>
          </w:tcPr>
          <w:p>
            <w:pPr>
              <w:spacing w:after="0"/>
              <w:rPr>
                <w:sz w:val="17"/>
                <w:szCs w:val="17"/>
                <w:color w:val="auto"/>
              </w:rPr>
            </w:pPr>
          </w:p>
        </w:tc>
        <w:tc>
          <w:tcPr>
            <w:tcW w:w="700" w:type="dxa"/>
            <w:vAlign w:val="bottom"/>
          </w:tcPr>
          <w:p>
            <w:pPr>
              <w:jc w:val="right"/>
              <w:ind w:right="74"/>
              <w:spacing w:after="0" w:line="202" w:lineRule="exact"/>
              <w:rPr>
                <w:sz w:val="20"/>
                <w:szCs w:val="20"/>
                <w:color w:val="auto"/>
              </w:rPr>
            </w:pPr>
            <w:r>
              <w:rPr>
                <w:rFonts w:ascii="Arial" w:cs="Arial" w:eastAsia="Arial" w:hAnsi="Arial"/>
                <w:sz w:val="18"/>
                <w:szCs w:val="18"/>
                <w:b w:val="1"/>
                <w:bCs w:val="1"/>
                <w:color w:val="auto"/>
              </w:rPr>
              <w:t>3</w:t>
            </w:r>
          </w:p>
        </w:tc>
        <w:tc>
          <w:tcPr>
            <w:tcW w:w="200" w:type="dxa"/>
            <w:vAlign w:val="bottom"/>
          </w:tcPr>
          <w:p>
            <w:pPr>
              <w:spacing w:after="0"/>
              <w:rPr>
                <w:sz w:val="17"/>
                <w:szCs w:val="17"/>
                <w:color w:val="auto"/>
              </w:rPr>
            </w:pPr>
          </w:p>
        </w:tc>
        <w:tc>
          <w:tcPr>
            <w:tcW w:w="6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w:t>
            </w:r>
          </w:p>
        </w:tc>
      </w:tr>
      <w:tr>
        <w:trPr>
          <w:trHeight w:val="203"/>
        </w:trPr>
        <w:tc>
          <w:tcPr>
            <w:tcW w:w="666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Benefits paid</w:t>
            </w:r>
          </w:p>
        </w:tc>
        <w:tc>
          <w:tcPr>
            <w:tcW w:w="18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500" w:type="dxa"/>
            <w:vAlign w:val="bottom"/>
            <w:shd w:val="clear" w:color="auto" w:fill="E5E5E5"/>
          </w:tcPr>
          <w:p>
            <w:pPr>
              <w:jc w:val="right"/>
              <w:ind w:right="14"/>
              <w:spacing w:after="0" w:line="202" w:lineRule="exact"/>
              <w:rPr>
                <w:sz w:val="20"/>
                <w:szCs w:val="20"/>
                <w:color w:val="auto"/>
              </w:rPr>
            </w:pPr>
            <w:r>
              <w:rPr>
                <w:rFonts w:ascii="Arial" w:cs="Arial" w:eastAsia="Arial" w:hAnsi="Arial"/>
                <w:sz w:val="18"/>
                <w:szCs w:val="18"/>
                <w:b w:val="1"/>
                <w:bCs w:val="1"/>
                <w:color w:val="auto"/>
              </w:rPr>
              <w:t>(45)</w:t>
            </w:r>
          </w:p>
        </w:tc>
        <w:tc>
          <w:tcPr>
            <w:tcW w:w="200" w:type="dxa"/>
            <w:vAlign w:val="bottom"/>
            <w:shd w:val="clear" w:color="auto" w:fill="E5E5E5"/>
          </w:tcPr>
          <w:p>
            <w:pPr>
              <w:spacing w:after="0"/>
              <w:rPr>
                <w:sz w:val="17"/>
                <w:szCs w:val="17"/>
                <w:color w:val="auto"/>
              </w:rPr>
            </w:pPr>
          </w:p>
        </w:tc>
        <w:tc>
          <w:tcPr>
            <w:tcW w:w="520" w:type="dxa"/>
            <w:vAlign w:val="bottom"/>
            <w:shd w:val="clear" w:color="auto" w:fill="E5E5E5"/>
          </w:tcPr>
          <w:p>
            <w:pPr>
              <w:jc w:val="right"/>
              <w:ind w:right="12"/>
              <w:spacing w:after="0" w:line="202" w:lineRule="exact"/>
              <w:rPr>
                <w:sz w:val="20"/>
                <w:szCs w:val="20"/>
                <w:color w:val="auto"/>
              </w:rPr>
            </w:pPr>
            <w:r>
              <w:rPr>
                <w:rFonts w:ascii="Arial" w:cs="Arial" w:eastAsia="Arial" w:hAnsi="Arial"/>
                <w:sz w:val="18"/>
                <w:szCs w:val="18"/>
                <w:color w:val="auto"/>
              </w:rPr>
              <w:t>(5)</w:t>
            </w:r>
          </w:p>
        </w:tc>
        <w:tc>
          <w:tcPr>
            <w:tcW w:w="260" w:type="dxa"/>
            <w:vAlign w:val="bottom"/>
            <w:shd w:val="clear" w:color="auto" w:fill="E5E5E5"/>
          </w:tcPr>
          <w:p>
            <w:pPr>
              <w:spacing w:after="0"/>
              <w:rPr>
                <w:sz w:val="17"/>
                <w:szCs w:val="17"/>
                <w:color w:val="auto"/>
              </w:rPr>
            </w:pPr>
          </w:p>
        </w:tc>
        <w:tc>
          <w:tcPr>
            <w:tcW w:w="500" w:type="dxa"/>
            <w:vAlign w:val="bottom"/>
            <w:shd w:val="clear" w:color="auto" w:fill="E5E5E5"/>
          </w:tcPr>
          <w:p>
            <w:pPr>
              <w:jc w:val="right"/>
              <w:ind w:right="14"/>
              <w:spacing w:after="0" w:line="202" w:lineRule="exact"/>
              <w:rPr>
                <w:sz w:val="20"/>
                <w:szCs w:val="20"/>
                <w:color w:val="auto"/>
              </w:rPr>
            </w:pPr>
            <w:r>
              <w:rPr>
                <w:rFonts w:ascii="Arial" w:cs="Arial" w:eastAsia="Arial" w:hAnsi="Arial"/>
                <w:sz w:val="18"/>
                <w:szCs w:val="18"/>
                <w:b w:val="1"/>
                <w:bCs w:val="1"/>
                <w:color w:val="auto"/>
              </w:rPr>
              <w:t>(48)</w:t>
            </w:r>
          </w:p>
        </w:tc>
        <w:tc>
          <w:tcPr>
            <w:tcW w:w="660" w:type="dxa"/>
            <w:vAlign w:val="bottom"/>
            <w:shd w:val="clear" w:color="auto" w:fill="E5E5E5"/>
          </w:tcPr>
          <w:p>
            <w:pPr>
              <w:jc w:val="right"/>
              <w:ind w:right="12"/>
              <w:spacing w:after="0" w:line="202" w:lineRule="exact"/>
              <w:rPr>
                <w:sz w:val="20"/>
                <w:szCs w:val="20"/>
                <w:color w:val="auto"/>
              </w:rPr>
            </w:pPr>
            <w:r>
              <w:rPr>
                <w:rFonts w:ascii="Arial" w:cs="Arial" w:eastAsia="Arial" w:hAnsi="Arial"/>
                <w:sz w:val="18"/>
                <w:szCs w:val="18"/>
                <w:color w:val="auto"/>
              </w:rPr>
              <w:t>(45)</w:t>
            </w:r>
          </w:p>
        </w:tc>
        <w:tc>
          <w:tcPr>
            <w:tcW w:w="220" w:type="dxa"/>
            <w:vAlign w:val="bottom"/>
            <w:shd w:val="clear" w:color="auto" w:fill="E5E5E5"/>
          </w:tcPr>
          <w:p>
            <w:pPr>
              <w:spacing w:after="0"/>
              <w:rPr>
                <w:sz w:val="17"/>
                <w:szCs w:val="17"/>
                <w:color w:val="auto"/>
              </w:rPr>
            </w:pPr>
          </w:p>
        </w:tc>
        <w:tc>
          <w:tcPr>
            <w:tcW w:w="700" w:type="dxa"/>
            <w:vAlign w:val="bottom"/>
            <w:shd w:val="clear" w:color="auto" w:fill="E5E5E5"/>
          </w:tcPr>
          <w:p>
            <w:pPr>
              <w:jc w:val="right"/>
              <w:ind w:right="14"/>
              <w:spacing w:after="0" w:line="202" w:lineRule="exact"/>
              <w:rPr>
                <w:sz w:val="20"/>
                <w:szCs w:val="20"/>
                <w:color w:val="auto"/>
              </w:rPr>
            </w:pPr>
            <w:r>
              <w:rPr>
                <w:rFonts w:ascii="Arial" w:cs="Arial" w:eastAsia="Arial" w:hAnsi="Arial"/>
                <w:sz w:val="18"/>
                <w:szCs w:val="18"/>
                <w:b w:val="1"/>
                <w:bCs w:val="1"/>
                <w:color w:val="auto"/>
              </w:rPr>
              <w:t>(45)</w:t>
            </w:r>
          </w:p>
        </w:tc>
        <w:tc>
          <w:tcPr>
            <w:tcW w:w="200" w:type="dxa"/>
            <w:vAlign w:val="bottom"/>
            <w:shd w:val="clear" w:color="auto" w:fill="E5E5E5"/>
          </w:tcPr>
          <w:p>
            <w:pPr>
              <w:spacing w:after="0"/>
              <w:rPr>
                <w:sz w:val="17"/>
                <w:szCs w:val="17"/>
                <w:color w:val="auto"/>
              </w:rPr>
            </w:pPr>
          </w:p>
        </w:tc>
        <w:tc>
          <w:tcPr>
            <w:tcW w:w="66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(55)</w:t>
            </w:r>
          </w:p>
        </w:tc>
      </w:tr>
      <w:tr>
        <w:trPr>
          <w:trHeight w:val="203"/>
        </w:trPr>
        <w:tc>
          <w:tcPr>
            <w:tcW w:w="6660" w:type="dxa"/>
            <w:vAlign w:val="bottom"/>
          </w:tcPr>
          <w:p>
            <w:pPr>
              <w:ind w:left="220"/>
              <w:spacing w:after="0" w:line="202" w:lineRule="exact"/>
              <w:rPr>
                <w:sz w:val="20"/>
                <w:szCs w:val="20"/>
                <w:color w:val="auto"/>
              </w:rPr>
            </w:pPr>
            <w:r>
              <w:rPr>
                <w:rFonts w:ascii="Arial" w:cs="Arial" w:eastAsia="Arial" w:hAnsi="Arial"/>
                <w:sz w:val="18"/>
                <w:szCs w:val="18"/>
                <w:color w:val="auto"/>
              </w:rPr>
              <w:t>Settlements</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jc w:val="right"/>
              <w:ind w:right="74"/>
              <w:spacing w:after="0" w:line="202" w:lineRule="exact"/>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7"/>
                <w:szCs w:val="17"/>
                <w:color w:val="auto"/>
              </w:rPr>
            </w:pPr>
          </w:p>
        </w:tc>
        <w:tc>
          <w:tcPr>
            <w:tcW w:w="520" w:type="dxa"/>
            <w:vAlign w:val="bottom"/>
          </w:tcPr>
          <w:p>
            <w:pPr>
              <w:jc w:val="right"/>
              <w:ind w:right="12"/>
              <w:spacing w:after="0" w:line="202" w:lineRule="exact"/>
              <w:rPr>
                <w:sz w:val="20"/>
                <w:szCs w:val="20"/>
                <w:color w:val="auto"/>
              </w:rPr>
            </w:pPr>
            <w:r>
              <w:rPr>
                <w:rFonts w:ascii="Arial" w:cs="Arial" w:eastAsia="Arial" w:hAnsi="Arial"/>
                <w:sz w:val="18"/>
                <w:szCs w:val="18"/>
                <w:color w:val="auto"/>
                <w:w w:val="95"/>
              </w:rPr>
              <w:t>(119)</w:t>
            </w:r>
          </w:p>
        </w:tc>
        <w:tc>
          <w:tcPr>
            <w:tcW w:w="260" w:type="dxa"/>
            <w:vAlign w:val="bottom"/>
          </w:tcPr>
          <w:p>
            <w:pPr>
              <w:spacing w:after="0"/>
              <w:rPr>
                <w:sz w:val="17"/>
                <w:szCs w:val="17"/>
                <w:color w:val="auto"/>
              </w:rPr>
            </w:pPr>
          </w:p>
        </w:tc>
        <w:tc>
          <w:tcPr>
            <w:tcW w:w="500" w:type="dxa"/>
            <w:vAlign w:val="bottom"/>
          </w:tcPr>
          <w:p>
            <w:pPr>
              <w:jc w:val="right"/>
              <w:ind w:right="74"/>
              <w:spacing w:after="0" w:line="202" w:lineRule="exact"/>
              <w:rPr>
                <w:sz w:val="20"/>
                <w:szCs w:val="20"/>
                <w:color w:val="auto"/>
              </w:rPr>
            </w:pPr>
            <w:r>
              <w:rPr>
                <w:rFonts w:ascii="Arial" w:cs="Arial" w:eastAsia="Arial" w:hAnsi="Arial"/>
                <w:sz w:val="18"/>
                <w:szCs w:val="18"/>
                <w:b w:val="1"/>
                <w:bCs w:val="1"/>
                <w:color w:val="auto"/>
              </w:rPr>
              <w:t>—</w:t>
            </w:r>
          </w:p>
        </w:tc>
        <w:tc>
          <w:tcPr>
            <w:tcW w:w="660" w:type="dxa"/>
            <w:vAlign w:val="bottom"/>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00" w:type="dxa"/>
            <w:vAlign w:val="bottom"/>
          </w:tcPr>
          <w:p>
            <w:pPr>
              <w:jc w:val="right"/>
              <w:ind w:right="74"/>
              <w:spacing w:after="0" w:line="202" w:lineRule="exact"/>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7"/>
                <w:szCs w:val="17"/>
                <w:color w:val="auto"/>
              </w:rPr>
            </w:pPr>
          </w:p>
        </w:tc>
        <w:tc>
          <w:tcPr>
            <w:tcW w:w="6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r>
      <w:tr>
        <w:trPr>
          <w:trHeight w:val="203"/>
        </w:trPr>
        <w:tc>
          <w:tcPr>
            <w:tcW w:w="666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Effects of exchange rate changes</w:t>
            </w:r>
          </w:p>
        </w:tc>
        <w:tc>
          <w:tcPr>
            <w:tcW w:w="18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500" w:type="dxa"/>
            <w:vAlign w:val="bottom"/>
            <w:shd w:val="clear" w:color="auto" w:fill="E5E5E5"/>
          </w:tcPr>
          <w:p>
            <w:pPr>
              <w:jc w:val="right"/>
              <w:ind w:right="74"/>
              <w:spacing w:after="0" w:line="202" w:lineRule="exact"/>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E5E5E5"/>
          </w:tcPr>
          <w:p>
            <w:pPr>
              <w:spacing w:after="0"/>
              <w:rPr>
                <w:sz w:val="17"/>
                <w:szCs w:val="17"/>
                <w:color w:val="auto"/>
              </w:rPr>
            </w:pPr>
          </w:p>
        </w:tc>
        <w:tc>
          <w:tcPr>
            <w:tcW w:w="520" w:type="dxa"/>
            <w:vAlign w:val="bottom"/>
            <w:shd w:val="clear" w:color="auto" w:fill="E5E5E5"/>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7"/>
                <w:szCs w:val="17"/>
                <w:color w:val="auto"/>
              </w:rPr>
            </w:pPr>
          </w:p>
        </w:tc>
        <w:tc>
          <w:tcPr>
            <w:tcW w:w="500" w:type="dxa"/>
            <w:vAlign w:val="bottom"/>
            <w:shd w:val="clear" w:color="auto" w:fill="E5E5E5"/>
          </w:tcPr>
          <w:p>
            <w:pPr>
              <w:jc w:val="right"/>
              <w:ind w:right="74"/>
              <w:spacing w:after="0" w:line="202" w:lineRule="exact"/>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E5E5E5"/>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7"/>
                <w:szCs w:val="17"/>
                <w:color w:val="auto"/>
              </w:rPr>
            </w:pPr>
          </w:p>
        </w:tc>
        <w:tc>
          <w:tcPr>
            <w:tcW w:w="700" w:type="dxa"/>
            <w:vAlign w:val="bottom"/>
            <w:shd w:val="clear" w:color="auto" w:fill="E5E5E5"/>
          </w:tcPr>
          <w:p>
            <w:pPr>
              <w:jc w:val="right"/>
              <w:ind w:right="74"/>
              <w:spacing w:after="0" w:line="202" w:lineRule="exact"/>
              <w:rPr>
                <w:sz w:val="20"/>
                <w:szCs w:val="20"/>
                <w:color w:val="auto"/>
              </w:rPr>
            </w:pPr>
            <w:r>
              <w:rPr>
                <w:rFonts w:ascii="Arial" w:cs="Arial" w:eastAsia="Arial" w:hAnsi="Arial"/>
                <w:sz w:val="18"/>
                <w:szCs w:val="18"/>
                <w:b w:val="1"/>
                <w:bCs w:val="1"/>
                <w:color w:val="auto"/>
              </w:rPr>
              <w:t>64</w:t>
            </w:r>
          </w:p>
        </w:tc>
        <w:tc>
          <w:tcPr>
            <w:tcW w:w="200" w:type="dxa"/>
            <w:vAlign w:val="bottom"/>
            <w:shd w:val="clear" w:color="auto" w:fill="E5E5E5"/>
          </w:tcPr>
          <w:p>
            <w:pPr>
              <w:spacing w:after="0"/>
              <w:rPr>
                <w:sz w:val="17"/>
                <w:szCs w:val="17"/>
                <w:color w:val="auto"/>
              </w:rPr>
            </w:pPr>
          </w:p>
        </w:tc>
        <w:tc>
          <w:tcPr>
            <w:tcW w:w="66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(3)</w:t>
            </w:r>
          </w:p>
        </w:tc>
      </w:tr>
      <w:tr>
        <w:trPr>
          <w:trHeight w:val="210"/>
        </w:trPr>
        <w:tc>
          <w:tcPr>
            <w:tcW w:w="6660" w:type="dxa"/>
            <w:vAlign w:val="bottom"/>
          </w:tcPr>
          <w:p>
            <w:pPr>
              <w:spacing w:after="0"/>
              <w:rPr>
                <w:sz w:val="20"/>
                <w:szCs w:val="20"/>
                <w:color w:val="auto"/>
              </w:rPr>
            </w:pPr>
            <w:r>
              <w:rPr>
                <w:rFonts w:ascii="Arial" w:cs="Arial" w:eastAsia="Arial" w:hAnsi="Arial"/>
                <w:sz w:val="18"/>
                <w:szCs w:val="18"/>
                <w:color w:val="auto"/>
              </w:rPr>
              <w:t>Fair value of plan assets at end of year (FVPA)</w:t>
            </w: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815</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796</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399</w:t>
            </w:r>
          </w:p>
        </w:tc>
        <w:tc>
          <w:tcPr>
            <w:tcW w:w="6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401</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1,686</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1,566</w:t>
            </w:r>
          </w:p>
        </w:tc>
        <w:tc>
          <w:tcPr>
            <w:tcW w:w="220" w:type="dxa"/>
            <w:vAlign w:val="bottom"/>
          </w:tcPr>
          <w:p>
            <w:pPr>
              <w:spacing w:after="0"/>
              <w:rPr>
                <w:sz w:val="18"/>
                <w:szCs w:val="18"/>
                <w:color w:val="auto"/>
              </w:rPr>
            </w:pPr>
          </w:p>
        </w:tc>
      </w:tr>
      <w:tr>
        <w:trPr>
          <w:trHeight w:val="20"/>
        </w:trPr>
        <w:tc>
          <w:tcPr>
            <w:tcW w:w="6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7"/>
        </w:trPr>
        <w:tc>
          <w:tcPr>
            <w:tcW w:w="6660" w:type="dxa"/>
            <w:vAlign w:val="bottom"/>
            <w:shd w:val="clear" w:color="auto" w:fill="E5E5E5"/>
          </w:tcPr>
          <w:p>
            <w:pPr>
              <w:spacing w:after="0" w:line="196" w:lineRule="exact"/>
              <w:rPr>
                <w:sz w:val="20"/>
                <w:szCs w:val="20"/>
                <w:color w:val="auto"/>
              </w:rPr>
            </w:pPr>
            <w:r>
              <w:rPr>
                <w:rFonts w:ascii="Arial" w:cs="Arial" w:eastAsia="Arial" w:hAnsi="Arial"/>
                <w:sz w:val="18"/>
                <w:szCs w:val="18"/>
                <w:color w:val="auto"/>
              </w:rPr>
              <w:t>Funded status (FVPA–BO) at end of year</w:t>
            </w:r>
          </w:p>
        </w:tc>
        <w:tc>
          <w:tcPr>
            <w:tcW w:w="340" w:type="dxa"/>
            <w:vAlign w:val="bottom"/>
            <w:gridSpan w:val="2"/>
            <w:shd w:val="clear" w:color="auto" w:fill="E5E5E5"/>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E5E5E5"/>
          </w:tcPr>
          <w:p>
            <w:pPr>
              <w:jc w:val="right"/>
              <w:ind w:right="14"/>
              <w:spacing w:after="0" w:line="196" w:lineRule="exact"/>
              <w:rPr>
                <w:sz w:val="20"/>
                <w:szCs w:val="20"/>
                <w:color w:val="auto"/>
              </w:rPr>
            </w:pPr>
            <w:r>
              <w:rPr>
                <w:rFonts w:ascii="Arial" w:cs="Arial" w:eastAsia="Arial" w:hAnsi="Arial"/>
                <w:sz w:val="18"/>
                <w:szCs w:val="18"/>
                <w:b w:val="1"/>
                <w:bCs w:val="1"/>
                <w:color w:val="auto"/>
              </w:rPr>
              <w:t>(22)</w:t>
            </w:r>
          </w:p>
        </w:tc>
        <w:tc>
          <w:tcPr>
            <w:tcW w:w="20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rPr>
              <w:t>$</w:t>
            </w:r>
          </w:p>
        </w:tc>
        <w:tc>
          <w:tcPr>
            <w:tcW w:w="520" w:type="dxa"/>
            <w:vAlign w:val="bottom"/>
            <w:shd w:val="clear" w:color="auto" w:fill="E5E5E5"/>
          </w:tcPr>
          <w:p>
            <w:pPr>
              <w:jc w:val="right"/>
              <w:ind w:right="52"/>
              <w:spacing w:after="0" w:line="196" w:lineRule="exact"/>
              <w:rPr>
                <w:sz w:val="20"/>
                <w:szCs w:val="20"/>
                <w:color w:val="auto"/>
              </w:rPr>
            </w:pPr>
            <w:r>
              <w:rPr>
                <w:rFonts w:ascii="Arial" w:cs="Arial" w:eastAsia="Arial" w:hAnsi="Arial"/>
                <w:sz w:val="18"/>
                <w:szCs w:val="18"/>
                <w:color w:val="auto"/>
              </w:rPr>
              <w:t>8</w:t>
            </w:r>
          </w:p>
        </w:tc>
        <w:tc>
          <w:tcPr>
            <w:tcW w:w="26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E5E5E5"/>
          </w:tcPr>
          <w:p>
            <w:pPr>
              <w:jc w:val="right"/>
              <w:ind w:right="14"/>
              <w:spacing w:after="0" w:line="196" w:lineRule="exact"/>
              <w:rPr>
                <w:sz w:val="20"/>
                <w:szCs w:val="20"/>
                <w:color w:val="auto"/>
              </w:rPr>
            </w:pPr>
            <w:r>
              <w:rPr>
                <w:rFonts w:ascii="Arial" w:cs="Arial" w:eastAsia="Arial" w:hAnsi="Arial"/>
                <w:sz w:val="18"/>
                <w:szCs w:val="18"/>
                <w:b w:val="1"/>
                <w:bCs w:val="1"/>
                <w:color w:val="auto"/>
              </w:rPr>
              <w:t>(71)</w:t>
            </w:r>
          </w:p>
        </w:tc>
        <w:tc>
          <w:tcPr>
            <w:tcW w:w="660" w:type="dxa"/>
            <w:vAlign w:val="bottom"/>
            <w:shd w:val="clear" w:color="auto" w:fill="E5E5E5"/>
          </w:tcPr>
          <w:p>
            <w:pPr>
              <w:jc w:val="right"/>
              <w:ind w:right="12"/>
              <w:spacing w:after="0" w:line="196" w:lineRule="exact"/>
              <w:rPr>
                <w:sz w:val="20"/>
                <w:szCs w:val="20"/>
                <w:color w:val="auto"/>
              </w:rPr>
            </w:pPr>
            <w:r>
              <w:rPr>
                <w:rFonts w:ascii="Arial" w:cs="Arial" w:eastAsia="Arial" w:hAnsi="Arial"/>
                <w:sz w:val="18"/>
                <w:szCs w:val="18"/>
                <w:color w:val="auto"/>
              </w:rPr>
              <w:t>$ (43)</w:t>
            </w:r>
          </w:p>
        </w:tc>
        <w:tc>
          <w:tcPr>
            <w:tcW w:w="22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E5E5E5"/>
          </w:tcPr>
          <w:p>
            <w:pPr>
              <w:jc w:val="right"/>
              <w:ind w:right="74"/>
              <w:spacing w:after="0" w:line="196" w:lineRule="exact"/>
              <w:rPr>
                <w:sz w:val="20"/>
                <w:szCs w:val="20"/>
                <w:color w:val="auto"/>
              </w:rPr>
            </w:pPr>
            <w:r>
              <w:rPr>
                <w:rFonts w:ascii="Arial" w:cs="Arial" w:eastAsia="Arial" w:hAnsi="Arial"/>
                <w:sz w:val="18"/>
                <w:szCs w:val="18"/>
                <w:b w:val="1"/>
                <w:bCs w:val="1"/>
                <w:color w:val="auto"/>
              </w:rPr>
              <w:t>3</w:t>
            </w:r>
          </w:p>
        </w:tc>
        <w:tc>
          <w:tcPr>
            <w:tcW w:w="20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rPr>
              <w:t>$</w:t>
            </w:r>
          </w:p>
        </w:tc>
        <w:tc>
          <w:tcPr>
            <w:tcW w:w="660" w:type="dxa"/>
            <w:vAlign w:val="bottom"/>
            <w:gridSpan w:val="2"/>
            <w:shd w:val="clear" w:color="auto" w:fill="E5E5E5"/>
          </w:tcPr>
          <w:p>
            <w:pPr>
              <w:jc w:val="right"/>
              <w:ind w:right="160"/>
              <w:spacing w:after="0" w:line="196" w:lineRule="exact"/>
              <w:rPr>
                <w:sz w:val="20"/>
                <w:szCs w:val="20"/>
                <w:color w:val="auto"/>
              </w:rPr>
            </w:pPr>
            <w:r>
              <w:rPr>
                <w:rFonts w:ascii="Arial" w:cs="Arial" w:eastAsia="Arial" w:hAnsi="Arial"/>
                <w:sz w:val="18"/>
                <w:szCs w:val="18"/>
                <w:color w:val="auto"/>
              </w:rPr>
              <w:t>(129)</w:t>
            </w:r>
          </w:p>
        </w:tc>
      </w:tr>
      <w:tr>
        <w:trPr>
          <w:trHeight w:val="20"/>
        </w:trPr>
        <w:tc>
          <w:tcPr>
            <w:tcW w:w="6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15"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Includes $236 million contributed to non-U.S. plans in 2005 after the September 30 measurement date for those plans.</w:t>
      </w:r>
    </w:p>
    <w:p>
      <w:pPr>
        <w:spacing w:after="0" w:line="15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Amounts recognized on the balance sheet as of December 31, 2007:</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shd w:val="clear" w:color="auto" w:fill="E5E5E5"/>
          </w:tcPr>
          <w:p>
            <w:pPr>
              <w:jc w:val="center"/>
              <w:ind w:left="6272"/>
              <w:spacing w:after="0"/>
              <w:rPr>
                <w:sz w:val="20"/>
                <w:szCs w:val="20"/>
                <w:color w:val="auto"/>
              </w:rPr>
            </w:pPr>
            <w:r>
              <w:rPr>
                <w:rFonts w:ascii="Arial" w:cs="Arial" w:eastAsia="Arial" w:hAnsi="Arial"/>
                <w:sz w:val="14"/>
                <w:szCs w:val="14"/>
                <w:b w:val="1"/>
                <w:bCs w:val="1"/>
                <w:color w:val="auto"/>
                <w:w w:val="96"/>
              </w:rPr>
              <w:t>U.S. Defined</w:t>
            </w:r>
          </w:p>
        </w:tc>
        <w:tc>
          <w:tcPr>
            <w:tcW w:w="1300" w:type="dxa"/>
            <w:vAlign w:val="bottom"/>
            <w:shd w:val="clear" w:color="auto" w:fill="E5E5E5"/>
          </w:tcPr>
          <w:p>
            <w:pPr>
              <w:ind w:left="260"/>
              <w:spacing w:after="0"/>
              <w:rPr>
                <w:sz w:val="20"/>
                <w:szCs w:val="20"/>
                <w:color w:val="auto"/>
              </w:rPr>
            </w:pPr>
            <w:r>
              <w:rPr>
                <w:rFonts w:ascii="Arial" w:cs="Arial" w:eastAsia="Arial" w:hAnsi="Arial"/>
                <w:sz w:val="14"/>
                <w:szCs w:val="14"/>
                <w:b w:val="1"/>
                <w:bCs w:val="1"/>
                <w:color w:val="auto"/>
              </w:rPr>
              <w:t>U.S. Retiree</w:t>
            </w:r>
          </w:p>
        </w:tc>
        <w:tc>
          <w:tcPr>
            <w:tcW w:w="1600" w:type="dxa"/>
            <w:vAlign w:val="bottom"/>
            <w:shd w:val="clear" w:color="auto" w:fill="E5E5E5"/>
          </w:tcPr>
          <w:p>
            <w:pPr>
              <w:jc w:val="center"/>
              <w:ind w:right="12"/>
              <w:spacing w:after="0"/>
              <w:rPr>
                <w:sz w:val="20"/>
                <w:szCs w:val="20"/>
                <w:color w:val="auto"/>
              </w:rPr>
            </w:pPr>
            <w:r>
              <w:rPr>
                <w:rFonts w:ascii="Arial" w:cs="Arial" w:eastAsia="Arial" w:hAnsi="Arial"/>
                <w:sz w:val="14"/>
                <w:szCs w:val="14"/>
                <w:b w:val="1"/>
                <w:bCs w:val="1"/>
                <w:color w:val="auto"/>
                <w:w w:val="94"/>
              </w:rPr>
              <w:t>Non-U.S.</w:t>
            </w:r>
          </w:p>
        </w:tc>
        <w:tc>
          <w:tcPr>
            <w:tcW w:w="860" w:type="dxa"/>
            <w:vAlign w:val="bottom"/>
            <w:shd w:val="clear" w:color="auto" w:fill="E5E5E5"/>
          </w:tcPr>
          <w:p>
            <w:pPr>
              <w:spacing w:after="0"/>
              <w:rPr>
                <w:sz w:val="14"/>
                <w:szCs w:val="14"/>
                <w:color w:val="auto"/>
              </w:rPr>
            </w:pPr>
          </w:p>
        </w:tc>
      </w:tr>
      <w:tr>
        <w:trPr>
          <w:trHeight w:val="176"/>
        </w:trPr>
        <w:tc>
          <w:tcPr>
            <w:tcW w:w="7660" w:type="dxa"/>
            <w:vAlign w:val="bottom"/>
            <w:shd w:val="clear" w:color="auto" w:fill="E5E5E5"/>
          </w:tcPr>
          <w:p>
            <w:pPr>
              <w:jc w:val="center"/>
              <w:ind w:left="6252"/>
              <w:spacing w:after="0"/>
              <w:rPr>
                <w:sz w:val="20"/>
                <w:szCs w:val="20"/>
                <w:color w:val="auto"/>
              </w:rPr>
            </w:pPr>
            <w:r>
              <w:rPr>
                <w:rFonts w:ascii="Arial" w:cs="Arial" w:eastAsia="Arial" w:hAnsi="Arial"/>
                <w:sz w:val="14"/>
                <w:szCs w:val="14"/>
                <w:b w:val="1"/>
                <w:bCs w:val="1"/>
                <w:color w:val="auto"/>
                <w:w w:val="96"/>
              </w:rPr>
              <w:t>Benefit</w:t>
            </w:r>
          </w:p>
        </w:tc>
        <w:tc>
          <w:tcPr>
            <w:tcW w:w="1300" w:type="dxa"/>
            <w:vAlign w:val="bottom"/>
            <w:shd w:val="clear" w:color="auto" w:fill="E5E5E5"/>
          </w:tcPr>
          <w:p>
            <w:pPr>
              <w:ind w:left="280"/>
              <w:spacing w:after="0"/>
              <w:rPr>
                <w:sz w:val="20"/>
                <w:szCs w:val="20"/>
                <w:color w:val="auto"/>
              </w:rPr>
            </w:pPr>
            <w:r>
              <w:rPr>
                <w:rFonts w:ascii="Arial" w:cs="Arial" w:eastAsia="Arial" w:hAnsi="Arial"/>
                <w:sz w:val="14"/>
                <w:szCs w:val="14"/>
                <w:b w:val="1"/>
                <w:bCs w:val="1"/>
                <w:color w:val="auto"/>
              </w:rPr>
              <w:t>Health Care</w:t>
            </w:r>
          </w:p>
        </w:tc>
        <w:tc>
          <w:tcPr>
            <w:tcW w:w="1600" w:type="dxa"/>
            <w:vAlign w:val="bottom"/>
            <w:shd w:val="clear" w:color="auto" w:fill="E5E5E5"/>
          </w:tcPr>
          <w:p>
            <w:pPr>
              <w:jc w:val="center"/>
              <w:ind w:right="12"/>
              <w:spacing w:after="0"/>
              <w:rPr>
                <w:sz w:val="20"/>
                <w:szCs w:val="20"/>
                <w:color w:val="auto"/>
              </w:rPr>
            </w:pPr>
            <w:r>
              <w:rPr>
                <w:rFonts w:ascii="Arial" w:cs="Arial" w:eastAsia="Arial" w:hAnsi="Arial"/>
                <w:sz w:val="14"/>
                <w:szCs w:val="14"/>
                <w:b w:val="1"/>
                <w:bCs w:val="1"/>
                <w:color w:val="auto"/>
                <w:w w:val="97"/>
              </w:rPr>
              <w:t>Defined Benefit</w:t>
            </w:r>
          </w:p>
        </w:tc>
        <w:tc>
          <w:tcPr>
            <w:tcW w:w="860" w:type="dxa"/>
            <w:vAlign w:val="bottom"/>
            <w:shd w:val="clear" w:color="auto" w:fill="E5E5E5"/>
          </w:tcPr>
          <w:p>
            <w:pPr>
              <w:ind w:left="340"/>
              <w:spacing w:after="0"/>
              <w:rPr>
                <w:sz w:val="20"/>
                <w:szCs w:val="20"/>
                <w:color w:val="auto"/>
              </w:rPr>
            </w:pPr>
            <w:r>
              <w:rPr>
                <w:rFonts w:ascii="Arial" w:cs="Arial" w:eastAsia="Arial" w:hAnsi="Arial"/>
                <w:sz w:val="14"/>
                <w:szCs w:val="14"/>
                <w:b w:val="1"/>
                <w:bCs w:val="1"/>
                <w:color w:val="auto"/>
              </w:rPr>
              <w:t>Total</w:t>
            </w:r>
          </w:p>
        </w:tc>
      </w:tr>
    </w:tbl>
    <w:p>
      <w:pPr>
        <w:spacing w:after="0" w:line="85" w:lineRule="exact"/>
        <w:rPr>
          <w:sz w:val="20"/>
          <w:szCs w:val="20"/>
          <w:color w:val="auto"/>
        </w:rPr>
      </w:pPr>
    </w:p>
    <w:p>
      <w:pPr>
        <w:sectPr>
          <w:pgSz w:w="11900" w:h="16838" w:orient="portrait"/>
          <w:cols w:equalWidth="0" w:num="1">
            <w:col w:w="11420"/>
          </w:cols>
          <w:pgMar w:left="240" w:top="291" w:right="239" w:bottom="1440" w:gutter="0" w:footer="0" w:header="0"/>
        </w:sectPr>
      </w:pPr>
    </w:p>
    <w:p>
      <w:pPr>
        <w:spacing w:after="0" w:line="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Overfunded retirement plans</w:t>
      </w:r>
    </w:p>
    <w:p>
      <w:pPr>
        <w:spacing w:after="0" w:line="1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Accrued profit sharing and retirement</w:t>
      </w:r>
    </w:p>
    <w:p>
      <w:pPr>
        <w:ind w:left="100"/>
        <w:spacing w:after="0"/>
        <w:rPr>
          <w:sz w:val="20"/>
          <w:szCs w:val="20"/>
          <w:color w:val="auto"/>
        </w:rPr>
      </w:pPr>
      <w:r>
        <w:rPr>
          <w:rFonts w:ascii="Arial" w:cs="Arial" w:eastAsia="Arial" w:hAnsi="Arial"/>
          <w:sz w:val="18"/>
          <w:szCs w:val="18"/>
          <w:b w:val="1"/>
          <w:bCs w:val="1"/>
          <w:color w:val="auto"/>
        </w:rPr>
        <w:t>Underfunded retirement plans</w:t>
      </w:r>
    </w:p>
    <w:p>
      <w:pPr>
        <w:spacing w:after="0" w:line="4"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Funded status (FVPA - BO) at end of year</w:t>
      </w: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color w:val="auto"/>
        </w:rPr>
        <w:t>TEXAS INSTRUMENTS 2007 ANNUAL REPORT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320" w:type="dxa"/>
            <w:vAlign w:val="bottom"/>
          </w:tcPr>
          <w:p>
            <w:pPr>
              <w:jc w:val="right"/>
              <w:ind w:right="132"/>
              <w:spacing w:after="0"/>
              <w:rPr>
                <w:sz w:val="20"/>
                <w:szCs w:val="20"/>
                <w:color w:val="auto"/>
              </w:rPr>
            </w:pPr>
            <w:r>
              <w:rPr>
                <w:rFonts w:ascii="Arial" w:cs="Arial" w:eastAsia="Arial" w:hAnsi="Arial"/>
                <w:sz w:val="18"/>
                <w:szCs w:val="18"/>
                <w:b w:val="1"/>
                <w:bCs w:val="1"/>
                <w:color w:val="auto"/>
                <w:w w:val="79"/>
              </w:rPr>
              <w:t>$</w:t>
            </w:r>
          </w:p>
        </w:tc>
        <w:tc>
          <w:tcPr>
            <w:tcW w:w="760" w:type="dxa"/>
            <w:vAlign w:val="bottom"/>
          </w:tcPr>
          <w:p>
            <w:pPr>
              <w:jc w:val="right"/>
              <w:ind w:right="192"/>
              <w:spacing w:after="0"/>
              <w:rPr>
                <w:sz w:val="20"/>
                <w:szCs w:val="20"/>
                <w:color w:val="auto"/>
              </w:rPr>
            </w:pPr>
            <w:r>
              <w:rPr>
                <w:rFonts w:ascii="Arial" w:cs="Arial" w:eastAsia="Arial" w:hAnsi="Arial"/>
                <w:sz w:val="18"/>
                <w:szCs w:val="18"/>
                <w:b w:val="1"/>
                <w:bCs w:val="1"/>
                <w:color w:val="auto"/>
              </w:rPr>
              <w:t>19</w:t>
            </w:r>
          </w:p>
        </w:tc>
        <w:tc>
          <w:tcPr>
            <w:tcW w:w="540" w:type="dxa"/>
            <w:vAlign w:val="bottom"/>
          </w:tcPr>
          <w:p>
            <w:pPr>
              <w:jc w:val="right"/>
              <w:ind w:right="112"/>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192"/>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ind w:right="232"/>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212"/>
              <w:spacing w:after="0"/>
              <w:rPr>
                <w:sz w:val="20"/>
                <w:szCs w:val="20"/>
                <w:color w:val="auto"/>
              </w:rPr>
            </w:pPr>
            <w:r>
              <w:rPr>
                <w:rFonts w:ascii="Arial" w:cs="Arial" w:eastAsia="Arial" w:hAnsi="Arial"/>
                <w:sz w:val="18"/>
                <w:szCs w:val="18"/>
                <w:b w:val="1"/>
                <w:bCs w:val="1"/>
                <w:color w:val="auto"/>
              </w:rPr>
              <w:t>86</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105</w:t>
            </w:r>
          </w:p>
        </w:tc>
      </w:tr>
      <w:tr>
        <w:trPr>
          <w:trHeight w:val="203"/>
        </w:trPr>
        <w:tc>
          <w:tcPr>
            <w:tcW w:w="320" w:type="dxa"/>
            <w:vAlign w:val="bottom"/>
          </w:tcPr>
          <w:p>
            <w:pPr>
              <w:spacing w:after="0"/>
              <w:rPr>
                <w:sz w:val="17"/>
                <w:szCs w:val="17"/>
                <w:color w:val="auto"/>
              </w:rPr>
            </w:pPr>
          </w:p>
        </w:tc>
        <w:tc>
          <w:tcPr>
            <w:tcW w:w="760" w:type="dxa"/>
            <w:vAlign w:val="bottom"/>
          </w:tcPr>
          <w:p>
            <w:pPr>
              <w:jc w:val="right"/>
              <w:ind w:right="132"/>
              <w:spacing w:after="0" w:line="202" w:lineRule="exact"/>
              <w:rPr>
                <w:sz w:val="20"/>
                <w:szCs w:val="20"/>
                <w:color w:val="auto"/>
              </w:rPr>
            </w:pPr>
            <w:r>
              <w:rPr>
                <w:rFonts w:ascii="Arial" w:cs="Arial" w:eastAsia="Arial" w:hAnsi="Arial"/>
                <w:sz w:val="18"/>
                <w:szCs w:val="18"/>
                <w:b w:val="1"/>
                <w:bCs w:val="1"/>
                <w:color w:val="auto"/>
              </w:rPr>
              <w:t>(6)</w:t>
            </w:r>
          </w:p>
        </w:tc>
        <w:tc>
          <w:tcPr>
            <w:tcW w:w="540" w:type="dxa"/>
            <w:vAlign w:val="bottom"/>
          </w:tcPr>
          <w:p>
            <w:pPr>
              <w:spacing w:after="0"/>
              <w:rPr>
                <w:sz w:val="17"/>
                <w:szCs w:val="17"/>
                <w:color w:val="auto"/>
              </w:rPr>
            </w:pPr>
          </w:p>
        </w:tc>
        <w:tc>
          <w:tcPr>
            <w:tcW w:w="760" w:type="dxa"/>
            <w:vAlign w:val="bottom"/>
          </w:tcPr>
          <w:p>
            <w:pPr>
              <w:jc w:val="right"/>
              <w:ind w:right="192"/>
              <w:spacing w:after="0" w:line="202" w:lineRule="exact"/>
              <w:rPr>
                <w:sz w:val="20"/>
                <w:szCs w:val="20"/>
                <w:color w:val="auto"/>
              </w:rPr>
            </w:pPr>
            <w:r>
              <w:rPr>
                <w:rFonts w:ascii="Arial" w:cs="Arial" w:eastAsia="Arial" w:hAnsi="Arial"/>
                <w:sz w:val="18"/>
                <w:szCs w:val="18"/>
                <w:b w:val="1"/>
                <w:bCs w:val="1"/>
                <w:color w:val="auto"/>
              </w:rPr>
              <w:t>—</w:t>
            </w:r>
          </w:p>
        </w:tc>
        <w:tc>
          <w:tcPr>
            <w:tcW w:w="660" w:type="dxa"/>
            <w:vAlign w:val="bottom"/>
          </w:tcPr>
          <w:p>
            <w:pPr>
              <w:spacing w:after="0"/>
              <w:rPr>
                <w:sz w:val="17"/>
                <w:szCs w:val="17"/>
                <w:color w:val="auto"/>
              </w:rPr>
            </w:pPr>
          </w:p>
        </w:tc>
        <w:tc>
          <w:tcPr>
            <w:tcW w:w="880" w:type="dxa"/>
            <w:vAlign w:val="bottom"/>
          </w:tcPr>
          <w:p>
            <w:pPr>
              <w:jc w:val="right"/>
              <w:ind w:right="152"/>
              <w:spacing w:after="0" w:line="202" w:lineRule="exact"/>
              <w:rPr>
                <w:sz w:val="20"/>
                <w:szCs w:val="20"/>
                <w:color w:val="auto"/>
              </w:rPr>
            </w:pPr>
            <w:r>
              <w:rPr>
                <w:rFonts w:ascii="Arial" w:cs="Arial" w:eastAsia="Arial" w:hAnsi="Arial"/>
                <w:sz w:val="18"/>
                <w:szCs w:val="18"/>
                <w:b w:val="1"/>
                <w:bCs w:val="1"/>
                <w:color w:val="auto"/>
              </w:rPr>
              <w:t>(5)</w:t>
            </w:r>
          </w:p>
        </w:tc>
        <w:tc>
          <w:tcPr>
            <w:tcW w:w="400" w:type="dxa"/>
            <w:vAlign w:val="bottom"/>
          </w:tcPr>
          <w:p>
            <w:pPr>
              <w:spacing w:after="0"/>
              <w:rPr>
                <w:sz w:val="17"/>
                <w:szCs w:val="17"/>
                <w:color w:val="auto"/>
              </w:rPr>
            </w:pPr>
          </w:p>
        </w:tc>
        <w:tc>
          <w:tcPr>
            <w:tcW w:w="50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(11)</w:t>
            </w:r>
          </w:p>
        </w:tc>
      </w:tr>
      <w:tr>
        <w:trPr>
          <w:trHeight w:val="221"/>
        </w:trPr>
        <w:tc>
          <w:tcPr>
            <w:tcW w:w="320" w:type="dxa"/>
            <w:vAlign w:val="bottom"/>
          </w:tcPr>
          <w:p>
            <w:pPr>
              <w:spacing w:after="0"/>
              <w:rPr>
                <w:sz w:val="19"/>
                <w:szCs w:val="19"/>
                <w:color w:val="auto"/>
              </w:rPr>
            </w:pPr>
          </w:p>
        </w:tc>
        <w:tc>
          <w:tcPr>
            <w:tcW w:w="760" w:type="dxa"/>
            <w:vAlign w:val="bottom"/>
          </w:tcPr>
          <w:p>
            <w:pPr>
              <w:jc w:val="right"/>
              <w:ind w:right="132"/>
              <w:spacing w:after="0"/>
              <w:rPr>
                <w:sz w:val="20"/>
                <w:szCs w:val="20"/>
                <w:color w:val="auto"/>
              </w:rPr>
            </w:pPr>
            <w:r>
              <w:rPr>
                <w:rFonts w:ascii="Arial" w:cs="Arial" w:eastAsia="Arial" w:hAnsi="Arial"/>
                <w:sz w:val="18"/>
                <w:szCs w:val="18"/>
                <w:b w:val="1"/>
                <w:bCs w:val="1"/>
                <w:color w:val="auto"/>
              </w:rPr>
              <w:t>(35)</w:t>
            </w:r>
          </w:p>
        </w:tc>
        <w:tc>
          <w:tcPr>
            <w:tcW w:w="540" w:type="dxa"/>
            <w:vAlign w:val="bottom"/>
          </w:tcPr>
          <w:p>
            <w:pPr>
              <w:spacing w:after="0"/>
              <w:rPr>
                <w:sz w:val="19"/>
                <w:szCs w:val="19"/>
                <w:color w:val="auto"/>
              </w:rPr>
            </w:pPr>
          </w:p>
        </w:tc>
        <w:tc>
          <w:tcPr>
            <w:tcW w:w="760" w:type="dxa"/>
            <w:vAlign w:val="bottom"/>
          </w:tcPr>
          <w:p>
            <w:pPr>
              <w:jc w:val="right"/>
              <w:ind w:right="132"/>
              <w:spacing w:after="0"/>
              <w:rPr>
                <w:sz w:val="20"/>
                <w:szCs w:val="20"/>
                <w:color w:val="auto"/>
              </w:rPr>
            </w:pPr>
            <w:r>
              <w:rPr>
                <w:rFonts w:ascii="Arial" w:cs="Arial" w:eastAsia="Arial" w:hAnsi="Arial"/>
                <w:sz w:val="18"/>
                <w:szCs w:val="18"/>
                <w:b w:val="1"/>
                <w:bCs w:val="1"/>
                <w:color w:val="auto"/>
              </w:rPr>
              <w:t>(71)</w:t>
            </w:r>
          </w:p>
        </w:tc>
        <w:tc>
          <w:tcPr>
            <w:tcW w:w="660" w:type="dxa"/>
            <w:vAlign w:val="bottom"/>
          </w:tcPr>
          <w:p>
            <w:pPr>
              <w:spacing w:after="0"/>
              <w:rPr>
                <w:sz w:val="19"/>
                <w:szCs w:val="19"/>
                <w:color w:val="auto"/>
              </w:rPr>
            </w:pPr>
          </w:p>
        </w:tc>
        <w:tc>
          <w:tcPr>
            <w:tcW w:w="880" w:type="dxa"/>
            <w:vAlign w:val="bottom"/>
          </w:tcPr>
          <w:p>
            <w:pPr>
              <w:jc w:val="right"/>
              <w:ind w:right="152"/>
              <w:spacing w:after="0"/>
              <w:rPr>
                <w:sz w:val="20"/>
                <w:szCs w:val="20"/>
                <w:color w:val="auto"/>
              </w:rPr>
            </w:pPr>
            <w:r>
              <w:rPr>
                <w:rFonts w:ascii="Arial" w:cs="Arial" w:eastAsia="Arial" w:hAnsi="Arial"/>
                <w:sz w:val="18"/>
                <w:szCs w:val="18"/>
                <w:b w:val="1"/>
                <w:bCs w:val="1"/>
                <w:color w:val="auto"/>
              </w:rPr>
              <w:t>(78)</w:t>
            </w:r>
          </w:p>
        </w:tc>
        <w:tc>
          <w:tcPr>
            <w:tcW w:w="40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b w:val="1"/>
                <w:bCs w:val="1"/>
                <w:color w:val="auto"/>
              </w:rPr>
              <w:t>(184)</w:t>
            </w:r>
          </w:p>
        </w:tc>
      </w:tr>
      <w:tr>
        <w:trPr>
          <w:trHeight w:val="210"/>
        </w:trPr>
        <w:tc>
          <w:tcPr>
            <w:tcW w:w="32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(22)</w:t>
            </w:r>
          </w:p>
        </w:tc>
        <w:tc>
          <w:tcPr>
            <w:tcW w:w="54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(71)</w:t>
            </w:r>
          </w:p>
        </w:tc>
        <w:tc>
          <w:tcPr>
            <w:tcW w:w="66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3</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w:t>
            </w:r>
          </w:p>
        </w:tc>
        <w:tc>
          <w:tcPr>
            <w:tcW w:w="60" w:type="dxa"/>
            <w:vAlign w:val="bottom"/>
          </w:tcPr>
          <w:p>
            <w:pPr>
              <w:spacing w:after="0"/>
              <w:rPr>
                <w:sz w:val="18"/>
                <w:szCs w:val="18"/>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-633730</wp:posOffset>
            </wp:positionV>
            <wp:extent cx="7246620" cy="1289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-4185285</wp:posOffset>
            </wp:positionH>
            <wp:positionV relativeFrom="paragraph">
              <wp:posOffset>-359410</wp:posOffset>
            </wp:positionV>
            <wp:extent cx="7246620" cy="1289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ectPr>
          <w:pgSz w:w="11900" w:h="16838" w:orient="portrait"/>
          <w:cols w:equalWidth="0" w:num="2">
            <w:col w:w="5880" w:space="720"/>
            <w:col w:w="4820"/>
          </w:cols>
          <w:pgMar w:left="240" w:top="291" w:right="239" w:bottom="1440" w:gutter="0" w:footer="0" w:header="0"/>
          <w:type w:val="continuous"/>
        </w:sectPr>
      </w:pPr>
    </w:p>
    <w:bookmarkStart w:id="49" w:name="page50"/>
    <w:bookmarkEnd w:id="49"/>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Amounts recognized on the balance sheet as of December 31, 2006:</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shd w:val="clear" w:color="auto" w:fill="E5E5E5"/>
          </w:tcPr>
          <w:p>
            <w:pPr>
              <w:jc w:val="center"/>
              <w:ind w:left="6012"/>
              <w:spacing w:after="0"/>
              <w:rPr>
                <w:sz w:val="20"/>
                <w:szCs w:val="20"/>
                <w:color w:val="auto"/>
              </w:rPr>
            </w:pPr>
            <w:r>
              <w:rPr>
                <w:rFonts w:ascii="Arial" w:cs="Arial" w:eastAsia="Arial" w:hAnsi="Arial"/>
                <w:sz w:val="14"/>
                <w:szCs w:val="14"/>
                <w:b w:val="1"/>
                <w:bCs w:val="1"/>
                <w:color w:val="auto"/>
                <w:w w:val="96"/>
              </w:rPr>
              <w:t>U.S. Defined</w:t>
            </w:r>
          </w:p>
        </w:tc>
        <w:tc>
          <w:tcPr>
            <w:tcW w:w="1360" w:type="dxa"/>
            <w:vAlign w:val="bottom"/>
            <w:shd w:val="clear" w:color="auto" w:fill="E5E5E5"/>
          </w:tcPr>
          <w:p>
            <w:pPr>
              <w:ind w:left="300"/>
              <w:spacing w:after="0"/>
              <w:rPr>
                <w:sz w:val="20"/>
                <w:szCs w:val="20"/>
                <w:color w:val="auto"/>
              </w:rPr>
            </w:pPr>
            <w:r>
              <w:rPr>
                <w:rFonts w:ascii="Arial" w:cs="Arial" w:eastAsia="Arial" w:hAnsi="Arial"/>
                <w:sz w:val="14"/>
                <w:szCs w:val="14"/>
                <w:b w:val="1"/>
                <w:bCs w:val="1"/>
                <w:color w:val="auto"/>
              </w:rPr>
              <w:t>U.S. Retiree</w:t>
            </w:r>
          </w:p>
        </w:tc>
        <w:tc>
          <w:tcPr>
            <w:tcW w:w="1680" w:type="dxa"/>
            <w:vAlign w:val="bottom"/>
            <w:shd w:val="clear" w:color="auto" w:fill="E5E5E5"/>
          </w:tcPr>
          <w:p>
            <w:pPr>
              <w:jc w:val="center"/>
              <w:ind w:right="12"/>
              <w:spacing w:after="0"/>
              <w:rPr>
                <w:sz w:val="20"/>
                <w:szCs w:val="20"/>
                <w:color w:val="auto"/>
              </w:rPr>
            </w:pPr>
            <w:r>
              <w:rPr>
                <w:rFonts w:ascii="Arial" w:cs="Arial" w:eastAsia="Arial" w:hAnsi="Arial"/>
                <w:sz w:val="14"/>
                <w:szCs w:val="14"/>
                <w:b w:val="1"/>
                <w:bCs w:val="1"/>
                <w:color w:val="auto"/>
                <w:w w:val="94"/>
              </w:rPr>
              <w:t>Non-U.S.</w:t>
            </w:r>
          </w:p>
        </w:tc>
        <w:tc>
          <w:tcPr>
            <w:tcW w:w="940" w:type="dxa"/>
            <w:vAlign w:val="bottom"/>
            <w:shd w:val="clear" w:color="auto" w:fill="E5E5E5"/>
          </w:tcPr>
          <w:p>
            <w:pPr>
              <w:spacing w:after="0"/>
              <w:rPr>
                <w:sz w:val="14"/>
                <w:szCs w:val="14"/>
                <w:color w:val="auto"/>
              </w:rPr>
            </w:pPr>
          </w:p>
        </w:tc>
      </w:tr>
      <w:tr>
        <w:trPr>
          <w:trHeight w:val="176"/>
        </w:trPr>
        <w:tc>
          <w:tcPr>
            <w:tcW w:w="7440" w:type="dxa"/>
            <w:vAlign w:val="bottom"/>
            <w:shd w:val="clear" w:color="auto" w:fill="E5E5E5"/>
          </w:tcPr>
          <w:p>
            <w:pPr>
              <w:jc w:val="center"/>
              <w:ind w:left="5992"/>
              <w:spacing w:after="0"/>
              <w:rPr>
                <w:sz w:val="20"/>
                <w:szCs w:val="20"/>
                <w:color w:val="auto"/>
              </w:rPr>
            </w:pPr>
            <w:r>
              <w:rPr>
                <w:rFonts w:ascii="Arial" w:cs="Arial" w:eastAsia="Arial" w:hAnsi="Arial"/>
                <w:sz w:val="14"/>
                <w:szCs w:val="14"/>
                <w:b w:val="1"/>
                <w:bCs w:val="1"/>
                <w:color w:val="auto"/>
                <w:w w:val="96"/>
              </w:rPr>
              <w:t>Benefit</w:t>
            </w:r>
          </w:p>
        </w:tc>
        <w:tc>
          <w:tcPr>
            <w:tcW w:w="1360" w:type="dxa"/>
            <w:vAlign w:val="bottom"/>
            <w:shd w:val="clear" w:color="auto" w:fill="E5E5E5"/>
          </w:tcPr>
          <w:p>
            <w:pPr>
              <w:ind w:left="300"/>
              <w:spacing w:after="0"/>
              <w:rPr>
                <w:sz w:val="20"/>
                <w:szCs w:val="20"/>
                <w:color w:val="auto"/>
              </w:rPr>
            </w:pPr>
            <w:r>
              <w:rPr>
                <w:rFonts w:ascii="Arial" w:cs="Arial" w:eastAsia="Arial" w:hAnsi="Arial"/>
                <w:sz w:val="14"/>
                <w:szCs w:val="14"/>
                <w:b w:val="1"/>
                <w:bCs w:val="1"/>
                <w:color w:val="auto"/>
              </w:rPr>
              <w:t>Health Care</w:t>
            </w:r>
          </w:p>
        </w:tc>
        <w:tc>
          <w:tcPr>
            <w:tcW w:w="1680" w:type="dxa"/>
            <w:vAlign w:val="bottom"/>
            <w:shd w:val="clear" w:color="auto" w:fill="E5E5E5"/>
          </w:tcPr>
          <w:p>
            <w:pPr>
              <w:jc w:val="center"/>
              <w:ind w:right="12"/>
              <w:spacing w:after="0"/>
              <w:rPr>
                <w:sz w:val="20"/>
                <w:szCs w:val="20"/>
                <w:color w:val="auto"/>
              </w:rPr>
            </w:pPr>
            <w:r>
              <w:rPr>
                <w:rFonts w:ascii="Arial" w:cs="Arial" w:eastAsia="Arial" w:hAnsi="Arial"/>
                <w:sz w:val="14"/>
                <w:szCs w:val="14"/>
                <w:b w:val="1"/>
                <w:bCs w:val="1"/>
                <w:color w:val="auto"/>
                <w:w w:val="97"/>
              </w:rPr>
              <w:t>Defined Benefit</w:t>
            </w:r>
          </w:p>
        </w:tc>
        <w:tc>
          <w:tcPr>
            <w:tcW w:w="940" w:type="dxa"/>
            <w:vAlign w:val="bottom"/>
            <w:shd w:val="clear" w:color="auto" w:fill="E5E5E5"/>
          </w:tcPr>
          <w:p>
            <w:pPr>
              <w:ind w:left="380"/>
              <w:spacing w:after="0"/>
              <w:rPr>
                <w:sz w:val="20"/>
                <w:szCs w:val="20"/>
                <w:color w:val="auto"/>
              </w:rPr>
            </w:pPr>
            <w:r>
              <w:rPr>
                <w:rFonts w:ascii="Arial" w:cs="Arial" w:eastAsia="Arial" w:hAnsi="Arial"/>
                <w:sz w:val="14"/>
                <w:szCs w:val="14"/>
                <w:b w:val="1"/>
                <w:bCs w:val="1"/>
                <w:color w:val="auto"/>
              </w:rPr>
              <w:t>Total</w:t>
            </w:r>
          </w:p>
        </w:tc>
      </w:tr>
    </w:tbl>
    <w:p>
      <w:pPr>
        <w:spacing w:after="0" w:line="107" w:lineRule="exact"/>
        <w:rPr>
          <w:sz w:val="20"/>
          <w:szCs w:val="20"/>
          <w:color w:val="auto"/>
        </w:rPr>
      </w:pPr>
    </w:p>
    <w:p>
      <w:pPr>
        <w:sectPr>
          <w:pgSz w:w="11900" w:h="16838" w:orient="portrait"/>
          <w:cols w:equalWidth="0" w:num="1">
            <w:col w:w="11420"/>
          </w:cols>
          <w:pgMar w:left="240" w:top="291" w:right="239" w:bottom="1440" w:gutter="0" w:footer="0" w:header="0"/>
        </w:sectPr>
      </w:pPr>
    </w:p>
    <w:p>
      <w:pPr>
        <w:spacing w:after="0"/>
        <w:rPr>
          <w:sz w:val="20"/>
          <w:szCs w:val="20"/>
          <w:color w:val="auto"/>
        </w:rPr>
      </w:pPr>
      <w:r>
        <w:rPr>
          <w:rFonts w:ascii="Arial" w:cs="Arial" w:eastAsia="Arial" w:hAnsi="Arial"/>
          <w:sz w:val="18"/>
          <w:szCs w:val="18"/>
          <w:color w:val="auto"/>
        </w:rPr>
        <w:t>Overfunded retirement plans</w:t>
      </w:r>
    </w:p>
    <w:p>
      <w:pPr>
        <w:spacing w:after="0" w:line="234" w:lineRule="auto"/>
        <w:rPr>
          <w:sz w:val="20"/>
          <w:szCs w:val="20"/>
          <w:color w:val="auto"/>
        </w:rPr>
      </w:pPr>
      <w:r>
        <w:rPr>
          <w:rFonts w:ascii="Arial" w:cs="Arial" w:eastAsia="Arial" w:hAnsi="Arial"/>
          <w:sz w:val="18"/>
          <w:szCs w:val="18"/>
          <w:color w:val="auto"/>
        </w:rPr>
        <w:t>Accrued profit sharing and retirement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Underfunded retirement plans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Funded status (FVPA - BO) at end of year</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232"/>
              <w:spacing w:after="0"/>
              <w:rPr>
                <w:sz w:val="20"/>
                <w:szCs w:val="20"/>
                <w:color w:val="auto"/>
              </w:rPr>
            </w:pPr>
            <w:r>
              <w:rPr>
                <w:rFonts w:ascii="Arial" w:cs="Arial" w:eastAsia="Arial" w:hAnsi="Arial"/>
                <w:sz w:val="18"/>
                <w:szCs w:val="18"/>
                <w:color w:val="auto"/>
              </w:rPr>
              <w:t>42</w:t>
            </w:r>
          </w:p>
        </w:tc>
        <w:tc>
          <w:tcPr>
            <w:tcW w:w="5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32"/>
              <w:spacing w:after="0"/>
              <w:rPr>
                <w:sz w:val="20"/>
                <w:szCs w:val="20"/>
                <w:color w:val="auto"/>
              </w:rPr>
            </w:pPr>
            <w:r>
              <w:rPr>
                <w:rFonts w:ascii="Arial" w:cs="Arial" w:eastAsia="Arial" w:hAnsi="Arial"/>
                <w:sz w:val="18"/>
                <w:szCs w:val="18"/>
                <w:color w:val="auto"/>
              </w:rPr>
              <w:t>16</w:t>
            </w:r>
          </w:p>
        </w:tc>
        <w:tc>
          <w:tcPr>
            <w:tcW w:w="4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58</w:t>
            </w:r>
          </w:p>
        </w:tc>
        <w:tc>
          <w:tcPr>
            <w:tcW w:w="60" w:type="dxa"/>
            <w:vAlign w:val="bottom"/>
          </w:tcPr>
          <w:p>
            <w:pPr>
              <w:spacing w:after="0"/>
              <w:rPr>
                <w:sz w:val="17"/>
                <w:szCs w:val="17"/>
                <w:color w:val="auto"/>
              </w:rPr>
            </w:pPr>
          </w:p>
        </w:tc>
      </w:tr>
      <w:tr>
        <w:trPr>
          <w:trHeight w:val="203"/>
        </w:trPr>
        <w:tc>
          <w:tcPr>
            <w:tcW w:w="320" w:type="dxa"/>
            <w:vAlign w:val="bottom"/>
          </w:tcPr>
          <w:p>
            <w:pPr>
              <w:spacing w:after="0"/>
              <w:rPr>
                <w:sz w:val="17"/>
                <w:szCs w:val="17"/>
                <w:color w:val="auto"/>
              </w:rPr>
            </w:pPr>
          </w:p>
        </w:tc>
        <w:tc>
          <w:tcPr>
            <w:tcW w:w="80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(4)</w:t>
            </w:r>
          </w:p>
        </w:tc>
        <w:tc>
          <w:tcPr>
            <w:tcW w:w="560" w:type="dxa"/>
            <w:vAlign w:val="bottom"/>
          </w:tcPr>
          <w:p>
            <w:pPr>
              <w:spacing w:after="0"/>
              <w:rPr>
                <w:sz w:val="17"/>
                <w:szCs w:val="17"/>
                <w:color w:val="auto"/>
              </w:rPr>
            </w:pPr>
          </w:p>
        </w:tc>
        <w:tc>
          <w:tcPr>
            <w:tcW w:w="78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(1)</w:t>
            </w:r>
          </w:p>
        </w:tc>
        <w:tc>
          <w:tcPr>
            <w:tcW w:w="640" w:type="dxa"/>
            <w:vAlign w:val="bottom"/>
          </w:tcPr>
          <w:p>
            <w:pPr>
              <w:spacing w:after="0"/>
              <w:rPr>
                <w:sz w:val="17"/>
                <w:szCs w:val="17"/>
                <w:color w:val="auto"/>
              </w:rPr>
            </w:pPr>
          </w:p>
        </w:tc>
        <w:tc>
          <w:tcPr>
            <w:tcW w:w="96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(9)</w:t>
            </w:r>
          </w:p>
        </w:tc>
        <w:tc>
          <w:tcPr>
            <w:tcW w:w="480" w:type="dxa"/>
            <w:vAlign w:val="bottom"/>
          </w:tcPr>
          <w:p>
            <w:pPr>
              <w:spacing w:after="0"/>
              <w:rPr>
                <w:sz w:val="17"/>
                <w:szCs w:val="17"/>
                <w:color w:val="auto"/>
              </w:rPr>
            </w:pPr>
          </w:p>
        </w:tc>
        <w:tc>
          <w:tcPr>
            <w:tcW w:w="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w:t>
            </w:r>
          </w:p>
        </w:tc>
      </w:tr>
      <w:tr>
        <w:trPr>
          <w:trHeight w:val="199"/>
        </w:trPr>
        <w:tc>
          <w:tcPr>
            <w:tcW w:w="320" w:type="dxa"/>
            <w:vAlign w:val="bottom"/>
          </w:tcPr>
          <w:p>
            <w:pPr>
              <w:spacing w:after="0"/>
              <w:rPr>
                <w:sz w:val="17"/>
                <w:szCs w:val="17"/>
                <w:color w:val="auto"/>
              </w:rPr>
            </w:pPr>
          </w:p>
        </w:tc>
        <w:tc>
          <w:tcPr>
            <w:tcW w:w="800" w:type="dxa"/>
            <w:vAlign w:val="bottom"/>
          </w:tcPr>
          <w:p>
            <w:pPr>
              <w:jc w:val="right"/>
              <w:ind w:right="172"/>
              <w:spacing w:after="0" w:line="200" w:lineRule="exact"/>
              <w:rPr>
                <w:sz w:val="20"/>
                <w:szCs w:val="20"/>
                <w:color w:val="auto"/>
              </w:rPr>
            </w:pPr>
            <w:r>
              <w:rPr>
                <w:rFonts w:ascii="Arial" w:cs="Arial" w:eastAsia="Arial" w:hAnsi="Arial"/>
                <w:sz w:val="18"/>
                <w:szCs w:val="18"/>
                <w:color w:val="auto"/>
              </w:rPr>
              <w:t>(30)</w:t>
            </w:r>
          </w:p>
        </w:tc>
        <w:tc>
          <w:tcPr>
            <w:tcW w:w="560" w:type="dxa"/>
            <w:vAlign w:val="bottom"/>
          </w:tcPr>
          <w:p>
            <w:pPr>
              <w:spacing w:after="0"/>
              <w:rPr>
                <w:sz w:val="17"/>
                <w:szCs w:val="17"/>
                <w:color w:val="auto"/>
              </w:rPr>
            </w:pPr>
          </w:p>
        </w:tc>
        <w:tc>
          <w:tcPr>
            <w:tcW w:w="780" w:type="dxa"/>
            <w:vAlign w:val="bottom"/>
          </w:tcPr>
          <w:p>
            <w:pPr>
              <w:jc w:val="right"/>
              <w:ind w:right="172"/>
              <w:spacing w:after="0" w:line="200" w:lineRule="exact"/>
              <w:rPr>
                <w:sz w:val="20"/>
                <w:szCs w:val="20"/>
                <w:color w:val="auto"/>
              </w:rPr>
            </w:pPr>
            <w:r>
              <w:rPr>
                <w:rFonts w:ascii="Arial" w:cs="Arial" w:eastAsia="Arial" w:hAnsi="Arial"/>
                <w:sz w:val="18"/>
                <w:szCs w:val="18"/>
                <w:color w:val="auto"/>
              </w:rPr>
              <w:t>(42)</w:t>
            </w:r>
          </w:p>
        </w:tc>
        <w:tc>
          <w:tcPr>
            <w:tcW w:w="640" w:type="dxa"/>
            <w:vAlign w:val="bottom"/>
          </w:tcPr>
          <w:p>
            <w:pPr>
              <w:spacing w:after="0"/>
              <w:rPr>
                <w:sz w:val="17"/>
                <w:szCs w:val="17"/>
                <w:color w:val="auto"/>
              </w:rPr>
            </w:pPr>
          </w:p>
        </w:tc>
        <w:tc>
          <w:tcPr>
            <w:tcW w:w="960" w:type="dxa"/>
            <w:vAlign w:val="bottom"/>
          </w:tcPr>
          <w:p>
            <w:pPr>
              <w:jc w:val="right"/>
              <w:ind w:right="172"/>
              <w:spacing w:after="0" w:line="200" w:lineRule="exact"/>
              <w:rPr>
                <w:sz w:val="20"/>
                <w:szCs w:val="20"/>
                <w:color w:val="auto"/>
              </w:rPr>
            </w:pPr>
            <w:r>
              <w:rPr>
                <w:rFonts w:ascii="Arial" w:cs="Arial" w:eastAsia="Arial" w:hAnsi="Arial"/>
                <w:sz w:val="18"/>
                <w:szCs w:val="18"/>
                <w:color w:val="auto"/>
              </w:rPr>
              <w:t>(136)</w:t>
            </w:r>
          </w:p>
        </w:tc>
        <w:tc>
          <w:tcPr>
            <w:tcW w:w="480" w:type="dxa"/>
            <w:vAlign w:val="bottom"/>
          </w:tcPr>
          <w:p>
            <w:pPr>
              <w:spacing w:after="0"/>
              <w:rPr>
                <w:sz w:val="17"/>
                <w:szCs w:val="17"/>
                <w:color w:val="auto"/>
              </w:rPr>
            </w:pPr>
          </w:p>
        </w:tc>
        <w:tc>
          <w:tcPr>
            <w:tcW w:w="52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(208)</w:t>
            </w:r>
          </w:p>
        </w:tc>
      </w:tr>
      <w:tr>
        <w:trPr>
          <w:trHeight w:val="20"/>
        </w:trPr>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232"/>
              <w:spacing w:after="0"/>
              <w:rPr>
                <w:sz w:val="20"/>
                <w:szCs w:val="20"/>
                <w:color w:val="auto"/>
              </w:rPr>
            </w:pPr>
            <w:r>
              <w:rPr>
                <w:rFonts w:ascii="Arial" w:cs="Arial" w:eastAsia="Arial" w:hAnsi="Arial"/>
                <w:sz w:val="18"/>
                <w:szCs w:val="18"/>
                <w:color w:val="auto"/>
              </w:rPr>
              <w:t>8</w:t>
            </w:r>
          </w:p>
        </w:tc>
        <w:tc>
          <w:tcPr>
            <w:tcW w:w="5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72"/>
              <w:spacing w:after="0"/>
              <w:rPr>
                <w:sz w:val="20"/>
                <w:szCs w:val="20"/>
                <w:color w:val="auto"/>
              </w:rPr>
            </w:pPr>
            <w:r>
              <w:rPr>
                <w:rFonts w:ascii="Arial" w:cs="Arial" w:eastAsia="Arial" w:hAnsi="Arial"/>
                <w:sz w:val="18"/>
                <w:szCs w:val="18"/>
                <w:color w:val="auto"/>
              </w:rPr>
              <w:t>(43)</w:t>
            </w:r>
          </w:p>
        </w:tc>
        <w:tc>
          <w:tcPr>
            <w:tcW w:w="6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72"/>
              <w:spacing w:after="0"/>
              <w:rPr>
                <w:sz w:val="20"/>
                <w:szCs w:val="20"/>
                <w:color w:val="auto"/>
              </w:rPr>
            </w:pPr>
            <w:r>
              <w:rPr>
                <w:rFonts w:ascii="Arial" w:cs="Arial" w:eastAsia="Arial" w:hAnsi="Arial"/>
                <w:sz w:val="18"/>
                <w:szCs w:val="18"/>
                <w:color w:val="auto"/>
              </w:rPr>
              <w:t>(129)</w:t>
            </w:r>
          </w:p>
        </w:tc>
        <w:tc>
          <w:tcPr>
            <w:tcW w:w="4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(164)</w:t>
            </w:r>
          </w:p>
        </w:tc>
      </w:tr>
      <w:tr>
        <w:trPr>
          <w:trHeight w:val="20"/>
        </w:trPr>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-4032885</wp:posOffset>
            </wp:positionH>
            <wp:positionV relativeFrom="paragraph">
              <wp:posOffset>-427990</wp:posOffset>
            </wp:positionV>
            <wp:extent cx="7246620" cy="1289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-4032885</wp:posOffset>
            </wp:positionH>
            <wp:positionV relativeFrom="paragraph">
              <wp:posOffset>-153670</wp:posOffset>
            </wp:positionV>
            <wp:extent cx="7246620" cy="1289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179" w:lineRule="exact"/>
        <w:rPr>
          <w:sz w:val="20"/>
          <w:szCs w:val="20"/>
          <w:color w:val="auto"/>
        </w:rPr>
      </w:pPr>
    </w:p>
    <w:p>
      <w:pPr>
        <w:sectPr>
          <w:pgSz w:w="11900" w:h="16838" w:orient="portrait"/>
          <w:cols w:equalWidth="0" w:num="2">
            <w:col w:w="5640" w:space="720"/>
            <w:col w:w="5060"/>
          </w:cols>
          <w:pgMar w:left="240" w:top="291" w:right="239" w:bottom="1440" w:gutter="0" w:footer="0" w:header="0"/>
          <w:type w:val="continuous"/>
        </w:sectPr>
      </w:pPr>
    </w:p>
    <w:p>
      <w:pPr>
        <w:spacing w:after="0" w:line="236" w:lineRule="auto"/>
        <w:rPr>
          <w:sz w:val="20"/>
          <w:szCs w:val="20"/>
          <w:color w:val="auto"/>
        </w:rPr>
      </w:pPr>
      <w:r>
        <w:rPr>
          <w:rFonts w:ascii="Arial" w:cs="Arial" w:eastAsia="Arial" w:hAnsi="Arial"/>
          <w:sz w:val="18"/>
          <w:szCs w:val="18"/>
          <w:color w:val="auto"/>
        </w:rPr>
        <w:t>The preceding tables present aggregate information for all plans reported. The following table presents the obligation and asset information for only those plans that have projected benefit obligations in excess of plan assets or plans that have accumulated benefit obligations in excess of plan assets. For the U.S. defined benefit plans, the 2007 amounts consist of our non-qualified plans, which are unfunded. For the non-U.S. defined benefit plans, the 2007 amounts consist primarily of the Taiwan plan. Additionally, the reduction in the projected benefit obligations for the non-U.S. defined benefit plans from 2006 to 2007 is the result of the Japan plan becoming fully funded.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00" w:type="dxa"/>
            <w:vAlign w:val="bottom"/>
            <w:shd w:val="clear" w:color="auto" w:fill="E5E5E5"/>
          </w:tcPr>
          <w:p>
            <w:pPr>
              <w:spacing w:after="0"/>
              <w:rPr>
                <w:sz w:val="14"/>
                <w:szCs w:val="14"/>
                <w:color w:val="auto"/>
              </w:rPr>
            </w:pPr>
          </w:p>
        </w:tc>
        <w:tc>
          <w:tcPr>
            <w:tcW w:w="360" w:type="dxa"/>
            <w:vAlign w:val="bottom"/>
            <w:shd w:val="clear" w:color="auto" w:fill="E5E5E5"/>
          </w:tcPr>
          <w:p>
            <w:pPr>
              <w:spacing w:after="0"/>
              <w:rPr>
                <w:sz w:val="14"/>
                <w:szCs w:val="14"/>
                <w:color w:val="auto"/>
              </w:rPr>
            </w:pPr>
          </w:p>
        </w:tc>
        <w:tc>
          <w:tcPr>
            <w:tcW w:w="1160" w:type="dxa"/>
            <w:vAlign w:val="bottom"/>
            <w:gridSpan w:val="3"/>
            <w:shd w:val="clear" w:color="auto" w:fill="E5E5E5"/>
          </w:tcPr>
          <w:p>
            <w:pPr>
              <w:jc w:val="right"/>
              <w:ind w:right="232"/>
              <w:spacing w:after="0"/>
              <w:rPr>
                <w:sz w:val="20"/>
                <w:szCs w:val="20"/>
                <w:color w:val="auto"/>
              </w:rPr>
            </w:pPr>
            <w:r>
              <w:rPr>
                <w:rFonts w:ascii="Arial" w:cs="Arial" w:eastAsia="Arial" w:hAnsi="Arial"/>
                <w:sz w:val="14"/>
                <w:szCs w:val="14"/>
                <w:b w:val="1"/>
                <w:bCs w:val="1"/>
                <w:color w:val="auto"/>
              </w:rPr>
              <w:t>U.S Defined</w:t>
            </w:r>
          </w:p>
        </w:tc>
        <w:tc>
          <w:tcPr>
            <w:tcW w:w="240" w:type="dxa"/>
            <w:vAlign w:val="bottom"/>
            <w:shd w:val="clear" w:color="auto" w:fill="E5E5E5"/>
          </w:tcPr>
          <w:p>
            <w:pPr>
              <w:spacing w:after="0"/>
              <w:rPr>
                <w:sz w:val="14"/>
                <w:szCs w:val="14"/>
                <w:color w:val="auto"/>
              </w:rPr>
            </w:pPr>
          </w:p>
        </w:tc>
        <w:tc>
          <w:tcPr>
            <w:tcW w:w="1360" w:type="dxa"/>
            <w:vAlign w:val="bottom"/>
            <w:gridSpan w:val="3"/>
            <w:shd w:val="clear" w:color="auto" w:fill="E5E5E5"/>
          </w:tcPr>
          <w:p>
            <w:pPr>
              <w:jc w:val="right"/>
              <w:ind w:right="372"/>
              <w:spacing w:after="0"/>
              <w:rPr>
                <w:sz w:val="20"/>
                <w:szCs w:val="20"/>
                <w:color w:val="auto"/>
              </w:rPr>
            </w:pPr>
            <w:r>
              <w:rPr>
                <w:rFonts w:ascii="Arial" w:cs="Arial" w:eastAsia="Arial" w:hAnsi="Arial"/>
                <w:sz w:val="14"/>
                <w:szCs w:val="14"/>
                <w:b w:val="1"/>
                <w:bCs w:val="1"/>
                <w:color w:val="auto"/>
              </w:rPr>
              <w:t>Non-U.S.</w:t>
            </w:r>
          </w:p>
        </w:tc>
      </w:tr>
      <w:tr>
        <w:trPr>
          <w:trHeight w:val="176"/>
        </w:trPr>
        <w:tc>
          <w:tcPr>
            <w:tcW w:w="8300" w:type="dxa"/>
            <w:vAlign w:val="bottom"/>
            <w:shd w:val="clear" w:color="auto" w:fill="E5E5E5"/>
          </w:tcPr>
          <w:p>
            <w:pPr>
              <w:spacing w:after="0"/>
              <w:rPr>
                <w:sz w:val="15"/>
                <w:szCs w:val="15"/>
                <w:color w:val="auto"/>
              </w:rPr>
            </w:pPr>
          </w:p>
        </w:tc>
        <w:tc>
          <w:tcPr>
            <w:tcW w:w="360" w:type="dxa"/>
            <w:vAlign w:val="bottom"/>
            <w:shd w:val="clear" w:color="auto" w:fill="E5E5E5"/>
          </w:tcPr>
          <w:p>
            <w:pPr>
              <w:spacing w:after="0"/>
              <w:rPr>
                <w:sz w:val="15"/>
                <w:szCs w:val="15"/>
                <w:color w:val="auto"/>
              </w:rPr>
            </w:pPr>
          </w:p>
        </w:tc>
        <w:tc>
          <w:tcPr>
            <w:tcW w:w="740" w:type="dxa"/>
            <w:vAlign w:val="bottom"/>
            <w:gridSpan w:val="2"/>
            <w:shd w:val="clear" w:color="auto" w:fill="E5E5E5"/>
          </w:tcPr>
          <w:p>
            <w:pPr>
              <w:jc w:val="right"/>
              <w:spacing w:after="0"/>
              <w:rPr>
                <w:sz w:val="20"/>
                <w:szCs w:val="20"/>
                <w:color w:val="auto"/>
              </w:rPr>
            </w:pPr>
            <w:r>
              <w:rPr>
                <w:rFonts w:ascii="Arial" w:cs="Arial" w:eastAsia="Arial" w:hAnsi="Arial"/>
                <w:sz w:val="14"/>
                <w:szCs w:val="14"/>
                <w:b w:val="1"/>
                <w:bCs w:val="1"/>
                <w:color w:val="auto"/>
              </w:rPr>
              <w:t>Benefit</w:t>
            </w:r>
          </w:p>
        </w:tc>
        <w:tc>
          <w:tcPr>
            <w:tcW w:w="420" w:type="dxa"/>
            <w:vAlign w:val="bottom"/>
            <w:shd w:val="clear" w:color="auto" w:fill="E5E5E5"/>
          </w:tcPr>
          <w:p>
            <w:pPr>
              <w:spacing w:after="0"/>
              <w:rPr>
                <w:sz w:val="15"/>
                <w:szCs w:val="15"/>
                <w:color w:val="auto"/>
              </w:rPr>
            </w:pPr>
          </w:p>
        </w:tc>
        <w:tc>
          <w:tcPr>
            <w:tcW w:w="240" w:type="dxa"/>
            <w:vAlign w:val="bottom"/>
            <w:shd w:val="clear" w:color="auto" w:fill="E5E5E5"/>
          </w:tcPr>
          <w:p>
            <w:pPr>
              <w:spacing w:after="0"/>
              <w:rPr>
                <w:sz w:val="15"/>
                <w:szCs w:val="15"/>
                <w:color w:val="auto"/>
              </w:rPr>
            </w:pPr>
          </w:p>
        </w:tc>
        <w:tc>
          <w:tcPr>
            <w:tcW w:w="1360" w:type="dxa"/>
            <w:vAlign w:val="bottom"/>
            <w:gridSpan w:val="3"/>
            <w:shd w:val="clear" w:color="auto" w:fill="E5E5E5"/>
          </w:tcPr>
          <w:p>
            <w:pPr>
              <w:jc w:val="right"/>
              <w:ind w:right="152"/>
              <w:spacing w:after="0"/>
              <w:rPr>
                <w:sz w:val="20"/>
                <w:szCs w:val="20"/>
                <w:color w:val="auto"/>
              </w:rPr>
            </w:pPr>
            <w:r>
              <w:rPr>
                <w:rFonts w:ascii="Arial" w:cs="Arial" w:eastAsia="Arial" w:hAnsi="Arial"/>
                <w:sz w:val="14"/>
                <w:szCs w:val="14"/>
                <w:b w:val="1"/>
                <w:bCs w:val="1"/>
                <w:color w:val="auto"/>
              </w:rPr>
              <w:t>Defined Benefit</w:t>
            </w:r>
          </w:p>
        </w:tc>
      </w:tr>
      <w:tr>
        <w:trPr>
          <w:trHeight w:val="270"/>
        </w:trPr>
        <w:tc>
          <w:tcPr>
            <w:tcW w:w="8300" w:type="dxa"/>
            <w:vAlign w:val="bottom"/>
            <w:shd w:val="clear" w:color="auto" w:fill="E5E5E5"/>
          </w:tcPr>
          <w:p>
            <w:pPr>
              <w:spacing w:after="0"/>
              <w:rPr>
                <w:sz w:val="23"/>
                <w:szCs w:val="23"/>
                <w:color w:val="auto"/>
              </w:rPr>
            </w:pPr>
          </w:p>
        </w:tc>
        <w:tc>
          <w:tcPr>
            <w:tcW w:w="800" w:type="dxa"/>
            <w:vAlign w:val="bottom"/>
            <w:gridSpan w:val="2"/>
            <w:shd w:val="clear" w:color="auto" w:fill="E5E5E5"/>
          </w:tcPr>
          <w:p>
            <w:pPr>
              <w:jc w:val="right"/>
              <w:ind w:right="59"/>
              <w:spacing w:after="0"/>
              <w:rPr>
                <w:sz w:val="20"/>
                <w:szCs w:val="20"/>
                <w:color w:val="auto"/>
              </w:rPr>
            </w:pPr>
            <w:r>
              <w:rPr>
                <w:rFonts w:ascii="Arial" w:cs="Arial" w:eastAsia="Arial" w:hAnsi="Arial"/>
                <w:sz w:val="18"/>
                <w:szCs w:val="18"/>
                <w:b w:val="1"/>
                <w:bCs w:val="1"/>
                <w:color w:val="auto"/>
              </w:rPr>
              <w:t>2007</w:t>
            </w:r>
          </w:p>
        </w:tc>
        <w:tc>
          <w:tcPr>
            <w:tcW w:w="720" w:type="dxa"/>
            <w:vAlign w:val="bottom"/>
            <w:gridSpan w:val="2"/>
            <w:shd w:val="clear" w:color="auto" w:fill="E5E5E5"/>
          </w:tcPr>
          <w:p>
            <w:pPr>
              <w:jc w:val="right"/>
              <w:ind w:right="52"/>
              <w:spacing w:after="0"/>
              <w:rPr>
                <w:sz w:val="20"/>
                <w:szCs w:val="20"/>
                <w:color w:val="auto"/>
              </w:rPr>
            </w:pPr>
            <w:r>
              <w:rPr>
                <w:rFonts w:ascii="Arial" w:cs="Arial" w:eastAsia="Arial" w:hAnsi="Arial"/>
                <w:sz w:val="18"/>
                <w:szCs w:val="18"/>
                <w:b w:val="1"/>
                <w:bCs w:val="1"/>
                <w:color w:val="auto"/>
              </w:rPr>
              <w:t>2006</w:t>
            </w:r>
          </w:p>
        </w:tc>
        <w:tc>
          <w:tcPr>
            <w:tcW w:w="240" w:type="dxa"/>
            <w:vAlign w:val="bottom"/>
            <w:shd w:val="clear" w:color="auto" w:fill="E5E5E5"/>
          </w:tcPr>
          <w:p>
            <w:pPr>
              <w:spacing w:after="0"/>
              <w:rPr>
                <w:sz w:val="23"/>
                <w:szCs w:val="23"/>
                <w:color w:val="auto"/>
              </w:rPr>
            </w:pPr>
          </w:p>
        </w:tc>
        <w:tc>
          <w:tcPr>
            <w:tcW w:w="560" w:type="dxa"/>
            <w:vAlign w:val="bottom"/>
            <w:shd w:val="clear" w:color="auto" w:fill="E5E5E5"/>
          </w:tcPr>
          <w:p>
            <w:pPr>
              <w:jc w:val="right"/>
              <w:ind w:right="98"/>
              <w:spacing w:after="0"/>
              <w:rPr>
                <w:sz w:val="20"/>
                <w:szCs w:val="20"/>
                <w:color w:val="auto"/>
              </w:rPr>
            </w:pPr>
            <w:r>
              <w:rPr>
                <w:rFonts w:ascii="Arial" w:cs="Arial" w:eastAsia="Arial" w:hAnsi="Arial"/>
                <w:sz w:val="18"/>
                <w:szCs w:val="18"/>
                <w:b w:val="1"/>
                <w:bCs w:val="1"/>
                <w:color w:val="auto"/>
                <w:w w:val="89"/>
              </w:rPr>
              <w:t>2007</w:t>
            </w:r>
          </w:p>
        </w:tc>
        <w:tc>
          <w:tcPr>
            <w:tcW w:w="260" w:type="dxa"/>
            <w:vAlign w:val="bottom"/>
            <w:shd w:val="clear" w:color="auto" w:fill="E5E5E5"/>
          </w:tcPr>
          <w:p>
            <w:pPr>
              <w:spacing w:after="0"/>
              <w:rPr>
                <w:sz w:val="23"/>
                <w:szCs w:val="23"/>
                <w:color w:val="auto"/>
              </w:rPr>
            </w:pPr>
          </w:p>
        </w:tc>
        <w:tc>
          <w:tcPr>
            <w:tcW w:w="540" w:type="dxa"/>
            <w:vAlign w:val="bottom"/>
            <w:shd w:val="clear" w:color="auto" w:fill="E5E5E5"/>
          </w:tcPr>
          <w:p>
            <w:pPr>
              <w:jc w:val="right"/>
              <w:ind w:right="32"/>
              <w:spacing w:after="0"/>
              <w:rPr>
                <w:sz w:val="20"/>
                <w:szCs w:val="20"/>
                <w:color w:val="auto"/>
              </w:rPr>
            </w:pPr>
            <w:r>
              <w:rPr>
                <w:rFonts w:ascii="Arial" w:cs="Arial" w:eastAsia="Arial" w:hAnsi="Arial"/>
                <w:sz w:val="18"/>
                <w:szCs w:val="18"/>
                <w:b w:val="1"/>
                <w:bCs w:val="1"/>
                <w:color w:val="auto"/>
                <w:w w:val="99"/>
              </w:rPr>
              <w:t>2006</w:t>
            </w:r>
          </w:p>
        </w:tc>
      </w:tr>
      <w:tr>
        <w:trPr>
          <w:trHeight w:val="351"/>
        </w:trPr>
        <w:tc>
          <w:tcPr>
            <w:tcW w:w="8300" w:type="dxa"/>
            <w:vAlign w:val="bottom"/>
          </w:tcPr>
          <w:p>
            <w:pPr>
              <w:spacing w:after="0"/>
              <w:rPr>
                <w:sz w:val="20"/>
                <w:szCs w:val="20"/>
                <w:color w:val="auto"/>
              </w:rPr>
            </w:pPr>
            <w:r>
              <w:rPr>
                <w:rFonts w:ascii="Arial" w:cs="Arial" w:eastAsia="Arial" w:hAnsi="Arial"/>
                <w:sz w:val="18"/>
                <w:szCs w:val="18"/>
                <w:color w:val="auto"/>
              </w:rPr>
              <w:t>Plans with projected benefit obligations greater than assets:</w:t>
            </w: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03"/>
        </w:trPr>
        <w:tc>
          <w:tcPr>
            <w:tcW w:w="830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Projected benefit obligations</w:t>
            </w:r>
          </w:p>
        </w:tc>
        <w:tc>
          <w:tcPr>
            <w:tcW w:w="3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E5E5E5"/>
          </w:tcPr>
          <w:p>
            <w:pPr>
              <w:jc w:val="right"/>
              <w:ind w:right="99"/>
              <w:spacing w:after="0" w:line="202" w:lineRule="exact"/>
              <w:rPr>
                <w:sz w:val="20"/>
                <w:szCs w:val="20"/>
                <w:color w:val="auto"/>
              </w:rPr>
            </w:pPr>
            <w:r>
              <w:rPr>
                <w:rFonts w:ascii="Arial" w:cs="Arial" w:eastAsia="Arial" w:hAnsi="Arial"/>
                <w:sz w:val="18"/>
                <w:szCs w:val="18"/>
                <w:b w:val="1"/>
                <w:bCs w:val="1"/>
                <w:color w:val="auto"/>
              </w:rPr>
              <w:t>42</w:t>
            </w:r>
          </w:p>
        </w:tc>
        <w:tc>
          <w:tcPr>
            <w:tcW w:w="3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jc w:val="right"/>
              <w:ind w:right="92"/>
              <w:spacing w:after="0" w:line="202" w:lineRule="exact"/>
              <w:rPr>
                <w:sz w:val="20"/>
                <w:szCs w:val="20"/>
                <w:color w:val="auto"/>
              </w:rPr>
            </w:pPr>
            <w:r>
              <w:rPr>
                <w:rFonts w:ascii="Arial" w:cs="Arial" w:eastAsia="Arial" w:hAnsi="Arial"/>
                <w:sz w:val="18"/>
                <w:szCs w:val="18"/>
                <w:color w:val="auto"/>
              </w:rPr>
              <w:t>34</w:t>
            </w:r>
          </w:p>
        </w:tc>
        <w:tc>
          <w:tcPr>
            <w:tcW w:w="2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E5E5E5"/>
          </w:tcPr>
          <w:p>
            <w:pPr>
              <w:jc w:val="right"/>
              <w:ind w:right="78"/>
              <w:spacing w:after="0" w:line="202" w:lineRule="exact"/>
              <w:rPr>
                <w:sz w:val="20"/>
                <w:szCs w:val="20"/>
                <w:color w:val="auto"/>
              </w:rPr>
            </w:pPr>
            <w:r>
              <w:rPr>
                <w:rFonts w:ascii="Arial" w:cs="Arial" w:eastAsia="Arial" w:hAnsi="Arial"/>
                <w:sz w:val="18"/>
                <w:szCs w:val="18"/>
                <w:b w:val="1"/>
                <w:bCs w:val="1"/>
                <w:color w:val="auto"/>
              </w:rPr>
              <w:t>141</w:t>
            </w:r>
          </w:p>
        </w:tc>
        <w:tc>
          <w:tcPr>
            <w:tcW w:w="2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1,145</w:t>
            </w:r>
          </w:p>
        </w:tc>
      </w:tr>
      <w:tr>
        <w:trPr>
          <w:trHeight w:val="203"/>
        </w:trPr>
        <w:tc>
          <w:tcPr>
            <w:tcW w:w="8300" w:type="dxa"/>
            <w:vAlign w:val="bottom"/>
          </w:tcPr>
          <w:p>
            <w:pPr>
              <w:ind w:left="220"/>
              <w:spacing w:after="0" w:line="202" w:lineRule="exact"/>
              <w:rPr>
                <w:sz w:val="20"/>
                <w:szCs w:val="20"/>
                <w:color w:val="auto"/>
              </w:rPr>
            </w:pPr>
            <w:r>
              <w:rPr>
                <w:rFonts w:ascii="Arial" w:cs="Arial" w:eastAsia="Arial" w:hAnsi="Arial"/>
                <w:sz w:val="18"/>
                <w:szCs w:val="18"/>
                <w:color w:val="auto"/>
              </w:rPr>
              <w:t>Plan assets</w:t>
            </w:r>
          </w:p>
        </w:tc>
        <w:tc>
          <w:tcPr>
            <w:tcW w:w="360" w:type="dxa"/>
            <w:vAlign w:val="bottom"/>
          </w:tcPr>
          <w:p>
            <w:pPr>
              <w:spacing w:after="0"/>
              <w:rPr>
                <w:sz w:val="17"/>
                <w:szCs w:val="17"/>
                <w:color w:val="auto"/>
              </w:rPr>
            </w:pPr>
          </w:p>
        </w:tc>
        <w:tc>
          <w:tcPr>
            <w:tcW w:w="440" w:type="dxa"/>
            <w:vAlign w:val="bottom"/>
          </w:tcPr>
          <w:p>
            <w:pPr>
              <w:jc w:val="right"/>
              <w:ind w:right="99"/>
              <w:spacing w:after="0" w:line="202" w:lineRule="exact"/>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7"/>
                <w:szCs w:val="17"/>
                <w:color w:val="auto"/>
              </w:rPr>
            </w:pPr>
          </w:p>
        </w:tc>
        <w:tc>
          <w:tcPr>
            <w:tcW w:w="420" w:type="dxa"/>
            <w:vAlign w:val="bottom"/>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560" w:type="dxa"/>
            <w:vAlign w:val="bottom"/>
          </w:tcPr>
          <w:p>
            <w:pPr>
              <w:jc w:val="right"/>
              <w:ind w:right="78"/>
              <w:spacing w:after="0" w:line="202" w:lineRule="exact"/>
              <w:rPr>
                <w:sz w:val="20"/>
                <w:szCs w:val="20"/>
                <w:color w:val="auto"/>
              </w:rPr>
            </w:pPr>
            <w:r>
              <w:rPr>
                <w:rFonts w:ascii="Arial" w:cs="Arial" w:eastAsia="Arial" w:hAnsi="Arial"/>
                <w:sz w:val="18"/>
                <w:szCs w:val="18"/>
                <w:b w:val="1"/>
                <w:bCs w:val="1"/>
                <w:color w:val="auto"/>
              </w:rPr>
              <w:t>58</w:t>
            </w:r>
          </w:p>
        </w:tc>
        <w:tc>
          <w:tcPr>
            <w:tcW w:w="26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1,001</w:t>
            </w:r>
          </w:p>
        </w:tc>
      </w:tr>
      <w:tr>
        <w:trPr>
          <w:trHeight w:val="311"/>
        </w:trPr>
        <w:tc>
          <w:tcPr>
            <w:tcW w:w="8300" w:type="dxa"/>
            <w:vAlign w:val="bottom"/>
            <w:shd w:val="clear" w:color="auto" w:fill="E5E5E5"/>
          </w:tcPr>
          <w:p>
            <w:pPr>
              <w:spacing w:after="0"/>
              <w:rPr>
                <w:sz w:val="20"/>
                <w:szCs w:val="20"/>
                <w:color w:val="auto"/>
              </w:rPr>
            </w:pPr>
            <w:r>
              <w:rPr>
                <w:rFonts w:ascii="Arial" w:cs="Arial" w:eastAsia="Arial" w:hAnsi="Arial"/>
                <w:sz w:val="18"/>
                <w:szCs w:val="18"/>
                <w:color w:val="auto"/>
              </w:rPr>
              <w:t>Plans with accumulated benefit obligations greater than assets:</w:t>
            </w:r>
          </w:p>
        </w:tc>
        <w:tc>
          <w:tcPr>
            <w:tcW w:w="360" w:type="dxa"/>
            <w:vAlign w:val="bottom"/>
            <w:shd w:val="clear" w:color="auto" w:fill="E5E5E5"/>
          </w:tcPr>
          <w:p>
            <w:pPr>
              <w:spacing w:after="0"/>
              <w:rPr>
                <w:sz w:val="24"/>
                <w:szCs w:val="24"/>
                <w:color w:val="auto"/>
              </w:rPr>
            </w:pPr>
          </w:p>
        </w:tc>
        <w:tc>
          <w:tcPr>
            <w:tcW w:w="440" w:type="dxa"/>
            <w:vAlign w:val="bottom"/>
            <w:shd w:val="clear" w:color="auto" w:fill="E5E5E5"/>
          </w:tcPr>
          <w:p>
            <w:pPr>
              <w:spacing w:after="0"/>
              <w:rPr>
                <w:sz w:val="24"/>
                <w:szCs w:val="24"/>
                <w:color w:val="auto"/>
              </w:rPr>
            </w:pPr>
          </w:p>
        </w:tc>
        <w:tc>
          <w:tcPr>
            <w:tcW w:w="300" w:type="dxa"/>
            <w:vAlign w:val="bottom"/>
            <w:shd w:val="clear" w:color="auto" w:fill="E5E5E5"/>
          </w:tcPr>
          <w:p>
            <w:pPr>
              <w:spacing w:after="0"/>
              <w:rPr>
                <w:sz w:val="24"/>
                <w:szCs w:val="24"/>
                <w:color w:val="auto"/>
              </w:rPr>
            </w:pPr>
          </w:p>
        </w:tc>
        <w:tc>
          <w:tcPr>
            <w:tcW w:w="420" w:type="dxa"/>
            <w:vAlign w:val="bottom"/>
            <w:shd w:val="clear" w:color="auto" w:fill="E5E5E5"/>
          </w:tcPr>
          <w:p>
            <w:pPr>
              <w:spacing w:after="0"/>
              <w:rPr>
                <w:sz w:val="24"/>
                <w:szCs w:val="24"/>
                <w:color w:val="auto"/>
              </w:rPr>
            </w:pPr>
          </w:p>
        </w:tc>
        <w:tc>
          <w:tcPr>
            <w:tcW w:w="240" w:type="dxa"/>
            <w:vAlign w:val="bottom"/>
            <w:shd w:val="clear" w:color="auto" w:fill="E5E5E5"/>
          </w:tcPr>
          <w:p>
            <w:pPr>
              <w:spacing w:after="0"/>
              <w:rPr>
                <w:sz w:val="24"/>
                <w:szCs w:val="24"/>
                <w:color w:val="auto"/>
              </w:rPr>
            </w:pPr>
          </w:p>
        </w:tc>
        <w:tc>
          <w:tcPr>
            <w:tcW w:w="560" w:type="dxa"/>
            <w:vAlign w:val="bottom"/>
            <w:shd w:val="clear" w:color="auto" w:fill="E5E5E5"/>
          </w:tcPr>
          <w:p>
            <w:pPr>
              <w:spacing w:after="0"/>
              <w:rPr>
                <w:sz w:val="24"/>
                <w:szCs w:val="24"/>
                <w:color w:val="auto"/>
              </w:rPr>
            </w:pPr>
          </w:p>
        </w:tc>
        <w:tc>
          <w:tcPr>
            <w:tcW w:w="260" w:type="dxa"/>
            <w:vAlign w:val="bottom"/>
            <w:shd w:val="clear" w:color="auto" w:fill="E5E5E5"/>
          </w:tcPr>
          <w:p>
            <w:pPr>
              <w:spacing w:after="0"/>
              <w:rPr>
                <w:sz w:val="24"/>
                <w:szCs w:val="24"/>
                <w:color w:val="auto"/>
              </w:rPr>
            </w:pPr>
          </w:p>
        </w:tc>
        <w:tc>
          <w:tcPr>
            <w:tcW w:w="540" w:type="dxa"/>
            <w:vAlign w:val="bottom"/>
            <w:shd w:val="clear" w:color="auto" w:fill="E5E5E5"/>
          </w:tcPr>
          <w:p>
            <w:pPr>
              <w:spacing w:after="0"/>
              <w:rPr>
                <w:sz w:val="24"/>
                <w:szCs w:val="24"/>
                <w:color w:val="auto"/>
              </w:rPr>
            </w:pPr>
          </w:p>
        </w:tc>
      </w:tr>
      <w:tr>
        <w:trPr>
          <w:trHeight w:val="203"/>
        </w:trPr>
        <w:tc>
          <w:tcPr>
            <w:tcW w:w="8300" w:type="dxa"/>
            <w:vAlign w:val="bottom"/>
          </w:tcPr>
          <w:p>
            <w:pPr>
              <w:ind w:left="220"/>
              <w:spacing w:after="0" w:line="202" w:lineRule="exact"/>
              <w:rPr>
                <w:sz w:val="20"/>
                <w:szCs w:val="20"/>
                <w:color w:val="auto"/>
              </w:rPr>
            </w:pPr>
            <w:r>
              <w:rPr>
                <w:rFonts w:ascii="Arial" w:cs="Arial" w:eastAsia="Arial" w:hAnsi="Arial"/>
                <w:sz w:val="18"/>
                <w:szCs w:val="18"/>
                <w:color w:val="auto"/>
              </w:rPr>
              <w:t>Accumulated benefit obligations</w:t>
            </w:r>
          </w:p>
        </w:tc>
        <w:tc>
          <w:tcPr>
            <w:tcW w:w="3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440" w:type="dxa"/>
            <w:vAlign w:val="bottom"/>
          </w:tcPr>
          <w:p>
            <w:pPr>
              <w:jc w:val="right"/>
              <w:ind w:right="99"/>
              <w:spacing w:after="0" w:line="202" w:lineRule="exact"/>
              <w:rPr>
                <w:sz w:val="20"/>
                <w:szCs w:val="20"/>
                <w:color w:val="auto"/>
              </w:rPr>
            </w:pPr>
            <w:r>
              <w:rPr>
                <w:rFonts w:ascii="Arial" w:cs="Arial" w:eastAsia="Arial" w:hAnsi="Arial"/>
                <w:sz w:val="18"/>
                <w:szCs w:val="18"/>
                <w:b w:val="1"/>
                <w:bCs w:val="1"/>
                <w:color w:val="auto"/>
              </w:rPr>
              <w:t>34</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jc w:val="right"/>
              <w:ind w:right="92"/>
              <w:spacing w:after="0" w:line="202" w:lineRule="exact"/>
              <w:rPr>
                <w:sz w:val="20"/>
                <w:szCs w:val="20"/>
                <w:color w:val="auto"/>
              </w:rPr>
            </w:pPr>
            <w:r>
              <w:rPr>
                <w:rFonts w:ascii="Arial" w:cs="Arial" w:eastAsia="Arial" w:hAnsi="Arial"/>
                <w:sz w:val="18"/>
                <w:szCs w:val="18"/>
                <w:color w:val="auto"/>
              </w:rPr>
              <w:t>28</w:t>
            </w:r>
          </w:p>
        </w:tc>
        <w:tc>
          <w:tcPr>
            <w:tcW w:w="2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560" w:type="dxa"/>
            <w:vAlign w:val="bottom"/>
          </w:tcPr>
          <w:p>
            <w:pPr>
              <w:jc w:val="right"/>
              <w:ind w:right="78"/>
              <w:spacing w:after="0" w:line="202" w:lineRule="exact"/>
              <w:rPr>
                <w:sz w:val="20"/>
                <w:szCs w:val="20"/>
                <w:color w:val="auto"/>
              </w:rPr>
            </w:pPr>
            <w:r>
              <w:rPr>
                <w:rFonts w:ascii="Arial" w:cs="Arial" w:eastAsia="Arial" w:hAnsi="Arial"/>
                <w:sz w:val="18"/>
                <w:szCs w:val="18"/>
                <w:b w:val="1"/>
                <w:bCs w:val="1"/>
                <w:color w:val="auto"/>
              </w:rPr>
              <w:t>93</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83</w:t>
            </w:r>
          </w:p>
        </w:tc>
      </w:tr>
      <w:tr>
        <w:trPr>
          <w:trHeight w:val="203"/>
        </w:trPr>
        <w:tc>
          <w:tcPr>
            <w:tcW w:w="830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Plan assets</w:t>
            </w:r>
          </w:p>
        </w:tc>
        <w:tc>
          <w:tcPr>
            <w:tcW w:w="360" w:type="dxa"/>
            <w:vAlign w:val="bottom"/>
            <w:shd w:val="clear" w:color="auto" w:fill="E5E5E5"/>
          </w:tcPr>
          <w:p>
            <w:pPr>
              <w:spacing w:after="0"/>
              <w:rPr>
                <w:sz w:val="17"/>
                <w:szCs w:val="17"/>
                <w:color w:val="auto"/>
              </w:rPr>
            </w:pPr>
          </w:p>
        </w:tc>
        <w:tc>
          <w:tcPr>
            <w:tcW w:w="440" w:type="dxa"/>
            <w:vAlign w:val="bottom"/>
            <w:shd w:val="clear" w:color="auto" w:fill="E5E5E5"/>
          </w:tcPr>
          <w:p>
            <w:pPr>
              <w:jc w:val="right"/>
              <w:ind w:right="99"/>
              <w:spacing w:after="0" w:line="202" w:lineRule="exact"/>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E5E5E5"/>
          </w:tcPr>
          <w:p>
            <w:pPr>
              <w:spacing w:after="0"/>
              <w:rPr>
                <w:sz w:val="17"/>
                <w:szCs w:val="17"/>
                <w:color w:val="auto"/>
              </w:rPr>
            </w:pPr>
          </w:p>
        </w:tc>
        <w:tc>
          <w:tcPr>
            <w:tcW w:w="420" w:type="dxa"/>
            <w:vAlign w:val="bottom"/>
            <w:shd w:val="clear" w:color="auto" w:fill="E5E5E5"/>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7"/>
                <w:szCs w:val="17"/>
                <w:color w:val="auto"/>
              </w:rPr>
            </w:pPr>
          </w:p>
        </w:tc>
        <w:tc>
          <w:tcPr>
            <w:tcW w:w="560" w:type="dxa"/>
            <w:vAlign w:val="bottom"/>
            <w:shd w:val="clear" w:color="auto" w:fill="E5E5E5"/>
          </w:tcPr>
          <w:p>
            <w:pPr>
              <w:jc w:val="right"/>
              <w:ind w:right="78"/>
              <w:spacing w:after="0" w:line="202" w:lineRule="exact"/>
              <w:rPr>
                <w:sz w:val="20"/>
                <w:szCs w:val="20"/>
                <w:color w:val="auto"/>
              </w:rPr>
            </w:pPr>
            <w:r>
              <w:rPr>
                <w:rFonts w:ascii="Arial" w:cs="Arial" w:eastAsia="Arial" w:hAnsi="Arial"/>
                <w:sz w:val="18"/>
                <w:szCs w:val="18"/>
                <w:b w:val="1"/>
                <w:bCs w:val="1"/>
                <w:color w:val="auto"/>
              </w:rPr>
              <w:t>41</w:t>
            </w:r>
          </w:p>
        </w:tc>
        <w:tc>
          <w:tcPr>
            <w:tcW w:w="260" w:type="dxa"/>
            <w:vAlign w:val="bottom"/>
            <w:shd w:val="clear" w:color="auto" w:fill="E5E5E5"/>
          </w:tcPr>
          <w:p>
            <w:pPr>
              <w:spacing w:after="0"/>
              <w:rPr>
                <w:sz w:val="17"/>
                <w:szCs w:val="17"/>
                <w:color w:val="auto"/>
              </w:rPr>
            </w:pPr>
          </w:p>
        </w:tc>
        <w:tc>
          <w:tcPr>
            <w:tcW w:w="5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40</w:t>
            </w:r>
          </w:p>
        </w:tc>
      </w:tr>
    </w:tbl>
    <w:p>
      <w:pPr>
        <w:spacing w:after="0" w:line="165"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Accumulated benefit obligations were $764 million and $711 million at year-end 2007 and 2006 for the U.S. defined benefit plans, and were $1.48 billion and $1.47 billion at year-end 2007 and 2006 for the non-U.S. defined benefit plans.</w:t>
      </w:r>
    </w:p>
    <w:p>
      <w:pPr>
        <w:spacing w:after="0" w:line="155" w:lineRule="exact"/>
        <w:rPr>
          <w:sz w:val="20"/>
          <w:szCs w:val="20"/>
          <w:color w:val="auto"/>
        </w:rPr>
      </w:pPr>
    </w:p>
    <w:p>
      <w:pPr>
        <w:ind w:right="620"/>
        <w:spacing w:after="0" w:line="239" w:lineRule="auto"/>
        <w:rPr>
          <w:sz w:val="20"/>
          <w:szCs w:val="20"/>
          <w:color w:val="auto"/>
        </w:rPr>
      </w:pPr>
      <w:r>
        <w:rPr>
          <w:rFonts w:ascii="Arial" w:cs="Arial" w:eastAsia="Arial" w:hAnsi="Arial"/>
          <w:sz w:val="18"/>
          <w:szCs w:val="18"/>
          <w:color w:val="auto"/>
        </w:rPr>
        <w:t>The amounts recorded in AOCI for the years ended December 31, 2007 and 2006, are further detailed by the type of plan to which they are attributable: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80" w:type="dxa"/>
            <w:vAlign w:val="bottom"/>
            <w:shd w:val="clear" w:color="auto" w:fill="E5E5E5"/>
          </w:tcPr>
          <w:p>
            <w:pPr>
              <w:spacing w:after="0"/>
              <w:rPr>
                <w:sz w:val="14"/>
                <w:szCs w:val="14"/>
                <w:color w:val="auto"/>
              </w:rPr>
            </w:pPr>
          </w:p>
        </w:tc>
        <w:tc>
          <w:tcPr>
            <w:tcW w:w="220" w:type="dxa"/>
            <w:vAlign w:val="bottom"/>
            <w:shd w:val="clear" w:color="auto" w:fill="E5E5E5"/>
          </w:tcPr>
          <w:p>
            <w:pPr>
              <w:spacing w:after="0"/>
              <w:rPr>
                <w:sz w:val="14"/>
                <w:szCs w:val="14"/>
                <w:color w:val="auto"/>
              </w:rPr>
            </w:pPr>
          </w:p>
        </w:tc>
        <w:tc>
          <w:tcPr>
            <w:tcW w:w="880" w:type="dxa"/>
            <w:vAlign w:val="bottom"/>
            <w:gridSpan w:val="2"/>
            <w:shd w:val="clear" w:color="auto" w:fill="E5E5E5"/>
          </w:tcPr>
          <w:p>
            <w:pPr>
              <w:jc w:val="center"/>
              <w:spacing w:after="0"/>
              <w:rPr>
                <w:sz w:val="20"/>
                <w:szCs w:val="20"/>
                <w:color w:val="auto"/>
              </w:rPr>
            </w:pPr>
            <w:r>
              <w:rPr>
                <w:rFonts w:ascii="Arial" w:cs="Arial" w:eastAsia="Arial" w:hAnsi="Arial"/>
                <w:sz w:val="14"/>
                <w:szCs w:val="14"/>
                <w:b w:val="1"/>
                <w:bCs w:val="1"/>
                <w:color w:val="auto"/>
                <w:w w:val="96"/>
              </w:rPr>
              <w:t>U.S. Defined</w:t>
            </w:r>
          </w:p>
        </w:tc>
        <w:tc>
          <w:tcPr>
            <w:tcW w:w="180" w:type="dxa"/>
            <w:vAlign w:val="bottom"/>
            <w:shd w:val="clear" w:color="auto" w:fill="E5E5E5"/>
          </w:tcPr>
          <w:p>
            <w:pPr>
              <w:spacing w:after="0"/>
              <w:rPr>
                <w:sz w:val="14"/>
                <w:szCs w:val="14"/>
                <w:color w:val="auto"/>
              </w:rPr>
            </w:pPr>
          </w:p>
        </w:tc>
        <w:tc>
          <w:tcPr>
            <w:tcW w:w="220" w:type="dxa"/>
            <w:vAlign w:val="bottom"/>
            <w:shd w:val="clear" w:color="auto" w:fill="E5E5E5"/>
          </w:tcPr>
          <w:p>
            <w:pPr>
              <w:spacing w:after="0"/>
              <w:rPr>
                <w:sz w:val="14"/>
                <w:szCs w:val="14"/>
                <w:color w:val="auto"/>
              </w:rPr>
            </w:pPr>
          </w:p>
        </w:tc>
        <w:tc>
          <w:tcPr>
            <w:tcW w:w="1060" w:type="dxa"/>
            <w:vAlign w:val="bottom"/>
            <w:gridSpan w:val="3"/>
            <w:shd w:val="clear" w:color="auto" w:fill="E5E5E5"/>
          </w:tcPr>
          <w:p>
            <w:pPr>
              <w:ind w:left="260"/>
              <w:spacing w:after="0"/>
              <w:rPr>
                <w:sz w:val="20"/>
                <w:szCs w:val="20"/>
                <w:color w:val="auto"/>
              </w:rPr>
            </w:pPr>
            <w:r>
              <w:rPr>
                <w:rFonts w:ascii="Arial" w:cs="Arial" w:eastAsia="Arial" w:hAnsi="Arial"/>
                <w:sz w:val="14"/>
                <w:szCs w:val="14"/>
                <w:b w:val="1"/>
                <w:bCs w:val="1"/>
                <w:color w:val="auto"/>
                <w:w w:val="99"/>
              </w:rPr>
              <w:t>U.S. Retiree</w:t>
            </w:r>
          </w:p>
        </w:tc>
        <w:tc>
          <w:tcPr>
            <w:tcW w:w="220" w:type="dxa"/>
            <w:vAlign w:val="bottom"/>
            <w:shd w:val="clear" w:color="auto" w:fill="E5E5E5"/>
          </w:tcPr>
          <w:p>
            <w:pPr>
              <w:spacing w:after="0"/>
              <w:rPr>
                <w:sz w:val="14"/>
                <w:szCs w:val="14"/>
                <w:color w:val="auto"/>
              </w:rPr>
            </w:pPr>
          </w:p>
        </w:tc>
        <w:tc>
          <w:tcPr>
            <w:tcW w:w="8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200" w:type="dxa"/>
            <w:vAlign w:val="bottom"/>
            <w:shd w:val="clear" w:color="auto" w:fill="E5E5E5"/>
          </w:tcPr>
          <w:p>
            <w:pPr>
              <w:spacing w:after="0"/>
              <w:rPr>
                <w:sz w:val="14"/>
                <w:szCs w:val="14"/>
                <w:color w:val="auto"/>
              </w:rPr>
            </w:pPr>
          </w:p>
        </w:tc>
        <w:tc>
          <w:tcPr>
            <w:tcW w:w="1200" w:type="dxa"/>
            <w:vAlign w:val="bottom"/>
            <w:gridSpan w:val="3"/>
            <w:shd w:val="clear" w:color="auto" w:fill="E5E5E5"/>
          </w:tcPr>
          <w:p>
            <w:pPr>
              <w:jc w:val="right"/>
              <w:ind w:right="337"/>
              <w:spacing w:after="0"/>
              <w:rPr>
                <w:sz w:val="20"/>
                <w:szCs w:val="20"/>
                <w:color w:val="auto"/>
              </w:rPr>
            </w:pPr>
            <w:r>
              <w:rPr>
                <w:rFonts w:ascii="Arial" w:cs="Arial" w:eastAsia="Arial" w:hAnsi="Arial"/>
                <w:sz w:val="14"/>
                <w:szCs w:val="14"/>
                <w:b w:val="1"/>
                <w:bCs w:val="1"/>
                <w:color w:val="auto"/>
              </w:rPr>
              <w:t>Non-U.S</w:t>
            </w:r>
          </w:p>
        </w:tc>
        <w:tc>
          <w:tcPr>
            <w:tcW w:w="160" w:type="dxa"/>
            <w:vAlign w:val="bottom"/>
            <w:shd w:val="clear" w:color="auto" w:fill="E5E5E5"/>
          </w:tcPr>
          <w:p>
            <w:pPr>
              <w:spacing w:after="0"/>
              <w:rPr>
                <w:sz w:val="14"/>
                <w:szCs w:val="14"/>
                <w:color w:val="auto"/>
              </w:rPr>
            </w:pPr>
          </w:p>
        </w:tc>
        <w:tc>
          <w:tcPr>
            <w:tcW w:w="240" w:type="dxa"/>
            <w:vAlign w:val="bottom"/>
            <w:shd w:val="clear" w:color="auto" w:fill="E5E5E5"/>
          </w:tcPr>
          <w:p>
            <w:pPr>
              <w:spacing w:after="0"/>
              <w:rPr>
                <w:sz w:val="14"/>
                <w:szCs w:val="14"/>
                <w:color w:val="auto"/>
              </w:rPr>
            </w:pPr>
          </w:p>
        </w:tc>
        <w:tc>
          <w:tcPr>
            <w:tcW w:w="560" w:type="dxa"/>
            <w:vAlign w:val="bottom"/>
            <w:shd w:val="clear" w:color="auto" w:fill="E5E5E5"/>
          </w:tcPr>
          <w:p>
            <w:pPr>
              <w:spacing w:after="0"/>
              <w:rPr>
                <w:sz w:val="14"/>
                <w:szCs w:val="14"/>
                <w:color w:val="auto"/>
              </w:rPr>
            </w:pPr>
          </w:p>
        </w:tc>
        <w:tc>
          <w:tcPr>
            <w:tcW w:w="280" w:type="dxa"/>
            <w:vAlign w:val="bottom"/>
            <w:shd w:val="clear" w:color="auto" w:fill="E5E5E5"/>
          </w:tcPr>
          <w:p>
            <w:pPr>
              <w:spacing w:after="0"/>
              <w:rPr>
                <w:sz w:val="14"/>
                <w:szCs w:val="14"/>
                <w:color w:val="auto"/>
              </w:rPr>
            </w:pPr>
          </w:p>
        </w:tc>
        <w:tc>
          <w:tcPr>
            <w:tcW w:w="220" w:type="dxa"/>
            <w:vAlign w:val="bottom"/>
            <w:shd w:val="clear" w:color="auto" w:fill="E5E5E5"/>
          </w:tcPr>
          <w:p>
            <w:pPr>
              <w:spacing w:after="0"/>
              <w:rPr>
                <w:sz w:val="14"/>
                <w:szCs w:val="14"/>
                <w:color w:val="auto"/>
              </w:rPr>
            </w:pPr>
          </w:p>
        </w:tc>
        <w:tc>
          <w:tcPr>
            <w:tcW w:w="60" w:type="dxa"/>
            <w:vAlign w:val="bottom"/>
            <w:shd w:val="clear" w:color="auto" w:fill="E5E5E5"/>
          </w:tcPr>
          <w:p>
            <w:pPr>
              <w:spacing w:after="0"/>
              <w:rPr>
                <w:sz w:val="14"/>
                <w:szCs w:val="14"/>
                <w:color w:val="auto"/>
              </w:rPr>
            </w:pPr>
          </w:p>
        </w:tc>
      </w:tr>
      <w:tr>
        <w:trPr>
          <w:trHeight w:val="165"/>
        </w:trPr>
        <w:tc>
          <w:tcPr>
            <w:tcW w:w="20" w:type="dxa"/>
            <w:vAlign w:val="bottom"/>
          </w:tcPr>
          <w:p>
            <w:pPr>
              <w:spacing w:after="0"/>
              <w:rPr>
                <w:sz w:val="14"/>
                <w:szCs w:val="14"/>
                <w:color w:val="auto"/>
              </w:rPr>
            </w:pPr>
          </w:p>
        </w:tc>
        <w:tc>
          <w:tcPr>
            <w:tcW w:w="5480" w:type="dxa"/>
            <w:vAlign w:val="bottom"/>
            <w:tcBorders>
              <w:bottom w:val="single" w:sz="8" w:color="E5E5E5"/>
            </w:tcBorders>
            <w:shd w:val="clear" w:color="auto" w:fill="E5E5E5"/>
          </w:tcPr>
          <w:p>
            <w:pPr>
              <w:spacing w:after="0"/>
              <w:rPr>
                <w:sz w:val="14"/>
                <w:szCs w:val="14"/>
                <w:color w:val="auto"/>
              </w:rPr>
            </w:pPr>
          </w:p>
        </w:tc>
        <w:tc>
          <w:tcPr>
            <w:tcW w:w="220" w:type="dxa"/>
            <w:vAlign w:val="bottom"/>
            <w:tcBorders>
              <w:bottom w:val="single" w:sz="8" w:color="auto"/>
            </w:tcBorders>
            <w:shd w:val="clear" w:color="auto" w:fill="E5E5E5"/>
          </w:tcPr>
          <w:p>
            <w:pPr>
              <w:spacing w:after="0"/>
              <w:rPr>
                <w:sz w:val="14"/>
                <w:szCs w:val="14"/>
                <w:color w:val="auto"/>
              </w:rPr>
            </w:pPr>
          </w:p>
        </w:tc>
        <w:tc>
          <w:tcPr>
            <w:tcW w:w="880" w:type="dxa"/>
            <w:vAlign w:val="bottom"/>
            <w:tcBorders>
              <w:bottom w:val="single" w:sz="8" w:color="auto"/>
            </w:tcBorders>
            <w:gridSpan w:val="2"/>
            <w:shd w:val="clear" w:color="auto" w:fill="E5E5E5"/>
          </w:tcPr>
          <w:p>
            <w:pPr>
              <w:jc w:val="center"/>
              <w:spacing w:after="0"/>
              <w:rPr>
                <w:sz w:val="20"/>
                <w:szCs w:val="20"/>
                <w:color w:val="auto"/>
              </w:rPr>
            </w:pPr>
            <w:r>
              <w:rPr>
                <w:rFonts w:ascii="Arial" w:cs="Arial" w:eastAsia="Arial" w:hAnsi="Arial"/>
                <w:sz w:val="14"/>
                <w:szCs w:val="14"/>
                <w:b w:val="1"/>
                <w:bCs w:val="1"/>
                <w:color w:val="auto"/>
                <w:w w:val="96"/>
              </w:rPr>
              <w:t>Benefit</w:t>
            </w:r>
          </w:p>
        </w:tc>
        <w:tc>
          <w:tcPr>
            <w:tcW w:w="180" w:type="dxa"/>
            <w:vAlign w:val="bottom"/>
            <w:tcBorders>
              <w:bottom w:val="single" w:sz="8" w:color="auto"/>
            </w:tcBorders>
            <w:shd w:val="clear" w:color="auto" w:fill="E5E5E5"/>
          </w:tcPr>
          <w:p>
            <w:pPr>
              <w:spacing w:after="0"/>
              <w:rPr>
                <w:sz w:val="14"/>
                <w:szCs w:val="14"/>
                <w:color w:val="auto"/>
              </w:rPr>
            </w:pPr>
          </w:p>
        </w:tc>
        <w:tc>
          <w:tcPr>
            <w:tcW w:w="220" w:type="dxa"/>
            <w:vAlign w:val="bottom"/>
            <w:tcBorders>
              <w:bottom w:val="single" w:sz="8" w:color="E5E5E5"/>
            </w:tcBorders>
            <w:shd w:val="clear" w:color="auto" w:fill="E5E5E5"/>
          </w:tcPr>
          <w:p>
            <w:pPr>
              <w:spacing w:after="0"/>
              <w:rPr>
                <w:sz w:val="14"/>
                <w:szCs w:val="14"/>
                <w:color w:val="auto"/>
              </w:rPr>
            </w:pPr>
          </w:p>
        </w:tc>
        <w:tc>
          <w:tcPr>
            <w:tcW w:w="1060" w:type="dxa"/>
            <w:vAlign w:val="bottom"/>
            <w:tcBorders>
              <w:bottom w:val="single" w:sz="8" w:color="auto"/>
            </w:tcBorders>
            <w:gridSpan w:val="3"/>
            <w:shd w:val="clear" w:color="auto" w:fill="E5E5E5"/>
          </w:tcPr>
          <w:p>
            <w:pPr>
              <w:ind w:left="280"/>
              <w:spacing w:after="0"/>
              <w:rPr>
                <w:sz w:val="20"/>
                <w:szCs w:val="20"/>
                <w:color w:val="auto"/>
              </w:rPr>
            </w:pPr>
            <w:r>
              <w:rPr>
                <w:rFonts w:ascii="Arial" w:cs="Arial" w:eastAsia="Arial" w:hAnsi="Arial"/>
                <w:sz w:val="14"/>
                <w:szCs w:val="14"/>
                <w:b w:val="1"/>
                <w:bCs w:val="1"/>
                <w:color w:val="auto"/>
                <w:w w:val="97"/>
              </w:rPr>
              <w:t>Health Care</w:t>
            </w:r>
          </w:p>
        </w:tc>
        <w:tc>
          <w:tcPr>
            <w:tcW w:w="220" w:type="dxa"/>
            <w:vAlign w:val="bottom"/>
            <w:tcBorders>
              <w:bottom w:val="single" w:sz="8" w:color="auto"/>
            </w:tcBorders>
            <w:shd w:val="clear" w:color="auto" w:fill="E5E5E5"/>
          </w:tcPr>
          <w:p>
            <w:pPr>
              <w:spacing w:after="0"/>
              <w:rPr>
                <w:sz w:val="14"/>
                <w:szCs w:val="14"/>
                <w:color w:val="auto"/>
              </w:rPr>
            </w:pPr>
          </w:p>
        </w:tc>
        <w:tc>
          <w:tcPr>
            <w:tcW w:w="80" w:type="dxa"/>
            <w:vAlign w:val="bottom"/>
            <w:tcBorders>
              <w:bottom w:val="single" w:sz="8" w:color="E5E5E5"/>
            </w:tcBorders>
            <w:shd w:val="clear" w:color="auto" w:fill="E5E5E5"/>
          </w:tcPr>
          <w:p>
            <w:pPr>
              <w:spacing w:after="0"/>
              <w:rPr>
                <w:sz w:val="14"/>
                <w:szCs w:val="14"/>
                <w:color w:val="auto"/>
              </w:rPr>
            </w:pPr>
          </w:p>
        </w:tc>
        <w:tc>
          <w:tcPr>
            <w:tcW w:w="140" w:type="dxa"/>
            <w:vAlign w:val="bottom"/>
            <w:tcBorders>
              <w:bottom w:val="single" w:sz="8" w:color="E5E5E5"/>
            </w:tcBorders>
            <w:shd w:val="clear" w:color="auto" w:fill="E5E5E5"/>
          </w:tcPr>
          <w:p>
            <w:pPr>
              <w:spacing w:after="0"/>
              <w:rPr>
                <w:sz w:val="14"/>
                <w:szCs w:val="14"/>
                <w:color w:val="auto"/>
              </w:rPr>
            </w:pPr>
          </w:p>
        </w:tc>
        <w:tc>
          <w:tcPr>
            <w:tcW w:w="200" w:type="dxa"/>
            <w:vAlign w:val="bottom"/>
            <w:tcBorders>
              <w:bottom w:val="single" w:sz="8" w:color="auto"/>
            </w:tcBorders>
            <w:shd w:val="clear" w:color="auto" w:fill="E5E5E5"/>
          </w:tcPr>
          <w:p>
            <w:pPr>
              <w:spacing w:after="0"/>
              <w:rPr>
                <w:sz w:val="14"/>
                <w:szCs w:val="14"/>
                <w:color w:val="auto"/>
              </w:rPr>
            </w:pPr>
          </w:p>
        </w:tc>
        <w:tc>
          <w:tcPr>
            <w:tcW w:w="1200" w:type="dxa"/>
            <w:vAlign w:val="bottom"/>
            <w:tcBorders>
              <w:bottom w:val="single" w:sz="8" w:color="auto"/>
            </w:tcBorders>
            <w:gridSpan w:val="3"/>
            <w:shd w:val="clear" w:color="auto" w:fill="E5E5E5"/>
          </w:tcPr>
          <w:p>
            <w:pPr>
              <w:jc w:val="right"/>
              <w:ind w:right="117"/>
              <w:spacing w:after="0"/>
              <w:rPr>
                <w:sz w:val="20"/>
                <w:szCs w:val="20"/>
                <w:color w:val="auto"/>
              </w:rPr>
            </w:pPr>
            <w:r>
              <w:rPr>
                <w:rFonts w:ascii="Arial" w:cs="Arial" w:eastAsia="Arial" w:hAnsi="Arial"/>
                <w:sz w:val="14"/>
                <w:szCs w:val="14"/>
                <w:b w:val="1"/>
                <w:bCs w:val="1"/>
                <w:color w:val="auto"/>
                <w:w w:val="95"/>
              </w:rPr>
              <w:t>Defined Benefit</w:t>
            </w:r>
          </w:p>
        </w:tc>
        <w:tc>
          <w:tcPr>
            <w:tcW w:w="160" w:type="dxa"/>
            <w:vAlign w:val="bottom"/>
            <w:tcBorders>
              <w:bottom w:val="single" w:sz="8" w:color="E5E5E5"/>
            </w:tcBorders>
            <w:shd w:val="clear" w:color="auto" w:fill="E5E5E5"/>
          </w:tcPr>
          <w:p>
            <w:pPr>
              <w:spacing w:after="0"/>
              <w:rPr>
                <w:sz w:val="14"/>
                <w:szCs w:val="14"/>
                <w:color w:val="auto"/>
              </w:rPr>
            </w:pPr>
          </w:p>
        </w:tc>
        <w:tc>
          <w:tcPr>
            <w:tcW w:w="240" w:type="dxa"/>
            <w:vAlign w:val="bottom"/>
            <w:tcBorders>
              <w:bottom w:val="single" w:sz="8" w:color="auto"/>
            </w:tcBorders>
            <w:shd w:val="clear" w:color="auto" w:fill="E5E5E5"/>
          </w:tcPr>
          <w:p>
            <w:pPr>
              <w:spacing w:after="0"/>
              <w:rPr>
                <w:sz w:val="14"/>
                <w:szCs w:val="14"/>
                <w:color w:val="auto"/>
              </w:rPr>
            </w:pPr>
          </w:p>
        </w:tc>
        <w:tc>
          <w:tcPr>
            <w:tcW w:w="5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b w:val="1"/>
                <w:bCs w:val="1"/>
                <w:color w:val="auto"/>
              </w:rPr>
              <w:t>Total</w:t>
            </w:r>
          </w:p>
        </w:tc>
        <w:tc>
          <w:tcPr>
            <w:tcW w:w="280" w:type="dxa"/>
            <w:vAlign w:val="bottom"/>
            <w:tcBorders>
              <w:bottom w:val="single" w:sz="8" w:color="auto"/>
            </w:tcBorders>
            <w:shd w:val="clear" w:color="auto" w:fill="E5E5E5"/>
          </w:tcPr>
          <w:p>
            <w:pPr>
              <w:spacing w:after="0"/>
              <w:rPr>
                <w:sz w:val="14"/>
                <w:szCs w:val="14"/>
                <w:color w:val="auto"/>
              </w:rPr>
            </w:pPr>
          </w:p>
        </w:tc>
        <w:tc>
          <w:tcPr>
            <w:tcW w:w="220" w:type="dxa"/>
            <w:vAlign w:val="bottom"/>
            <w:tcBorders>
              <w:bottom w:val="single" w:sz="8" w:color="auto"/>
            </w:tcBorders>
            <w:shd w:val="clear" w:color="auto" w:fill="E5E5E5"/>
          </w:tcPr>
          <w:p>
            <w:pPr>
              <w:spacing w:after="0"/>
              <w:rPr>
                <w:sz w:val="14"/>
                <w:szCs w:val="14"/>
                <w:color w:val="auto"/>
              </w:rPr>
            </w:pPr>
          </w:p>
        </w:tc>
        <w:tc>
          <w:tcPr>
            <w:tcW w:w="60" w:type="dxa"/>
            <w:vAlign w:val="bottom"/>
            <w:tcBorders>
              <w:bottom w:val="single" w:sz="8" w:color="E5E5E5"/>
            </w:tcBorders>
            <w:shd w:val="clear" w:color="auto" w:fill="E5E5E5"/>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5480" w:type="dxa"/>
            <w:vAlign w:val="bottom"/>
            <w:shd w:val="clear" w:color="auto" w:fill="E5E5E5"/>
          </w:tcPr>
          <w:p>
            <w:pPr>
              <w:spacing w:after="0"/>
              <w:rPr>
                <w:sz w:val="11"/>
                <w:szCs w:val="11"/>
                <w:color w:val="auto"/>
              </w:rPr>
            </w:pPr>
          </w:p>
        </w:tc>
        <w:tc>
          <w:tcPr>
            <w:tcW w:w="720" w:type="dxa"/>
            <w:vAlign w:val="bottom"/>
            <w:gridSpan w:val="2"/>
            <w:shd w:val="clear" w:color="auto" w:fill="E5E5E5"/>
          </w:tcPr>
          <w:p>
            <w:pPr>
              <w:jc w:val="center"/>
              <w:ind w:right="57"/>
              <w:spacing w:after="0" w:line="129" w:lineRule="exact"/>
              <w:rPr>
                <w:sz w:val="20"/>
                <w:szCs w:val="20"/>
                <w:color w:val="auto"/>
              </w:rPr>
            </w:pPr>
            <w:r>
              <w:rPr>
                <w:rFonts w:ascii="Arial" w:cs="Arial" w:eastAsia="Arial" w:hAnsi="Arial"/>
                <w:sz w:val="14"/>
                <w:szCs w:val="14"/>
                <w:b w:val="1"/>
                <w:bCs w:val="1"/>
                <w:color w:val="auto"/>
                <w:w w:val="97"/>
              </w:rPr>
              <w:t>Net</w:t>
            </w:r>
          </w:p>
        </w:tc>
        <w:tc>
          <w:tcPr>
            <w:tcW w:w="560" w:type="dxa"/>
            <w:vAlign w:val="bottom"/>
            <w:gridSpan w:val="2"/>
            <w:shd w:val="clear" w:color="auto" w:fill="E5E5E5"/>
          </w:tcPr>
          <w:p>
            <w:pPr>
              <w:jc w:val="center"/>
              <w:ind w:left="4"/>
              <w:spacing w:after="0" w:line="129" w:lineRule="exact"/>
              <w:rPr>
                <w:sz w:val="20"/>
                <w:szCs w:val="20"/>
                <w:color w:val="auto"/>
              </w:rPr>
            </w:pPr>
            <w:r>
              <w:rPr>
                <w:rFonts w:ascii="Arial" w:cs="Arial" w:eastAsia="Arial" w:hAnsi="Arial"/>
                <w:sz w:val="14"/>
                <w:szCs w:val="14"/>
                <w:b w:val="1"/>
                <w:bCs w:val="1"/>
                <w:color w:val="auto"/>
                <w:w w:val="97"/>
              </w:rPr>
              <w:t>Prior</w:t>
            </w:r>
          </w:p>
        </w:tc>
        <w:tc>
          <w:tcPr>
            <w:tcW w:w="220" w:type="dxa"/>
            <w:vAlign w:val="bottom"/>
            <w:shd w:val="clear" w:color="auto" w:fill="E5E5E5"/>
          </w:tcPr>
          <w:p>
            <w:pPr>
              <w:spacing w:after="0"/>
              <w:rPr>
                <w:sz w:val="11"/>
                <w:szCs w:val="11"/>
                <w:color w:val="auto"/>
              </w:rPr>
            </w:pPr>
          </w:p>
        </w:tc>
        <w:tc>
          <w:tcPr>
            <w:tcW w:w="720" w:type="dxa"/>
            <w:vAlign w:val="bottom"/>
            <w:gridSpan w:val="2"/>
            <w:shd w:val="clear" w:color="auto" w:fill="E5E5E5"/>
          </w:tcPr>
          <w:p>
            <w:pPr>
              <w:ind w:left="180"/>
              <w:spacing w:after="0" w:line="129" w:lineRule="exact"/>
              <w:rPr>
                <w:sz w:val="20"/>
                <w:szCs w:val="20"/>
                <w:color w:val="auto"/>
              </w:rPr>
            </w:pPr>
            <w:r>
              <w:rPr>
                <w:rFonts w:ascii="Arial" w:cs="Arial" w:eastAsia="Arial" w:hAnsi="Arial"/>
                <w:sz w:val="14"/>
                <w:szCs w:val="14"/>
                <w:b w:val="1"/>
                <w:bCs w:val="1"/>
                <w:color w:val="auto"/>
              </w:rPr>
              <w:t>Net</w:t>
            </w:r>
          </w:p>
        </w:tc>
        <w:tc>
          <w:tcPr>
            <w:tcW w:w="560" w:type="dxa"/>
            <w:vAlign w:val="bottom"/>
            <w:gridSpan w:val="2"/>
            <w:shd w:val="clear" w:color="auto" w:fill="E5E5E5"/>
          </w:tcPr>
          <w:p>
            <w:pPr>
              <w:ind w:left="160"/>
              <w:spacing w:after="0" w:line="129" w:lineRule="exact"/>
              <w:rPr>
                <w:sz w:val="20"/>
                <w:szCs w:val="20"/>
                <w:color w:val="auto"/>
              </w:rPr>
            </w:pPr>
            <w:r>
              <w:rPr>
                <w:rFonts w:ascii="Arial" w:cs="Arial" w:eastAsia="Arial" w:hAnsi="Arial"/>
                <w:sz w:val="14"/>
                <w:szCs w:val="14"/>
                <w:b w:val="1"/>
                <w:bCs w:val="1"/>
                <w:color w:val="auto"/>
              </w:rPr>
              <w:t>Prior</w:t>
            </w:r>
          </w:p>
        </w:tc>
        <w:tc>
          <w:tcPr>
            <w:tcW w:w="80" w:type="dxa"/>
            <w:vAlign w:val="bottom"/>
            <w:shd w:val="clear" w:color="auto" w:fill="E5E5E5"/>
          </w:tcPr>
          <w:p>
            <w:pPr>
              <w:spacing w:after="0"/>
              <w:rPr>
                <w:sz w:val="11"/>
                <w:szCs w:val="11"/>
                <w:color w:val="auto"/>
              </w:rPr>
            </w:pPr>
          </w:p>
        </w:tc>
        <w:tc>
          <w:tcPr>
            <w:tcW w:w="140" w:type="dxa"/>
            <w:vAlign w:val="bottom"/>
            <w:shd w:val="clear" w:color="auto" w:fill="E5E5E5"/>
          </w:tcPr>
          <w:p>
            <w:pPr>
              <w:spacing w:after="0"/>
              <w:rPr>
                <w:sz w:val="11"/>
                <w:szCs w:val="11"/>
                <w:color w:val="auto"/>
              </w:rPr>
            </w:pPr>
          </w:p>
        </w:tc>
        <w:tc>
          <w:tcPr>
            <w:tcW w:w="720" w:type="dxa"/>
            <w:vAlign w:val="bottom"/>
            <w:gridSpan w:val="2"/>
            <w:shd w:val="clear" w:color="auto" w:fill="E5E5E5"/>
          </w:tcPr>
          <w:p>
            <w:pPr>
              <w:jc w:val="center"/>
              <w:ind w:right="57"/>
              <w:spacing w:after="0" w:line="129" w:lineRule="exact"/>
              <w:rPr>
                <w:sz w:val="20"/>
                <w:szCs w:val="20"/>
                <w:color w:val="auto"/>
              </w:rPr>
            </w:pPr>
            <w:r>
              <w:rPr>
                <w:rFonts w:ascii="Arial" w:cs="Arial" w:eastAsia="Arial" w:hAnsi="Arial"/>
                <w:sz w:val="14"/>
                <w:szCs w:val="14"/>
                <w:b w:val="1"/>
                <w:bCs w:val="1"/>
                <w:color w:val="auto"/>
                <w:w w:val="97"/>
              </w:rPr>
              <w:t>Net</w:t>
            </w:r>
          </w:p>
        </w:tc>
        <w:tc>
          <w:tcPr>
            <w:tcW w:w="200" w:type="dxa"/>
            <w:vAlign w:val="bottom"/>
            <w:shd w:val="clear" w:color="auto" w:fill="E5E5E5"/>
          </w:tcPr>
          <w:p>
            <w:pPr>
              <w:spacing w:after="0"/>
              <w:rPr>
                <w:sz w:val="11"/>
                <w:szCs w:val="11"/>
                <w:color w:val="auto"/>
              </w:rPr>
            </w:pPr>
          </w:p>
        </w:tc>
        <w:tc>
          <w:tcPr>
            <w:tcW w:w="480" w:type="dxa"/>
            <w:vAlign w:val="bottom"/>
            <w:shd w:val="clear" w:color="auto" w:fill="E5E5E5"/>
          </w:tcPr>
          <w:p>
            <w:pPr>
              <w:jc w:val="center"/>
              <w:ind w:right="37"/>
              <w:spacing w:after="0" w:line="129" w:lineRule="exact"/>
              <w:rPr>
                <w:sz w:val="20"/>
                <w:szCs w:val="20"/>
                <w:color w:val="auto"/>
              </w:rPr>
            </w:pPr>
            <w:r>
              <w:rPr>
                <w:rFonts w:ascii="Arial" w:cs="Arial" w:eastAsia="Arial" w:hAnsi="Arial"/>
                <w:sz w:val="14"/>
                <w:szCs w:val="14"/>
                <w:b w:val="1"/>
                <w:bCs w:val="1"/>
                <w:color w:val="auto"/>
                <w:w w:val="97"/>
              </w:rPr>
              <w:t>Prior</w:t>
            </w:r>
          </w:p>
        </w:tc>
        <w:tc>
          <w:tcPr>
            <w:tcW w:w="160" w:type="dxa"/>
            <w:vAlign w:val="bottom"/>
            <w:shd w:val="clear" w:color="auto" w:fill="E5E5E5"/>
          </w:tcPr>
          <w:p>
            <w:pPr>
              <w:spacing w:after="0"/>
              <w:rPr>
                <w:sz w:val="11"/>
                <w:szCs w:val="11"/>
                <w:color w:val="auto"/>
              </w:rPr>
            </w:pPr>
          </w:p>
        </w:tc>
        <w:tc>
          <w:tcPr>
            <w:tcW w:w="800" w:type="dxa"/>
            <w:vAlign w:val="bottom"/>
            <w:gridSpan w:val="2"/>
            <w:shd w:val="clear" w:color="auto" w:fill="E5E5E5"/>
          </w:tcPr>
          <w:p>
            <w:pPr>
              <w:jc w:val="center"/>
              <w:ind w:right="115"/>
              <w:spacing w:after="0" w:line="129" w:lineRule="exact"/>
              <w:rPr>
                <w:sz w:val="20"/>
                <w:szCs w:val="20"/>
                <w:color w:val="auto"/>
              </w:rPr>
            </w:pPr>
            <w:r>
              <w:rPr>
                <w:rFonts w:ascii="Arial" w:cs="Arial" w:eastAsia="Arial" w:hAnsi="Arial"/>
                <w:sz w:val="14"/>
                <w:szCs w:val="14"/>
                <w:b w:val="1"/>
                <w:bCs w:val="1"/>
                <w:color w:val="auto"/>
                <w:w w:val="88"/>
              </w:rPr>
              <w:t>Net</w:t>
            </w:r>
          </w:p>
        </w:tc>
        <w:tc>
          <w:tcPr>
            <w:tcW w:w="500" w:type="dxa"/>
            <w:vAlign w:val="bottom"/>
            <w:gridSpan w:val="2"/>
            <w:shd w:val="clear" w:color="auto" w:fill="E5E5E5"/>
          </w:tcPr>
          <w:p>
            <w:pPr>
              <w:jc w:val="center"/>
              <w:spacing w:after="0" w:line="129" w:lineRule="exact"/>
              <w:rPr>
                <w:sz w:val="20"/>
                <w:szCs w:val="20"/>
                <w:color w:val="auto"/>
              </w:rPr>
            </w:pPr>
            <w:r>
              <w:rPr>
                <w:rFonts w:ascii="Arial" w:cs="Arial" w:eastAsia="Arial" w:hAnsi="Arial"/>
                <w:sz w:val="14"/>
                <w:szCs w:val="14"/>
                <w:b w:val="1"/>
                <w:bCs w:val="1"/>
                <w:color w:val="auto"/>
                <w:w w:val="91"/>
              </w:rPr>
              <w:t>Prior</w:t>
            </w:r>
          </w:p>
        </w:tc>
        <w:tc>
          <w:tcPr>
            <w:tcW w:w="60" w:type="dxa"/>
            <w:vAlign w:val="bottom"/>
            <w:shd w:val="clear" w:color="auto" w:fill="E5E5E5"/>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5480" w:type="dxa"/>
            <w:vAlign w:val="bottom"/>
            <w:shd w:val="clear" w:color="auto" w:fill="E5E5E5"/>
          </w:tcPr>
          <w:p>
            <w:pPr>
              <w:spacing w:after="0"/>
              <w:rPr>
                <w:sz w:val="12"/>
                <w:szCs w:val="12"/>
                <w:color w:val="auto"/>
              </w:rPr>
            </w:pPr>
          </w:p>
        </w:tc>
        <w:tc>
          <w:tcPr>
            <w:tcW w:w="720" w:type="dxa"/>
            <w:vAlign w:val="bottom"/>
            <w:gridSpan w:val="2"/>
            <w:shd w:val="clear" w:color="auto" w:fill="E5E5E5"/>
          </w:tcPr>
          <w:p>
            <w:pPr>
              <w:jc w:val="center"/>
              <w:ind w:right="57"/>
              <w:spacing w:after="0" w:line="149" w:lineRule="exact"/>
              <w:rPr>
                <w:sz w:val="20"/>
                <w:szCs w:val="20"/>
                <w:color w:val="auto"/>
              </w:rPr>
            </w:pPr>
            <w:r>
              <w:rPr>
                <w:rFonts w:ascii="Arial" w:cs="Arial" w:eastAsia="Arial" w:hAnsi="Arial"/>
                <w:sz w:val="14"/>
                <w:szCs w:val="14"/>
                <w:b w:val="1"/>
                <w:bCs w:val="1"/>
                <w:color w:val="auto"/>
                <w:w w:val="96"/>
              </w:rPr>
              <w:t>Actuarial</w:t>
            </w:r>
          </w:p>
        </w:tc>
        <w:tc>
          <w:tcPr>
            <w:tcW w:w="560" w:type="dxa"/>
            <w:vAlign w:val="bottom"/>
            <w:gridSpan w:val="2"/>
            <w:shd w:val="clear" w:color="auto" w:fill="E5E5E5"/>
          </w:tcPr>
          <w:p>
            <w:pPr>
              <w:jc w:val="center"/>
              <w:ind w:left="4"/>
              <w:spacing w:after="0" w:line="149" w:lineRule="exact"/>
              <w:rPr>
                <w:sz w:val="20"/>
                <w:szCs w:val="20"/>
                <w:color w:val="auto"/>
              </w:rPr>
            </w:pPr>
            <w:r>
              <w:rPr>
                <w:rFonts w:ascii="Arial" w:cs="Arial" w:eastAsia="Arial" w:hAnsi="Arial"/>
                <w:sz w:val="14"/>
                <w:szCs w:val="14"/>
                <w:b w:val="1"/>
                <w:bCs w:val="1"/>
                <w:color w:val="auto"/>
                <w:w w:val="96"/>
              </w:rPr>
              <w:t>Service</w:t>
            </w:r>
          </w:p>
        </w:tc>
        <w:tc>
          <w:tcPr>
            <w:tcW w:w="220" w:type="dxa"/>
            <w:vAlign w:val="bottom"/>
            <w:shd w:val="clear" w:color="auto" w:fill="E5E5E5"/>
          </w:tcPr>
          <w:p>
            <w:pPr>
              <w:spacing w:after="0"/>
              <w:rPr>
                <w:sz w:val="12"/>
                <w:szCs w:val="12"/>
                <w:color w:val="auto"/>
              </w:rPr>
            </w:pPr>
          </w:p>
        </w:tc>
        <w:tc>
          <w:tcPr>
            <w:tcW w:w="720" w:type="dxa"/>
            <w:vAlign w:val="bottom"/>
            <w:gridSpan w:val="2"/>
            <w:shd w:val="clear" w:color="auto" w:fill="E5E5E5"/>
          </w:tcPr>
          <w:p>
            <w:pPr>
              <w:jc w:val="right"/>
              <w:ind w:right="52"/>
              <w:spacing w:after="0" w:line="149" w:lineRule="exact"/>
              <w:rPr>
                <w:sz w:val="20"/>
                <w:szCs w:val="20"/>
                <w:color w:val="auto"/>
              </w:rPr>
            </w:pPr>
            <w:r>
              <w:rPr>
                <w:rFonts w:ascii="Arial" w:cs="Arial" w:eastAsia="Arial" w:hAnsi="Arial"/>
                <w:sz w:val="14"/>
                <w:szCs w:val="14"/>
                <w:b w:val="1"/>
                <w:bCs w:val="1"/>
                <w:color w:val="auto"/>
                <w:w w:val="93"/>
              </w:rPr>
              <w:t>Actuarial</w:t>
            </w:r>
          </w:p>
        </w:tc>
        <w:tc>
          <w:tcPr>
            <w:tcW w:w="560" w:type="dxa"/>
            <w:vAlign w:val="bottom"/>
            <w:gridSpan w:val="2"/>
            <w:shd w:val="clear" w:color="auto" w:fill="E5E5E5"/>
          </w:tcPr>
          <w:p>
            <w:pPr>
              <w:ind w:left="80"/>
              <w:spacing w:after="0" w:line="149" w:lineRule="exact"/>
              <w:rPr>
                <w:sz w:val="20"/>
                <w:szCs w:val="20"/>
                <w:color w:val="auto"/>
              </w:rPr>
            </w:pPr>
            <w:r>
              <w:rPr>
                <w:rFonts w:ascii="Arial" w:cs="Arial" w:eastAsia="Arial" w:hAnsi="Arial"/>
                <w:sz w:val="14"/>
                <w:szCs w:val="14"/>
                <w:b w:val="1"/>
                <w:bCs w:val="1"/>
                <w:color w:val="auto"/>
                <w:w w:val="92"/>
              </w:rPr>
              <w:t>Service</w:t>
            </w:r>
          </w:p>
        </w:tc>
        <w:tc>
          <w:tcPr>
            <w:tcW w:w="80" w:type="dxa"/>
            <w:vAlign w:val="bottom"/>
            <w:shd w:val="clear" w:color="auto" w:fill="E5E5E5"/>
          </w:tcPr>
          <w:p>
            <w:pPr>
              <w:spacing w:after="0"/>
              <w:rPr>
                <w:sz w:val="12"/>
                <w:szCs w:val="12"/>
                <w:color w:val="auto"/>
              </w:rPr>
            </w:pPr>
          </w:p>
        </w:tc>
        <w:tc>
          <w:tcPr>
            <w:tcW w:w="140" w:type="dxa"/>
            <w:vAlign w:val="bottom"/>
            <w:shd w:val="clear" w:color="auto" w:fill="E5E5E5"/>
          </w:tcPr>
          <w:p>
            <w:pPr>
              <w:spacing w:after="0"/>
              <w:rPr>
                <w:sz w:val="12"/>
                <w:szCs w:val="12"/>
                <w:color w:val="auto"/>
              </w:rPr>
            </w:pPr>
          </w:p>
        </w:tc>
        <w:tc>
          <w:tcPr>
            <w:tcW w:w="720" w:type="dxa"/>
            <w:vAlign w:val="bottom"/>
            <w:gridSpan w:val="2"/>
            <w:shd w:val="clear" w:color="auto" w:fill="E5E5E5"/>
          </w:tcPr>
          <w:p>
            <w:pPr>
              <w:jc w:val="center"/>
              <w:ind w:right="57"/>
              <w:spacing w:after="0" w:line="149" w:lineRule="exact"/>
              <w:rPr>
                <w:sz w:val="20"/>
                <w:szCs w:val="20"/>
                <w:color w:val="auto"/>
              </w:rPr>
            </w:pPr>
            <w:r>
              <w:rPr>
                <w:rFonts w:ascii="Arial" w:cs="Arial" w:eastAsia="Arial" w:hAnsi="Arial"/>
                <w:sz w:val="14"/>
                <w:szCs w:val="14"/>
                <w:b w:val="1"/>
                <w:bCs w:val="1"/>
                <w:color w:val="auto"/>
                <w:w w:val="96"/>
              </w:rPr>
              <w:t>Actuarial</w:t>
            </w:r>
          </w:p>
        </w:tc>
        <w:tc>
          <w:tcPr>
            <w:tcW w:w="680" w:type="dxa"/>
            <w:vAlign w:val="bottom"/>
            <w:gridSpan w:val="2"/>
            <w:shd w:val="clear" w:color="auto" w:fill="E5E5E5"/>
          </w:tcPr>
          <w:p>
            <w:pPr>
              <w:jc w:val="center"/>
              <w:spacing w:after="0" w:line="149" w:lineRule="exact"/>
              <w:rPr>
                <w:sz w:val="20"/>
                <w:szCs w:val="20"/>
                <w:color w:val="auto"/>
              </w:rPr>
            </w:pPr>
            <w:r>
              <w:rPr>
                <w:rFonts w:ascii="Arial" w:cs="Arial" w:eastAsia="Arial" w:hAnsi="Arial"/>
                <w:sz w:val="14"/>
                <w:szCs w:val="14"/>
                <w:b w:val="1"/>
                <w:bCs w:val="1"/>
                <w:color w:val="auto"/>
                <w:w w:val="96"/>
              </w:rPr>
              <w:t>Service</w:t>
            </w:r>
          </w:p>
        </w:tc>
        <w:tc>
          <w:tcPr>
            <w:tcW w:w="160" w:type="dxa"/>
            <w:vAlign w:val="bottom"/>
            <w:shd w:val="clear" w:color="auto" w:fill="E5E5E5"/>
          </w:tcPr>
          <w:p>
            <w:pPr>
              <w:spacing w:after="0"/>
              <w:rPr>
                <w:sz w:val="12"/>
                <w:szCs w:val="12"/>
                <w:color w:val="auto"/>
              </w:rPr>
            </w:pPr>
          </w:p>
        </w:tc>
        <w:tc>
          <w:tcPr>
            <w:tcW w:w="800" w:type="dxa"/>
            <w:vAlign w:val="bottom"/>
            <w:gridSpan w:val="2"/>
            <w:shd w:val="clear" w:color="auto" w:fill="E5E5E5"/>
          </w:tcPr>
          <w:p>
            <w:pPr>
              <w:jc w:val="center"/>
              <w:ind w:right="115"/>
              <w:spacing w:after="0" w:line="149" w:lineRule="exact"/>
              <w:rPr>
                <w:sz w:val="20"/>
                <w:szCs w:val="20"/>
                <w:color w:val="auto"/>
              </w:rPr>
            </w:pPr>
            <w:r>
              <w:rPr>
                <w:rFonts w:ascii="Arial" w:cs="Arial" w:eastAsia="Arial" w:hAnsi="Arial"/>
                <w:sz w:val="14"/>
                <w:szCs w:val="14"/>
                <w:b w:val="1"/>
                <w:bCs w:val="1"/>
                <w:color w:val="auto"/>
                <w:w w:val="93"/>
              </w:rPr>
              <w:t>Actuarial</w:t>
            </w:r>
          </w:p>
        </w:tc>
        <w:tc>
          <w:tcPr>
            <w:tcW w:w="500" w:type="dxa"/>
            <w:vAlign w:val="bottom"/>
            <w:gridSpan w:val="2"/>
            <w:shd w:val="clear" w:color="auto" w:fill="E5E5E5"/>
          </w:tcPr>
          <w:p>
            <w:pPr>
              <w:jc w:val="center"/>
              <w:spacing w:after="0" w:line="149" w:lineRule="exact"/>
              <w:rPr>
                <w:sz w:val="20"/>
                <w:szCs w:val="20"/>
                <w:color w:val="auto"/>
              </w:rPr>
            </w:pPr>
            <w:r>
              <w:rPr>
                <w:rFonts w:ascii="Arial" w:cs="Arial" w:eastAsia="Arial" w:hAnsi="Arial"/>
                <w:sz w:val="14"/>
                <w:szCs w:val="14"/>
                <w:b w:val="1"/>
                <w:bCs w:val="1"/>
                <w:color w:val="auto"/>
                <w:w w:val="96"/>
              </w:rPr>
              <w:t>Service</w:t>
            </w:r>
          </w:p>
        </w:tc>
        <w:tc>
          <w:tcPr>
            <w:tcW w:w="60" w:type="dxa"/>
            <w:vAlign w:val="bottom"/>
            <w:shd w:val="clear" w:color="auto" w:fill="E5E5E5"/>
          </w:tcPr>
          <w:p>
            <w:pPr>
              <w:spacing w:after="0"/>
              <w:rPr>
                <w:sz w:val="12"/>
                <w:szCs w:val="12"/>
                <w:color w:val="auto"/>
              </w:rPr>
            </w:pPr>
          </w:p>
        </w:tc>
      </w:tr>
      <w:tr>
        <w:trPr>
          <w:trHeight w:val="176"/>
        </w:trPr>
        <w:tc>
          <w:tcPr>
            <w:tcW w:w="20" w:type="dxa"/>
            <w:vAlign w:val="bottom"/>
          </w:tcPr>
          <w:p>
            <w:pPr>
              <w:spacing w:after="0"/>
              <w:rPr>
                <w:sz w:val="15"/>
                <w:szCs w:val="15"/>
                <w:color w:val="auto"/>
              </w:rPr>
            </w:pPr>
          </w:p>
        </w:tc>
        <w:tc>
          <w:tcPr>
            <w:tcW w:w="5480" w:type="dxa"/>
            <w:vAlign w:val="bottom"/>
            <w:shd w:val="clear" w:color="auto" w:fill="E5E5E5"/>
          </w:tcPr>
          <w:p>
            <w:pPr>
              <w:spacing w:after="0"/>
              <w:rPr>
                <w:sz w:val="15"/>
                <w:szCs w:val="15"/>
                <w:color w:val="auto"/>
              </w:rPr>
            </w:pPr>
          </w:p>
        </w:tc>
        <w:tc>
          <w:tcPr>
            <w:tcW w:w="720" w:type="dxa"/>
            <w:vAlign w:val="bottom"/>
            <w:gridSpan w:val="2"/>
            <w:shd w:val="clear" w:color="auto" w:fill="E5E5E5"/>
          </w:tcPr>
          <w:p>
            <w:pPr>
              <w:jc w:val="center"/>
              <w:ind w:right="37"/>
              <w:spacing w:after="0"/>
              <w:rPr>
                <w:sz w:val="20"/>
                <w:szCs w:val="20"/>
                <w:color w:val="auto"/>
              </w:rPr>
            </w:pPr>
            <w:r>
              <w:rPr>
                <w:rFonts w:ascii="Arial" w:cs="Arial" w:eastAsia="Arial" w:hAnsi="Arial"/>
                <w:sz w:val="14"/>
                <w:szCs w:val="14"/>
                <w:b w:val="1"/>
                <w:bCs w:val="1"/>
                <w:color w:val="auto"/>
                <w:w w:val="97"/>
              </w:rPr>
              <w:t>Loss</w:t>
            </w:r>
          </w:p>
        </w:tc>
        <w:tc>
          <w:tcPr>
            <w:tcW w:w="560" w:type="dxa"/>
            <w:vAlign w:val="bottom"/>
            <w:gridSpan w:val="2"/>
            <w:shd w:val="clear" w:color="auto" w:fill="E5E5E5"/>
          </w:tcPr>
          <w:p>
            <w:pPr>
              <w:jc w:val="center"/>
              <w:ind w:left="24"/>
              <w:spacing w:after="0"/>
              <w:rPr>
                <w:sz w:val="20"/>
                <w:szCs w:val="20"/>
                <w:color w:val="auto"/>
              </w:rPr>
            </w:pPr>
            <w:r>
              <w:rPr>
                <w:rFonts w:ascii="Arial" w:cs="Arial" w:eastAsia="Arial" w:hAnsi="Arial"/>
                <w:sz w:val="14"/>
                <w:szCs w:val="14"/>
                <w:b w:val="1"/>
                <w:bCs w:val="1"/>
                <w:color w:val="auto"/>
                <w:w w:val="96"/>
              </w:rPr>
              <w:t>Cost</w:t>
            </w:r>
          </w:p>
        </w:tc>
        <w:tc>
          <w:tcPr>
            <w:tcW w:w="220" w:type="dxa"/>
            <w:vAlign w:val="bottom"/>
            <w:shd w:val="clear" w:color="auto" w:fill="E5E5E5"/>
          </w:tcPr>
          <w:p>
            <w:pPr>
              <w:spacing w:after="0"/>
              <w:rPr>
                <w:sz w:val="15"/>
                <w:szCs w:val="15"/>
                <w:color w:val="auto"/>
              </w:rPr>
            </w:pPr>
          </w:p>
        </w:tc>
        <w:tc>
          <w:tcPr>
            <w:tcW w:w="720" w:type="dxa"/>
            <w:vAlign w:val="bottom"/>
            <w:gridSpan w:val="2"/>
            <w:shd w:val="clear" w:color="auto" w:fill="E5E5E5"/>
          </w:tcPr>
          <w:p>
            <w:pPr>
              <w:jc w:val="right"/>
              <w:ind w:right="172"/>
              <w:spacing w:after="0"/>
              <w:rPr>
                <w:sz w:val="20"/>
                <w:szCs w:val="20"/>
                <w:color w:val="auto"/>
              </w:rPr>
            </w:pPr>
            <w:r>
              <w:rPr>
                <w:rFonts w:ascii="Arial" w:cs="Arial" w:eastAsia="Arial" w:hAnsi="Arial"/>
                <w:sz w:val="14"/>
                <w:szCs w:val="14"/>
                <w:b w:val="1"/>
                <w:bCs w:val="1"/>
                <w:color w:val="auto"/>
              </w:rPr>
              <w:t>Loss</w:t>
            </w:r>
          </w:p>
        </w:tc>
        <w:tc>
          <w:tcPr>
            <w:tcW w:w="560" w:type="dxa"/>
            <w:vAlign w:val="bottom"/>
            <w:gridSpan w:val="2"/>
            <w:shd w:val="clear" w:color="auto" w:fill="E5E5E5"/>
          </w:tcPr>
          <w:p>
            <w:pPr>
              <w:ind w:left="180"/>
              <w:spacing w:after="0"/>
              <w:rPr>
                <w:sz w:val="20"/>
                <w:szCs w:val="20"/>
                <w:color w:val="auto"/>
              </w:rPr>
            </w:pPr>
            <w:r>
              <w:rPr>
                <w:rFonts w:ascii="Arial" w:cs="Arial" w:eastAsia="Arial" w:hAnsi="Arial"/>
                <w:sz w:val="14"/>
                <w:szCs w:val="14"/>
                <w:b w:val="1"/>
                <w:bCs w:val="1"/>
                <w:color w:val="auto"/>
              </w:rPr>
              <w:t>Cost</w:t>
            </w:r>
          </w:p>
        </w:tc>
        <w:tc>
          <w:tcPr>
            <w:tcW w:w="80" w:type="dxa"/>
            <w:vAlign w:val="bottom"/>
            <w:shd w:val="clear" w:color="auto" w:fill="E5E5E5"/>
          </w:tcPr>
          <w:p>
            <w:pPr>
              <w:spacing w:after="0"/>
              <w:rPr>
                <w:sz w:val="15"/>
                <w:szCs w:val="15"/>
                <w:color w:val="auto"/>
              </w:rPr>
            </w:pPr>
          </w:p>
        </w:tc>
        <w:tc>
          <w:tcPr>
            <w:tcW w:w="140" w:type="dxa"/>
            <w:vAlign w:val="bottom"/>
            <w:shd w:val="clear" w:color="auto" w:fill="E5E5E5"/>
          </w:tcPr>
          <w:p>
            <w:pPr>
              <w:spacing w:after="0"/>
              <w:rPr>
                <w:sz w:val="15"/>
                <w:szCs w:val="15"/>
                <w:color w:val="auto"/>
              </w:rPr>
            </w:pPr>
          </w:p>
        </w:tc>
        <w:tc>
          <w:tcPr>
            <w:tcW w:w="720" w:type="dxa"/>
            <w:vAlign w:val="bottom"/>
            <w:gridSpan w:val="2"/>
            <w:shd w:val="clear" w:color="auto" w:fill="E5E5E5"/>
          </w:tcPr>
          <w:p>
            <w:pPr>
              <w:jc w:val="center"/>
              <w:ind w:right="37"/>
              <w:spacing w:after="0"/>
              <w:rPr>
                <w:sz w:val="20"/>
                <w:szCs w:val="20"/>
                <w:color w:val="auto"/>
              </w:rPr>
            </w:pPr>
            <w:r>
              <w:rPr>
                <w:rFonts w:ascii="Arial" w:cs="Arial" w:eastAsia="Arial" w:hAnsi="Arial"/>
                <w:sz w:val="14"/>
                <w:szCs w:val="14"/>
                <w:b w:val="1"/>
                <w:bCs w:val="1"/>
                <w:color w:val="auto"/>
                <w:w w:val="97"/>
              </w:rPr>
              <w:t>Loss</w:t>
            </w:r>
          </w:p>
        </w:tc>
        <w:tc>
          <w:tcPr>
            <w:tcW w:w="200" w:type="dxa"/>
            <w:vAlign w:val="bottom"/>
            <w:shd w:val="clear" w:color="auto" w:fill="E5E5E5"/>
          </w:tcPr>
          <w:p>
            <w:pPr>
              <w:spacing w:after="0"/>
              <w:rPr>
                <w:sz w:val="15"/>
                <w:szCs w:val="15"/>
                <w:color w:val="auto"/>
              </w:rPr>
            </w:pPr>
          </w:p>
        </w:tc>
        <w:tc>
          <w:tcPr>
            <w:tcW w:w="480" w:type="dxa"/>
            <w:vAlign w:val="bottom"/>
            <w:shd w:val="clear" w:color="auto" w:fill="E5E5E5"/>
          </w:tcPr>
          <w:p>
            <w:pPr>
              <w:jc w:val="center"/>
              <w:ind w:right="17"/>
              <w:spacing w:after="0"/>
              <w:rPr>
                <w:sz w:val="20"/>
                <w:szCs w:val="20"/>
                <w:color w:val="auto"/>
              </w:rPr>
            </w:pPr>
            <w:r>
              <w:rPr>
                <w:rFonts w:ascii="Arial" w:cs="Arial" w:eastAsia="Arial" w:hAnsi="Arial"/>
                <w:sz w:val="14"/>
                <w:szCs w:val="14"/>
                <w:b w:val="1"/>
                <w:bCs w:val="1"/>
                <w:color w:val="auto"/>
                <w:w w:val="96"/>
              </w:rPr>
              <w:t>Cost</w:t>
            </w:r>
          </w:p>
        </w:tc>
        <w:tc>
          <w:tcPr>
            <w:tcW w:w="160" w:type="dxa"/>
            <w:vAlign w:val="bottom"/>
            <w:shd w:val="clear" w:color="auto" w:fill="E5E5E5"/>
          </w:tcPr>
          <w:p>
            <w:pPr>
              <w:spacing w:after="0"/>
              <w:rPr>
                <w:sz w:val="15"/>
                <w:szCs w:val="15"/>
                <w:color w:val="auto"/>
              </w:rPr>
            </w:pPr>
          </w:p>
        </w:tc>
        <w:tc>
          <w:tcPr>
            <w:tcW w:w="800" w:type="dxa"/>
            <w:vAlign w:val="bottom"/>
            <w:gridSpan w:val="2"/>
            <w:shd w:val="clear" w:color="auto" w:fill="E5E5E5"/>
          </w:tcPr>
          <w:p>
            <w:pPr>
              <w:jc w:val="center"/>
              <w:ind w:right="115"/>
              <w:spacing w:after="0"/>
              <w:rPr>
                <w:sz w:val="20"/>
                <w:szCs w:val="20"/>
                <w:color w:val="auto"/>
              </w:rPr>
            </w:pPr>
            <w:r>
              <w:rPr>
                <w:rFonts w:ascii="Arial" w:cs="Arial" w:eastAsia="Arial" w:hAnsi="Arial"/>
                <w:sz w:val="14"/>
                <w:szCs w:val="14"/>
                <w:b w:val="1"/>
                <w:bCs w:val="1"/>
                <w:color w:val="auto"/>
                <w:w w:val="97"/>
              </w:rPr>
              <w:t>Loss</w:t>
            </w:r>
          </w:p>
        </w:tc>
        <w:tc>
          <w:tcPr>
            <w:tcW w:w="500" w:type="dxa"/>
            <w:vAlign w:val="bottom"/>
            <w:gridSpan w:val="2"/>
            <w:shd w:val="clear" w:color="auto" w:fill="E5E5E5"/>
          </w:tcPr>
          <w:p>
            <w:pPr>
              <w:jc w:val="center"/>
              <w:spacing w:after="0"/>
              <w:rPr>
                <w:sz w:val="20"/>
                <w:szCs w:val="20"/>
                <w:color w:val="auto"/>
              </w:rPr>
            </w:pPr>
            <w:r>
              <w:rPr>
                <w:rFonts w:ascii="Arial" w:cs="Arial" w:eastAsia="Arial" w:hAnsi="Arial"/>
                <w:sz w:val="14"/>
                <w:szCs w:val="14"/>
                <w:b w:val="1"/>
                <w:bCs w:val="1"/>
                <w:color w:val="auto"/>
                <w:w w:val="96"/>
              </w:rPr>
              <w:t>Cost</w:t>
            </w:r>
          </w:p>
        </w:tc>
        <w:tc>
          <w:tcPr>
            <w:tcW w:w="60" w:type="dxa"/>
            <w:vAlign w:val="bottom"/>
            <w:shd w:val="clear" w:color="auto" w:fill="E5E5E5"/>
          </w:tcPr>
          <w:p>
            <w:pPr>
              <w:spacing w:after="0"/>
              <w:rPr>
                <w:sz w:val="15"/>
                <w:szCs w:val="15"/>
                <w:color w:val="auto"/>
              </w:rPr>
            </w:pPr>
          </w:p>
        </w:tc>
      </w:tr>
      <w:tr>
        <w:trPr>
          <w:trHeight w:val="277"/>
        </w:trPr>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AOCI balance, December 31, 2006 (net of tax)</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ind w:right="57"/>
              <w:spacing w:after="0"/>
              <w:rPr>
                <w:sz w:val="20"/>
                <w:szCs w:val="20"/>
                <w:color w:val="auto"/>
              </w:rPr>
            </w:pPr>
            <w:r>
              <w:rPr>
                <w:rFonts w:ascii="Arial" w:cs="Arial" w:eastAsia="Arial" w:hAnsi="Arial"/>
                <w:sz w:val="18"/>
                <w:szCs w:val="18"/>
                <w:b w:val="1"/>
                <w:bCs w:val="1"/>
                <w:color w:val="auto"/>
              </w:rPr>
              <w:t>105</w:t>
            </w:r>
          </w:p>
        </w:tc>
        <w:tc>
          <w:tcPr>
            <w:tcW w:w="380" w:type="dxa"/>
            <w:vAlign w:val="bottom"/>
          </w:tcPr>
          <w:p>
            <w:pPr>
              <w:jc w:val="center"/>
              <w:ind w:left="204"/>
              <w:spacing w:after="0"/>
              <w:rPr>
                <w:sz w:val="20"/>
                <w:szCs w:val="20"/>
                <w:color w:val="auto"/>
              </w:rPr>
            </w:pPr>
            <w:r>
              <w:rPr>
                <w:rFonts w:ascii="Arial" w:cs="Arial" w:eastAsia="Arial" w:hAnsi="Arial"/>
                <w:sz w:val="18"/>
                <w:szCs w:val="18"/>
                <w:b w:val="1"/>
                <w:bCs w:val="1"/>
                <w:color w:val="auto"/>
                <w:w w:val="99"/>
              </w:rPr>
              <w:t>$</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w:t>
            </w:r>
          </w:p>
        </w:tc>
        <w:tc>
          <w:tcPr>
            <w:tcW w:w="320" w:type="dxa"/>
            <w:vAlign w:val="bottom"/>
          </w:tcPr>
          <w:p>
            <w:pPr>
              <w:ind w:left="200"/>
              <w:spacing w:after="0"/>
              <w:rPr>
                <w:sz w:val="20"/>
                <w:szCs w:val="20"/>
                <w:color w:val="auto"/>
              </w:rPr>
            </w:pPr>
            <w:r>
              <w:rPr>
                <w:rFonts w:ascii="Arial" w:cs="Arial" w:eastAsia="Arial" w:hAnsi="Arial"/>
                <w:sz w:val="18"/>
                <w:szCs w:val="18"/>
                <w:b w:val="1"/>
                <w:bCs w:val="1"/>
                <w:color w:val="auto"/>
                <w:w w:val="99"/>
              </w:rPr>
              <w:t>$</w:t>
            </w:r>
          </w:p>
        </w:tc>
        <w:tc>
          <w:tcPr>
            <w:tcW w:w="400" w:type="dxa"/>
            <w:vAlign w:val="bottom"/>
          </w:tcPr>
          <w:p>
            <w:pPr>
              <w:jc w:val="right"/>
              <w:ind w:right="52"/>
              <w:spacing w:after="0"/>
              <w:rPr>
                <w:sz w:val="20"/>
                <w:szCs w:val="20"/>
                <w:color w:val="auto"/>
              </w:rPr>
            </w:pPr>
            <w:r>
              <w:rPr>
                <w:rFonts w:ascii="Arial" w:cs="Arial" w:eastAsia="Arial" w:hAnsi="Arial"/>
                <w:sz w:val="18"/>
                <w:szCs w:val="18"/>
                <w:b w:val="1"/>
                <w:bCs w:val="1"/>
                <w:color w:val="auto"/>
              </w:rPr>
              <w:t>77</w:t>
            </w:r>
          </w:p>
        </w:tc>
        <w:tc>
          <w:tcPr>
            <w:tcW w:w="340" w:type="dxa"/>
            <w:vAlign w:val="bottom"/>
          </w:tcPr>
          <w:p>
            <w:pPr>
              <w:ind w:left="180"/>
              <w:spacing w:after="0"/>
              <w:rPr>
                <w:sz w:val="20"/>
                <w:szCs w:val="20"/>
                <w:color w:val="auto"/>
              </w:rPr>
            </w:pPr>
            <w:r>
              <w:rPr>
                <w:rFonts w:ascii="Arial" w:cs="Arial" w:eastAsia="Arial" w:hAnsi="Arial"/>
                <w:sz w:val="18"/>
                <w:szCs w:val="18"/>
                <w:b w:val="1"/>
                <w:bCs w:val="1"/>
                <w:color w:val="auto"/>
              </w:rPr>
              <w:t>$</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99"/>
              </w:rPr>
              <w:t>13</w:t>
            </w:r>
          </w:p>
        </w:tc>
        <w:tc>
          <w:tcPr>
            <w:tcW w:w="3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ind w:right="57"/>
              <w:spacing w:after="0"/>
              <w:rPr>
                <w:sz w:val="20"/>
                <w:szCs w:val="20"/>
                <w:color w:val="auto"/>
              </w:rPr>
            </w:pPr>
            <w:r>
              <w:rPr>
                <w:rFonts w:ascii="Arial" w:cs="Arial" w:eastAsia="Arial" w:hAnsi="Arial"/>
                <w:sz w:val="18"/>
                <w:szCs w:val="18"/>
                <w:b w:val="1"/>
                <w:bCs w:val="1"/>
                <w:color w:val="auto"/>
              </w:rPr>
              <w:t>175</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4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ind w:right="115"/>
              <w:spacing w:after="0"/>
              <w:rPr>
                <w:sz w:val="20"/>
                <w:szCs w:val="20"/>
                <w:color w:val="auto"/>
              </w:rPr>
            </w:pPr>
            <w:r>
              <w:rPr>
                <w:rFonts w:ascii="Arial" w:cs="Arial" w:eastAsia="Arial" w:hAnsi="Arial"/>
                <w:sz w:val="18"/>
                <w:szCs w:val="18"/>
                <w:b w:val="1"/>
                <w:bCs w:val="1"/>
                <w:color w:val="auto"/>
              </w:rPr>
              <w:t>357</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(6)</w:t>
            </w:r>
          </w:p>
        </w:tc>
      </w:tr>
      <w:tr>
        <w:trPr>
          <w:trHeight w:val="203"/>
        </w:trPr>
        <w:tc>
          <w:tcPr>
            <w:tcW w:w="20" w:type="dxa"/>
            <w:vAlign w:val="bottom"/>
          </w:tcPr>
          <w:p>
            <w:pPr>
              <w:spacing w:after="0"/>
              <w:rPr>
                <w:sz w:val="17"/>
                <w:szCs w:val="17"/>
                <w:color w:val="auto"/>
              </w:rPr>
            </w:pPr>
          </w:p>
        </w:tc>
        <w:tc>
          <w:tcPr>
            <w:tcW w:w="5480" w:type="dxa"/>
            <w:vAlign w:val="bottom"/>
            <w:shd w:val="clear" w:color="auto" w:fill="E5E5E5"/>
          </w:tcPr>
          <w:p>
            <w:pPr>
              <w:spacing w:after="0" w:line="202" w:lineRule="exact"/>
              <w:rPr>
                <w:sz w:val="20"/>
                <w:szCs w:val="20"/>
                <w:color w:val="auto"/>
              </w:rPr>
            </w:pPr>
            <w:r>
              <w:rPr>
                <w:rFonts w:ascii="Arial" w:cs="Arial" w:eastAsia="Arial" w:hAnsi="Arial"/>
                <w:sz w:val="18"/>
                <w:szCs w:val="18"/>
                <w:b w:val="1"/>
                <w:bCs w:val="1"/>
                <w:color w:val="auto"/>
              </w:rPr>
              <w:t>Changes in AOCI by category in 2007:</w:t>
            </w:r>
          </w:p>
        </w:tc>
        <w:tc>
          <w:tcPr>
            <w:tcW w:w="220" w:type="dxa"/>
            <w:vAlign w:val="bottom"/>
            <w:tcBorders>
              <w:top w:val="single" w:sz="8" w:color="auto"/>
            </w:tcBorders>
            <w:shd w:val="clear" w:color="auto" w:fill="E5E5E5"/>
          </w:tcPr>
          <w:p>
            <w:pPr>
              <w:spacing w:after="0"/>
              <w:rPr>
                <w:sz w:val="17"/>
                <w:szCs w:val="17"/>
                <w:color w:val="auto"/>
              </w:rPr>
            </w:pPr>
          </w:p>
        </w:tc>
        <w:tc>
          <w:tcPr>
            <w:tcW w:w="500" w:type="dxa"/>
            <w:vAlign w:val="bottom"/>
            <w:tcBorders>
              <w:top w:val="single" w:sz="8" w:color="auto"/>
            </w:tcBorders>
            <w:shd w:val="clear" w:color="auto" w:fill="E5E5E5"/>
          </w:tcPr>
          <w:p>
            <w:pPr>
              <w:spacing w:after="0"/>
              <w:rPr>
                <w:sz w:val="17"/>
                <w:szCs w:val="17"/>
                <w:color w:val="auto"/>
              </w:rPr>
            </w:pPr>
          </w:p>
        </w:tc>
        <w:tc>
          <w:tcPr>
            <w:tcW w:w="380" w:type="dxa"/>
            <w:vAlign w:val="bottom"/>
            <w:tcBorders>
              <w:top w:val="single" w:sz="8" w:color="auto"/>
            </w:tcBorders>
            <w:shd w:val="clear" w:color="auto" w:fill="E5E5E5"/>
          </w:tcPr>
          <w:p>
            <w:pPr>
              <w:spacing w:after="0"/>
              <w:rPr>
                <w:sz w:val="17"/>
                <w:szCs w:val="17"/>
                <w:color w:val="auto"/>
              </w:rPr>
            </w:pPr>
          </w:p>
        </w:tc>
        <w:tc>
          <w:tcPr>
            <w:tcW w:w="180" w:type="dxa"/>
            <w:vAlign w:val="bottom"/>
            <w:tcBorders>
              <w:top w:val="single" w:sz="8" w:color="auto"/>
            </w:tcBorders>
            <w:shd w:val="clear" w:color="auto" w:fill="E5E5E5"/>
          </w:tcPr>
          <w:p>
            <w:pPr>
              <w:spacing w:after="0"/>
              <w:rPr>
                <w:sz w:val="17"/>
                <w:szCs w:val="17"/>
                <w:color w:val="auto"/>
              </w:rPr>
            </w:pPr>
          </w:p>
        </w:tc>
        <w:tc>
          <w:tcPr>
            <w:tcW w:w="220" w:type="dxa"/>
            <w:vAlign w:val="bottom"/>
            <w:tcBorders>
              <w:top w:val="single" w:sz="8" w:color="auto"/>
            </w:tcBorders>
            <w:shd w:val="clear" w:color="auto" w:fill="E5E5E5"/>
          </w:tcPr>
          <w:p>
            <w:pPr>
              <w:spacing w:after="0"/>
              <w:rPr>
                <w:sz w:val="17"/>
                <w:szCs w:val="17"/>
                <w:color w:val="auto"/>
              </w:rPr>
            </w:pPr>
          </w:p>
        </w:tc>
        <w:tc>
          <w:tcPr>
            <w:tcW w:w="320" w:type="dxa"/>
            <w:vAlign w:val="bottom"/>
            <w:tcBorders>
              <w:top w:val="single" w:sz="8" w:color="auto"/>
            </w:tcBorders>
            <w:shd w:val="clear" w:color="auto" w:fill="E5E5E5"/>
          </w:tcPr>
          <w:p>
            <w:pPr>
              <w:spacing w:after="0"/>
              <w:rPr>
                <w:sz w:val="17"/>
                <w:szCs w:val="17"/>
                <w:color w:val="auto"/>
              </w:rPr>
            </w:pPr>
          </w:p>
        </w:tc>
        <w:tc>
          <w:tcPr>
            <w:tcW w:w="400" w:type="dxa"/>
            <w:vAlign w:val="bottom"/>
            <w:tcBorders>
              <w:top w:val="single" w:sz="8" w:color="auto"/>
            </w:tcBorders>
            <w:shd w:val="clear" w:color="auto" w:fill="E5E5E5"/>
          </w:tcPr>
          <w:p>
            <w:pPr>
              <w:spacing w:after="0"/>
              <w:rPr>
                <w:sz w:val="17"/>
                <w:szCs w:val="17"/>
                <w:color w:val="auto"/>
              </w:rPr>
            </w:pPr>
          </w:p>
        </w:tc>
        <w:tc>
          <w:tcPr>
            <w:tcW w:w="340" w:type="dxa"/>
            <w:vAlign w:val="bottom"/>
            <w:tcBorders>
              <w:top w:val="single" w:sz="8" w:color="auto"/>
            </w:tcBorders>
            <w:shd w:val="clear" w:color="auto" w:fill="E5E5E5"/>
          </w:tcPr>
          <w:p>
            <w:pPr>
              <w:spacing w:after="0"/>
              <w:rPr>
                <w:sz w:val="17"/>
                <w:szCs w:val="17"/>
                <w:color w:val="auto"/>
              </w:rPr>
            </w:pPr>
          </w:p>
        </w:tc>
        <w:tc>
          <w:tcPr>
            <w:tcW w:w="220" w:type="dxa"/>
            <w:vAlign w:val="bottom"/>
            <w:tcBorders>
              <w:top w:val="single" w:sz="8" w:color="auto"/>
            </w:tcBorders>
            <w:shd w:val="clear" w:color="auto" w:fill="E5E5E5"/>
          </w:tcPr>
          <w:p>
            <w:pPr>
              <w:spacing w:after="0"/>
              <w:rPr>
                <w:sz w:val="17"/>
                <w:szCs w:val="17"/>
                <w:color w:val="auto"/>
              </w:rPr>
            </w:pPr>
          </w:p>
        </w:tc>
        <w:tc>
          <w:tcPr>
            <w:tcW w:w="80" w:type="dxa"/>
            <w:vAlign w:val="bottom"/>
            <w:tcBorders>
              <w:top w:val="single" w:sz="8" w:color="auto"/>
            </w:tcBorders>
            <w:shd w:val="clear" w:color="auto" w:fill="E5E5E5"/>
          </w:tcPr>
          <w:p>
            <w:pPr>
              <w:spacing w:after="0"/>
              <w:rPr>
                <w:sz w:val="17"/>
                <w:szCs w:val="17"/>
                <w:color w:val="auto"/>
              </w:rPr>
            </w:pPr>
          </w:p>
        </w:tc>
        <w:tc>
          <w:tcPr>
            <w:tcW w:w="140" w:type="dxa"/>
            <w:vAlign w:val="bottom"/>
            <w:tcBorders>
              <w:top w:val="single" w:sz="8" w:color="auto"/>
            </w:tcBorders>
            <w:shd w:val="clear" w:color="auto" w:fill="E5E5E5"/>
          </w:tcPr>
          <w:p>
            <w:pPr>
              <w:spacing w:after="0"/>
              <w:rPr>
                <w:sz w:val="17"/>
                <w:szCs w:val="17"/>
                <w:color w:val="auto"/>
              </w:rPr>
            </w:pPr>
          </w:p>
        </w:tc>
        <w:tc>
          <w:tcPr>
            <w:tcW w:w="200" w:type="dxa"/>
            <w:vAlign w:val="bottom"/>
            <w:tcBorders>
              <w:top w:val="single" w:sz="8" w:color="auto"/>
            </w:tcBorders>
            <w:shd w:val="clear" w:color="auto" w:fill="E5E5E5"/>
          </w:tcPr>
          <w:p>
            <w:pPr>
              <w:spacing w:after="0"/>
              <w:rPr>
                <w:sz w:val="17"/>
                <w:szCs w:val="17"/>
                <w:color w:val="auto"/>
              </w:rPr>
            </w:pPr>
          </w:p>
        </w:tc>
        <w:tc>
          <w:tcPr>
            <w:tcW w:w="520" w:type="dxa"/>
            <w:vAlign w:val="bottom"/>
            <w:tcBorders>
              <w:top w:val="single" w:sz="8" w:color="auto"/>
            </w:tcBorders>
            <w:shd w:val="clear" w:color="auto" w:fill="E5E5E5"/>
          </w:tcPr>
          <w:p>
            <w:pPr>
              <w:spacing w:after="0"/>
              <w:rPr>
                <w:sz w:val="17"/>
                <w:szCs w:val="17"/>
                <w:color w:val="auto"/>
              </w:rPr>
            </w:pPr>
          </w:p>
        </w:tc>
        <w:tc>
          <w:tcPr>
            <w:tcW w:w="200" w:type="dxa"/>
            <w:vAlign w:val="bottom"/>
            <w:tcBorders>
              <w:top w:val="single" w:sz="8" w:color="auto"/>
            </w:tcBorders>
            <w:shd w:val="clear" w:color="auto" w:fill="E5E5E5"/>
          </w:tcPr>
          <w:p>
            <w:pPr>
              <w:spacing w:after="0"/>
              <w:rPr>
                <w:sz w:val="17"/>
                <w:szCs w:val="17"/>
                <w:color w:val="auto"/>
              </w:rPr>
            </w:pPr>
          </w:p>
        </w:tc>
        <w:tc>
          <w:tcPr>
            <w:tcW w:w="480" w:type="dxa"/>
            <w:vAlign w:val="bottom"/>
            <w:tcBorders>
              <w:top w:val="single" w:sz="8" w:color="auto"/>
            </w:tcBorders>
            <w:shd w:val="clear" w:color="auto" w:fill="E5E5E5"/>
          </w:tcPr>
          <w:p>
            <w:pPr>
              <w:spacing w:after="0"/>
              <w:rPr>
                <w:sz w:val="17"/>
                <w:szCs w:val="17"/>
                <w:color w:val="auto"/>
              </w:rPr>
            </w:pPr>
          </w:p>
        </w:tc>
        <w:tc>
          <w:tcPr>
            <w:tcW w:w="160" w:type="dxa"/>
            <w:vAlign w:val="bottom"/>
            <w:tcBorders>
              <w:top w:val="single" w:sz="8" w:color="auto"/>
            </w:tcBorders>
            <w:shd w:val="clear" w:color="auto" w:fill="E5E5E5"/>
          </w:tcPr>
          <w:p>
            <w:pPr>
              <w:spacing w:after="0"/>
              <w:rPr>
                <w:sz w:val="17"/>
                <w:szCs w:val="17"/>
                <w:color w:val="auto"/>
              </w:rPr>
            </w:pPr>
          </w:p>
        </w:tc>
        <w:tc>
          <w:tcPr>
            <w:tcW w:w="240" w:type="dxa"/>
            <w:vAlign w:val="bottom"/>
            <w:tcBorders>
              <w:top w:val="single" w:sz="8" w:color="auto"/>
            </w:tcBorders>
            <w:shd w:val="clear" w:color="auto" w:fill="E5E5E5"/>
          </w:tcPr>
          <w:p>
            <w:pPr>
              <w:spacing w:after="0"/>
              <w:rPr>
                <w:sz w:val="17"/>
                <w:szCs w:val="17"/>
                <w:color w:val="auto"/>
              </w:rPr>
            </w:pPr>
          </w:p>
        </w:tc>
        <w:tc>
          <w:tcPr>
            <w:tcW w:w="560" w:type="dxa"/>
            <w:vAlign w:val="bottom"/>
            <w:tcBorders>
              <w:top w:val="single" w:sz="8" w:color="auto"/>
            </w:tcBorders>
            <w:shd w:val="clear" w:color="auto" w:fill="E5E5E5"/>
          </w:tcPr>
          <w:p>
            <w:pPr>
              <w:spacing w:after="0"/>
              <w:rPr>
                <w:sz w:val="17"/>
                <w:szCs w:val="17"/>
                <w:color w:val="auto"/>
              </w:rPr>
            </w:pPr>
          </w:p>
        </w:tc>
        <w:tc>
          <w:tcPr>
            <w:tcW w:w="280" w:type="dxa"/>
            <w:vAlign w:val="bottom"/>
            <w:tcBorders>
              <w:top w:val="single" w:sz="8" w:color="auto"/>
            </w:tcBorders>
            <w:shd w:val="clear" w:color="auto" w:fill="E5E5E5"/>
          </w:tcPr>
          <w:p>
            <w:pPr>
              <w:spacing w:after="0"/>
              <w:rPr>
                <w:sz w:val="17"/>
                <w:szCs w:val="17"/>
                <w:color w:val="auto"/>
              </w:rPr>
            </w:pPr>
          </w:p>
        </w:tc>
        <w:tc>
          <w:tcPr>
            <w:tcW w:w="220" w:type="dxa"/>
            <w:vAlign w:val="bottom"/>
            <w:tcBorders>
              <w:top w:val="single" w:sz="8" w:color="auto"/>
            </w:tcBorders>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480" w:type="dxa"/>
            <w:vAlign w:val="bottom"/>
          </w:tcPr>
          <w:p>
            <w:pPr>
              <w:ind w:left="200"/>
              <w:spacing w:after="0" w:line="202" w:lineRule="exact"/>
              <w:rPr>
                <w:sz w:val="20"/>
                <w:szCs w:val="20"/>
                <w:color w:val="auto"/>
              </w:rPr>
            </w:pPr>
            <w:r>
              <w:rPr>
                <w:rFonts w:ascii="Arial" w:cs="Arial" w:eastAsia="Arial" w:hAnsi="Arial"/>
                <w:sz w:val="18"/>
                <w:szCs w:val="18"/>
                <w:b w:val="1"/>
                <w:bCs w:val="1"/>
                <w:color w:val="auto"/>
              </w:rPr>
              <w:t>Annual adjustments</w:t>
            </w:r>
          </w:p>
        </w:tc>
        <w:tc>
          <w:tcPr>
            <w:tcW w:w="220" w:type="dxa"/>
            <w:vAlign w:val="bottom"/>
          </w:tcPr>
          <w:p>
            <w:pPr>
              <w:spacing w:after="0"/>
              <w:rPr>
                <w:sz w:val="17"/>
                <w:szCs w:val="17"/>
                <w:color w:val="auto"/>
              </w:rPr>
            </w:pPr>
          </w:p>
        </w:tc>
        <w:tc>
          <w:tcPr>
            <w:tcW w:w="500" w:type="dxa"/>
            <w:vAlign w:val="bottom"/>
          </w:tcPr>
          <w:p>
            <w:pPr>
              <w:jc w:val="right"/>
              <w:ind w:right="57"/>
              <w:spacing w:after="0" w:line="202" w:lineRule="exact"/>
              <w:rPr>
                <w:sz w:val="20"/>
                <w:szCs w:val="20"/>
                <w:color w:val="auto"/>
              </w:rPr>
            </w:pPr>
            <w:r>
              <w:rPr>
                <w:rFonts w:ascii="Arial" w:cs="Arial" w:eastAsia="Arial" w:hAnsi="Arial"/>
                <w:sz w:val="18"/>
                <w:szCs w:val="18"/>
                <w:b w:val="1"/>
                <w:bCs w:val="1"/>
                <w:color w:val="auto"/>
              </w:rPr>
              <w:t>5</w:t>
            </w:r>
          </w:p>
        </w:tc>
        <w:tc>
          <w:tcPr>
            <w:tcW w:w="380" w:type="dxa"/>
            <w:vAlign w:val="bottom"/>
          </w:tcPr>
          <w:p>
            <w:pPr>
              <w:spacing w:after="0"/>
              <w:rPr>
                <w:sz w:val="17"/>
                <w:szCs w:val="17"/>
                <w:color w:val="auto"/>
              </w:rPr>
            </w:pPr>
          </w:p>
        </w:tc>
        <w:tc>
          <w:tcPr>
            <w:tcW w:w="40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5</w:t>
            </w:r>
          </w:p>
        </w:tc>
        <w:tc>
          <w:tcPr>
            <w:tcW w:w="320" w:type="dxa"/>
            <w:vAlign w:val="bottom"/>
          </w:tcPr>
          <w:p>
            <w:pPr>
              <w:spacing w:after="0"/>
              <w:rPr>
                <w:sz w:val="17"/>
                <w:szCs w:val="17"/>
                <w:color w:val="auto"/>
              </w:rPr>
            </w:pPr>
          </w:p>
        </w:tc>
        <w:tc>
          <w:tcPr>
            <w:tcW w:w="400" w:type="dxa"/>
            <w:vAlign w:val="bottom"/>
          </w:tcPr>
          <w:p>
            <w:pPr>
              <w:jc w:val="right"/>
              <w:ind w:right="52"/>
              <w:spacing w:after="0" w:line="202" w:lineRule="exact"/>
              <w:rPr>
                <w:sz w:val="20"/>
                <w:szCs w:val="20"/>
                <w:color w:val="auto"/>
              </w:rPr>
            </w:pPr>
            <w:r>
              <w:rPr>
                <w:rFonts w:ascii="Arial" w:cs="Arial" w:eastAsia="Arial" w:hAnsi="Arial"/>
                <w:sz w:val="18"/>
                <w:szCs w:val="18"/>
                <w:b w:val="1"/>
                <w:bCs w:val="1"/>
                <w:color w:val="auto"/>
              </w:rPr>
              <w:t>34</w:t>
            </w:r>
          </w:p>
        </w:tc>
        <w:tc>
          <w:tcPr>
            <w:tcW w:w="340" w:type="dxa"/>
            <w:vAlign w:val="bottom"/>
          </w:tcPr>
          <w:p>
            <w:pPr>
              <w:spacing w:after="0"/>
              <w:rPr>
                <w:sz w:val="17"/>
                <w:szCs w:val="17"/>
                <w:color w:val="auto"/>
              </w:rPr>
            </w:pPr>
          </w:p>
        </w:tc>
        <w:tc>
          <w:tcPr>
            <w:tcW w:w="30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(63)</w:t>
            </w:r>
          </w:p>
        </w:tc>
        <w:tc>
          <w:tcPr>
            <w:tcW w:w="200" w:type="dxa"/>
            <w:vAlign w:val="bottom"/>
          </w:tcPr>
          <w:p>
            <w:pPr>
              <w:spacing w:after="0"/>
              <w:rPr>
                <w:sz w:val="17"/>
                <w:szCs w:val="17"/>
                <w:color w:val="auto"/>
              </w:rPr>
            </w:pPr>
          </w:p>
        </w:tc>
        <w:tc>
          <w:tcPr>
            <w:tcW w:w="480" w:type="dxa"/>
            <w:vAlign w:val="bottom"/>
          </w:tcPr>
          <w:p>
            <w:pPr>
              <w:jc w:val="right"/>
              <w:ind w:right="17"/>
              <w:spacing w:after="0" w:line="202" w:lineRule="exact"/>
              <w:rPr>
                <w:sz w:val="20"/>
                <w:szCs w:val="20"/>
                <w:color w:val="auto"/>
              </w:rPr>
            </w:pPr>
            <w:r>
              <w:rPr>
                <w:rFonts w:ascii="Arial" w:cs="Arial" w:eastAsia="Arial" w:hAnsi="Arial"/>
                <w:sz w:val="18"/>
                <w:szCs w:val="18"/>
                <w:b w:val="1"/>
                <w:bCs w:val="1"/>
                <w:color w:val="auto"/>
              </w:rPr>
              <w:t>(1)</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jc w:val="right"/>
              <w:ind w:right="75"/>
              <w:spacing w:after="0" w:line="202" w:lineRule="exact"/>
              <w:rPr>
                <w:sz w:val="20"/>
                <w:szCs w:val="20"/>
                <w:color w:val="auto"/>
              </w:rPr>
            </w:pPr>
            <w:r>
              <w:rPr>
                <w:rFonts w:ascii="Arial" w:cs="Arial" w:eastAsia="Arial" w:hAnsi="Arial"/>
                <w:sz w:val="18"/>
                <w:szCs w:val="18"/>
                <w:b w:val="1"/>
                <w:bCs w:val="1"/>
                <w:color w:val="auto"/>
              </w:rPr>
              <w:t>(24)</w:t>
            </w:r>
          </w:p>
        </w:tc>
        <w:tc>
          <w:tcPr>
            <w:tcW w:w="280" w:type="dxa"/>
            <w:vAlign w:val="bottom"/>
          </w:tcPr>
          <w:p>
            <w:pPr>
              <w:spacing w:after="0"/>
              <w:rPr>
                <w:sz w:val="17"/>
                <w:szCs w:val="17"/>
                <w:color w:val="auto"/>
              </w:rPr>
            </w:pPr>
          </w:p>
        </w:tc>
        <w:tc>
          <w:tcPr>
            <w:tcW w:w="28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4</w:t>
            </w:r>
          </w:p>
        </w:tc>
      </w:tr>
      <w:tr>
        <w:trPr>
          <w:trHeight w:val="203"/>
        </w:trPr>
        <w:tc>
          <w:tcPr>
            <w:tcW w:w="20" w:type="dxa"/>
            <w:vAlign w:val="bottom"/>
          </w:tcPr>
          <w:p>
            <w:pPr>
              <w:spacing w:after="0"/>
              <w:rPr>
                <w:sz w:val="17"/>
                <w:szCs w:val="17"/>
                <w:color w:val="auto"/>
              </w:rPr>
            </w:pPr>
          </w:p>
        </w:tc>
        <w:tc>
          <w:tcPr>
            <w:tcW w:w="5480" w:type="dxa"/>
            <w:vAlign w:val="bottom"/>
            <w:shd w:val="clear" w:color="auto" w:fill="E5E5E5"/>
          </w:tcPr>
          <w:p>
            <w:pPr>
              <w:ind w:left="200"/>
              <w:spacing w:after="0" w:line="202" w:lineRule="exact"/>
              <w:rPr>
                <w:sz w:val="20"/>
                <w:szCs w:val="20"/>
                <w:color w:val="auto"/>
              </w:rPr>
            </w:pPr>
            <w:r>
              <w:rPr>
                <w:rFonts w:ascii="Arial" w:cs="Arial" w:eastAsia="Arial" w:hAnsi="Arial"/>
                <w:sz w:val="18"/>
                <w:szCs w:val="18"/>
                <w:b w:val="1"/>
                <w:bCs w:val="1"/>
                <w:color w:val="auto"/>
              </w:rPr>
              <w:t>Reclassification of recognized transaction</w:t>
            </w:r>
          </w:p>
        </w:tc>
        <w:tc>
          <w:tcPr>
            <w:tcW w:w="220" w:type="dxa"/>
            <w:vAlign w:val="bottom"/>
            <w:shd w:val="clear" w:color="auto" w:fill="E5E5E5"/>
          </w:tcPr>
          <w:p>
            <w:pPr>
              <w:spacing w:after="0"/>
              <w:rPr>
                <w:sz w:val="17"/>
                <w:szCs w:val="17"/>
                <w:color w:val="auto"/>
              </w:rPr>
            </w:pPr>
          </w:p>
        </w:tc>
        <w:tc>
          <w:tcPr>
            <w:tcW w:w="5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(21)</w:t>
            </w:r>
          </w:p>
        </w:tc>
        <w:tc>
          <w:tcPr>
            <w:tcW w:w="380" w:type="dxa"/>
            <w:vAlign w:val="bottom"/>
            <w:shd w:val="clear" w:color="auto" w:fill="E5E5E5"/>
          </w:tcPr>
          <w:p>
            <w:pPr>
              <w:spacing w:after="0"/>
              <w:rPr>
                <w:sz w:val="17"/>
                <w:szCs w:val="17"/>
                <w:color w:val="auto"/>
              </w:rPr>
            </w:pPr>
          </w:p>
        </w:tc>
        <w:tc>
          <w:tcPr>
            <w:tcW w:w="40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w w:val="88"/>
              </w:rPr>
              <w:t>—</w:t>
            </w:r>
          </w:p>
        </w:tc>
        <w:tc>
          <w:tcPr>
            <w:tcW w:w="320" w:type="dxa"/>
            <w:vAlign w:val="bottom"/>
            <w:shd w:val="clear" w:color="auto" w:fill="E5E5E5"/>
          </w:tcPr>
          <w:p>
            <w:pPr>
              <w:spacing w:after="0"/>
              <w:rPr>
                <w:sz w:val="17"/>
                <w:szCs w:val="17"/>
                <w:color w:val="auto"/>
              </w:rPr>
            </w:pPr>
          </w:p>
        </w:tc>
        <w:tc>
          <w:tcPr>
            <w:tcW w:w="4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(6)</w:t>
            </w:r>
          </w:p>
        </w:tc>
        <w:tc>
          <w:tcPr>
            <w:tcW w:w="340" w:type="dxa"/>
            <w:vAlign w:val="bottom"/>
            <w:shd w:val="clear" w:color="auto" w:fill="E5E5E5"/>
          </w:tcPr>
          <w:p>
            <w:pPr>
              <w:spacing w:after="0"/>
              <w:rPr>
                <w:sz w:val="17"/>
                <w:szCs w:val="17"/>
                <w:color w:val="auto"/>
              </w:rPr>
            </w:pPr>
          </w:p>
        </w:tc>
        <w:tc>
          <w:tcPr>
            <w:tcW w:w="300" w:type="dxa"/>
            <w:vAlign w:val="bottom"/>
            <w:gridSpan w:val="2"/>
            <w:shd w:val="clear" w:color="auto" w:fill="E5E5E5"/>
          </w:tcPr>
          <w:p>
            <w:pPr>
              <w:jc w:val="right"/>
              <w:ind w:right="20"/>
              <w:spacing w:after="0" w:line="202" w:lineRule="exact"/>
              <w:rPr>
                <w:sz w:val="20"/>
                <w:szCs w:val="20"/>
                <w:color w:val="auto"/>
              </w:rPr>
            </w:pPr>
            <w:r>
              <w:rPr>
                <w:rFonts w:ascii="Arial" w:cs="Arial" w:eastAsia="Arial" w:hAnsi="Arial"/>
                <w:sz w:val="18"/>
                <w:szCs w:val="18"/>
                <w:b w:val="1"/>
                <w:bCs w:val="1"/>
                <w:color w:val="auto"/>
              </w:rPr>
              <w:t>(3)</w:t>
            </w:r>
          </w:p>
        </w:tc>
        <w:tc>
          <w:tcPr>
            <w:tcW w:w="14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5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(13)</w:t>
            </w:r>
          </w:p>
        </w:tc>
        <w:tc>
          <w:tcPr>
            <w:tcW w:w="200" w:type="dxa"/>
            <w:vAlign w:val="bottom"/>
            <w:shd w:val="clear" w:color="auto" w:fill="E5E5E5"/>
          </w:tcPr>
          <w:p>
            <w:pPr>
              <w:spacing w:after="0"/>
              <w:rPr>
                <w:sz w:val="17"/>
                <w:szCs w:val="17"/>
                <w:color w:val="auto"/>
              </w:rPr>
            </w:pPr>
          </w:p>
        </w:tc>
        <w:tc>
          <w:tcPr>
            <w:tcW w:w="480" w:type="dxa"/>
            <w:vAlign w:val="bottom"/>
            <w:shd w:val="clear" w:color="auto" w:fill="E5E5E5"/>
          </w:tcPr>
          <w:p>
            <w:pPr>
              <w:jc w:val="right"/>
              <w:ind w:right="57"/>
              <w:spacing w:after="0" w:line="202" w:lineRule="exact"/>
              <w:rPr>
                <w:sz w:val="20"/>
                <w:szCs w:val="20"/>
                <w:color w:val="auto"/>
              </w:rPr>
            </w:pPr>
            <w:r>
              <w:rPr>
                <w:rFonts w:ascii="Arial" w:cs="Arial" w:eastAsia="Arial" w:hAnsi="Arial"/>
                <w:sz w:val="18"/>
                <w:szCs w:val="18"/>
                <w:b w:val="1"/>
                <w:bCs w:val="1"/>
                <w:color w:val="auto"/>
              </w:rPr>
              <w:t>3</w:t>
            </w:r>
          </w:p>
        </w:tc>
        <w:tc>
          <w:tcPr>
            <w:tcW w:w="16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560" w:type="dxa"/>
            <w:vAlign w:val="bottom"/>
            <w:shd w:val="clear" w:color="auto" w:fill="E5E5E5"/>
          </w:tcPr>
          <w:p>
            <w:pPr>
              <w:jc w:val="right"/>
              <w:ind w:right="75"/>
              <w:spacing w:after="0" w:line="202" w:lineRule="exact"/>
              <w:rPr>
                <w:sz w:val="20"/>
                <w:szCs w:val="20"/>
                <w:color w:val="auto"/>
              </w:rPr>
            </w:pPr>
            <w:r>
              <w:rPr>
                <w:rFonts w:ascii="Arial" w:cs="Arial" w:eastAsia="Arial" w:hAnsi="Arial"/>
                <w:sz w:val="18"/>
                <w:szCs w:val="18"/>
                <w:b w:val="1"/>
                <w:bCs w:val="1"/>
                <w:color w:val="auto"/>
              </w:rPr>
              <w:t>(40)</w:t>
            </w:r>
          </w:p>
        </w:tc>
        <w:tc>
          <w:tcPr>
            <w:tcW w:w="280" w:type="dxa"/>
            <w:vAlign w:val="bottom"/>
            <w:shd w:val="clear" w:color="auto" w:fill="E5E5E5"/>
          </w:tcPr>
          <w:p>
            <w:pPr>
              <w:spacing w:after="0"/>
              <w:rPr>
                <w:sz w:val="17"/>
                <w:szCs w:val="17"/>
                <w:color w:val="auto"/>
              </w:rPr>
            </w:pPr>
          </w:p>
        </w:tc>
        <w:tc>
          <w:tcPr>
            <w:tcW w:w="28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b w:val="1"/>
                <w:bCs w:val="1"/>
                <w:color w:val="auto"/>
              </w:rPr>
              <w:t>—</w:t>
            </w:r>
          </w:p>
        </w:tc>
      </w:tr>
      <w:tr>
        <w:trPr>
          <w:trHeight w:val="210"/>
        </w:trPr>
        <w:tc>
          <w:tcPr>
            <w:tcW w:w="20" w:type="dxa"/>
            <w:vAlign w:val="bottom"/>
          </w:tcPr>
          <w:p>
            <w:pPr>
              <w:spacing w:after="0"/>
              <w:rPr>
                <w:sz w:val="18"/>
                <w:szCs w:val="18"/>
                <w:color w:val="auto"/>
              </w:rPr>
            </w:pPr>
          </w:p>
        </w:tc>
        <w:tc>
          <w:tcPr>
            <w:tcW w:w="5480" w:type="dxa"/>
            <w:vAlign w:val="bottom"/>
          </w:tcPr>
          <w:p>
            <w:pPr>
              <w:ind w:left="200"/>
              <w:spacing w:after="0" w:line="202" w:lineRule="exact"/>
              <w:rPr>
                <w:sz w:val="20"/>
                <w:szCs w:val="20"/>
                <w:color w:val="auto"/>
              </w:rPr>
            </w:pPr>
            <w:r>
              <w:rPr>
                <w:rFonts w:ascii="Arial" w:cs="Arial" w:eastAsia="Arial" w:hAnsi="Arial"/>
                <w:sz w:val="18"/>
                <w:szCs w:val="18"/>
                <w:b w:val="1"/>
                <w:bCs w:val="1"/>
                <w:color w:val="auto"/>
              </w:rPr>
              <w:t>Less tax (benefit) expense</w:t>
            </w:r>
          </w:p>
        </w:tc>
        <w:tc>
          <w:tcPr>
            <w:tcW w:w="220" w:type="dxa"/>
            <w:vAlign w:val="bottom"/>
          </w:tcPr>
          <w:p>
            <w:pPr>
              <w:spacing w:after="0"/>
              <w:rPr>
                <w:sz w:val="18"/>
                <w:szCs w:val="18"/>
                <w:color w:val="auto"/>
              </w:rPr>
            </w:pPr>
          </w:p>
        </w:tc>
        <w:tc>
          <w:tcPr>
            <w:tcW w:w="500" w:type="dxa"/>
            <w:vAlign w:val="bottom"/>
          </w:tcPr>
          <w:p>
            <w:pPr>
              <w:jc w:val="right"/>
              <w:ind w:right="57"/>
              <w:spacing w:after="0" w:line="202" w:lineRule="exact"/>
              <w:rPr>
                <w:sz w:val="20"/>
                <w:szCs w:val="20"/>
                <w:color w:val="auto"/>
              </w:rPr>
            </w:pPr>
            <w:r>
              <w:rPr>
                <w:rFonts w:ascii="Arial" w:cs="Arial" w:eastAsia="Arial" w:hAnsi="Arial"/>
                <w:sz w:val="18"/>
                <w:szCs w:val="18"/>
                <w:b w:val="1"/>
                <w:bCs w:val="1"/>
                <w:color w:val="auto"/>
              </w:rPr>
              <w:t>6</w:t>
            </w:r>
          </w:p>
        </w:tc>
        <w:tc>
          <w:tcPr>
            <w:tcW w:w="380" w:type="dxa"/>
            <w:vAlign w:val="bottom"/>
          </w:tcPr>
          <w:p>
            <w:pPr>
              <w:spacing w:after="0"/>
              <w:rPr>
                <w:sz w:val="18"/>
                <w:szCs w:val="18"/>
                <w:color w:val="auto"/>
              </w:rPr>
            </w:pPr>
          </w:p>
        </w:tc>
        <w:tc>
          <w:tcPr>
            <w:tcW w:w="40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w w:val="99"/>
              </w:rPr>
              <w:t>(2)</w:t>
            </w:r>
          </w:p>
        </w:tc>
        <w:tc>
          <w:tcPr>
            <w:tcW w:w="320" w:type="dxa"/>
            <w:vAlign w:val="bottom"/>
          </w:tcPr>
          <w:p>
            <w:pPr>
              <w:spacing w:after="0"/>
              <w:rPr>
                <w:sz w:val="18"/>
                <w:szCs w:val="18"/>
                <w:color w:val="auto"/>
              </w:rPr>
            </w:pPr>
          </w:p>
        </w:tc>
        <w:tc>
          <w:tcPr>
            <w:tcW w:w="4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93"/>
              </w:rPr>
              <w:t>(10)</w:t>
            </w:r>
          </w:p>
        </w:tc>
        <w:tc>
          <w:tcPr>
            <w:tcW w:w="340" w:type="dxa"/>
            <w:vAlign w:val="bottom"/>
          </w:tcPr>
          <w:p>
            <w:pPr>
              <w:spacing w:after="0"/>
              <w:rPr>
                <w:sz w:val="18"/>
                <w:szCs w:val="18"/>
                <w:color w:val="auto"/>
              </w:rPr>
            </w:pPr>
          </w:p>
        </w:tc>
        <w:tc>
          <w:tcPr>
            <w:tcW w:w="30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ind w:right="57"/>
              <w:spacing w:after="0" w:line="202" w:lineRule="exact"/>
              <w:rPr>
                <w:sz w:val="20"/>
                <w:szCs w:val="20"/>
                <w:color w:val="auto"/>
              </w:rPr>
            </w:pPr>
            <w:r>
              <w:rPr>
                <w:rFonts w:ascii="Arial" w:cs="Arial" w:eastAsia="Arial" w:hAnsi="Arial"/>
                <w:sz w:val="18"/>
                <w:szCs w:val="18"/>
                <w:b w:val="1"/>
                <w:bCs w:val="1"/>
                <w:color w:val="auto"/>
              </w:rPr>
              <w:t>35</w:t>
            </w:r>
          </w:p>
        </w:tc>
        <w:tc>
          <w:tcPr>
            <w:tcW w:w="200" w:type="dxa"/>
            <w:vAlign w:val="bottom"/>
          </w:tcPr>
          <w:p>
            <w:pPr>
              <w:spacing w:after="0"/>
              <w:rPr>
                <w:sz w:val="18"/>
                <w:szCs w:val="18"/>
                <w:color w:val="auto"/>
              </w:rPr>
            </w:pPr>
          </w:p>
        </w:tc>
        <w:tc>
          <w:tcPr>
            <w:tcW w:w="480" w:type="dxa"/>
            <w:vAlign w:val="bottom"/>
          </w:tcPr>
          <w:p>
            <w:pPr>
              <w:jc w:val="right"/>
              <w:ind w:right="17"/>
              <w:spacing w:after="0" w:line="202" w:lineRule="exact"/>
              <w:rPr>
                <w:sz w:val="20"/>
                <w:szCs w:val="20"/>
                <w:color w:val="auto"/>
              </w:rPr>
            </w:pPr>
            <w:r>
              <w:rPr>
                <w:rFonts w:ascii="Arial" w:cs="Arial" w:eastAsia="Arial" w:hAnsi="Arial"/>
                <w:sz w:val="18"/>
                <w:szCs w:val="18"/>
                <w:b w:val="1"/>
                <w:bCs w:val="1"/>
                <w:color w:val="auto"/>
              </w:rPr>
              <w:t>(2)</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ind w:right="115"/>
              <w:spacing w:after="0" w:line="202" w:lineRule="exact"/>
              <w:rPr>
                <w:sz w:val="20"/>
                <w:szCs w:val="20"/>
                <w:color w:val="auto"/>
              </w:rPr>
            </w:pPr>
            <w:r>
              <w:rPr>
                <w:rFonts w:ascii="Arial" w:cs="Arial" w:eastAsia="Arial" w:hAnsi="Arial"/>
                <w:sz w:val="18"/>
                <w:szCs w:val="18"/>
                <w:b w:val="1"/>
                <w:bCs w:val="1"/>
                <w:color w:val="auto"/>
              </w:rPr>
              <w:t>31</w:t>
            </w:r>
          </w:p>
        </w:tc>
        <w:tc>
          <w:tcPr>
            <w:tcW w:w="280" w:type="dxa"/>
            <w:vAlign w:val="bottom"/>
          </w:tcPr>
          <w:p>
            <w:pPr>
              <w:spacing w:after="0"/>
              <w:rPr>
                <w:sz w:val="18"/>
                <w:szCs w:val="18"/>
                <w:color w:val="auto"/>
              </w:rPr>
            </w:pP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(3)</w:t>
            </w:r>
          </w:p>
        </w:tc>
      </w:tr>
      <w:tr>
        <w:trPr>
          <w:trHeight w:val="203"/>
        </w:trPr>
        <w:tc>
          <w:tcPr>
            <w:tcW w:w="20" w:type="dxa"/>
            <w:vAlign w:val="bottom"/>
          </w:tcPr>
          <w:p>
            <w:pPr>
              <w:spacing w:after="0"/>
              <w:rPr>
                <w:sz w:val="17"/>
                <w:szCs w:val="17"/>
                <w:color w:val="auto"/>
              </w:rPr>
            </w:pPr>
          </w:p>
        </w:tc>
        <w:tc>
          <w:tcPr>
            <w:tcW w:w="5480" w:type="dxa"/>
            <w:vAlign w:val="bottom"/>
            <w:shd w:val="clear" w:color="auto" w:fill="E5E5E5"/>
          </w:tcPr>
          <w:p>
            <w:pPr>
              <w:ind w:left="200"/>
              <w:spacing w:after="0" w:line="202" w:lineRule="exact"/>
              <w:rPr>
                <w:sz w:val="20"/>
                <w:szCs w:val="20"/>
                <w:color w:val="auto"/>
              </w:rPr>
            </w:pPr>
            <w:r>
              <w:rPr>
                <w:rFonts w:ascii="Arial" w:cs="Arial" w:eastAsia="Arial" w:hAnsi="Arial"/>
                <w:sz w:val="18"/>
                <w:szCs w:val="18"/>
                <w:b w:val="1"/>
                <w:bCs w:val="1"/>
                <w:color w:val="auto"/>
              </w:rPr>
              <w:t>Total change to OCI in 2007</w:t>
            </w:r>
          </w:p>
        </w:tc>
        <w:tc>
          <w:tcPr>
            <w:tcW w:w="220" w:type="dxa"/>
            <w:vAlign w:val="bottom"/>
            <w:tcBorders>
              <w:top w:val="single" w:sz="8" w:color="auto"/>
              <w:bottom w:val="single" w:sz="8" w:color="auto"/>
            </w:tcBorders>
            <w:shd w:val="clear" w:color="auto" w:fill="E5E5E5"/>
          </w:tcPr>
          <w:p>
            <w:pPr>
              <w:spacing w:after="0"/>
              <w:rPr>
                <w:sz w:val="17"/>
                <w:szCs w:val="17"/>
                <w:color w:val="auto"/>
              </w:rPr>
            </w:pPr>
          </w:p>
        </w:tc>
        <w:tc>
          <w:tcPr>
            <w:tcW w:w="500" w:type="dxa"/>
            <w:vAlign w:val="bottom"/>
            <w:tcBorders>
              <w:top w:val="single" w:sz="8" w:color="auto"/>
              <w:bottom w:val="single" w:sz="8" w:color="auto"/>
            </w:tcBorders>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(10)</w:t>
            </w:r>
          </w:p>
        </w:tc>
        <w:tc>
          <w:tcPr>
            <w:tcW w:w="380" w:type="dxa"/>
            <w:vAlign w:val="bottom"/>
            <w:tcBorders>
              <w:top w:val="single" w:sz="8" w:color="auto"/>
              <w:bottom w:val="single" w:sz="8" w:color="auto"/>
            </w:tcBorders>
            <w:shd w:val="clear" w:color="auto" w:fill="E5E5E5"/>
          </w:tcPr>
          <w:p>
            <w:pPr>
              <w:spacing w:after="0"/>
              <w:rPr>
                <w:sz w:val="17"/>
                <w:szCs w:val="17"/>
                <w:color w:val="auto"/>
              </w:rPr>
            </w:pPr>
          </w:p>
        </w:tc>
        <w:tc>
          <w:tcPr>
            <w:tcW w:w="400" w:type="dxa"/>
            <w:vAlign w:val="bottom"/>
            <w:tcBorders>
              <w:top w:val="single" w:sz="8" w:color="auto"/>
              <w:bottom w:val="single" w:sz="8" w:color="auto"/>
            </w:tcBorders>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3</w:t>
            </w:r>
          </w:p>
        </w:tc>
        <w:tc>
          <w:tcPr>
            <w:tcW w:w="320" w:type="dxa"/>
            <w:vAlign w:val="bottom"/>
            <w:tcBorders>
              <w:top w:val="single" w:sz="8" w:color="auto"/>
              <w:bottom w:val="single" w:sz="8" w:color="auto"/>
            </w:tcBorders>
            <w:shd w:val="clear" w:color="auto" w:fill="E5E5E5"/>
          </w:tcPr>
          <w:p>
            <w:pPr>
              <w:spacing w:after="0"/>
              <w:rPr>
                <w:sz w:val="17"/>
                <w:szCs w:val="17"/>
                <w:color w:val="auto"/>
              </w:rPr>
            </w:pPr>
          </w:p>
        </w:tc>
        <w:tc>
          <w:tcPr>
            <w:tcW w:w="400" w:type="dxa"/>
            <w:vAlign w:val="bottom"/>
            <w:tcBorders>
              <w:top w:val="single" w:sz="8" w:color="auto"/>
              <w:bottom w:val="single" w:sz="8" w:color="auto"/>
            </w:tcBorders>
            <w:shd w:val="clear" w:color="auto" w:fill="E5E5E5"/>
          </w:tcPr>
          <w:p>
            <w:pPr>
              <w:jc w:val="right"/>
              <w:ind w:right="52"/>
              <w:spacing w:after="0" w:line="202" w:lineRule="exact"/>
              <w:rPr>
                <w:sz w:val="20"/>
                <w:szCs w:val="20"/>
                <w:color w:val="auto"/>
              </w:rPr>
            </w:pPr>
            <w:r>
              <w:rPr>
                <w:rFonts w:ascii="Arial" w:cs="Arial" w:eastAsia="Arial" w:hAnsi="Arial"/>
                <w:sz w:val="18"/>
                <w:szCs w:val="18"/>
                <w:b w:val="1"/>
                <w:bCs w:val="1"/>
                <w:color w:val="auto"/>
              </w:rPr>
              <w:t>18</w:t>
            </w:r>
          </w:p>
        </w:tc>
        <w:tc>
          <w:tcPr>
            <w:tcW w:w="340" w:type="dxa"/>
            <w:vAlign w:val="bottom"/>
            <w:tcBorders>
              <w:top w:val="single" w:sz="8" w:color="auto"/>
              <w:bottom w:val="single" w:sz="8" w:color="auto"/>
            </w:tcBorders>
            <w:shd w:val="clear" w:color="auto" w:fill="E5E5E5"/>
          </w:tcPr>
          <w:p>
            <w:pPr>
              <w:spacing w:after="0"/>
              <w:rPr>
                <w:sz w:val="17"/>
                <w:szCs w:val="17"/>
                <w:color w:val="auto"/>
              </w:rPr>
            </w:pPr>
          </w:p>
        </w:tc>
        <w:tc>
          <w:tcPr>
            <w:tcW w:w="300" w:type="dxa"/>
            <w:vAlign w:val="bottom"/>
            <w:tcBorders>
              <w:top w:val="single" w:sz="8" w:color="auto"/>
              <w:bottom w:val="single" w:sz="8" w:color="auto"/>
            </w:tcBorders>
            <w:gridSpan w:val="2"/>
            <w:shd w:val="clear" w:color="auto" w:fill="E5E5E5"/>
          </w:tcPr>
          <w:p>
            <w:pPr>
              <w:jc w:val="right"/>
              <w:ind w:right="20"/>
              <w:spacing w:after="0" w:line="202" w:lineRule="exact"/>
              <w:rPr>
                <w:sz w:val="20"/>
                <w:szCs w:val="20"/>
                <w:color w:val="auto"/>
              </w:rPr>
            </w:pPr>
            <w:r>
              <w:rPr>
                <w:rFonts w:ascii="Arial" w:cs="Arial" w:eastAsia="Arial" w:hAnsi="Arial"/>
                <w:sz w:val="18"/>
                <w:szCs w:val="18"/>
                <w:b w:val="1"/>
                <w:bCs w:val="1"/>
                <w:color w:val="auto"/>
              </w:rPr>
              <w:t>(2)</w:t>
            </w:r>
          </w:p>
        </w:tc>
        <w:tc>
          <w:tcPr>
            <w:tcW w:w="140" w:type="dxa"/>
            <w:vAlign w:val="bottom"/>
            <w:tcBorders>
              <w:top w:val="single" w:sz="8" w:color="auto"/>
              <w:bottom w:val="single" w:sz="8" w:color="auto"/>
            </w:tcBorders>
            <w:shd w:val="clear" w:color="auto" w:fill="E5E5E5"/>
          </w:tcPr>
          <w:p>
            <w:pPr>
              <w:spacing w:after="0"/>
              <w:rPr>
                <w:sz w:val="17"/>
                <w:szCs w:val="17"/>
                <w:color w:val="auto"/>
              </w:rPr>
            </w:pPr>
          </w:p>
        </w:tc>
        <w:tc>
          <w:tcPr>
            <w:tcW w:w="200" w:type="dxa"/>
            <w:vAlign w:val="bottom"/>
            <w:tcBorders>
              <w:top w:val="single" w:sz="8" w:color="auto"/>
              <w:bottom w:val="single" w:sz="8" w:color="auto"/>
            </w:tcBorders>
            <w:shd w:val="clear" w:color="auto" w:fill="E5E5E5"/>
          </w:tcPr>
          <w:p>
            <w:pPr>
              <w:spacing w:after="0"/>
              <w:rPr>
                <w:sz w:val="17"/>
                <w:szCs w:val="17"/>
                <w:color w:val="auto"/>
              </w:rPr>
            </w:pPr>
          </w:p>
        </w:tc>
        <w:tc>
          <w:tcPr>
            <w:tcW w:w="520" w:type="dxa"/>
            <w:vAlign w:val="bottom"/>
            <w:tcBorders>
              <w:top w:val="single" w:sz="8" w:color="auto"/>
              <w:bottom w:val="single" w:sz="8" w:color="auto"/>
            </w:tcBorders>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(41)</w:t>
            </w:r>
          </w:p>
        </w:tc>
        <w:tc>
          <w:tcPr>
            <w:tcW w:w="200" w:type="dxa"/>
            <w:vAlign w:val="bottom"/>
            <w:tcBorders>
              <w:top w:val="single" w:sz="8" w:color="auto"/>
              <w:bottom w:val="single" w:sz="8" w:color="auto"/>
            </w:tcBorders>
            <w:shd w:val="clear" w:color="auto" w:fill="E5E5E5"/>
          </w:tcPr>
          <w:p>
            <w:pPr>
              <w:spacing w:after="0"/>
              <w:rPr>
                <w:sz w:val="17"/>
                <w:szCs w:val="17"/>
                <w:color w:val="auto"/>
              </w:rPr>
            </w:pPr>
          </w:p>
        </w:tc>
        <w:tc>
          <w:tcPr>
            <w:tcW w:w="480" w:type="dxa"/>
            <w:vAlign w:val="bottom"/>
            <w:tcBorders>
              <w:top w:val="single" w:sz="8" w:color="auto"/>
              <w:bottom w:val="single" w:sz="8" w:color="auto"/>
            </w:tcBorders>
            <w:shd w:val="clear" w:color="auto" w:fill="E5E5E5"/>
          </w:tcPr>
          <w:p>
            <w:pPr>
              <w:jc w:val="right"/>
              <w:ind w:right="57"/>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tcBorders>
              <w:top w:val="single" w:sz="8" w:color="auto"/>
              <w:bottom w:val="single" w:sz="8" w:color="auto"/>
            </w:tcBorders>
            <w:shd w:val="clear" w:color="auto" w:fill="E5E5E5"/>
          </w:tcPr>
          <w:p>
            <w:pPr>
              <w:spacing w:after="0"/>
              <w:rPr>
                <w:sz w:val="17"/>
                <w:szCs w:val="17"/>
                <w:color w:val="auto"/>
              </w:rPr>
            </w:pPr>
          </w:p>
        </w:tc>
        <w:tc>
          <w:tcPr>
            <w:tcW w:w="240" w:type="dxa"/>
            <w:vAlign w:val="bottom"/>
            <w:tcBorders>
              <w:top w:val="single" w:sz="8" w:color="auto"/>
              <w:bottom w:val="single" w:sz="8" w:color="auto"/>
            </w:tcBorders>
            <w:shd w:val="clear" w:color="auto" w:fill="E5E5E5"/>
          </w:tcPr>
          <w:p>
            <w:pPr>
              <w:spacing w:after="0"/>
              <w:rPr>
                <w:sz w:val="17"/>
                <w:szCs w:val="17"/>
                <w:color w:val="auto"/>
              </w:rPr>
            </w:pPr>
          </w:p>
        </w:tc>
        <w:tc>
          <w:tcPr>
            <w:tcW w:w="560" w:type="dxa"/>
            <w:vAlign w:val="bottom"/>
            <w:tcBorders>
              <w:top w:val="single" w:sz="8" w:color="auto"/>
              <w:bottom w:val="single" w:sz="8" w:color="auto"/>
            </w:tcBorders>
            <w:shd w:val="clear" w:color="auto" w:fill="E5E5E5"/>
          </w:tcPr>
          <w:p>
            <w:pPr>
              <w:jc w:val="right"/>
              <w:ind w:right="75"/>
              <w:spacing w:after="0" w:line="202" w:lineRule="exact"/>
              <w:rPr>
                <w:sz w:val="20"/>
                <w:szCs w:val="20"/>
                <w:color w:val="auto"/>
              </w:rPr>
            </w:pPr>
            <w:r>
              <w:rPr>
                <w:rFonts w:ascii="Arial" w:cs="Arial" w:eastAsia="Arial" w:hAnsi="Arial"/>
                <w:sz w:val="18"/>
                <w:szCs w:val="18"/>
                <w:b w:val="1"/>
                <w:bCs w:val="1"/>
                <w:color w:val="auto"/>
              </w:rPr>
              <w:t>(33)</w:t>
            </w:r>
          </w:p>
        </w:tc>
        <w:tc>
          <w:tcPr>
            <w:tcW w:w="280" w:type="dxa"/>
            <w:vAlign w:val="bottom"/>
            <w:tcBorders>
              <w:top w:val="single" w:sz="8" w:color="auto"/>
              <w:bottom w:val="single" w:sz="8" w:color="auto"/>
            </w:tcBorders>
            <w:shd w:val="clear" w:color="auto" w:fill="E5E5E5"/>
          </w:tcPr>
          <w:p>
            <w:pPr>
              <w:spacing w:after="0"/>
              <w:rPr>
                <w:sz w:val="17"/>
                <w:szCs w:val="17"/>
                <w:color w:val="auto"/>
              </w:rPr>
            </w:pPr>
          </w:p>
        </w:tc>
        <w:tc>
          <w:tcPr>
            <w:tcW w:w="220" w:type="dxa"/>
            <w:vAlign w:val="bottom"/>
            <w:tcBorders>
              <w:top w:val="single" w:sz="8" w:color="auto"/>
              <w:bottom w:val="single" w:sz="8" w:color="auto"/>
            </w:tcBorders>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1</w:t>
            </w:r>
          </w:p>
        </w:tc>
        <w:tc>
          <w:tcPr>
            <w:tcW w:w="60" w:type="dxa"/>
            <w:vAlign w:val="bottom"/>
            <w:shd w:val="clear" w:color="auto" w:fill="E5E5E5"/>
          </w:tcPr>
          <w:p>
            <w:pPr>
              <w:spacing w:after="0"/>
              <w:rPr>
                <w:sz w:val="17"/>
                <w:szCs w:val="17"/>
                <w:color w:val="auto"/>
              </w:rPr>
            </w:pPr>
          </w:p>
        </w:tc>
      </w:tr>
      <w:tr>
        <w:trPr>
          <w:trHeight w:val="210"/>
        </w:trPr>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AOCI balance, December 31, 2007 (net of tax)</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ind w:right="57"/>
              <w:spacing w:after="0"/>
              <w:rPr>
                <w:sz w:val="20"/>
                <w:szCs w:val="20"/>
                <w:color w:val="auto"/>
              </w:rPr>
            </w:pPr>
            <w:r>
              <w:rPr>
                <w:rFonts w:ascii="Arial" w:cs="Arial" w:eastAsia="Arial" w:hAnsi="Arial"/>
                <w:sz w:val="18"/>
                <w:szCs w:val="18"/>
                <w:b w:val="1"/>
                <w:bCs w:val="1"/>
                <w:color w:val="auto"/>
              </w:rPr>
              <w:t>95</w:t>
            </w:r>
          </w:p>
        </w:tc>
        <w:tc>
          <w:tcPr>
            <w:tcW w:w="380" w:type="dxa"/>
            <w:vAlign w:val="bottom"/>
          </w:tcPr>
          <w:p>
            <w:pPr>
              <w:jc w:val="center"/>
              <w:ind w:left="204"/>
              <w:spacing w:after="0"/>
              <w:rPr>
                <w:sz w:val="20"/>
                <w:szCs w:val="20"/>
                <w:color w:val="auto"/>
              </w:rPr>
            </w:pPr>
            <w:r>
              <w:rPr>
                <w:rFonts w:ascii="Arial" w:cs="Arial" w:eastAsia="Arial" w:hAnsi="Arial"/>
                <w:sz w:val="18"/>
                <w:szCs w:val="18"/>
                <w:b w:val="1"/>
                <w:bCs w:val="1"/>
                <w:color w:val="auto"/>
                <w:w w:val="99"/>
              </w:rPr>
              <w:t>$</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w:t>
            </w:r>
          </w:p>
        </w:tc>
        <w:tc>
          <w:tcPr>
            <w:tcW w:w="320" w:type="dxa"/>
            <w:vAlign w:val="bottom"/>
          </w:tcPr>
          <w:p>
            <w:pPr>
              <w:ind w:left="200"/>
              <w:spacing w:after="0"/>
              <w:rPr>
                <w:sz w:val="20"/>
                <w:szCs w:val="20"/>
                <w:color w:val="auto"/>
              </w:rPr>
            </w:pPr>
            <w:r>
              <w:rPr>
                <w:rFonts w:ascii="Arial" w:cs="Arial" w:eastAsia="Arial" w:hAnsi="Arial"/>
                <w:sz w:val="18"/>
                <w:szCs w:val="18"/>
                <w:b w:val="1"/>
                <w:bCs w:val="1"/>
                <w:color w:val="auto"/>
                <w:w w:val="99"/>
              </w:rPr>
              <w:t>$</w:t>
            </w:r>
          </w:p>
        </w:tc>
        <w:tc>
          <w:tcPr>
            <w:tcW w:w="400" w:type="dxa"/>
            <w:vAlign w:val="bottom"/>
          </w:tcPr>
          <w:p>
            <w:pPr>
              <w:jc w:val="right"/>
              <w:ind w:right="52"/>
              <w:spacing w:after="0"/>
              <w:rPr>
                <w:sz w:val="20"/>
                <w:szCs w:val="20"/>
                <w:color w:val="auto"/>
              </w:rPr>
            </w:pPr>
            <w:r>
              <w:rPr>
                <w:rFonts w:ascii="Arial" w:cs="Arial" w:eastAsia="Arial" w:hAnsi="Arial"/>
                <w:sz w:val="18"/>
                <w:szCs w:val="18"/>
                <w:b w:val="1"/>
                <w:bCs w:val="1"/>
                <w:color w:val="auto"/>
              </w:rPr>
              <w:t>95</w:t>
            </w:r>
          </w:p>
        </w:tc>
        <w:tc>
          <w:tcPr>
            <w:tcW w:w="340" w:type="dxa"/>
            <w:vAlign w:val="bottom"/>
          </w:tcPr>
          <w:p>
            <w:pPr>
              <w:ind w:left="180"/>
              <w:spacing w:after="0"/>
              <w:rPr>
                <w:sz w:val="20"/>
                <w:szCs w:val="20"/>
                <w:color w:val="auto"/>
              </w:rPr>
            </w:pPr>
            <w:r>
              <w:rPr>
                <w:rFonts w:ascii="Arial" w:cs="Arial" w:eastAsia="Arial" w:hAnsi="Arial"/>
                <w:sz w:val="18"/>
                <w:szCs w:val="18"/>
                <w:b w:val="1"/>
                <w:bCs w:val="1"/>
                <w:color w:val="auto"/>
              </w:rPr>
              <w:t>$</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99"/>
              </w:rPr>
              <w:t>11</w:t>
            </w:r>
          </w:p>
        </w:tc>
        <w:tc>
          <w:tcPr>
            <w:tcW w:w="3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ind w:right="57"/>
              <w:spacing w:after="0"/>
              <w:rPr>
                <w:sz w:val="20"/>
                <w:szCs w:val="20"/>
                <w:color w:val="auto"/>
              </w:rPr>
            </w:pPr>
            <w:r>
              <w:rPr>
                <w:rFonts w:ascii="Arial" w:cs="Arial" w:eastAsia="Arial" w:hAnsi="Arial"/>
                <w:sz w:val="18"/>
                <w:szCs w:val="18"/>
                <w:b w:val="1"/>
                <w:bCs w:val="1"/>
                <w:color w:val="auto"/>
              </w:rPr>
              <w:t>134</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4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ind w:right="115"/>
              <w:spacing w:after="0"/>
              <w:rPr>
                <w:sz w:val="20"/>
                <w:szCs w:val="20"/>
                <w:color w:val="auto"/>
              </w:rPr>
            </w:pPr>
            <w:r>
              <w:rPr>
                <w:rFonts w:ascii="Arial" w:cs="Arial" w:eastAsia="Arial" w:hAnsi="Arial"/>
                <w:sz w:val="18"/>
                <w:szCs w:val="18"/>
                <w:b w:val="1"/>
                <w:bCs w:val="1"/>
                <w:color w:val="auto"/>
              </w:rPr>
              <w:t>324</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(5)</w:t>
            </w:r>
          </w:p>
        </w:tc>
      </w:tr>
      <w:tr>
        <w:trPr>
          <w:trHeight w:val="20"/>
        </w:trPr>
        <w:tc>
          <w:tcPr>
            <w:tcW w:w="5500" w:type="dxa"/>
            <w:vAlign w:val="bottom"/>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0" w:type="dxa"/>
            <w:vAlign w:val="bottom"/>
            <w:tcBorders>
              <w:top w:val="single" w:sz="8" w:color="auto"/>
              <w:bottom w:val="single" w:sz="8" w:color="auto"/>
            </w:tcBorders>
            <w:gridSpan w:val="1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5500" w:type="dxa"/>
            <w:vAlign w:val="bottom"/>
            <w:gridSpan w:val="2"/>
          </w:tcPr>
          <w:p>
            <w:pPr>
              <w:spacing w:after="0"/>
              <w:rPr>
                <w:sz w:val="20"/>
                <w:szCs w:val="20"/>
                <w:color w:val="auto"/>
              </w:rPr>
            </w:pPr>
            <w:r>
              <w:rPr>
                <w:rFonts w:ascii="Arial" w:cs="Arial" w:eastAsia="Arial" w:hAnsi="Arial"/>
                <w:sz w:val="14"/>
                <w:szCs w:val="14"/>
                <w:color w:val="auto"/>
              </w:rPr>
              <w:t>30</w:t>
            </w: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60" w:type="dxa"/>
            <w:vAlign w:val="bottom"/>
            <w:gridSpan w:val="11"/>
          </w:tcPr>
          <w:p>
            <w:pPr>
              <w:jc w:val="right"/>
              <w:spacing w:after="0"/>
              <w:rPr>
                <w:sz w:val="20"/>
                <w:szCs w:val="20"/>
                <w:color w:val="auto"/>
              </w:rPr>
            </w:pPr>
            <w:r>
              <w:rPr>
                <w:rFonts w:ascii="Arial" w:cs="Arial" w:eastAsia="Arial" w:hAnsi="Arial"/>
                <w:sz w:val="14"/>
                <w:szCs w:val="14"/>
                <w:color w:val="auto"/>
                <w:w w:val="98"/>
              </w:rPr>
              <w:t>TEXAS INSTRUMENTS 2007 ANNUAL REPORT</w:t>
            </w:r>
          </w:p>
        </w:tc>
      </w:tr>
    </w:tbl>
    <w:p>
      <w:pPr>
        <w:sectPr>
          <w:pgSz w:w="11900" w:h="16838" w:orient="portrait"/>
          <w:cols w:equalWidth="0" w:num="1">
            <w:col w:w="11420"/>
          </w:cols>
          <w:pgMar w:left="240" w:top="291" w:right="239" w:bottom="1440" w:gutter="0" w:footer="0" w:header="0"/>
          <w:type w:val="continuous"/>
        </w:sectPr>
      </w:pPr>
    </w:p>
    <w:bookmarkStart w:id="50" w:name="page51"/>
    <w:bookmarkEnd w:id="50"/>
    <w:p>
      <w:pPr>
        <w:jc w:val="both"/>
        <w:ind w:right="100"/>
        <w:spacing w:after="0" w:line="23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estimated amounts of unrecognized prior service cost and actuarial net loss included in AOCI as of December 31, 2007, that are expected to be amortized into net periodic benefit cost over the next fiscal year are: $1 million and $17 million for the U.S. defined benefit plans; $2 million and $8 million for the U.S. retiree health care plan; and ($3) million and $5 million for the non-U.S. defined benefit plans.</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 of December 31, 2007, we do not expect to return any of the assets of the plans to TI during the next 12 months.</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Assumptions and Investment Policies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shd w:val="clear" w:color="auto" w:fill="E5E5E5"/>
          </w:tcPr>
          <w:p>
            <w:pPr>
              <w:spacing w:after="0"/>
              <w:rPr>
                <w:sz w:val="14"/>
                <w:szCs w:val="14"/>
                <w:color w:val="auto"/>
              </w:rPr>
            </w:pPr>
          </w:p>
        </w:tc>
        <w:tc>
          <w:tcPr>
            <w:tcW w:w="1520" w:type="dxa"/>
            <w:vAlign w:val="bottom"/>
            <w:gridSpan w:val="2"/>
            <w:shd w:val="clear" w:color="auto" w:fill="E5E5E5"/>
          </w:tcPr>
          <w:p>
            <w:pPr>
              <w:jc w:val="right"/>
              <w:ind w:right="372"/>
              <w:spacing w:after="0"/>
              <w:rPr>
                <w:sz w:val="20"/>
                <w:szCs w:val="20"/>
                <w:color w:val="auto"/>
              </w:rPr>
            </w:pPr>
            <w:r>
              <w:rPr>
                <w:rFonts w:ascii="Arial" w:cs="Arial" w:eastAsia="Arial" w:hAnsi="Arial"/>
                <w:sz w:val="14"/>
                <w:szCs w:val="14"/>
                <w:b w:val="1"/>
                <w:bCs w:val="1"/>
                <w:color w:val="auto"/>
              </w:rPr>
              <w:t>Defined</w:t>
            </w:r>
          </w:p>
        </w:tc>
        <w:tc>
          <w:tcPr>
            <w:tcW w:w="1320" w:type="dxa"/>
            <w:vAlign w:val="bottom"/>
            <w:gridSpan w:val="2"/>
            <w:shd w:val="clear" w:color="auto" w:fill="E5E5E5"/>
          </w:tcPr>
          <w:p>
            <w:pPr>
              <w:jc w:val="center"/>
              <w:ind w:left="19"/>
              <w:spacing w:after="0"/>
              <w:rPr>
                <w:sz w:val="20"/>
                <w:szCs w:val="20"/>
                <w:color w:val="auto"/>
              </w:rPr>
            </w:pPr>
            <w:r>
              <w:rPr>
                <w:rFonts w:ascii="Arial" w:cs="Arial" w:eastAsia="Arial" w:hAnsi="Arial"/>
                <w:sz w:val="14"/>
                <w:szCs w:val="14"/>
                <w:b w:val="1"/>
                <w:bCs w:val="1"/>
                <w:color w:val="auto"/>
                <w:w w:val="95"/>
              </w:rPr>
              <w:t>Retiree Health</w:t>
            </w:r>
          </w:p>
        </w:tc>
      </w:tr>
      <w:tr>
        <w:trPr>
          <w:trHeight w:val="176"/>
        </w:trPr>
        <w:tc>
          <w:tcPr>
            <w:tcW w:w="8580" w:type="dxa"/>
            <w:vAlign w:val="bottom"/>
            <w:shd w:val="clear" w:color="auto" w:fill="E5E5E5"/>
          </w:tcPr>
          <w:p>
            <w:pPr>
              <w:spacing w:after="0"/>
              <w:rPr>
                <w:sz w:val="15"/>
                <w:szCs w:val="15"/>
                <w:color w:val="auto"/>
              </w:rPr>
            </w:pPr>
          </w:p>
        </w:tc>
        <w:tc>
          <w:tcPr>
            <w:tcW w:w="1520" w:type="dxa"/>
            <w:vAlign w:val="bottom"/>
            <w:gridSpan w:val="2"/>
            <w:shd w:val="clear" w:color="auto" w:fill="E5E5E5"/>
          </w:tcPr>
          <w:p>
            <w:pPr>
              <w:jc w:val="right"/>
              <w:ind w:right="392"/>
              <w:spacing w:after="0"/>
              <w:rPr>
                <w:sz w:val="20"/>
                <w:szCs w:val="20"/>
                <w:color w:val="auto"/>
              </w:rPr>
            </w:pPr>
            <w:r>
              <w:rPr>
                <w:rFonts w:ascii="Arial" w:cs="Arial" w:eastAsia="Arial" w:hAnsi="Arial"/>
                <w:sz w:val="14"/>
                <w:szCs w:val="14"/>
                <w:b w:val="1"/>
                <w:bCs w:val="1"/>
                <w:color w:val="auto"/>
              </w:rPr>
              <w:t>Benefit</w:t>
            </w:r>
          </w:p>
        </w:tc>
        <w:tc>
          <w:tcPr>
            <w:tcW w:w="1320" w:type="dxa"/>
            <w:vAlign w:val="bottom"/>
            <w:gridSpan w:val="2"/>
            <w:shd w:val="clear" w:color="auto" w:fill="E5E5E5"/>
          </w:tcPr>
          <w:p>
            <w:pPr>
              <w:jc w:val="center"/>
              <w:ind w:left="19"/>
              <w:spacing w:after="0"/>
              <w:rPr>
                <w:sz w:val="20"/>
                <w:szCs w:val="20"/>
                <w:color w:val="auto"/>
              </w:rPr>
            </w:pPr>
            <w:r>
              <w:rPr>
                <w:rFonts w:ascii="Arial" w:cs="Arial" w:eastAsia="Arial" w:hAnsi="Arial"/>
                <w:sz w:val="14"/>
                <w:szCs w:val="14"/>
                <w:b w:val="1"/>
                <w:bCs w:val="1"/>
                <w:color w:val="auto"/>
                <w:w w:val="96"/>
              </w:rPr>
              <w:t>Care</w:t>
            </w:r>
          </w:p>
        </w:tc>
      </w:tr>
      <w:tr>
        <w:trPr>
          <w:trHeight w:val="203"/>
        </w:trPr>
        <w:tc>
          <w:tcPr>
            <w:tcW w:w="8580" w:type="dxa"/>
            <w:vAlign w:val="bottom"/>
            <w:shd w:val="clear" w:color="auto" w:fill="E5E5E5"/>
          </w:tcPr>
          <w:p>
            <w:pPr>
              <w:spacing w:after="0"/>
              <w:rPr>
                <w:sz w:val="17"/>
                <w:szCs w:val="17"/>
                <w:color w:val="auto"/>
              </w:rPr>
            </w:pPr>
          </w:p>
        </w:tc>
        <w:tc>
          <w:tcPr>
            <w:tcW w:w="820" w:type="dxa"/>
            <w:vAlign w:val="bottom"/>
            <w:shd w:val="clear" w:color="auto" w:fill="E5E5E5"/>
          </w:tcPr>
          <w:p>
            <w:pPr>
              <w:jc w:val="right"/>
              <w:ind w:right="94"/>
              <w:spacing w:after="0" w:line="202" w:lineRule="exact"/>
              <w:rPr>
                <w:sz w:val="20"/>
                <w:szCs w:val="20"/>
                <w:color w:val="auto"/>
              </w:rPr>
            </w:pPr>
            <w:r>
              <w:rPr>
                <w:rFonts w:ascii="Arial" w:cs="Arial" w:eastAsia="Arial" w:hAnsi="Arial"/>
                <w:sz w:val="18"/>
                <w:szCs w:val="18"/>
                <w:b w:val="1"/>
                <w:bCs w:val="1"/>
                <w:color w:val="auto"/>
              </w:rPr>
              <w:t>2007</w:t>
            </w:r>
          </w:p>
        </w:tc>
        <w:tc>
          <w:tcPr>
            <w:tcW w:w="700" w:type="dxa"/>
            <w:vAlign w:val="bottom"/>
            <w:shd w:val="clear" w:color="auto" w:fill="E5E5E5"/>
          </w:tcPr>
          <w:p>
            <w:pPr>
              <w:jc w:val="right"/>
              <w:ind w:right="32"/>
              <w:spacing w:after="0" w:line="202" w:lineRule="exact"/>
              <w:rPr>
                <w:sz w:val="20"/>
                <w:szCs w:val="20"/>
                <w:color w:val="auto"/>
              </w:rPr>
            </w:pPr>
            <w:r>
              <w:rPr>
                <w:rFonts w:ascii="Arial" w:cs="Arial" w:eastAsia="Arial" w:hAnsi="Arial"/>
                <w:sz w:val="18"/>
                <w:szCs w:val="18"/>
                <w:b w:val="1"/>
                <w:bCs w:val="1"/>
                <w:color w:val="auto"/>
              </w:rPr>
              <w:t>2006</w:t>
            </w:r>
          </w:p>
        </w:tc>
        <w:tc>
          <w:tcPr>
            <w:tcW w:w="720" w:type="dxa"/>
            <w:vAlign w:val="bottom"/>
            <w:shd w:val="clear" w:color="auto" w:fill="E5E5E5"/>
          </w:tcPr>
          <w:p>
            <w:pPr>
              <w:jc w:val="right"/>
              <w:ind w:right="39"/>
              <w:spacing w:after="0" w:line="202" w:lineRule="exact"/>
              <w:rPr>
                <w:sz w:val="20"/>
                <w:szCs w:val="20"/>
                <w:color w:val="auto"/>
              </w:rPr>
            </w:pPr>
            <w:r>
              <w:rPr>
                <w:rFonts w:ascii="Arial" w:cs="Arial" w:eastAsia="Arial" w:hAnsi="Arial"/>
                <w:sz w:val="18"/>
                <w:szCs w:val="18"/>
                <w:b w:val="1"/>
                <w:bCs w:val="1"/>
                <w:color w:val="auto"/>
              </w:rPr>
              <w:t>2007</w:t>
            </w:r>
          </w:p>
        </w:tc>
        <w:tc>
          <w:tcPr>
            <w:tcW w:w="600" w:type="dxa"/>
            <w:vAlign w:val="bottom"/>
            <w:shd w:val="clear" w:color="auto" w:fill="E5E5E5"/>
          </w:tcPr>
          <w:p>
            <w:pPr>
              <w:jc w:val="center"/>
              <w:ind w:left="12"/>
              <w:spacing w:after="0" w:line="202" w:lineRule="exact"/>
              <w:rPr>
                <w:sz w:val="20"/>
                <w:szCs w:val="20"/>
                <w:color w:val="auto"/>
              </w:rPr>
            </w:pPr>
            <w:r>
              <w:rPr>
                <w:rFonts w:ascii="Arial" w:cs="Arial" w:eastAsia="Arial" w:hAnsi="Arial"/>
                <w:sz w:val="18"/>
                <w:szCs w:val="18"/>
                <w:b w:val="1"/>
                <w:bCs w:val="1"/>
                <w:color w:val="auto"/>
                <w:w w:val="94"/>
              </w:rPr>
              <w:t>2006</w:t>
            </w:r>
          </w:p>
        </w:tc>
      </w:tr>
      <w:tr>
        <w:trPr>
          <w:trHeight w:val="311"/>
        </w:trPr>
        <w:tc>
          <w:tcPr>
            <w:tcW w:w="8580" w:type="dxa"/>
            <w:vAlign w:val="bottom"/>
          </w:tcPr>
          <w:p>
            <w:pPr>
              <w:spacing w:after="0"/>
              <w:rPr>
                <w:sz w:val="20"/>
                <w:szCs w:val="20"/>
                <w:color w:val="auto"/>
              </w:rPr>
            </w:pPr>
            <w:r>
              <w:rPr>
                <w:rFonts w:ascii="Arial" w:cs="Arial" w:eastAsia="Arial" w:hAnsi="Arial"/>
                <w:sz w:val="18"/>
                <w:szCs w:val="18"/>
                <w:b w:val="1"/>
                <w:bCs w:val="1"/>
                <w:color w:val="auto"/>
              </w:rPr>
              <w:t>Weighted average assumptions used to determine benefit obligations:</w:t>
            </w: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03"/>
        </w:trPr>
        <w:tc>
          <w:tcPr>
            <w:tcW w:w="85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U.S. assumed discount rate</w:t>
            </w:r>
          </w:p>
        </w:tc>
        <w:tc>
          <w:tcPr>
            <w:tcW w:w="820" w:type="dxa"/>
            <w:vAlign w:val="bottom"/>
            <w:shd w:val="clear" w:color="auto" w:fill="E5E5E5"/>
          </w:tcPr>
          <w:p>
            <w:pPr>
              <w:jc w:val="right"/>
              <w:ind w:right="34"/>
              <w:spacing w:after="0" w:line="202" w:lineRule="exact"/>
              <w:rPr>
                <w:sz w:val="20"/>
                <w:szCs w:val="20"/>
                <w:color w:val="auto"/>
              </w:rPr>
            </w:pPr>
            <w:r>
              <w:rPr>
                <w:rFonts w:ascii="Arial" w:cs="Arial" w:eastAsia="Arial" w:hAnsi="Arial"/>
                <w:sz w:val="18"/>
                <w:szCs w:val="18"/>
                <w:b w:val="1"/>
                <w:bCs w:val="1"/>
                <w:color w:val="auto"/>
              </w:rPr>
              <w:t>6.26%</w:t>
            </w:r>
          </w:p>
        </w:tc>
        <w:tc>
          <w:tcPr>
            <w:tcW w:w="700" w:type="dxa"/>
            <w:vAlign w:val="bottom"/>
            <w:shd w:val="clear" w:color="auto" w:fill="E5E5E5"/>
          </w:tcPr>
          <w:p>
            <w:pPr>
              <w:jc w:val="right"/>
              <w:ind w:right="12"/>
              <w:spacing w:after="0" w:line="202" w:lineRule="exact"/>
              <w:rPr>
                <w:sz w:val="20"/>
                <w:szCs w:val="20"/>
                <w:color w:val="auto"/>
              </w:rPr>
            </w:pPr>
            <w:r>
              <w:rPr>
                <w:rFonts w:ascii="Arial" w:cs="Arial" w:eastAsia="Arial" w:hAnsi="Arial"/>
                <w:sz w:val="18"/>
                <w:szCs w:val="18"/>
                <w:color w:val="auto"/>
              </w:rPr>
              <w:t>5.75%</w:t>
            </w:r>
          </w:p>
        </w:tc>
        <w:tc>
          <w:tcPr>
            <w:tcW w:w="720" w:type="dxa"/>
            <w:vAlign w:val="bottom"/>
            <w:shd w:val="clear" w:color="auto" w:fill="E5E5E5"/>
          </w:tcPr>
          <w:p>
            <w:pPr>
              <w:jc w:val="right"/>
              <w:ind w:right="19"/>
              <w:spacing w:after="0" w:line="202" w:lineRule="exact"/>
              <w:rPr>
                <w:sz w:val="20"/>
                <w:szCs w:val="20"/>
                <w:color w:val="auto"/>
              </w:rPr>
            </w:pPr>
            <w:r>
              <w:rPr>
                <w:rFonts w:ascii="Arial" w:cs="Arial" w:eastAsia="Arial" w:hAnsi="Arial"/>
                <w:sz w:val="18"/>
                <w:szCs w:val="18"/>
                <w:b w:val="1"/>
                <w:bCs w:val="1"/>
                <w:color w:val="auto"/>
              </w:rPr>
              <w:t>5.96%</w:t>
            </w:r>
          </w:p>
        </w:tc>
        <w:tc>
          <w:tcPr>
            <w:tcW w:w="600" w:type="dxa"/>
            <w:vAlign w:val="bottom"/>
            <w:shd w:val="clear" w:color="auto" w:fill="E5E5E5"/>
          </w:tcPr>
          <w:p>
            <w:pPr>
              <w:jc w:val="center"/>
              <w:ind w:left="12"/>
              <w:spacing w:after="0" w:line="202" w:lineRule="exact"/>
              <w:rPr>
                <w:sz w:val="20"/>
                <w:szCs w:val="20"/>
                <w:color w:val="auto"/>
              </w:rPr>
            </w:pPr>
            <w:r>
              <w:rPr>
                <w:rFonts w:ascii="Arial" w:cs="Arial" w:eastAsia="Arial" w:hAnsi="Arial"/>
                <w:sz w:val="18"/>
                <w:szCs w:val="18"/>
                <w:color w:val="auto"/>
                <w:w w:val="97"/>
              </w:rPr>
              <w:t>5.75%</w:t>
            </w:r>
          </w:p>
        </w:tc>
      </w:tr>
      <w:tr>
        <w:trPr>
          <w:trHeight w:val="203"/>
        </w:trPr>
        <w:tc>
          <w:tcPr>
            <w:tcW w:w="8580" w:type="dxa"/>
            <w:vAlign w:val="bottom"/>
          </w:tcPr>
          <w:p>
            <w:pPr>
              <w:spacing w:after="0" w:line="202" w:lineRule="exact"/>
              <w:rPr>
                <w:sz w:val="20"/>
                <w:szCs w:val="20"/>
                <w:color w:val="auto"/>
              </w:rPr>
            </w:pPr>
            <w:r>
              <w:rPr>
                <w:rFonts w:ascii="Arial" w:cs="Arial" w:eastAsia="Arial" w:hAnsi="Arial"/>
                <w:sz w:val="18"/>
                <w:szCs w:val="18"/>
                <w:color w:val="auto"/>
              </w:rPr>
              <w:t>Non-U.S. assumed discount rate:</w:t>
            </w:r>
          </w:p>
        </w:tc>
        <w:tc>
          <w:tcPr>
            <w:tcW w:w="8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03"/>
        </w:trPr>
        <w:tc>
          <w:tcPr>
            <w:tcW w:w="858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High</w:t>
            </w:r>
          </w:p>
        </w:tc>
        <w:tc>
          <w:tcPr>
            <w:tcW w:w="820" w:type="dxa"/>
            <w:vAlign w:val="bottom"/>
            <w:shd w:val="clear" w:color="auto" w:fill="E5E5E5"/>
          </w:tcPr>
          <w:p>
            <w:pPr>
              <w:jc w:val="right"/>
              <w:ind w:right="34"/>
              <w:spacing w:after="0" w:line="202" w:lineRule="exact"/>
              <w:rPr>
                <w:sz w:val="20"/>
                <w:szCs w:val="20"/>
                <w:color w:val="auto"/>
              </w:rPr>
            </w:pPr>
            <w:r>
              <w:rPr>
                <w:rFonts w:ascii="Arial" w:cs="Arial" w:eastAsia="Arial" w:hAnsi="Arial"/>
                <w:sz w:val="18"/>
                <w:szCs w:val="18"/>
                <w:b w:val="1"/>
                <w:bCs w:val="1"/>
                <w:color w:val="auto"/>
              </w:rPr>
              <w:t>7.75%</w:t>
            </w:r>
          </w:p>
        </w:tc>
        <w:tc>
          <w:tcPr>
            <w:tcW w:w="700" w:type="dxa"/>
            <w:vAlign w:val="bottom"/>
            <w:shd w:val="clear" w:color="auto" w:fill="E5E5E5"/>
          </w:tcPr>
          <w:p>
            <w:pPr>
              <w:jc w:val="right"/>
              <w:ind w:right="12"/>
              <w:spacing w:after="0" w:line="202" w:lineRule="exact"/>
              <w:rPr>
                <w:sz w:val="20"/>
                <w:szCs w:val="20"/>
                <w:color w:val="auto"/>
              </w:rPr>
            </w:pPr>
            <w:r>
              <w:rPr>
                <w:rFonts w:ascii="Arial" w:cs="Arial" w:eastAsia="Arial" w:hAnsi="Arial"/>
                <w:sz w:val="18"/>
                <w:szCs w:val="18"/>
                <w:color w:val="auto"/>
              </w:rPr>
              <w:t>5.00%</w:t>
            </w:r>
          </w:p>
        </w:tc>
        <w:tc>
          <w:tcPr>
            <w:tcW w:w="720" w:type="dxa"/>
            <w:vAlign w:val="bottom"/>
            <w:shd w:val="clear" w:color="auto" w:fill="E5E5E5"/>
          </w:tcPr>
          <w:p>
            <w:pPr>
              <w:spacing w:after="0"/>
              <w:rPr>
                <w:sz w:val="17"/>
                <w:szCs w:val="17"/>
                <w:color w:val="auto"/>
              </w:rPr>
            </w:pPr>
          </w:p>
        </w:tc>
        <w:tc>
          <w:tcPr>
            <w:tcW w:w="600" w:type="dxa"/>
            <w:vAlign w:val="bottom"/>
            <w:shd w:val="clear" w:color="auto" w:fill="E5E5E5"/>
          </w:tcPr>
          <w:p>
            <w:pPr>
              <w:spacing w:after="0"/>
              <w:rPr>
                <w:sz w:val="17"/>
                <w:szCs w:val="17"/>
                <w:color w:val="auto"/>
              </w:rPr>
            </w:pPr>
          </w:p>
        </w:tc>
      </w:tr>
      <w:tr>
        <w:trPr>
          <w:trHeight w:val="203"/>
        </w:trPr>
        <w:tc>
          <w:tcPr>
            <w:tcW w:w="8580" w:type="dxa"/>
            <w:vAlign w:val="bottom"/>
          </w:tcPr>
          <w:p>
            <w:pPr>
              <w:ind w:left="220"/>
              <w:spacing w:after="0" w:line="202" w:lineRule="exact"/>
              <w:rPr>
                <w:sz w:val="20"/>
                <w:szCs w:val="20"/>
                <w:color w:val="auto"/>
              </w:rPr>
            </w:pPr>
            <w:r>
              <w:rPr>
                <w:rFonts w:ascii="Arial" w:cs="Arial" w:eastAsia="Arial" w:hAnsi="Arial"/>
                <w:sz w:val="18"/>
                <w:szCs w:val="18"/>
                <w:color w:val="auto"/>
              </w:rPr>
              <w:t>Low</w:t>
            </w:r>
          </w:p>
        </w:tc>
        <w:tc>
          <w:tcPr>
            <w:tcW w:w="82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rPr>
              <w:t>2.41%</w:t>
            </w:r>
          </w:p>
        </w:tc>
        <w:tc>
          <w:tcPr>
            <w:tcW w:w="7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2.25%</w:t>
            </w: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03"/>
        </w:trPr>
        <w:tc>
          <w:tcPr>
            <w:tcW w:w="85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U.S. average long-term pay progression</w:t>
            </w:r>
          </w:p>
        </w:tc>
        <w:tc>
          <w:tcPr>
            <w:tcW w:w="820" w:type="dxa"/>
            <w:vAlign w:val="bottom"/>
            <w:shd w:val="clear" w:color="auto" w:fill="E5E5E5"/>
          </w:tcPr>
          <w:p>
            <w:pPr>
              <w:jc w:val="right"/>
              <w:ind w:right="34"/>
              <w:spacing w:after="0" w:line="202" w:lineRule="exact"/>
              <w:rPr>
                <w:sz w:val="20"/>
                <w:szCs w:val="20"/>
                <w:color w:val="auto"/>
              </w:rPr>
            </w:pPr>
            <w:r>
              <w:rPr>
                <w:rFonts w:ascii="Arial" w:cs="Arial" w:eastAsia="Arial" w:hAnsi="Arial"/>
                <w:sz w:val="18"/>
                <w:szCs w:val="18"/>
                <w:b w:val="1"/>
                <w:bCs w:val="1"/>
                <w:color w:val="auto"/>
              </w:rPr>
              <w:t>3.50%</w:t>
            </w:r>
          </w:p>
        </w:tc>
        <w:tc>
          <w:tcPr>
            <w:tcW w:w="700" w:type="dxa"/>
            <w:vAlign w:val="bottom"/>
            <w:shd w:val="clear" w:color="auto" w:fill="E5E5E5"/>
          </w:tcPr>
          <w:p>
            <w:pPr>
              <w:jc w:val="right"/>
              <w:ind w:right="12"/>
              <w:spacing w:after="0" w:line="202" w:lineRule="exact"/>
              <w:rPr>
                <w:sz w:val="20"/>
                <w:szCs w:val="20"/>
                <w:color w:val="auto"/>
              </w:rPr>
            </w:pPr>
            <w:r>
              <w:rPr>
                <w:rFonts w:ascii="Arial" w:cs="Arial" w:eastAsia="Arial" w:hAnsi="Arial"/>
                <w:sz w:val="18"/>
                <w:szCs w:val="18"/>
                <w:color w:val="auto"/>
              </w:rPr>
              <w:t>3.50%</w:t>
            </w:r>
          </w:p>
        </w:tc>
        <w:tc>
          <w:tcPr>
            <w:tcW w:w="720" w:type="dxa"/>
            <w:vAlign w:val="bottom"/>
            <w:shd w:val="clear" w:color="auto" w:fill="E5E5E5"/>
          </w:tcPr>
          <w:p>
            <w:pPr>
              <w:spacing w:after="0"/>
              <w:rPr>
                <w:sz w:val="17"/>
                <w:szCs w:val="17"/>
                <w:color w:val="auto"/>
              </w:rPr>
            </w:pPr>
          </w:p>
        </w:tc>
        <w:tc>
          <w:tcPr>
            <w:tcW w:w="600" w:type="dxa"/>
            <w:vAlign w:val="bottom"/>
            <w:shd w:val="clear" w:color="auto" w:fill="E5E5E5"/>
          </w:tcPr>
          <w:p>
            <w:pPr>
              <w:spacing w:after="0"/>
              <w:rPr>
                <w:sz w:val="17"/>
                <w:szCs w:val="17"/>
                <w:color w:val="auto"/>
              </w:rPr>
            </w:pPr>
          </w:p>
        </w:tc>
      </w:tr>
      <w:tr>
        <w:trPr>
          <w:trHeight w:val="203"/>
        </w:trPr>
        <w:tc>
          <w:tcPr>
            <w:tcW w:w="8580" w:type="dxa"/>
            <w:vAlign w:val="bottom"/>
          </w:tcPr>
          <w:p>
            <w:pPr>
              <w:spacing w:after="0" w:line="202" w:lineRule="exact"/>
              <w:rPr>
                <w:sz w:val="20"/>
                <w:szCs w:val="20"/>
                <w:color w:val="auto"/>
              </w:rPr>
            </w:pPr>
            <w:r>
              <w:rPr>
                <w:rFonts w:ascii="Arial" w:cs="Arial" w:eastAsia="Arial" w:hAnsi="Arial"/>
                <w:sz w:val="18"/>
                <w:szCs w:val="18"/>
                <w:color w:val="auto"/>
              </w:rPr>
              <w:t>Non-U.S. average long-term pay progression:</w:t>
            </w:r>
          </w:p>
        </w:tc>
        <w:tc>
          <w:tcPr>
            <w:tcW w:w="8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03"/>
        </w:trPr>
        <w:tc>
          <w:tcPr>
            <w:tcW w:w="858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High</w:t>
            </w:r>
          </w:p>
        </w:tc>
        <w:tc>
          <w:tcPr>
            <w:tcW w:w="820" w:type="dxa"/>
            <w:vAlign w:val="bottom"/>
            <w:shd w:val="clear" w:color="auto" w:fill="E5E5E5"/>
          </w:tcPr>
          <w:p>
            <w:pPr>
              <w:jc w:val="right"/>
              <w:ind w:right="34"/>
              <w:spacing w:after="0" w:line="202" w:lineRule="exact"/>
              <w:rPr>
                <w:sz w:val="20"/>
                <w:szCs w:val="20"/>
                <w:color w:val="auto"/>
              </w:rPr>
            </w:pPr>
            <w:r>
              <w:rPr>
                <w:rFonts w:ascii="Arial" w:cs="Arial" w:eastAsia="Arial" w:hAnsi="Arial"/>
                <w:sz w:val="18"/>
                <w:szCs w:val="18"/>
                <w:b w:val="1"/>
                <w:bCs w:val="1"/>
                <w:color w:val="auto"/>
              </w:rPr>
              <w:t>10.00%</w:t>
            </w:r>
          </w:p>
        </w:tc>
        <w:tc>
          <w:tcPr>
            <w:tcW w:w="700" w:type="dxa"/>
            <w:vAlign w:val="bottom"/>
            <w:shd w:val="clear" w:color="auto" w:fill="E5E5E5"/>
          </w:tcPr>
          <w:p>
            <w:pPr>
              <w:jc w:val="right"/>
              <w:ind w:right="12"/>
              <w:spacing w:after="0" w:line="202" w:lineRule="exact"/>
              <w:rPr>
                <w:sz w:val="20"/>
                <w:szCs w:val="20"/>
                <w:color w:val="auto"/>
              </w:rPr>
            </w:pPr>
            <w:r>
              <w:rPr>
                <w:rFonts w:ascii="Arial" w:cs="Arial" w:eastAsia="Arial" w:hAnsi="Arial"/>
                <w:sz w:val="18"/>
                <w:szCs w:val="18"/>
                <w:color w:val="auto"/>
              </w:rPr>
              <w:t>5.00%</w:t>
            </w:r>
          </w:p>
        </w:tc>
        <w:tc>
          <w:tcPr>
            <w:tcW w:w="720" w:type="dxa"/>
            <w:vAlign w:val="bottom"/>
            <w:shd w:val="clear" w:color="auto" w:fill="E5E5E5"/>
          </w:tcPr>
          <w:p>
            <w:pPr>
              <w:spacing w:after="0"/>
              <w:rPr>
                <w:sz w:val="17"/>
                <w:szCs w:val="17"/>
                <w:color w:val="auto"/>
              </w:rPr>
            </w:pPr>
          </w:p>
        </w:tc>
        <w:tc>
          <w:tcPr>
            <w:tcW w:w="600" w:type="dxa"/>
            <w:vAlign w:val="bottom"/>
            <w:shd w:val="clear" w:color="auto" w:fill="E5E5E5"/>
          </w:tcPr>
          <w:p>
            <w:pPr>
              <w:spacing w:after="0"/>
              <w:rPr>
                <w:sz w:val="17"/>
                <w:szCs w:val="17"/>
                <w:color w:val="auto"/>
              </w:rPr>
            </w:pPr>
          </w:p>
        </w:tc>
      </w:tr>
      <w:tr>
        <w:trPr>
          <w:trHeight w:val="203"/>
        </w:trPr>
        <w:tc>
          <w:tcPr>
            <w:tcW w:w="8580" w:type="dxa"/>
            <w:vAlign w:val="bottom"/>
          </w:tcPr>
          <w:p>
            <w:pPr>
              <w:ind w:left="220"/>
              <w:spacing w:after="0" w:line="202" w:lineRule="exact"/>
              <w:rPr>
                <w:sz w:val="20"/>
                <w:szCs w:val="20"/>
                <w:color w:val="auto"/>
              </w:rPr>
            </w:pPr>
            <w:r>
              <w:rPr>
                <w:rFonts w:ascii="Arial" w:cs="Arial" w:eastAsia="Arial" w:hAnsi="Arial"/>
                <w:sz w:val="18"/>
                <w:szCs w:val="18"/>
                <w:color w:val="auto"/>
              </w:rPr>
              <w:t>Low</w:t>
            </w:r>
          </w:p>
        </w:tc>
        <w:tc>
          <w:tcPr>
            <w:tcW w:w="82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rPr>
              <w:t>3.00%</w:t>
            </w:r>
          </w:p>
        </w:tc>
        <w:tc>
          <w:tcPr>
            <w:tcW w:w="7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3.00%</w:t>
            </w: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311"/>
        </w:trPr>
        <w:tc>
          <w:tcPr>
            <w:tcW w:w="85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Weighted average assumptions used to determine net periodic benefit cost:</w:t>
            </w:r>
          </w:p>
        </w:tc>
        <w:tc>
          <w:tcPr>
            <w:tcW w:w="820" w:type="dxa"/>
            <w:vAlign w:val="bottom"/>
            <w:shd w:val="clear" w:color="auto" w:fill="E5E5E5"/>
          </w:tcPr>
          <w:p>
            <w:pPr>
              <w:spacing w:after="0"/>
              <w:rPr>
                <w:sz w:val="24"/>
                <w:szCs w:val="24"/>
                <w:color w:val="auto"/>
              </w:rPr>
            </w:pPr>
          </w:p>
        </w:tc>
        <w:tc>
          <w:tcPr>
            <w:tcW w:w="700" w:type="dxa"/>
            <w:vAlign w:val="bottom"/>
            <w:shd w:val="clear" w:color="auto" w:fill="E5E5E5"/>
          </w:tcPr>
          <w:p>
            <w:pPr>
              <w:spacing w:after="0"/>
              <w:rPr>
                <w:sz w:val="24"/>
                <w:szCs w:val="24"/>
                <w:color w:val="auto"/>
              </w:rPr>
            </w:pPr>
          </w:p>
        </w:tc>
        <w:tc>
          <w:tcPr>
            <w:tcW w:w="720" w:type="dxa"/>
            <w:vAlign w:val="bottom"/>
            <w:shd w:val="clear" w:color="auto" w:fill="E5E5E5"/>
          </w:tcPr>
          <w:p>
            <w:pPr>
              <w:spacing w:after="0"/>
              <w:rPr>
                <w:sz w:val="24"/>
                <w:szCs w:val="24"/>
                <w:color w:val="auto"/>
              </w:rPr>
            </w:pPr>
          </w:p>
        </w:tc>
        <w:tc>
          <w:tcPr>
            <w:tcW w:w="600" w:type="dxa"/>
            <w:vAlign w:val="bottom"/>
            <w:shd w:val="clear" w:color="auto" w:fill="E5E5E5"/>
          </w:tcPr>
          <w:p>
            <w:pPr>
              <w:spacing w:after="0"/>
              <w:rPr>
                <w:sz w:val="24"/>
                <w:szCs w:val="24"/>
                <w:color w:val="auto"/>
              </w:rPr>
            </w:pPr>
          </w:p>
        </w:tc>
      </w:tr>
      <w:tr>
        <w:trPr>
          <w:trHeight w:val="203"/>
        </w:trPr>
        <w:tc>
          <w:tcPr>
            <w:tcW w:w="8580" w:type="dxa"/>
            <w:vAlign w:val="bottom"/>
          </w:tcPr>
          <w:p>
            <w:pPr>
              <w:spacing w:after="0" w:line="202" w:lineRule="exact"/>
              <w:rPr>
                <w:sz w:val="20"/>
                <w:szCs w:val="20"/>
                <w:color w:val="auto"/>
              </w:rPr>
            </w:pPr>
            <w:r>
              <w:rPr>
                <w:rFonts w:ascii="Arial" w:cs="Arial" w:eastAsia="Arial" w:hAnsi="Arial"/>
                <w:sz w:val="18"/>
                <w:szCs w:val="18"/>
                <w:color w:val="auto"/>
              </w:rPr>
              <w:t>U.S. assumed discount rate</w:t>
            </w:r>
          </w:p>
        </w:tc>
        <w:tc>
          <w:tcPr>
            <w:tcW w:w="82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rPr>
              <w:t>6.00%</w:t>
            </w:r>
          </w:p>
        </w:tc>
        <w:tc>
          <w:tcPr>
            <w:tcW w:w="7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5.94%</w:t>
            </w:r>
          </w:p>
        </w:tc>
        <w:tc>
          <w:tcPr>
            <w:tcW w:w="720" w:type="dxa"/>
            <w:vAlign w:val="bottom"/>
          </w:tcPr>
          <w:p>
            <w:pPr>
              <w:jc w:val="right"/>
              <w:ind w:right="19"/>
              <w:spacing w:after="0" w:line="202" w:lineRule="exact"/>
              <w:rPr>
                <w:sz w:val="20"/>
                <w:szCs w:val="20"/>
                <w:color w:val="auto"/>
              </w:rPr>
            </w:pPr>
            <w:r>
              <w:rPr>
                <w:rFonts w:ascii="Arial" w:cs="Arial" w:eastAsia="Arial" w:hAnsi="Arial"/>
                <w:sz w:val="18"/>
                <w:szCs w:val="18"/>
                <w:b w:val="1"/>
                <w:bCs w:val="1"/>
                <w:color w:val="auto"/>
              </w:rPr>
              <w:t>6.00%</w:t>
            </w:r>
          </w:p>
        </w:tc>
        <w:tc>
          <w:tcPr>
            <w:tcW w:w="600" w:type="dxa"/>
            <w:vAlign w:val="bottom"/>
          </w:tcPr>
          <w:p>
            <w:pPr>
              <w:jc w:val="center"/>
              <w:ind w:left="12"/>
              <w:spacing w:after="0" w:line="202" w:lineRule="exact"/>
              <w:rPr>
                <w:sz w:val="20"/>
                <w:szCs w:val="20"/>
                <w:color w:val="auto"/>
              </w:rPr>
            </w:pPr>
            <w:r>
              <w:rPr>
                <w:rFonts w:ascii="Arial" w:cs="Arial" w:eastAsia="Arial" w:hAnsi="Arial"/>
                <w:sz w:val="18"/>
                <w:szCs w:val="18"/>
                <w:color w:val="auto"/>
                <w:w w:val="97"/>
              </w:rPr>
              <w:t>6.00%</w:t>
            </w:r>
          </w:p>
        </w:tc>
      </w:tr>
      <w:tr>
        <w:trPr>
          <w:trHeight w:val="203"/>
        </w:trPr>
        <w:tc>
          <w:tcPr>
            <w:tcW w:w="85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Non-U.S. assumed discount rate:</w:t>
            </w:r>
          </w:p>
        </w:tc>
        <w:tc>
          <w:tcPr>
            <w:tcW w:w="820" w:type="dxa"/>
            <w:vAlign w:val="bottom"/>
            <w:shd w:val="clear" w:color="auto" w:fill="E5E5E5"/>
          </w:tcPr>
          <w:p>
            <w:pPr>
              <w:spacing w:after="0"/>
              <w:rPr>
                <w:sz w:val="17"/>
                <w:szCs w:val="17"/>
                <w:color w:val="auto"/>
              </w:rPr>
            </w:pPr>
          </w:p>
        </w:tc>
        <w:tc>
          <w:tcPr>
            <w:tcW w:w="700" w:type="dxa"/>
            <w:vAlign w:val="bottom"/>
            <w:shd w:val="clear" w:color="auto" w:fill="E5E5E5"/>
          </w:tcPr>
          <w:p>
            <w:pPr>
              <w:spacing w:after="0"/>
              <w:rPr>
                <w:sz w:val="17"/>
                <w:szCs w:val="17"/>
                <w:color w:val="auto"/>
              </w:rPr>
            </w:pPr>
          </w:p>
        </w:tc>
        <w:tc>
          <w:tcPr>
            <w:tcW w:w="720" w:type="dxa"/>
            <w:vAlign w:val="bottom"/>
            <w:shd w:val="clear" w:color="auto" w:fill="E5E5E5"/>
          </w:tcPr>
          <w:p>
            <w:pPr>
              <w:spacing w:after="0"/>
              <w:rPr>
                <w:sz w:val="17"/>
                <w:szCs w:val="17"/>
                <w:color w:val="auto"/>
              </w:rPr>
            </w:pPr>
          </w:p>
        </w:tc>
        <w:tc>
          <w:tcPr>
            <w:tcW w:w="600" w:type="dxa"/>
            <w:vAlign w:val="bottom"/>
            <w:shd w:val="clear" w:color="auto" w:fill="E5E5E5"/>
          </w:tcPr>
          <w:p>
            <w:pPr>
              <w:spacing w:after="0"/>
              <w:rPr>
                <w:sz w:val="17"/>
                <w:szCs w:val="17"/>
                <w:color w:val="auto"/>
              </w:rPr>
            </w:pPr>
          </w:p>
        </w:tc>
      </w:tr>
      <w:tr>
        <w:trPr>
          <w:trHeight w:val="203"/>
        </w:trPr>
        <w:tc>
          <w:tcPr>
            <w:tcW w:w="8580" w:type="dxa"/>
            <w:vAlign w:val="bottom"/>
          </w:tcPr>
          <w:p>
            <w:pPr>
              <w:ind w:left="220"/>
              <w:spacing w:after="0" w:line="202" w:lineRule="exact"/>
              <w:rPr>
                <w:sz w:val="20"/>
                <w:szCs w:val="20"/>
                <w:color w:val="auto"/>
              </w:rPr>
            </w:pPr>
            <w:r>
              <w:rPr>
                <w:rFonts w:ascii="Arial" w:cs="Arial" w:eastAsia="Arial" w:hAnsi="Arial"/>
                <w:sz w:val="18"/>
                <w:szCs w:val="18"/>
                <w:color w:val="auto"/>
              </w:rPr>
              <w:t>High</w:t>
            </w:r>
          </w:p>
        </w:tc>
        <w:tc>
          <w:tcPr>
            <w:tcW w:w="82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rPr>
              <w:t>5.00%</w:t>
            </w:r>
          </w:p>
        </w:tc>
        <w:tc>
          <w:tcPr>
            <w:tcW w:w="7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5.00%</w:t>
            </w: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03"/>
        </w:trPr>
        <w:tc>
          <w:tcPr>
            <w:tcW w:w="858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Low</w:t>
            </w:r>
          </w:p>
        </w:tc>
        <w:tc>
          <w:tcPr>
            <w:tcW w:w="820" w:type="dxa"/>
            <w:vAlign w:val="bottom"/>
            <w:shd w:val="clear" w:color="auto" w:fill="E5E5E5"/>
          </w:tcPr>
          <w:p>
            <w:pPr>
              <w:jc w:val="right"/>
              <w:ind w:right="34"/>
              <w:spacing w:after="0" w:line="202" w:lineRule="exact"/>
              <w:rPr>
                <w:sz w:val="20"/>
                <w:szCs w:val="20"/>
                <w:color w:val="auto"/>
              </w:rPr>
            </w:pPr>
            <w:r>
              <w:rPr>
                <w:rFonts w:ascii="Arial" w:cs="Arial" w:eastAsia="Arial" w:hAnsi="Arial"/>
                <w:sz w:val="18"/>
                <w:szCs w:val="18"/>
                <w:b w:val="1"/>
                <w:bCs w:val="1"/>
                <w:color w:val="auto"/>
              </w:rPr>
              <w:t>2.25%</w:t>
            </w:r>
          </w:p>
        </w:tc>
        <w:tc>
          <w:tcPr>
            <w:tcW w:w="700" w:type="dxa"/>
            <w:vAlign w:val="bottom"/>
            <w:shd w:val="clear" w:color="auto" w:fill="E5E5E5"/>
          </w:tcPr>
          <w:p>
            <w:pPr>
              <w:jc w:val="right"/>
              <w:ind w:right="12"/>
              <w:spacing w:after="0" w:line="202" w:lineRule="exact"/>
              <w:rPr>
                <w:sz w:val="20"/>
                <w:szCs w:val="20"/>
                <w:color w:val="auto"/>
              </w:rPr>
            </w:pPr>
            <w:r>
              <w:rPr>
                <w:rFonts w:ascii="Arial" w:cs="Arial" w:eastAsia="Arial" w:hAnsi="Arial"/>
                <w:sz w:val="18"/>
                <w:szCs w:val="18"/>
                <w:color w:val="auto"/>
              </w:rPr>
              <w:t>2.25%</w:t>
            </w:r>
          </w:p>
        </w:tc>
        <w:tc>
          <w:tcPr>
            <w:tcW w:w="720" w:type="dxa"/>
            <w:vAlign w:val="bottom"/>
            <w:shd w:val="clear" w:color="auto" w:fill="E5E5E5"/>
          </w:tcPr>
          <w:p>
            <w:pPr>
              <w:spacing w:after="0"/>
              <w:rPr>
                <w:sz w:val="17"/>
                <w:szCs w:val="17"/>
                <w:color w:val="auto"/>
              </w:rPr>
            </w:pPr>
          </w:p>
        </w:tc>
        <w:tc>
          <w:tcPr>
            <w:tcW w:w="600" w:type="dxa"/>
            <w:vAlign w:val="bottom"/>
            <w:shd w:val="clear" w:color="auto" w:fill="E5E5E5"/>
          </w:tcPr>
          <w:p>
            <w:pPr>
              <w:spacing w:after="0"/>
              <w:rPr>
                <w:sz w:val="17"/>
                <w:szCs w:val="17"/>
                <w:color w:val="auto"/>
              </w:rPr>
            </w:pPr>
          </w:p>
        </w:tc>
      </w:tr>
      <w:tr>
        <w:trPr>
          <w:trHeight w:val="203"/>
        </w:trPr>
        <w:tc>
          <w:tcPr>
            <w:tcW w:w="8580" w:type="dxa"/>
            <w:vAlign w:val="bottom"/>
          </w:tcPr>
          <w:p>
            <w:pPr>
              <w:spacing w:after="0" w:line="202" w:lineRule="exact"/>
              <w:rPr>
                <w:sz w:val="20"/>
                <w:szCs w:val="20"/>
                <w:color w:val="auto"/>
              </w:rPr>
            </w:pPr>
            <w:r>
              <w:rPr>
                <w:rFonts w:ascii="Arial" w:cs="Arial" w:eastAsia="Arial" w:hAnsi="Arial"/>
                <w:sz w:val="18"/>
                <w:szCs w:val="18"/>
                <w:color w:val="auto"/>
              </w:rPr>
              <w:t>U.S. assumed long-term rate of return on plan assets</w:t>
            </w:r>
          </w:p>
        </w:tc>
        <w:tc>
          <w:tcPr>
            <w:tcW w:w="82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rPr>
              <w:t>7.00%</w:t>
            </w:r>
          </w:p>
        </w:tc>
        <w:tc>
          <w:tcPr>
            <w:tcW w:w="7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7.00%</w:t>
            </w:r>
          </w:p>
        </w:tc>
        <w:tc>
          <w:tcPr>
            <w:tcW w:w="720" w:type="dxa"/>
            <w:vAlign w:val="bottom"/>
          </w:tcPr>
          <w:p>
            <w:pPr>
              <w:jc w:val="right"/>
              <w:ind w:right="19"/>
              <w:spacing w:after="0" w:line="202" w:lineRule="exact"/>
              <w:rPr>
                <w:sz w:val="20"/>
                <w:szCs w:val="20"/>
                <w:color w:val="auto"/>
              </w:rPr>
            </w:pPr>
            <w:r>
              <w:rPr>
                <w:rFonts w:ascii="Arial" w:cs="Arial" w:eastAsia="Arial" w:hAnsi="Arial"/>
                <w:sz w:val="18"/>
                <w:szCs w:val="18"/>
                <w:b w:val="1"/>
                <w:bCs w:val="1"/>
                <w:color w:val="auto"/>
              </w:rPr>
              <w:t>7.00%</w:t>
            </w:r>
          </w:p>
        </w:tc>
        <w:tc>
          <w:tcPr>
            <w:tcW w:w="600" w:type="dxa"/>
            <w:vAlign w:val="bottom"/>
          </w:tcPr>
          <w:p>
            <w:pPr>
              <w:jc w:val="center"/>
              <w:ind w:left="12"/>
              <w:spacing w:after="0" w:line="202" w:lineRule="exact"/>
              <w:rPr>
                <w:sz w:val="20"/>
                <w:szCs w:val="20"/>
                <w:color w:val="auto"/>
              </w:rPr>
            </w:pPr>
            <w:r>
              <w:rPr>
                <w:rFonts w:ascii="Arial" w:cs="Arial" w:eastAsia="Arial" w:hAnsi="Arial"/>
                <w:sz w:val="18"/>
                <w:szCs w:val="18"/>
                <w:color w:val="auto"/>
                <w:w w:val="97"/>
              </w:rPr>
              <w:t>7.00%</w:t>
            </w:r>
          </w:p>
        </w:tc>
      </w:tr>
      <w:tr>
        <w:trPr>
          <w:trHeight w:val="203"/>
        </w:trPr>
        <w:tc>
          <w:tcPr>
            <w:tcW w:w="85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Non-U.S. assumed long-term rate of return on plan assets:</w:t>
            </w:r>
          </w:p>
        </w:tc>
        <w:tc>
          <w:tcPr>
            <w:tcW w:w="820" w:type="dxa"/>
            <w:vAlign w:val="bottom"/>
            <w:shd w:val="clear" w:color="auto" w:fill="E5E5E5"/>
          </w:tcPr>
          <w:p>
            <w:pPr>
              <w:spacing w:after="0"/>
              <w:rPr>
                <w:sz w:val="17"/>
                <w:szCs w:val="17"/>
                <w:color w:val="auto"/>
              </w:rPr>
            </w:pPr>
          </w:p>
        </w:tc>
        <w:tc>
          <w:tcPr>
            <w:tcW w:w="700" w:type="dxa"/>
            <w:vAlign w:val="bottom"/>
            <w:shd w:val="clear" w:color="auto" w:fill="E5E5E5"/>
          </w:tcPr>
          <w:p>
            <w:pPr>
              <w:spacing w:after="0"/>
              <w:rPr>
                <w:sz w:val="17"/>
                <w:szCs w:val="17"/>
                <w:color w:val="auto"/>
              </w:rPr>
            </w:pPr>
          </w:p>
        </w:tc>
        <w:tc>
          <w:tcPr>
            <w:tcW w:w="720" w:type="dxa"/>
            <w:vAlign w:val="bottom"/>
            <w:shd w:val="clear" w:color="auto" w:fill="E5E5E5"/>
          </w:tcPr>
          <w:p>
            <w:pPr>
              <w:spacing w:after="0"/>
              <w:rPr>
                <w:sz w:val="17"/>
                <w:szCs w:val="17"/>
                <w:color w:val="auto"/>
              </w:rPr>
            </w:pPr>
          </w:p>
        </w:tc>
        <w:tc>
          <w:tcPr>
            <w:tcW w:w="600" w:type="dxa"/>
            <w:vAlign w:val="bottom"/>
            <w:shd w:val="clear" w:color="auto" w:fill="E5E5E5"/>
          </w:tcPr>
          <w:p>
            <w:pPr>
              <w:spacing w:after="0"/>
              <w:rPr>
                <w:sz w:val="17"/>
                <w:szCs w:val="17"/>
                <w:color w:val="auto"/>
              </w:rPr>
            </w:pPr>
          </w:p>
        </w:tc>
      </w:tr>
      <w:tr>
        <w:trPr>
          <w:trHeight w:val="203"/>
        </w:trPr>
        <w:tc>
          <w:tcPr>
            <w:tcW w:w="8580" w:type="dxa"/>
            <w:vAlign w:val="bottom"/>
          </w:tcPr>
          <w:p>
            <w:pPr>
              <w:ind w:left="220"/>
              <w:spacing w:after="0" w:line="202" w:lineRule="exact"/>
              <w:rPr>
                <w:sz w:val="20"/>
                <w:szCs w:val="20"/>
                <w:color w:val="auto"/>
              </w:rPr>
            </w:pPr>
            <w:r>
              <w:rPr>
                <w:rFonts w:ascii="Arial" w:cs="Arial" w:eastAsia="Arial" w:hAnsi="Arial"/>
                <w:sz w:val="18"/>
                <w:szCs w:val="18"/>
                <w:color w:val="auto"/>
              </w:rPr>
              <w:t>High</w:t>
            </w:r>
          </w:p>
        </w:tc>
        <w:tc>
          <w:tcPr>
            <w:tcW w:w="82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rPr>
              <w:t>6.00%</w:t>
            </w:r>
          </w:p>
        </w:tc>
        <w:tc>
          <w:tcPr>
            <w:tcW w:w="7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6.60%</w:t>
            </w: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03"/>
        </w:trPr>
        <w:tc>
          <w:tcPr>
            <w:tcW w:w="858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Low</w:t>
            </w:r>
          </w:p>
        </w:tc>
        <w:tc>
          <w:tcPr>
            <w:tcW w:w="820" w:type="dxa"/>
            <w:vAlign w:val="bottom"/>
            <w:shd w:val="clear" w:color="auto" w:fill="E5E5E5"/>
          </w:tcPr>
          <w:p>
            <w:pPr>
              <w:jc w:val="right"/>
              <w:ind w:right="34"/>
              <w:spacing w:after="0" w:line="202" w:lineRule="exact"/>
              <w:rPr>
                <w:sz w:val="20"/>
                <w:szCs w:val="20"/>
                <w:color w:val="auto"/>
              </w:rPr>
            </w:pPr>
            <w:r>
              <w:rPr>
                <w:rFonts w:ascii="Arial" w:cs="Arial" w:eastAsia="Arial" w:hAnsi="Arial"/>
                <w:sz w:val="18"/>
                <w:szCs w:val="18"/>
                <w:b w:val="1"/>
                <w:bCs w:val="1"/>
                <w:color w:val="auto"/>
              </w:rPr>
              <w:t>2.00%</w:t>
            </w:r>
          </w:p>
        </w:tc>
        <w:tc>
          <w:tcPr>
            <w:tcW w:w="700" w:type="dxa"/>
            <w:vAlign w:val="bottom"/>
            <w:shd w:val="clear" w:color="auto" w:fill="E5E5E5"/>
          </w:tcPr>
          <w:p>
            <w:pPr>
              <w:jc w:val="right"/>
              <w:ind w:right="12"/>
              <w:spacing w:after="0" w:line="202" w:lineRule="exact"/>
              <w:rPr>
                <w:sz w:val="20"/>
                <w:szCs w:val="20"/>
                <w:color w:val="auto"/>
              </w:rPr>
            </w:pPr>
            <w:r>
              <w:rPr>
                <w:rFonts w:ascii="Arial" w:cs="Arial" w:eastAsia="Arial" w:hAnsi="Arial"/>
                <w:sz w:val="18"/>
                <w:szCs w:val="18"/>
                <w:color w:val="auto"/>
              </w:rPr>
              <w:t>2.00%</w:t>
            </w:r>
          </w:p>
        </w:tc>
        <w:tc>
          <w:tcPr>
            <w:tcW w:w="720" w:type="dxa"/>
            <w:vAlign w:val="bottom"/>
            <w:shd w:val="clear" w:color="auto" w:fill="E5E5E5"/>
          </w:tcPr>
          <w:p>
            <w:pPr>
              <w:spacing w:after="0"/>
              <w:rPr>
                <w:sz w:val="17"/>
                <w:szCs w:val="17"/>
                <w:color w:val="auto"/>
              </w:rPr>
            </w:pPr>
          </w:p>
        </w:tc>
        <w:tc>
          <w:tcPr>
            <w:tcW w:w="600" w:type="dxa"/>
            <w:vAlign w:val="bottom"/>
            <w:shd w:val="clear" w:color="auto" w:fill="E5E5E5"/>
          </w:tcPr>
          <w:p>
            <w:pPr>
              <w:spacing w:after="0"/>
              <w:rPr>
                <w:sz w:val="17"/>
                <w:szCs w:val="17"/>
                <w:color w:val="auto"/>
              </w:rPr>
            </w:pPr>
          </w:p>
        </w:tc>
      </w:tr>
      <w:tr>
        <w:trPr>
          <w:trHeight w:val="203"/>
        </w:trPr>
        <w:tc>
          <w:tcPr>
            <w:tcW w:w="8580" w:type="dxa"/>
            <w:vAlign w:val="bottom"/>
          </w:tcPr>
          <w:p>
            <w:pPr>
              <w:spacing w:after="0" w:line="202" w:lineRule="exact"/>
              <w:rPr>
                <w:sz w:val="20"/>
                <w:szCs w:val="20"/>
                <w:color w:val="auto"/>
              </w:rPr>
            </w:pPr>
            <w:r>
              <w:rPr>
                <w:rFonts w:ascii="Arial" w:cs="Arial" w:eastAsia="Arial" w:hAnsi="Arial"/>
                <w:sz w:val="18"/>
                <w:szCs w:val="18"/>
                <w:color w:val="auto"/>
              </w:rPr>
              <w:t>U.S. average long-term pay progression</w:t>
            </w:r>
          </w:p>
        </w:tc>
        <w:tc>
          <w:tcPr>
            <w:tcW w:w="82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rPr>
              <w:t>3.50%</w:t>
            </w:r>
          </w:p>
        </w:tc>
        <w:tc>
          <w:tcPr>
            <w:tcW w:w="7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4.00%</w:t>
            </w: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03"/>
        </w:trPr>
        <w:tc>
          <w:tcPr>
            <w:tcW w:w="85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Non-U.S. average long-term pay progression:</w:t>
            </w:r>
          </w:p>
        </w:tc>
        <w:tc>
          <w:tcPr>
            <w:tcW w:w="820" w:type="dxa"/>
            <w:vAlign w:val="bottom"/>
            <w:shd w:val="clear" w:color="auto" w:fill="E5E5E5"/>
          </w:tcPr>
          <w:p>
            <w:pPr>
              <w:spacing w:after="0"/>
              <w:rPr>
                <w:sz w:val="17"/>
                <w:szCs w:val="17"/>
                <w:color w:val="auto"/>
              </w:rPr>
            </w:pPr>
          </w:p>
        </w:tc>
        <w:tc>
          <w:tcPr>
            <w:tcW w:w="700" w:type="dxa"/>
            <w:vAlign w:val="bottom"/>
            <w:shd w:val="clear" w:color="auto" w:fill="E5E5E5"/>
          </w:tcPr>
          <w:p>
            <w:pPr>
              <w:spacing w:after="0"/>
              <w:rPr>
                <w:sz w:val="17"/>
                <w:szCs w:val="17"/>
                <w:color w:val="auto"/>
              </w:rPr>
            </w:pPr>
          </w:p>
        </w:tc>
        <w:tc>
          <w:tcPr>
            <w:tcW w:w="720" w:type="dxa"/>
            <w:vAlign w:val="bottom"/>
            <w:shd w:val="clear" w:color="auto" w:fill="E5E5E5"/>
          </w:tcPr>
          <w:p>
            <w:pPr>
              <w:spacing w:after="0"/>
              <w:rPr>
                <w:sz w:val="17"/>
                <w:szCs w:val="17"/>
                <w:color w:val="auto"/>
              </w:rPr>
            </w:pPr>
          </w:p>
        </w:tc>
        <w:tc>
          <w:tcPr>
            <w:tcW w:w="600" w:type="dxa"/>
            <w:vAlign w:val="bottom"/>
            <w:shd w:val="clear" w:color="auto" w:fill="E5E5E5"/>
          </w:tcPr>
          <w:p>
            <w:pPr>
              <w:spacing w:after="0"/>
              <w:rPr>
                <w:sz w:val="17"/>
                <w:szCs w:val="17"/>
                <w:color w:val="auto"/>
              </w:rPr>
            </w:pPr>
          </w:p>
        </w:tc>
      </w:tr>
      <w:tr>
        <w:trPr>
          <w:trHeight w:val="203"/>
        </w:trPr>
        <w:tc>
          <w:tcPr>
            <w:tcW w:w="8580" w:type="dxa"/>
            <w:vAlign w:val="bottom"/>
          </w:tcPr>
          <w:p>
            <w:pPr>
              <w:ind w:left="220"/>
              <w:spacing w:after="0" w:line="202" w:lineRule="exact"/>
              <w:rPr>
                <w:sz w:val="20"/>
                <w:szCs w:val="20"/>
                <w:color w:val="auto"/>
              </w:rPr>
            </w:pPr>
            <w:r>
              <w:rPr>
                <w:rFonts w:ascii="Arial" w:cs="Arial" w:eastAsia="Arial" w:hAnsi="Arial"/>
                <w:sz w:val="18"/>
                <w:szCs w:val="18"/>
                <w:color w:val="auto"/>
              </w:rPr>
              <w:t>High</w:t>
            </w:r>
          </w:p>
        </w:tc>
        <w:tc>
          <w:tcPr>
            <w:tcW w:w="82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rPr>
              <w:t>5.00%</w:t>
            </w:r>
          </w:p>
        </w:tc>
        <w:tc>
          <w:tcPr>
            <w:tcW w:w="7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4.00%</w:t>
            </w: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03"/>
        </w:trPr>
        <w:tc>
          <w:tcPr>
            <w:tcW w:w="858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Low</w:t>
            </w:r>
          </w:p>
        </w:tc>
        <w:tc>
          <w:tcPr>
            <w:tcW w:w="820" w:type="dxa"/>
            <w:vAlign w:val="bottom"/>
            <w:shd w:val="clear" w:color="auto" w:fill="E5E5E5"/>
          </w:tcPr>
          <w:p>
            <w:pPr>
              <w:jc w:val="right"/>
              <w:ind w:right="34"/>
              <w:spacing w:after="0" w:line="202" w:lineRule="exact"/>
              <w:rPr>
                <w:sz w:val="20"/>
                <w:szCs w:val="20"/>
                <w:color w:val="auto"/>
              </w:rPr>
            </w:pPr>
            <w:r>
              <w:rPr>
                <w:rFonts w:ascii="Arial" w:cs="Arial" w:eastAsia="Arial" w:hAnsi="Arial"/>
                <w:sz w:val="18"/>
                <w:szCs w:val="18"/>
                <w:b w:val="1"/>
                <w:bCs w:val="1"/>
                <w:color w:val="auto"/>
              </w:rPr>
              <w:t>3.00%</w:t>
            </w:r>
          </w:p>
        </w:tc>
        <w:tc>
          <w:tcPr>
            <w:tcW w:w="700" w:type="dxa"/>
            <w:vAlign w:val="bottom"/>
            <w:shd w:val="clear" w:color="auto" w:fill="E5E5E5"/>
          </w:tcPr>
          <w:p>
            <w:pPr>
              <w:jc w:val="right"/>
              <w:ind w:right="12"/>
              <w:spacing w:after="0" w:line="202" w:lineRule="exact"/>
              <w:rPr>
                <w:sz w:val="20"/>
                <w:szCs w:val="20"/>
                <w:color w:val="auto"/>
              </w:rPr>
            </w:pPr>
            <w:r>
              <w:rPr>
                <w:rFonts w:ascii="Arial" w:cs="Arial" w:eastAsia="Arial" w:hAnsi="Arial"/>
                <w:sz w:val="18"/>
                <w:szCs w:val="18"/>
                <w:color w:val="auto"/>
              </w:rPr>
              <w:t>3.00%</w:t>
            </w:r>
          </w:p>
        </w:tc>
        <w:tc>
          <w:tcPr>
            <w:tcW w:w="720" w:type="dxa"/>
            <w:vAlign w:val="bottom"/>
            <w:shd w:val="clear" w:color="auto" w:fill="E5E5E5"/>
          </w:tcPr>
          <w:p>
            <w:pPr>
              <w:spacing w:after="0"/>
              <w:rPr>
                <w:sz w:val="17"/>
                <w:szCs w:val="17"/>
                <w:color w:val="auto"/>
              </w:rPr>
            </w:pPr>
          </w:p>
        </w:tc>
        <w:tc>
          <w:tcPr>
            <w:tcW w:w="600" w:type="dxa"/>
            <w:vAlign w:val="bottom"/>
            <w:shd w:val="clear" w:color="auto" w:fill="E5E5E5"/>
          </w:tcPr>
          <w:p>
            <w:pPr>
              <w:spacing w:after="0"/>
              <w:rPr>
                <w:sz w:val="17"/>
                <w:szCs w:val="17"/>
                <w:color w:val="auto"/>
              </w:rPr>
            </w:pPr>
          </w:p>
        </w:tc>
      </w:tr>
    </w:tbl>
    <w:p>
      <w:pPr>
        <w:spacing w:after="0" w:line="165" w:lineRule="exact"/>
        <w:rPr>
          <w:sz w:val="20"/>
          <w:szCs w:val="20"/>
          <w:color w:val="auto"/>
        </w:rPr>
      </w:pPr>
    </w:p>
    <w:p>
      <w:pPr>
        <w:ind w:right="200"/>
        <w:spacing w:after="0" w:line="236" w:lineRule="auto"/>
        <w:rPr>
          <w:sz w:val="20"/>
          <w:szCs w:val="20"/>
          <w:color w:val="auto"/>
        </w:rPr>
      </w:pPr>
      <w:r>
        <w:rPr>
          <w:rFonts w:ascii="Arial" w:cs="Arial" w:eastAsia="Arial" w:hAnsi="Arial"/>
          <w:sz w:val="18"/>
          <w:szCs w:val="18"/>
          <w:color w:val="auto"/>
        </w:rPr>
        <w:t>In order to select a discount rate for purposes of valuing the plan obligations and for fiscal-year-end disclosure, an analysis is performed in which the projected cash flows from significant defined benefit and retiree health care plans are matched with a yield curve based on an appropriate universe of high-quality corporate bonds that are available in each country. In this manner, a present value is developed. The discount rate selected is the single equivalent rate that produces the same present value. This approach produces a discount rate that recognizes each plan’s distinct liability characteristics.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ranges of assumptions used for the non-U.S. defined benefit plans reflect the different economic environments within the various countries.</w:t>
      </w:r>
    </w:p>
    <w:p>
      <w:pPr>
        <w:spacing w:after="0" w:line="15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Assumptions for expected long-term rate of return on plan assets are based upon future expectations for returns for each asset class and the effect of periodic target asset allocation rebalancing. The results are adjusted for the payment of reasonable expenses of the plan from plan assets. The historical long-term return on the plans’ assets has exceeded the selected rates, and we believe these assumptions are appropriate based upon the mix of the investments and the long-term nature of the plans’ investments.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120" w:type="dxa"/>
            <w:vAlign w:val="bottom"/>
          </w:tcPr>
          <w:p>
            <w:pPr>
              <w:spacing w:after="0"/>
              <w:rPr>
                <w:sz w:val="20"/>
                <w:szCs w:val="20"/>
                <w:color w:val="auto"/>
              </w:rPr>
            </w:pPr>
            <w:r>
              <w:rPr>
                <w:rFonts w:ascii="Arial" w:cs="Arial" w:eastAsia="Arial" w:hAnsi="Arial"/>
                <w:sz w:val="14"/>
                <w:szCs w:val="14"/>
                <w:color w:val="auto"/>
              </w:rPr>
              <w:t>TEXAS INSTRUMENTS 2007 ANNUAL REPORT</w:t>
            </w:r>
          </w:p>
        </w:tc>
        <w:tc>
          <w:tcPr>
            <w:tcW w:w="4300" w:type="dxa"/>
            <w:vAlign w:val="bottom"/>
          </w:tcPr>
          <w:p>
            <w:pPr>
              <w:jc w:val="right"/>
              <w:spacing w:after="0"/>
              <w:rPr>
                <w:sz w:val="20"/>
                <w:szCs w:val="20"/>
                <w:color w:val="auto"/>
              </w:rPr>
            </w:pPr>
            <w:r>
              <w:rPr>
                <w:rFonts w:ascii="Arial" w:cs="Arial" w:eastAsia="Arial" w:hAnsi="Arial"/>
                <w:sz w:val="14"/>
                <w:szCs w:val="14"/>
                <w:color w:val="auto"/>
              </w:rPr>
              <w:t>31</w:t>
            </w:r>
          </w:p>
        </w:tc>
      </w:tr>
    </w:tbl>
    <w:p>
      <w:pPr>
        <w:sectPr>
          <w:pgSz w:w="11900" w:h="16838" w:orient="portrait"/>
          <w:cols w:equalWidth="0" w:num="1">
            <w:col w:w="11420"/>
          </w:cols>
          <w:pgMar w:left="240" w:top="291" w:right="239" w:bottom="1440" w:gutter="0" w:footer="0" w:header="0"/>
        </w:sectPr>
      </w:pPr>
    </w:p>
    <w:bookmarkStart w:id="51" w:name="page52"/>
    <w:bookmarkEnd w:id="51"/>
    <w:p>
      <w:pPr>
        <w:jc w:val="both"/>
        <w:ind w:right="40"/>
        <w:spacing w:after="0" w:line="23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Our rate of return assumption for the U.S. defined benefit plan reflects a decision to move gradually over several years to an asset allocation policy with less emphasis on equity investments. This allocation move is designed to better match the plan’s assets with the liability structure as the plan matures.</w:t>
      </w:r>
    </w:p>
    <w:p>
      <w:pPr>
        <w:spacing w:after="0" w:line="154"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The table below shows target allocation ranges for the plans that hold a substantial majority of the defined benefit assets. The asset allocations for the retiree health care benefit plan are generally intended to represent the long-term targeted mix rather than a current mix.</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shd w:val="clear" w:color="auto" w:fill="E5E5E5"/>
          </w:tcPr>
          <w:p>
            <w:pPr>
              <w:spacing w:after="0"/>
              <w:rPr>
                <w:sz w:val="14"/>
                <w:szCs w:val="14"/>
                <w:color w:val="auto"/>
              </w:rPr>
            </w:pPr>
          </w:p>
        </w:tc>
        <w:tc>
          <w:tcPr>
            <w:tcW w:w="3780" w:type="dxa"/>
            <w:vAlign w:val="bottom"/>
            <w:shd w:val="clear" w:color="auto" w:fill="E5E5E5"/>
          </w:tcPr>
          <w:p>
            <w:pPr>
              <w:jc w:val="center"/>
              <w:ind w:left="2522"/>
              <w:spacing w:after="0"/>
              <w:rPr>
                <w:sz w:val="20"/>
                <w:szCs w:val="20"/>
                <w:color w:val="auto"/>
              </w:rPr>
            </w:pPr>
            <w:r>
              <w:rPr>
                <w:rFonts w:ascii="Arial" w:cs="Arial" w:eastAsia="Arial" w:hAnsi="Arial"/>
                <w:sz w:val="14"/>
                <w:szCs w:val="14"/>
                <w:b w:val="1"/>
                <w:bCs w:val="1"/>
                <w:color w:val="auto"/>
                <w:w w:val="94"/>
              </w:rPr>
              <w:t>U.S. Defined</w:t>
            </w:r>
          </w:p>
        </w:tc>
        <w:tc>
          <w:tcPr>
            <w:tcW w:w="1100" w:type="dxa"/>
            <w:vAlign w:val="bottom"/>
            <w:shd w:val="clear" w:color="auto" w:fill="E5E5E5"/>
          </w:tcPr>
          <w:p>
            <w:pPr>
              <w:jc w:val="center"/>
              <w:spacing w:after="0"/>
              <w:rPr>
                <w:sz w:val="20"/>
                <w:szCs w:val="20"/>
                <w:color w:val="auto"/>
              </w:rPr>
            </w:pPr>
            <w:r>
              <w:rPr>
                <w:rFonts w:ascii="Arial" w:cs="Arial" w:eastAsia="Arial" w:hAnsi="Arial"/>
                <w:sz w:val="14"/>
                <w:szCs w:val="14"/>
                <w:b w:val="1"/>
                <w:bCs w:val="1"/>
                <w:color w:val="auto"/>
                <w:w w:val="96"/>
              </w:rPr>
              <w:t>U.S. Retiree</w:t>
            </w:r>
          </w:p>
        </w:tc>
        <w:tc>
          <w:tcPr>
            <w:tcW w:w="1160" w:type="dxa"/>
            <w:vAlign w:val="bottom"/>
            <w:gridSpan w:val="2"/>
            <w:shd w:val="clear" w:color="auto" w:fill="E5E5E5"/>
          </w:tcPr>
          <w:p>
            <w:pPr>
              <w:jc w:val="right"/>
              <w:ind w:right="132"/>
              <w:spacing w:after="0"/>
              <w:rPr>
                <w:sz w:val="20"/>
                <w:szCs w:val="20"/>
                <w:color w:val="auto"/>
              </w:rPr>
            </w:pPr>
            <w:r>
              <w:rPr>
                <w:rFonts w:ascii="Arial" w:cs="Arial" w:eastAsia="Arial" w:hAnsi="Arial"/>
                <w:sz w:val="14"/>
                <w:szCs w:val="14"/>
                <w:b w:val="1"/>
                <w:bCs w:val="1"/>
                <w:color w:val="auto"/>
              </w:rPr>
              <w:t>Non-U.S.</w:t>
            </w:r>
          </w:p>
        </w:tc>
      </w:tr>
      <w:tr>
        <w:trPr>
          <w:trHeight w:val="176"/>
        </w:trPr>
        <w:tc>
          <w:tcPr>
            <w:tcW w:w="5380" w:type="dxa"/>
            <w:vAlign w:val="bottom"/>
            <w:shd w:val="clear" w:color="auto" w:fill="E5E5E5"/>
          </w:tcPr>
          <w:p>
            <w:pPr>
              <w:spacing w:after="0"/>
              <w:rPr>
                <w:sz w:val="20"/>
                <w:szCs w:val="20"/>
                <w:color w:val="auto"/>
              </w:rPr>
            </w:pPr>
            <w:r>
              <w:rPr>
                <w:rFonts w:ascii="Arial" w:cs="Arial" w:eastAsia="Arial" w:hAnsi="Arial"/>
                <w:sz w:val="14"/>
                <w:szCs w:val="14"/>
                <w:b w:val="1"/>
                <w:bCs w:val="1"/>
                <w:color w:val="auto"/>
              </w:rPr>
              <w:t>Asset Category</w:t>
            </w:r>
          </w:p>
        </w:tc>
        <w:tc>
          <w:tcPr>
            <w:tcW w:w="3780" w:type="dxa"/>
            <w:vAlign w:val="bottom"/>
            <w:shd w:val="clear" w:color="auto" w:fill="E5E5E5"/>
          </w:tcPr>
          <w:p>
            <w:pPr>
              <w:jc w:val="center"/>
              <w:ind w:left="2522"/>
              <w:spacing w:after="0"/>
              <w:rPr>
                <w:sz w:val="20"/>
                <w:szCs w:val="20"/>
                <w:color w:val="auto"/>
              </w:rPr>
            </w:pPr>
            <w:r>
              <w:rPr>
                <w:rFonts w:ascii="Arial" w:cs="Arial" w:eastAsia="Arial" w:hAnsi="Arial"/>
                <w:sz w:val="14"/>
                <w:szCs w:val="14"/>
                <w:b w:val="1"/>
                <w:bCs w:val="1"/>
                <w:color w:val="auto"/>
                <w:w w:val="96"/>
              </w:rPr>
              <w:t>Benefit</w:t>
            </w:r>
          </w:p>
        </w:tc>
        <w:tc>
          <w:tcPr>
            <w:tcW w:w="1100" w:type="dxa"/>
            <w:vAlign w:val="bottom"/>
            <w:shd w:val="clear" w:color="auto" w:fill="E5E5E5"/>
          </w:tcPr>
          <w:p>
            <w:pPr>
              <w:jc w:val="center"/>
              <w:spacing w:after="0"/>
              <w:rPr>
                <w:sz w:val="20"/>
                <w:szCs w:val="20"/>
                <w:color w:val="auto"/>
              </w:rPr>
            </w:pPr>
            <w:r>
              <w:rPr>
                <w:rFonts w:ascii="Arial" w:cs="Arial" w:eastAsia="Arial" w:hAnsi="Arial"/>
                <w:sz w:val="14"/>
                <w:szCs w:val="14"/>
                <w:b w:val="1"/>
                <w:bCs w:val="1"/>
                <w:color w:val="auto"/>
                <w:w w:val="95"/>
              </w:rPr>
              <w:t>Health Care</w:t>
            </w:r>
          </w:p>
        </w:tc>
        <w:tc>
          <w:tcPr>
            <w:tcW w:w="1160" w:type="dxa"/>
            <w:vAlign w:val="bottom"/>
            <w:gridSpan w:val="2"/>
            <w:shd w:val="clear" w:color="auto" w:fill="E5E5E5"/>
          </w:tcPr>
          <w:p>
            <w:pPr>
              <w:jc w:val="right"/>
              <w:spacing w:after="0"/>
              <w:rPr>
                <w:sz w:val="20"/>
                <w:szCs w:val="20"/>
                <w:color w:val="auto"/>
              </w:rPr>
            </w:pPr>
            <w:r>
              <w:rPr>
                <w:rFonts w:ascii="Arial" w:cs="Arial" w:eastAsia="Arial" w:hAnsi="Arial"/>
                <w:sz w:val="14"/>
                <w:szCs w:val="14"/>
                <w:b w:val="1"/>
                <w:bCs w:val="1"/>
                <w:color w:val="auto"/>
              </w:rPr>
              <w:t>Defined Benefit</w:t>
            </w:r>
          </w:p>
        </w:tc>
      </w:tr>
      <w:tr>
        <w:trPr>
          <w:trHeight w:val="311"/>
        </w:trPr>
        <w:tc>
          <w:tcPr>
            <w:tcW w:w="5380" w:type="dxa"/>
            <w:vAlign w:val="bottom"/>
          </w:tcPr>
          <w:p>
            <w:pPr>
              <w:spacing w:after="0"/>
              <w:rPr>
                <w:sz w:val="20"/>
                <w:szCs w:val="20"/>
                <w:color w:val="auto"/>
              </w:rPr>
            </w:pPr>
            <w:r>
              <w:rPr>
                <w:rFonts w:ascii="Arial" w:cs="Arial" w:eastAsia="Arial" w:hAnsi="Arial"/>
                <w:sz w:val="18"/>
                <w:szCs w:val="18"/>
                <w:color w:val="auto"/>
              </w:rPr>
              <w:t>Equity securities</w:t>
            </w:r>
          </w:p>
        </w:tc>
        <w:tc>
          <w:tcPr>
            <w:tcW w:w="3780" w:type="dxa"/>
            <w:vAlign w:val="bottom"/>
          </w:tcPr>
          <w:p>
            <w:pPr>
              <w:jc w:val="center"/>
              <w:ind w:left="2522"/>
              <w:spacing w:after="0"/>
              <w:rPr>
                <w:sz w:val="20"/>
                <w:szCs w:val="20"/>
                <w:color w:val="auto"/>
              </w:rPr>
            </w:pPr>
            <w:r>
              <w:rPr>
                <w:rFonts w:ascii="Arial" w:cs="Arial" w:eastAsia="Arial" w:hAnsi="Arial"/>
                <w:sz w:val="18"/>
                <w:szCs w:val="18"/>
                <w:color w:val="auto"/>
                <w:w w:val="97"/>
              </w:rPr>
              <w:t>50% - 75%</w:t>
            </w:r>
          </w:p>
        </w:tc>
        <w:tc>
          <w:tcPr>
            <w:tcW w:w="1100" w:type="dxa"/>
            <w:vAlign w:val="bottom"/>
          </w:tcPr>
          <w:p>
            <w:pPr>
              <w:jc w:val="center"/>
              <w:spacing w:after="0"/>
              <w:rPr>
                <w:sz w:val="20"/>
                <w:szCs w:val="20"/>
                <w:color w:val="auto"/>
              </w:rPr>
            </w:pPr>
            <w:r>
              <w:rPr>
                <w:rFonts w:ascii="Arial" w:cs="Arial" w:eastAsia="Arial" w:hAnsi="Arial"/>
                <w:sz w:val="18"/>
                <w:szCs w:val="18"/>
                <w:color w:val="auto"/>
                <w:w w:val="94"/>
              </w:rPr>
              <w:t>75%</w:t>
            </w:r>
          </w:p>
        </w:tc>
        <w:tc>
          <w:tcPr>
            <w:tcW w:w="720" w:type="dxa"/>
            <w:vAlign w:val="bottom"/>
          </w:tcPr>
          <w:p>
            <w:pPr>
              <w:jc w:val="right"/>
              <w:spacing w:after="0"/>
              <w:rPr>
                <w:sz w:val="20"/>
                <w:szCs w:val="20"/>
                <w:color w:val="auto"/>
              </w:rPr>
            </w:pPr>
            <w:r>
              <w:rPr>
                <w:rFonts w:ascii="Arial" w:cs="Arial" w:eastAsia="Arial" w:hAnsi="Arial"/>
                <w:sz w:val="18"/>
                <w:szCs w:val="18"/>
                <w:color w:val="auto"/>
              </w:rPr>
              <w:t>30% -</w:t>
            </w:r>
          </w:p>
        </w:tc>
        <w:tc>
          <w:tcPr>
            <w:tcW w:w="4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03"/>
        </w:trPr>
        <w:tc>
          <w:tcPr>
            <w:tcW w:w="53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Fixed income securities and cash</w:t>
            </w:r>
          </w:p>
        </w:tc>
        <w:tc>
          <w:tcPr>
            <w:tcW w:w="3780" w:type="dxa"/>
            <w:vAlign w:val="bottom"/>
            <w:shd w:val="clear" w:color="auto" w:fill="E5E5E5"/>
          </w:tcPr>
          <w:p>
            <w:pPr>
              <w:jc w:val="center"/>
              <w:ind w:left="2522"/>
              <w:spacing w:after="0" w:line="202" w:lineRule="exact"/>
              <w:rPr>
                <w:sz w:val="20"/>
                <w:szCs w:val="20"/>
                <w:color w:val="auto"/>
              </w:rPr>
            </w:pPr>
            <w:r>
              <w:rPr>
                <w:rFonts w:ascii="Arial" w:cs="Arial" w:eastAsia="Arial" w:hAnsi="Arial"/>
                <w:sz w:val="18"/>
                <w:szCs w:val="18"/>
                <w:color w:val="auto"/>
                <w:w w:val="97"/>
              </w:rPr>
              <w:t>25% - 50%</w:t>
            </w:r>
          </w:p>
        </w:tc>
        <w:tc>
          <w:tcPr>
            <w:tcW w:w="1100" w:type="dxa"/>
            <w:vAlign w:val="bottom"/>
            <w:shd w:val="clear" w:color="auto" w:fill="E5E5E5"/>
          </w:tcPr>
          <w:p>
            <w:pPr>
              <w:jc w:val="center"/>
              <w:spacing w:after="0" w:line="202" w:lineRule="exact"/>
              <w:rPr>
                <w:sz w:val="20"/>
                <w:szCs w:val="20"/>
                <w:color w:val="auto"/>
              </w:rPr>
            </w:pPr>
            <w:r>
              <w:rPr>
                <w:rFonts w:ascii="Arial" w:cs="Arial" w:eastAsia="Arial" w:hAnsi="Arial"/>
                <w:sz w:val="18"/>
                <w:szCs w:val="18"/>
                <w:color w:val="auto"/>
                <w:w w:val="94"/>
              </w:rPr>
              <w:t>25%</w:t>
            </w:r>
          </w:p>
        </w:tc>
        <w:tc>
          <w:tcPr>
            <w:tcW w:w="7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40% -</w:t>
            </w:r>
          </w:p>
        </w:tc>
        <w:tc>
          <w:tcPr>
            <w:tcW w:w="4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70%</w:t>
            </w:r>
          </w:p>
        </w:tc>
      </w:tr>
    </w:tbl>
    <w:p>
      <w:pPr>
        <w:spacing w:after="0" w:line="165" w:lineRule="exact"/>
        <w:rPr>
          <w:sz w:val="20"/>
          <w:szCs w:val="20"/>
          <w:color w:val="auto"/>
        </w:rPr>
      </w:pPr>
    </w:p>
    <w:p>
      <w:pPr>
        <w:ind w:right="160"/>
        <w:spacing w:after="0" w:line="271" w:lineRule="auto"/>
        <w:rPr>
          <w:sz w:val="20"/>
          <w:szCs w:val="20"/>
          <w:color w:val="auto"/>
        </w:rPr>
      </w:pPr>
      <w:r>
        <w:rPr>
          <w:rFonts w:ascii="Arial" w:cs="Arial" w:eastAsia="Arial" w:hAnsi="Arial"/>
          <w:sz w:val="16"/>
          <w:szCs w:val="16"/>
          <w:color w:val="auto"/>
        </w:rPr>
        <w:t>For the defined benefit plans, it is intended that the investments will be rebalanced when the allocation is not within the target range. Additional contributions are invested consistent with the target ranges and may be used to rebalance the portfolio. The investment allocations and individual investments are chosen with regard to the duration of the obligations of the plan. A portion of the retiree health care benefit plan assets are invested in an account within the pension trust and are invested in a like manner as the other pension assets. The majority of the assets in the retiree health care benefit plan are invested in a series of Voluntary Employee Benefit Association (VEBA) trusts. For tax efficiency, the investments in the VEBA trusts are not rebalanced but additional contributions to the trusts may be used to reallocate the portfolio.</w:t>
      </w:r>
    </w:p>
    <w:p>
      <w:pPr>
        <w:spacing w:after="0" w:line="1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Weighted average asset allocations at December 31,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shd w:val="clear" w:color="auto" w:fill="E5E5E5"/>
          </w:tcPr>
          <w:p>
            <w:pPr>
              <w:spacing w:after="0"/>
              <w:rPr>
                <w:sz w:val="14"/>
                <w:szCs w:val="14"/>
                <w:color w:val="auto"/>
              </w:rPr>
            </w:pPr>
          </w:p>
        </w:tc>
        <w:tc>
          <w:tcPr>
            <w:tcW w:w="1260" w:type="dxa"/>
            <w:vAlign w:val="bottom"/>
            <w:gridSpan w:val="2"/>
            <w:shd w:val="clear" w:color="auto" w:fill="E5E5E5"/>
          </w:tcPr>
          <w:p>
            <w:pPr>
              <w:jc w:val="center"/>
              <w:spacing w:after="0"/>
              <w:rPr>
                <w:sz w:val="20"/>
                <w:szCs w:val="20"/>
                <w:color w:val="auto"/>
              </w:rPr>
            </w:pPr>
            <w:r>
              <w:rPr>
                <w:rFonts w:ascii="Arial" w:cs="Arial" w:eastAsia="Arial" w:hAnsi="Arial"/>
                <w:sz w:val="14"/>
                <w:szCs w:val="14"/>
                <w:b w:val="1"/>
                <w:bCs w:val="1"/>
                <w:color w:val="auto"/>
                <w:w w:val="96"/>
              </w:rPr>
              <w:t>U.S. Defined</w:t>
            </w:r>
          </w:p>
        </w:tc>
        <w:tc>
          <w:tcPr>
            <w:tcW w:w="1260" w:type="dxa"/>
            <w:vAlign w:val="bottom"/>
            <w:gridSpan w:val="2"/>
            <w:shd w:val="clear" w:color="auto" w:fill="E5E5E5"/>
          </w:tcPr>
          <w:p>
            <w:pPr>
              <w:ind w:left="280"/>
              <w:spacing w:after="0"/>
              <w:rPr>
                <w:sz w:val="20"/>
                <w:szCs w:val="20"/>
                <w:color w:val="auto"/>
              </w:rPr>
            </w:pPr>
            <w:r>
              <w:rPr>
                <w:rFonts w:ascii="Arial" w:cs="Arial" w:eastAsia="Arial" w:hAnsi="Arial"/>
                <w:sz w:val="14"/>
                <w:szCs w:val="14"/>
                <w:b w:val="1"/>
                <w:bCs w:val="1"/>
                <w:color w:val="auto"/>
              </w:rPr>
              <w:t>U.S. Retiree</w:t>
            </w:r>
          </w:p>
        </w:tc>
        <w:tc>
          <w:tcPr>
            <w:tcW w:w="1240" w:type="dxa"/>
            <w:vAlign w:val="bottom"/>
            <w:gridSpan w:val="2"/>
            <w:shd w:val="clear" w:color="auto" w:fill="E5E5E5"/>
          </w:tcPr>
          <w:p>
            <w:pPr>
              <w:jc w:val="center"/>
              <w:spacing w:after="0"/>
              <w:rPr>
                <w:sz w:val="20"/>
                <w:szCs w:val="20"/>
                <w:color w:val="auto"/>
              </w:rPr>
            </w:pPr>
            <w:r>
              <w:rPr>
                <w:rFonts w:ascii="Arial" w:cs="Arial" w:eastAsia="Arial" w:hAnsi="Arial"/>
                <w:sz w:val="14"/>
                <w:szCs w:val="14"/>
                <w:b w:val="1"/>
                <w:bCs w:val="1"/>
                <w:color w:val="auto"/>
                <w:w w:val="94"/>
              </w:rPr>
              <w:t>Non-U.S.</w:t>
            </w:r>
          </w:p>
        </w:tc>
      </w:tr>
      <w:tr>
        <w:trPr>
          <w:trHeight w:val="165"/>
        </w:trPr>
        <w:tc>
          <w:tcPr>
            <w:tcW w:w="7660" w:type="dxa"/>
            <w:vAlign w:val="bottom"/>
            <w:shd w:val="clear" w:color="auto" w:fill="E5E5E5"/>
          </w:tcPr>
          <w:p>
            <w:pPr>
              <w:spacing w:after="0"/>
              <w:rPr>
                <w:sz w:val="14"/>
                <w:szCs w:val="14"/>
                <w:color w:val="auto"/>
              </w:rPr>
            </w:pPr>
          </w:p>
        </w:tc>
        <w:tc>
          <w:tcPr>
            <w:tcW w:w="1260" w:type="dxa"/>
            <w:vAlign w:val="bottom"/>
            <w:gridSpan w:val="2"/>
            <w:shd w:val="clear" w:color="auto" w:fill="E5E5E5"/>
          </w:tcPr>
          <w:p>
            <w:pPr>
              <w:jc w:val="center"/>
              <w:spacing w:after="0"/>
              <w:rPr>
                <w:sz w:val="20"/>
                <w:szCs w:val="20"/>
                <w:color w:val="auto"/>
              </w:rPr>
            </w:pPr>
            <w:r>
              <w:rPr>
                <w:rFonts w:ascii="Arial" w:cs="Arial" w:eastAsia="Arial" w:hAnsi="Arial"/>
                <w:sz w:val="14"/>
                <w:szCs w:val="14"/>
                <w:b w:val="1"/>
                <w:bCs w:val="1"/>
                <w:color w:val="auto"/>
                <w:w w:val="96"/>
              </w:rPr>
              <w:t>Benefit</w:t>
            </w:r>
          </w:p>
        </w:tc>
        <w:tc>
          <w:tcPr>
            <w:tcW w:w="1260" w:type="dxa"/>
            <w:vAlign w:val="bottom"/>
            <w:gridSpan w:val="2"/>
            <w:shd w:val="clear" w:color="auto" w:fill="E5E5E5"/>
          </w:tcPr>
          <w:p>
            <w:pPr>
              <w:ind w:left="280"/>
              <w:spacing w:after="0"/>
              <w:rPr>
                <w:sz w:val="20"/>
                <w:szCs w:val="20"/>
                <w:color w:val="auto"/>
              </w:rPr>
            </w:pPr>
            <w:r>
              <w:rPr>
                <w:rFonts w:ascii="Arial" w:cs="Arial" w:eastAsia="Arial" w:hAnsi="Arial"/>
                <w:sz w:val="14"/>
                <w:szCs w:val="14"/>
                <w:b w:val="1"/>
                <w:bCs w:val="1"/>
                <w:color w:val="auto"/>
              </w:rPr>
              <w:t>Health Care</w:t>
            </w:r>
          </w:p>
        </w:tc>
        <w:tc>
          <w:tcPr>
            <w:tcW w:w="1240" w:type="dxa"/>
            <w:vAlign w:val="bottom"/>
            <w:gridSpan w:val="2"/>
            <w:shd w:val="clear" w:color="auto" w:fill="E5E5E5"/>
          </w:tcPr>
          <w:p>
            <w:pPr>
              <w:jc w:val="center"/>
              <w:spacing w:after="0"/>
              <w:rPr>
                <w:sz w:val="20"/>
                <w:szCs w:val="20"/>
                <w:color w:val="auto"/>
              </w:rPr>
            </w:pPr>
            <w:r>
              <w:rPr>
                <w:rFonts w:ascii="Arial" w:cs="Arial" w:eastAsia="Arial" w:hAnsi="Arial"/>
                <w:sz w:val="14"/>
                <w:szCs w:val="14"/>
                <w:b w:val="1"/>
                <w:bCs w:val="1"/>
                <w:color w:val="auto"/>
                <w:w w:val="97"/>
              </w:rPr>
              <w:t>Defined Benefit</w:t>
            </w:r>
          </w:p>
        </w:tc>
      </w:tr>
      <w:tr>
        <w:trPr>
          <w:trHeight w:val="311"/>
        </w:trPr>
        <w:tc>
          <w:tcPr>
            <w:tcW w:w="7660" w:type="dxa"/>
            <w:vAlign w:val="bottom"/>
            <w:shd w:val="clear" w:color="auto" w:fill="E5E5E5"/>
          </w:tcPr>
          <w:p>
            <w:pPr>
              <w:spacing w:after="0"/>
              <w:rPr>
                <w:sz w:val="20"/>
                <w:szCs w:val="20"/>
                <w:color w:val="auto"/>
              </w:rPr>
            </w:pPr>
            <w:r>
              <w:rPr>
                <w:rFonts w:ascii="Arial" w:cs="Arial" w:eastAsia="Arial" w:hAnsi="Arial"/>
                <w:sz w:val="14"/>
                <w:szCs w:val="14"/>
                <w:b w:val="1"/>
                <w:bCs w:val="1"/>
                <w:color w:val="auto"/>
              </w:rPr>
              <w:t>Asset Category</w:t>
            </w:r>
          </w:p>
        </w:tc>
        <w:tc>
          <w:tcPr>
            <w:tcW w:w="640" w:type="dxa"/>
            <w:vAlign w:val="bottom"/>
            <w:shd w:val="clear" w:color="auto" w:fill="E5E5E5"/>
          </w:tcPr>
          <w:p>
            <w:pPr>
              <w:ind w:left="140"/>
              <w:spacing w:after="0"/>
              <w:rPr>
                <w:sz w:val="20"/>
                <w:szCs w:val="20"/>
                <w:color w:val="auto"/>
              </w:rPr>
            </w:pPr>
            <w:r>
              <w:rPr>
                <w:rFonts w:ascii="Arial" w:cs="Arial" w:eastAsia="Arial" w:hAnsi="Arial"/>
                <w:sz w:val="18"/>
                <w:szCs w:val="18"/>
                <w:b w:val="1"/>
                <w:bCs w:val="1"/>
                <w:color w:val="auto"/>
              </w:rPr>
              <w:t>2007</w:t>
            </w:r>
          </w:p>
        </w:tc>
        <w:tc>
          <w:tcPr>
            <w:tcW w:w="620" w:type="dxa"/>
            <w:vAlign w:val="bottom"/>
            <w:shd w:val="clear" w:color="auto" w:fill="E5E5E5"/>
          </w:tcPr>
          <w:p>
            <w:pPr>
              <w:jc w:val="center"/>
              <w:spacing w:after="0"/>
              <w:rPr>
                <w:sz w:val="20"/>
                <w:szCs w:val="20"/>
                <w:color w:val="auto"/>
              </w:rPr>
            </w:pPr>
            <w:r>
              <w:rPr>
                <w:rFonts w:ascii="Arial" w:cs="Arial" w:eastAsia="Arial" w:hAnsi="Arial"/>
                <w:sz w:val="18"/>
                <w:szCs w:val="18"/>
                <w:b w:val="1"/>
                <w:bCs w:val="1"/>
                <w:color w:val="auto"/>
                <w:w w:val="94"/>
              </w:rPr>
              <w:t>2006</w:t>
            </w:r>
          </w:p>
        </w:tc>
        <w:tc>
          <w:tcPr>
            <w:tcW w:w="640" w:type="dxa"/>
            <w:vAlign w:val="bottom"/>
            <w:shd w:val="clear" w:color="auto" w:fill="E5E5E5"/>
          </w:tcPr>
          <w:p>
            <w:pPr>
              <w:ind w:left="120"/>
              <w:spacing w:after="0"/>
              <w:rPr>
                <w:sz w:val="20"/>
                <w:szCs w:val="20"/>
                <w:color w:val="auto"/>
              </w:rPr>
            </w:pPr>
            <w:r>
              <w:rPr>
                <w:rFonts w:ascii="Arial" w:cs="Arial" w:eastAsia="Arial" w:hAnsi="Arial"/>
                <w:sz w:val="18"/>
                <w:szCs w:val="18"/>
                <w:b w:val="1"/>
                <w:bCs w:val="1"/>
                <w:color w:val="auto"/>
              </w:rPr>
              <w:t>2007</w:t>
            </w:r>
          </w:p>
        </w:tc>
        <w:tc>
          <w:tcPr>
            <w:tcW w:w="620" w:type="dxa"/>
            <w:vAlign w:val="bottom"/>
            <w:shd w:val="clear" w:color="auto" w:fill="E5E5E5"/>
          </w:tcPr>
          <w:p>
            <w:pPr>
              <w:jc w:val="center"/>
              <w:spacing w:after="0"/>
              <w:rPr>
                <w:sz w:val="20"/>
                <w:szCs w:val="20"/>
                <w:color w:val="auto"/>
              </w:rPr>
            </w:pPr>
            <w:r>
              <w:rPr>
                <w:rFonts w:ascii="Arial" w:cs="Arial" w:eastAsia="Arial" w:hAnsi="Arial"/>
                <w:sz w:val="18"/>
                <w:szCs w:val="18"/>
                <w:b w:val="1"/>
                <w:bCs w:val="1"/>
                <w:color w:val="auto"/>
                <w:w w:val="94"/>
              </w:rPr>
              <w:t>2006</w:t>
            </w:r>
          </w:p>
        </w:tc>
        <w:tc>
          <w:tcPr>
            <w:tcW w:w="640" w:type="dxa"/>
            <w:vAlign w:val="bottom"/>
            <w:shd w:val="clear" w:color="auto" w:fill="E5E5E5"/>
          </w:tcPr>
          <w:p>
            <w:pPr>
              <w:ind w:left="120"/>
              <w:spacing w:after="0"/>
              <w:rPr>
                <w:sz w:val="20"/>
                <w:szCs w:val="20"/>
                <w:color w:val="auto"/>
              </w:rPr>
            </w:pPr>
            <w:r>
              <w:rPr>
                <w:rFonts w:ascii="Arial" w:cs="Arial" w:eastAsia="Arial" w:hAnsi="Arial"/>
                <w:sz w:val="18"/>
                <w:szCs w:val="18"/>
                <w:b w:val="1"/>
                <w:bCs w:val="1"/>
                <w:color w:val="auto"/>
              </w:rPr>
              <w:t>2007</w:t>
            </w:r>
          </w:p>
        </w:tc>
        <w:tc>
          <w:tcPr>
            <w:tcW w:w="600" w:type="dxa"/>
            <w:vAlign w:val="bottom"/>
            <w:shd w:val="clear" w:color="auto" w:fill="E5E5E5"/>
          </w:tcPr>
          <w:p>
            <w:pPr>
              <w:jc w:val="center"/>
              <w:spacing w:after="0"/>
              <w:rPr>
                <w:sz w:val="20"/>
                <w:szCs w:val="20"/>
                <w:color w:val="auto"/>
              </w:rPr>
            </w:pPr>
            <w:r>
              <w:rPr>
                <w:rFonts w:ascii="Arial" w:cs="Arial" w:eastAsia="Arial" w:hAnsi="Arial"/>
                <w:sz w:val="18"/>
                <w:szCs w:val="18"/>
                <w:b w:val="1"/>
                <w:bCs w:val="1"/>
                <w:color w:val="auto"/>
                <w:w w:val="94"/>
              </w:rPr>
              <w:t>2006</w:t>
            </w:r>
          </w:p>
        </w:tc>
      </w:tr>
      <w:tr>
        <w:trPr>
          <w:trHeight w:val="311"/>
        </w:trPr>
        <w:tc>
          <w:tcPr>
            <w:tcW w:w="7660" w:type="dxa"/>
            <w:vAlign w:val="bottom"/>
          </w:tcPr>
          <w:p>
            <w:pPr>
              <w:spacing w:after="0"/>
              <w:rPr>
                <w:sz w:val="20"/>
                <w:szCs w:val="20"/>
                <w:color w:val="auto"/>
              </w:rPr>
            </w:pPr>
            <w:r>
              <w:rPr>
                <w:rFonts w:ascii="Arial" w:cs="Arial" w:eastAsia="Arial" w:hAnsi="Arial"/>
                <w:sz w:val="18"/>
                <w:szCs w:val="18"/>
                <w:color w:val="auto"/>
              </w:rPr>
              <w:t>Equity securities</w:t>
            </w:r>
          </w:p>
        </w:tc>
        <w:tc>
          <w:tcPr>
            <w:tcW w:w="640" w:type="dxa"/>
            <w:vAlign w:val="bottom"/>
          </w:tcPr>
          <w:p>
            <w:pPr>
              <w:ind w:left="120"/>
              <w:spacing w:after="0"/>
              <w:rPr>
                <w:sz w:val="20"/>
                <w:szCs w:val="20"/>
                <w:color w:val="auto"/>
              </w:rPr>
            </w:pPr>
            <w:r>
              <w:rPr>
                <w:rFonts w:ascii="Arial" w:cs="Arial" w:eastAsia="Arial" w:hAnsi="Arial"/>
                <w:sz w:val="18"/>
                <w:szCs w:val="18"/>
                <w:b w:val="1"/>
                <w:bCs w:val="1"/>
                <w:color w:val="auto"/>
              </w:rPr>
              <w:t>56%</w:t>
            </w:r>
          </w:p>
        </w:tc>
        <w:tc>
          <w:tcPr>
            <w:tcW w:w="620" w:type="dxa"/>
            <w:vAlign w:val="bottom"/>
          </w:tcPr>
          <w:p>
            <w:pPr>
              <w:jc w:val="center"/>
              <w:spacing w:after="0"/>
              <w:rPr>
                <w:sz w:val="20"/>
                <w:szCs w:val="20"/>
                <w:color w:val="auto"/>
              </w:rPr>
            </w:pPr>
            <w:r>
              <w:rPr>
                <w:rFonts w:ascii="Arial" w:cs="Arial" w:eastAsia="Arial" w:hAnsi="Arial"/>
                <w:sz w:val="18"/>
                <w:szCs w:val="18"/>
                <w:color w:val="auto"/>
                <w:w w:val="94"/>
              </w:rPr>
              <w:t>62%</w:t>
            </w:r>
          </w:p>
        </w:tc>
        <w:tc>
          <w:tcPr>
            <w:tcW w:w="640" w:type="dxa"/>
            <w:vAlign w:val="bottom"/>
          </w:tcPr>
          <w:p>
            <w:pPr>
              <w:ind w:left="100"/>
              <w:spacing w:after="0"/>
              <w:rPr>
                <w:sz w:val="20"/>
                <w:szCs w:val="20"/>
                <w:color w:val="auto"/>
              </w:rPr>
            </w:pPr>
            <w:r>
              <w:rPr>
                <w:rFonts w:ascii="Arial" w:cs="Arial" w:eastAsia="Arial" w:hAnsi="Arial"/>
                <w:sz w:val="18"/>
                <w:szCs w:val="18"/>
                <w:b w:val="1"/>
                <w:bCs w:val="1"/>
                <w:color w:val="auto"/>
              </w:rPr>
              <w:t>67%</w:t>
            </w:r>
          </w:p>
        </w:tc>
        <w:tc>
          <w:tcPr>
            <w:tcW w:w="620" w:type="dxa"/>
            <w:vAlign w:val="bottom"/>
          </w:tcPr>
          <w:p>
            <w:pPr>
              <w:jc w:val="center"/>
              <w:spacing w:after="0"/>
              <w:rPr>
                <w:sz w:val="20"/>
                <w:szCs w:val="20"/>
                <w:color w:val="auto"/>
              </w:rPr>
            </w:pPr>
            <w:r>
              <w:rPr>
                <w:rFonts w:ascii="Arial" w:cs="Arial" w:eastAsia="Arial" w:hAnsi="Arial"/>
                <w:sz w:val="18"/>
                <w:szCs w:val="18"/>
                <w:color w:val="auto"/>
                <w:w w:val="94"/>
              </w:rPr>
              <w:t>69%</w:t>
            </w:r>
          </w:p>
        </w:tc>
        <w:tc>
          <w:tcPr>
            <w:tcW w:w="640" w:type="dxa"/>
            <w:vAlign w:val="bottom"/>
          </w:tcPr>
          <w:p>
            <w:pPr>
              <w:ind w:left="100"/>
              <w:spacing w:after="0"/>
              <w:rPr>
                <w:sz w:val="20"/>
                <w:szCs w:val="20"/>
                <w:color w:val="auto"/>
              </w:rPr>
            </w:pPr>
            <w:r>
              <w:rPr>
                <w:rFonts w:ascii="Arial" w:cs="Arial" w:eastAsia="Arial" w:hAnsi="Arial"/>
                <w:sz w:val="18"/>
                <w:szCs w:val="18"/>
                <w:b w:val="1"/>
                <w:bCs w:val="1"/>
                <w:color w:val="auto"/>
              </w:rPr>
              <w:t>49%</w:t>
            </w:r>
          </w:p>
        </w:tc>
        <w:tc>
          <w:tcPr>
            <w:tcW w:w="600" w:type="dxa"/>
            <w:vAlign w:val="bottom"/>
          </w:tcPr>
          <w:p>
            <w:pPr>
              <w:jc w:val="center"/>
              <w:spacing w:after="0"/>
              <w:rPr>
                <w:sz w:val="20"/>
                <w:szCs w:val="20"/>
                <w:color w:val="auto"/>
              </w:rPr>
            </w:pPr>
            <w:r>
              <w:rPr>
                <w:rFonts w:ascii="Arial" w:cs="Arial" w:eastAsia="Arial" w:hAnsi="Arial"/>
                <w:sz w:val="18"/>
                <w:szCs w:val="18"/>
                <w:color w:val="auto"/>
                <w:w w:val="94"/>
              </w:rPr>
              <w:t>52%</w:t>
            </w:r>
          </w:p>
        </w:tc>
      </w:tr>
      <w:tr>
        <w:trPr>
          <w:trHeight w:val="203"/>
        </w:trPr>
        <w:tc>
          <w:tcPr>
            <w:tcW w:w="76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Fixed income securities and cash</w:t>
            </w:r>
          </w:p>
        </w:tc>
        <w:tc>
          <w:tcPr>
            <w:tcW w:w="640" w:type="dxa"/>
            <w:vAlign w:val="bottom"/>
            <w:shd w:val="clear" w:color="auto" w:fill="E5E5E5"/>
          </w:tcPr>
          <w:p>
            <w:pPr>
              <w:ind w:left="120"/>
              <w:spacing w:after="0" w:line="202" w:lineRule="exact"/>
              <w:rPr>
                <w:sz w:val="20"/>
                <w:szCs w:val="20"/>
                <w:color w:val="auto"/>
              </w:rPr>
            </w:pPr>
            <w:r>
              <w:rPr>
                <w:rFonts w:ascii="Arial" w:cs="Arial" w:eastAsia="Arial" w:hAnsi="Arial"/>
                <w:sz w:val="18"/>
                <w:szCs w:val="18"/>
                <w:b w:val="1"/>
                <w:bCs w:val="1"/>
                <w:color w:val="auto"/>
              </w:rPr>
              <w:t>44%</w:t>
            </w:r>
          </w:p>
        </w:tc>
        <w:tc>
          <w:tcPr>
            <w:tcW w:w="620" w:type="dxa"/>
            <w:vAlign w:val="bottom"/>
            <w:shd w:val="clear" w:color="auto" w:fill="E5E5E5"/>
          </w:tcPr>
          <w:p>
            <w:pPr>
              <w:jc w:val="center"/>
              <w:spacing w:after="0" w:line="202" w:lineRule="exact"/>
              <w:rPr>
                <w:sz w:val="20"/>
                <w:szCs w:val="20"/>
                <w:color w:val="auto"/>
              </w:rPr>
            </w:pPr>
            <w:r>
              <w:rPr>
                <w:rFonts w:ascii="Arial" w:cs="Arial" w:eastAsia="Arial" w:hAnsi="Arial"/>
                <w:sz w:val="18"/>
                <w:szCs w:val="18"/>
                <w:color w:val="auto"/>
                <w:w w:val="94"/>
              </w:rPr>
              <w:t>38%</w:t>
            </w:r>
          </w:p>
        </w:tc>
        <w:tc>
          <w:tcPr>
            <w:tcW w:w="640" w:type="dxa"/>
            <w:vAlign w:val="bottom"/>
            <w:shd w:val="clear" w:color="auto" w:fill="E5E5E5"/>
          </w:tcPr>
          <w:p>
            <w:pPr>
              <w:ind w:left="100"/>
              <w:spacing w:after="0" w:line="202" w:lineRule="exact"/>
              <w:rPr>
                <w:sz w:val="20"/>
                <w:szCs w:val="20"/>
                <w:color w:val="auto"/>
              </w:rPr>
            </w:pPr>
            <w:r>
              <w:rPr>
                <w:rFonts w:ascii="Arial" w:cs="Arial" w:eastAsia="Arial" w:hAnsi="Arial"/>
                <w:sz w:val="18"/>
                <w:szCs w:val="18"/>
                <w:b w:val="1"/>
                <w:bCs w:val="1"/>
                <w:color w:val="auto"/>
              </w:rPr>
              <w:t>33%</w:t>
            </w:r>
          </w:p>
        </w:tc>
        <w:tc>
          <w:tcPr>
            <w:tcW w:w="620" w:type="dxa"/>
            <w:vAlign w:val="bottom"/>
            <w:shd w:val="clear" w:color="auto" w:fill="E5E5E5"/>
          </w:tcPr>
          <w:p>
            <w:pPr>
              <w:jc w:val="center"/>
              <w:spacing w:after="0" w:line="202" w:lineRule="exact"/>
              <w:rPr>
                <w:sz w:val="20"/>
                <w:szCs w:val="20"/>
                <w:color w:val="auto"/>
              </w:rPr>
            </w:pPr>
            <w:r>
              <w:rPr>
                <w:rFonts w:ascii="Arial" w:cs="Arial" w:eastAsia="Arial" w:hAnsi="Arial"/>
                <w:sz w:val="18"/>
                <w:szCs w:val="18"/>
                <w:color w:val="auto"/>
                <w:w w:val="94"/>
              </w:rPr>
              <w:t>31%</w:t>
            </w:r>
          </w:p>
        </w:tc>
        <w:tc>
          <w:tcPr>
            <w:tcW w:w="640" w:type="dxa"/>
            <w:vAlign w:val="bottom"/>
            <w:shd w:val="clear" w:color="auto" w:fill="E5E5E5"/>
          </w:tcPr>
          <w:p>
            <w:pPr>
              <w:ind w:left="100"/>
              <w:spacing w:after="0" w:line="202" w:lineRule="exact"/>
              <w:rPr>
                <w:sz w:val="20"/>
                <w:szCs w:val="20"/>
                <w:color w:val="auto"/>
              </w:rPr>
            </w:pPr>
            <w:r>
              <w:rPr>
                <w:rFonts w:ascii="Arial" w:cs="Arial" w:eastAsia="Arial" w:hAnsi="Arial"/>
                <w:sz w:val="18"/>
                <w:szCs w:val="18"/>
                <w:b w:val="1"/>
                <w:bCs w:val="1"/>
                <w:color w:val="auto"/>
              </w:rPr>
              <w:t>51%</w:t>
            </w:r>
          </w:p>
        </w:tc>
        <w:tc>
          <w:tcPr>
            <w:tcW w:w="600" w:type="dxa"/>
            <w:vAlign w:val="bottom"/>
            <w:shd w:val="clear" w:color="auto" w:fill="E5E5E5"/>
          </w:tcPr>
          <w:p>
            <w:pPr>
              <w:jc w:val="center"/>
              <w:spacing w:after="0" w:line="202" w:lineRule="exact"/>
              <w:rPr>
                <w:sz w:val="20"/>
                <w:szCs w:val="20"/>
                <w:color w:val="auto"/>
              </w:rPr>
            </w:pPr>
            <w:r>
              <w:rPr>
                <w:rFonts w:ascii="Arial" w:cs="Arial" w:eastAsia="Arial" w:hAnsi="Arial"/>
                <w:sz w:val="18"/>
                <w:szCs w:val="18"/>
                <w:color w:val="auto"/>
                <w:w w:val="94"/>
              </w:rPr>
              <w:t>48%</w:t>
            </w:r>
          </w:p>
        </w:tc>
      </w:tr>
    </w:tbl>
    <w:p>
      <w:pPr>
        <w:spacing w:after="0" w:line="165" w:lineRule="exact"/>
        <w:rPr>
          <w:sz w:val="20"/>
          <w:szCs w:val="20"/>
          <w:color w:val="auto"/>
        </w:rPr>
      </w:pPr>
    </w:p>
    <w:p>
      <w:pPr>
        <w:jc w:val="both"/>
        <w:ind w:right="80"/>
        <w:spacing w:after="0" w:line="239" w:lineRule="auto"/>
        <w:rPr>
          <w:sz w:val="20"/>
          <w:szCs w:val="20"/>
          <w:color w:val="auto"/>
        </w:rPr>
      </w:pPr>
      <w:r>
        <w:rPr>
          <w:rFonts w:ascii="Arial" w:cs="Arial" w:eastAsia="Arial" w:hAnsi="Arial"/>
          <w:sz w:val="18"/>
          <w:szCs w:val="18"/>
          <w:color w:val="auto"/>
        </w:rPr>
        <w:t>There are no significant restrictions on the amount or nature of the investments that may be acquired or held by the plans. None of the plan assets related to the defined benefit pension plans and retiree health care benefit plan are directly invested in TI common stock.</w:t>
      </w:r>
    </w:p>
    <w:p>
      <w:pPr>
        <w:spacing w:after="0" w:line="155" w:lineRule="exact"/>
        <w:rPr>
          <w:sz w:val="20"/>
          <w:szCs w:val="20"/>
          <w:color w:val="auto"/>
        </w:rPr>
      </w:pPr>
    </w:p>
    <w:p>
      <w:pPr>
        <w:jc w:val="both"/>
        <w:ind w:right="80"/>
        <w:spacing w:after="0" w:line="239" w:lineRule="auto"/>
        <w:rPr>
          <w:sz w:val="20"/>
          <w:szCs w:val="20"/>
          <w:color w:val="auto"/>
        </w:rPr>
      </w:pPr>
      <w:r>
        <w:rPr>
          <w:rFonts w:ascii="Arial" w:cs="Arial" w:eastAsia="Arial" w:hAnsi="Arial"/>
          <w:sz w:val="18"/>
          <w:szCs w:val="18"/>
          <w:color w:val="auto"/>
        </w:rPr>
        <w:t>Contributions to the plans meet or exceed all minimum funding requirements. We expect to contribute approximately $50 million to U.S. retirement plans and approximately $70 million to non-U.S. retirement plans in 2008.</w:t>
      </w:r>
    </w:p>
    <w:p>
      <w:pPr>
        <w:spacing w:after="0" w:line="155" w:lineRule="exact"/>
        <w:rPr>
          <w:sz w:val="20"/>
          <w:szCs w:val="20"/>
          <w:color w:val="auto"/>
        </w:rPr>
      </w:pPr>
    </w:p>
    <w:p>
      <w:pPr>
        <w:jc w:val="both"/>
        <w:ind w:right="100"/>
        <w:spacing w:after="0" w:line="239" w:lineRule="auto"/>
        <w:rPr>
          <w:sz w:val="20"/>
          <w:szCs w:val="20"/>
          <w:color w:val="auto"/>
        </w:rPr>
      </w:pPr>
      <w:r>
        <w:rPr>
          <w:rFonts w:ascii="Arial" w:cs="Arial" w:eastAsia="Arial" w:hAnsi="Arial"/>
          <w:sz w:val="18"/>
          <w:szCs w:val="18"/>
          <w:color w:val="auto"/>
        </w:rPr>
        <w:t>The following table projects the benefits expected to be paid to participants from the plans in the following ten years. The majority of the payments will be paid from plan assets and not company assets.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shd w:val="clear" w:color="auto" w:fill="E5E5E5"/>
          </w:tcPr>
          <w:p>
            <w:pPr>
              <w:spacing w:after="0"/>
              <w:rPr>
                <w:sz w:val="14"/>
                <w:szCs w:val="14"/>
                <w:color w:val="auto"/>
              </w:rPr>
            </w:pPr>
          </w:p>
        </w:tc>
        <w:tc>
          <w:tcPr>
            <w:tcW w:w="4080" w:type="dxa"/>
            <w:vAlign w:val="bottom"/>
            <w:shd w:val="clear" w:color="auto" w:fill="E5E5E5"/>
          </w:tcPr>
          <w:p>
            <w:pPr>
              <w:jc w:val="right"/>
              <w:ind w:right="117"/>
              <w:spacing w:after="0"/>
              <w:rPr>
                <w:sz w:val="20"/>
                <w:szCs w:val="20"/>
                <w:color w:val="auto"/>
              </w:rPr>
            </w:pPr>
            <w:r>
              <w:rPr>
                <w:rFonts w:ascii="Arial" w:cs="Arial" w:eastAsia="Arial" w:hAnsi="Arial"/>
                <w:sz w:val="14"/>
                <w:szCs w:val="14"/>
                <w:b w:val="1"/>
                <w:bCs w:val="1"/>
                <w:color w:val="auto"/>
              </w:rPr>
              <w:t>U.S. Defined</w:t>
            </w:r>
          </w:p>
        </w:tc>
        <w:tc>
          <w:tcPr>
            <w:tcW w:w="1180" w:type="dxa"/>
            <w:vAlign w:val="bottom"/>
            <w:shd w:val="clear" w:color="auto" w:fill="E5E5E5"/>
          </w:tcPr>
          <w:p>
            <w:pPr>
              <w:jc w:val="right"/>
              <w:ind w:right="119"/>
              <w:spacing w:after="0"/>
              <w:rPr>
                <w:sz w:val="20"/>
                <w:szCs w:val="20"/>
                <w:color w:val="auto"/>
              </w:rPr>
            </w:pPr>
            <w:r>
              <w:rPr>
                <w:rFonts w:ascii="Arial" w:cs="Arial" w:eastAsia="Arial" w:hAnsi="Arial"/>
                <w:sz w:val="14"/>
                <w:szCs w:val="14"/>
                <w:b w:val="1"/>
                <w:bCs w:val="1"/>
                <w:color w:val="auto"/>
              </w:rPr>
              <w:t>U.S. Retiree</w:t>
            </w:r>
          </w:p>
        </w:tc>
        <w:tc>
          <w:tcPr>
            <w:tcW w:w="1000" w:type="dxa"/>
            <w:vAlign w:val="bottom"/>
            <w:shd w:val="clear" w:color="auto" w:fill="E5E5E5"/>
          </w:tcPr>
          <w:p>
            <w:pPr>
              <w:jc w:val="right"/>
              <w:ind w:right="117"/>
              <w:spacing w:after="0"/>
              <w:rPr>
                <w:sz w:val="20"/>
                <w:szCs w:val="20"/>
                <w:color w:val="auto"/>
              </w:rPr>
            </w:pPr>
            <w:r>
              <w:rPr>
                <w:rFonts w:ascii="Arial" w:cs="Arial" w:eastAsia="Arial" w:hAnsi="Arial"/>
                <w:sz w:val="14"/>
                <w:szCs w:val="14"/>
                <w:b w:val="1"/>
                <w:bCs w:val="1"/>
                <w:color w:val="auto"/>
              </w:rPr>
              <w:t>Medicare</w:t>
            </w:r>
          </w:p>
        </w:tc>
        <w:tc>
          <w:tcPr>
            <w:tcW w:w="1200" w:type="dxa"/>
            <w:vAlign w:val="bottom"/>
            <w:shd w:val="clear" w:color="auto" w:fill="E5E5E5"/>
          </w:tcPr>
          <w:p>
            <w:pPr>
              <w:jc w:val="right"/>
              <w:ind w:right="137"/>
              <w:spacing w:after="0"/>
              <w:rPr>
                <w:sz w:val="20"/>
                <w:szCs w:val="20"/>
                <w:color w:val="auto"/>
              </w:rPr>
            </w:pPr>
            <w:r>
              <w:rPr>
                <w:rFonts w:ascii="Arial" w:cs="Arial" w:eastAsia="Arial" w:hAnsi="Arial"/>
                <w:sz w:val="14"/>
                <w:szCs w:val="14"/>
                <w:b w:val="1"/>
                <w:bCs w:val="1"/>
                <w:color w:val="auto"/>
              </w:rPr>
              <w:t>Non-U.S.</w:t>
            </w:r>
          </w:p>
        </w:tc>
      </w:tr>
      <w:tr>
        <w:trPr>
          <w:trHeight w:val="176"/>
        </w:trPr>
        <w:tc>
          <w:tcPr>
            <w:tcW w:w="3960" w:type="dxa"/>
            <w:vAlign w:val="bottom"/>
            <w:shd w:val="clear" w:color="auto" w:fill="E5E5E5"/>
          </w:tcPr>
          <w:p>
            <w:pPr>
              <w:spacing w:after="0"/>
              <w:rPr>
                <w:sz w:val="15"/>
                <w:szCs w:val="15"/>
                <w:color w:val="auto"/>
              </w:rPr>
            </w:pPr>
          </w:p>
        </w:tc>
        <w:tc>
          <w:tcPr>
            <w:tcW w:w="4080" w:type="dxa"/>
            <w:vAlign w:val="bottom"/>
            <w:shd w:val="clear" w:color="auto" w:fill="E5E5E5"/>
          </w:tcPr>
          <w:p>
            <w:pPr>
              <w:jc w:val="right"/>
              <w:ind w:right="277"/>
              <w:spacing w:after="0"/>
              <w:rPr>
                <w:sz w:val="20"/>
                <w:szCs w:val="20"/>
                <w:color w:val="auto"/>
              </w:rPr>
            </w:pPr>
            <w:r>
              <w:rPr>
                <w:rFonts w:ascii="Arial" w:cs="Arial" w:eastAsia="Arial" w:hAnsi="Arial"/>
                <w:sz w:val="14"/>
                <w:szCs w:val="14"/>
                <w:b w:val="1"/>
                <w:bCs w:val="1"/>
                <w:color w:val="auto"/>
              </w:rPr>
              <w:t>Benefit</w:t>
            </w:r>
          </w:p>
        </w:tc>
        <w:tc>
          <w:tcPr>
            <w:tcW w:w="1180" w:type="dxa"/>
            <w:vAlign w:val="bottom"/>
            <w:shd w:val="clear" w:color="auto" w:fill="E5E5E5"/>
          </w:tcPr>
          <w:p>
            <w:pPr>
              <w:jc w:val="right"/>
              <w:ind w:right="139"/>
              <w:spacing w:after="0"/>
              <w:rPr>
                <w:sz w:val="20"/>
                <w:szCs w:val="20"/>
                <w:color w:val="auto"/>
              </w:rPr>
            </w:pPr>
            <w:r>
              <w:rPr>
                <w:rFonts w:ascii="Arial" w:cs="Arial" w:eastAsia="Arial" w:hAnsi="Arial"/>
                <w:sz w:val="14"/>
                <w:szCs w:val="14"/>
                <w:b w:val="1"/>
                <w:bCs w:val="1"/>
                <w:color w:val="auto"/>
              </w:rPr>
              <w:t>Health Care</w:t>
            </w:r>
          </w:p>
        </w:tc>
        <w:tc>
          <w:tcPr>
            <w:tcW w:w="1000" w:type="dxa"/>
            <w:vAlign w:val="bottom"/>
            <w:shd w:val="clear" w:color="auto" w:fill="E5E5E5"/>
          </w:tcPr>
          <w:p>
            <w:pPr>
              <w:jc w:val="right"/>
              <w:ind w:right="157"/>
              <w:spacing w:after="0"/>
              <w:rPr>
                <w:sz w:val="20"/>
                <w:szCs w:val="20"/>
                <w:color w:val="auto"/>
              </w:rPr>
            </w:pPr>
            <w:r>
              <w:rPr>
                <w:rFonts w:ascii="Arial" w:cs="Arial" w:eastAsia="Arial" w:hAnsi="Arial"/>
                <w:sz w:val="14"/>
                <w:szCs w:val="14"/>
                <w:b w:val="1"/>
                <w:bCs w:val="1"/>
                <w:color w:val="auto"/>
              </w:rPr>
              <w:t>Subsidy</w:t>
            </w:r>
          </w:p>
        </w:tc>
        <w:tc>
          <w:tcPr>
            <w:tcW w:w="1200" w:type="dxa"/>
            <w:vAlign w:val="bottom"/>
            <w:shd w:val="clear" w:color="auto" w:fill="E5E5E5"/>
          </w:tcPr>
          <w:p>
            <w:pPr>
              <w:jc w:val="right"/>
              <w:spacing w:after="0"/>
              <w:rPr>
                <w:sz w:val="20"/>
                <w:szCs w:val="20"/>
                <w:color w:val="auto"/>
              </w:rPr>
            </w:pPr>
            <w:r>
              <w:rPr>
                <w:rFonts w:ascii="Arial" w:cs="Arial" w:eastAsia="Arial" w:hAnsi="Arial"/>
                <w:sz w:val="14"/>
                <w:szCs w:val="14"/>
                <w:b w:val="1"/>
                <w:bCs w:val="1"/>
                <w:color w:val="auto"/>
              </w:rPr>
              <w:t>Defined Benefit</w:t>
            </w:r>
          </w:p>
        </w:tc>
      </w:tr>
      <w:tr>
        <w:trPr>
          <w:trHeight w:val="311"/>
        </w:trPr>
        <w:tc>
          <w:tcPr>
            <w:tcW w:w="3960" w:type="dxa"/>
            <w:vAlign w:val="bottom"/>
          </w:tcPr>
          <w:p>
            <w:pPr>
              <w:spacing w:after="0"/>
              <w:rPr>
                <w:sz w:val="20"/>
                <w:szCs w:val="20"/>
                <w:color w:val="auto"/>
              </w:rPr>
            </w:pPr>
            <w:r>
              <w:rPr>
                <w:rFonts w:ascii="Arial" w:cs="Arial" w:eastAsia="Arial" w:hAnsi="Arial"/>
                <w:sz w:val="18"/>
                <w:szCs w:val="18"/>
                <w:color w:val="auto"/>
              </w:rPr>
              <w:t>2008</w:t>
            </w:r>
          </w:p>
        </w:tc>
        <w:tc>
          <w:tcPr>
            <w:tcW w:w="4080" w:type="dxa"/>
            <w:vAlign w:val="bottom"/>
          </w:tcPr>
          <w:p>
            <w:pPr>
              <w:jc w:val="right"/>
              <w:ind w:right="117"/>
              <w:spacing w:after="0"/>
              <w:rPr>
                <w:sz w:val="20"/>
                <w:szCs w:val="20"/>
                <w:color w:val="auto"/>
              </w:rPr>
            </w:pPr>
            <w:r>
              <w:rPr>
                <w:rFonts w:ascii="Arial" w:cs="Arial" w:eastAsia="Arial" w:hAnsi="Arial"/>
                <w:sz w:val="18"/>
                <w:szCs w:val="18"/>
                <w:color w:val="auto"/>
              </w:rPr>
              <w:t>$  155</w:t>
            </w:r>
          </w:p>
        </w:tc>
        <w:tc>
          <w:tcPr>
            <w:tcW w:w="1180" w:type="dxa"/>
            <w:vAlign w:val="bottom"/>
          </w:tcPr>
          <w:p>
            <w:pPr>
              <w:jc w:val="right"/>
              <w:ind w:right="119"/>
              <w:spacing w:after="0"/>
              <w:rPr>
                <w:sz w:val="20"/>
                <w:szCs w:val="20"/>
                <w:color w:val="auto"/>
              </w:rPr>
            </w:pPr>
            <w:r>
              <w:rPr>
                <w:rFonts w:ascii="Arial" w:cs="Arial" w:eastAsia="Arial" w:hAnsi="Arial"/>
                <w:sz w:val="18"/>
                <w:szCs w:val="18"/>
                <w:color w:val="auto"/>
              </w:rPr>
              <w:t>$  38</w:t>
            </w:r>
          </w:p>
        </w:tc>
        <w:tc>
          <w:tcPr>
            <w:tcW w:w="1000" w:type="dxa"/>
            <w:vAlign w:val="bottom"/>
          </w:tcPr>
          <w:p>
            <w:pPr>
              <w:jc w:val="right"/>
              <w:ind w:right="117"/>
              <w:spacing w:after="0"/>
              <w:rPr>
                <w:sz w:val="20"/>
                <w:szCs w:val="20"/>
                <w:color w:val="auto"/>
              </w:rPr>
            </w:pPr>
            <w:r>
              <w:rPr>
                <w:rFonts w:ascii="Arial" w:cs="Arial" w:eastAsia="Arial" w:hAnsi="Arial"/>
                <w:sz w:val="18"/>
                <w:szCs w:val="18"/>
                <w:color w:val="auto"/>
              </w:rPr>
              <w:t>$  (5)</w:t>
            </w:r>
          </w:p>
        </w:tc>
        <w:tc>
          <w:tcPr>
            <w:tcW w:w="1200" w:type="dxa"/>
            <w:vAlign w:val="bottom"/>
          </w:tcPr>
          <w:p>
            <w:pPr>
              <w:jc w:val="right"/>
              <w:spacing w:after="0"/>
              <w:rPr>
                <w:sz w:val="20"/>
                <w:szCs w:val="20"/>
                <w:color w:val="auto"/>
              </w:rPr>
            </w:pPr>
            <w:r>
              <w:rPr>
                <w:rFonts w:ascii="Arial" w:cs="Arial" w:eastAsia="Arial" w:hAnsi="Arial"/>
                <w:sz w:val="18"/>
                <w:szCs w:val="18"/>
                <w:color w:val="auto"/>
              </w:rPr>
              <w:t>$  50</w:t>
            </w:r>
          </w:p>
        </w:tc>
      </w:tr>
      <w:tr>
        <w:trPr>
          <w:trHeight w:val="203"/>
        </w:trPr>
        <w:tc>
          <w:tcPr>
            <w:tcW w:w="39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2009</w:t>
            </w:r>
          </w:p>
        </w:tc>
        <w:tc>
          <w:tcPr>
            <w:tcW w:w="4080" w:type="dxa"/>
            <w:vAlign w:val="bottom"/>
            <w:shd w:val="clear" w:color="auto" w:fill="E5E5E5"/>
          </w:tcPr>
          <w:p>
            <w:pPr>
              <w:jc w:val="right"/>
              <w:ind w:right="117"/>
              <w:spacing w:after="0" w:line="202" w:lineRule="exact"/>
              <w:rPr>
                <w:sz w:val="20"/>
                <w:szCs w:val="20"/>
                <w:color w:val="auto"/>
              </w:rPr>
            </w:pPr>
            <w:r>
              <w:rPr>
                <w:rFonts w:ascii="Arial" w:cs="Arial" w:eastAsia="Arial" w:hAnsi="Arial"/>
                <w:sz w:val="18"/>
                <w:szCs w:val="18"/>
                <w:color w:val="auto"/>
              </w:rPr>
              <w:t>128</w:t>
            </w:r>
          </w:p>
        </w:tc>
        <w:tc>
          <w:tcPr>
            <w:tcW w:w="1180" w:type="dxa"/>
            <w:vAlign w:val="bottom"/>
            <w:shd w:val="clear" w:color="auto" w:fill="E5E5E5"/>
          </w:tcPr>
          <w:p>
            <w:pPr>
              <w:jc w:val="right"/>
              <w:ind w:right="119"/>
              <w:spacing w:after="0" w:line="202" w:lineRule="exact"/>
              <w:rPr>
                <w:sz w:val="20"/>
                <w:szCs w:val="20"/>
                <w:color w:val="auto"/>
              </w:rPr>
            </w:pPr>
            <w:r>
              <w:rPr>
                <w:rFonts w:ascii="Arial" w:cs="Arial" w:eastAsia="Arial" w:hAnsi="Arial"/>
                <w:sz w:val="18"/>
                <w:szCs w:val="18"/>
                <w:color w:val="auto"/>
              </w:rPr>
              <w:t>40</w:t>
            </w:r>
          </w:p>
        </w:tc>
        <w:tc>
          <w:tcPr>
            <w:tcW w:w="1000" w:type="dxa"/>
            <w:vAlign w:val="bottom"/>
            <w:shd w:val="clear" w:color="auto" w:fill="E5E5E5"/>
          </w:tcPr>
          <w:p>
            <w:pPr>
              <w:jc w:val="right"/>
              <w:ind w:right="117"/>
              <w:spacing w:after="0" w:line="202" w:lineRule="exact"/>
              <w:rPr>
                <w:sz w:val="20"/>
                <w:szCs w:val="20"/>
                <w:color w:val="auto"/>
              </w:rPr>
            </w:pPr>
            <w:r>
              <w:rPr>
                <w:rFonts w:ascii="Arial" w:cs="Arial" w:eastAsia="Arial" w:hAnsi="Arial"/>
                <w:sz w:val="18"/>
                <w:szCs w:val="18"/>
                <w:color w:val="auto"/>
              </w:rPr>
              <w:t>(5)</w:t>
            </w:r>
          </w:p>
        </w:tc>
        <w:tc>
          <w:tcPr>
            <w:tcW w:w="12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50</w:t>
            </w:r>
          </w:p>
        </w:tc>
      </w:tr>
      <w:tr>
        <w:trPr>
          <w:trHeight w:val="203"/>
        </w:trPr>
        <w:tc>
          <w:tcPr>
            <w:tcW w:w="3960" w:type="dxa"/>
            <w:vAlign w:val="bottom"/>
          </w:tcPr>
          <w:p>
            <w:pPr>
              <w:spacing w:after="0" w:line="202" w:lineRule="exact"/>
              <w:rPr>
                <w:sz w:val="20"/>
                <w:szCs w:val="20"/>
                <w:color w:val="auto"/>
              </w:rPr>
            </w:pPr>
            <w:r>
              <w:rPr>
                <w:rFonts w:ascii="Arial" w:cs="Arial" w:eastAsia="Arial" w:hAnsi="Arial"/>
                <w:sz w:val="18"/>
                <w:szCs w:val="18"/>
                <w:color w:val="auto"/>
              </w:rPr>
              <w:t>2010</w:t>
            </w:r>
          </w:p>
        </w:tc>
        <w:tc>
          <w:tcPr>
            <w:tcW w:w="4080" w:type="dxa"/>
            <w:vAlign w:val="bottom"/>
          </w:tcPr>
          <w:p>
            <w:pPr>
              <w:jc w:val="right"/>
              <w:ind w:right="117"/>
              <w:spacing w:after="0" w:line="202" w:lineRule="exact"/>
              <w:rPr>
                <w:sz w:val="20"/>
                <w:szCs w:val="20"/>
                <w:color w:val="auto"/>
              </w:rPr>
            </w:pPr>
            <w:r>
              <w:rPr>
                <w:rFonts w:ascii="Arial" w:cs="Arial" w:eastAsia="Arial" w:hAnsi="Arial"/>
                <w:sz w:val="18"/>
                <w:szCs w:val="18"/>
                <w:color w:val="auto"/>
              </w:rPr>
              <w:t>120</w:t>
            </w:r>
          </w:p>
        </w:tc>
        <w:tc>
          <w:tcPr>
            <w:tcW w:w="1180" w:type="dxa"/>
            <w:vAlign w:val="bottom"/>
          </w:tcPr>
          <w:p>
            <w:pPr>
              <w:jc w:val="right"/>
              <w:ind w:right="119"/>
              <w:spacing w:after="0" w:line="202" w:lineRule="exact"/>
              <w:rPr>
                <w:sz w:val="20"/>
                <w:szCs w:val="20"/>
                <w:color w:val="auto"/>
              </w:rPr>
            </w:pPr>
            <w:r>
              <w:rPr>
                <w:rFonts w:ascii="Arial" w:cs="Arial" w:eastAsia="Arial" w:hAnsi="Arial"/>
                <w:sz w:val="18"/>
                <w:szCs w:val="18"/>
                <w:color w:val="auto"/>
              </w:rPr>
              <w:t>42</w:t>
            </w:r>
          </w:p>
        </w:tc>
        <w:tc>
          <w:tcPr>
            <w:tcW w:w="1000" w:type="dxa"/>
            <w:vAlign w:val="bottom"/>
          </w:tcPr>
          <w:p>
            <w:pPr>
              <w:jc w:val="right"/>
              <w:ind w:right="117"/>
              <w:spacing w:after="0" w:line="202" w:lineRule="exact"/>
              <w:rPr>
                <w:sz w:val="20"/>
                <w:szCs w:val="20"/>
                <w:color w:val="auto"/>
              </w:rPr>
            </w:pPr>
            <w:r>
              <w:rPr>
                <w:rFonts w:ascii="Arial" w:cs="Arial" w:eastAsia="Arial" w:hAnsi="Arial"/>
                <w:sz w:val="18"/>
                <w:szCs w:val="18"/>
                <w:color w:val="auto"/>
              </w:rPr>
              <w:t>(6)</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56</w:t>
            </w:r>
          </w:p>
        </w:tc>
      </w:tr>
      <w:tr>
        <w:trPr>
          <w:trHeight w:val="203"/>
        </w:trPr>
        <w:tc>
          <w:tcPr>
            <w:tcW w:w="39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2011</w:t>
            </w:r>
          </w:p>
        </w:tc>
        <w:tc>
          <w:tcPr>
            <w:tcW w:w="4080" w:type="dxa"/>
            <w:vAlign w:val="bottom"/>
            <w:shd w:val="clear" w:color="auto" w:fill="E5E5E5"/>
          </w:tcPr>
          <w:p>
            <w:pPr>
              <w:jc w:val="right"/>
              <w:ind w:right="117"/>
              <w:spacing w:after="0" w:line="202" w:lineRule="exact"/>
              <w:rPr>
                <w:sz w:val="20"/>
                <w:szCs w:val="20"/>
                <w:color w:val="auto"/>
              </w:rPr>
            </w:pPr>
            <w:r>
              <w:rPr>
                <w:rFonts w:ascii="Arial" w:cs="Arial" w:eastAsia="Arial" w:hAnsi="Arial"/>
                <w:sz w:val="18"/>
                <w:szCs w:val="18"/>
                <w:color w:val="auto"/>
              </w:rPr>
              <w:t>82</w:t>
            </w:r>
          </w:p>
        </w:tc>
        <w:tc>
          <w:tcPr>
            <w:tcW w:w="1180" w:type="dxa"/>
            <w:vAlign w:val="bottom"/>
            <w:shd w:val="clear" w:color="auto" w:fill="E5E5E5"/>
          </w:tcPr>
          <w:p>
            <w:pPr>
              <w:jc w:val="right"/>
              <w:ind w:right="119"/>
              <w:spacing w:after="0" w:line="202" w:lineRule="exact"/>
              <w:rPr>
                <w:sz w:val="20"/>
                <w:szCs w:val="20"/>
                <w:color w:val="auto"/>
              </w:rPr>
            </w:pPr>
            <w:r>
              <w:rPr>
                <w:rFonts w:ascii="Arial" w:cs="Arial" w:eastAsia="Arial" w:hAnsi="Arial"/>
                <w:sz w:val="18"/>
                <w:szCs w:val="18"/>
                <w:color w:val="auto"/>
              </w:rPr>
              <w:t>44</w:t>
            </w:r>
          </w:p>
        </w:tc>
        <w:tc>
          <w:tcPr>
            <w:tcW w:w="1000" w:type="dxa"/>
            <w:vAlign w:val="bottom"/>
            <w:shd w:val="clear" w:color="auto" w:fill="E5E5E5"/>
          </w:tcPr>
          <w:p>
            <w:pPr>
              <w:jc w:val="right"/>
              <w:ind w:right="117"/>
              <w:spacing w:after="0" w:line="202" w:lineRule="exact"/>
              <w:rPr>
                <w:sz w:val="20"/>
                <w:szCs w:val="20"/>
                <w:color w:val="auto"/>
              </w:rPr>
            </w:pPr>
            <w:r>
              <w:rPr>
                <w:rFonts w:ascii="Arial" w:cs="Arial" w:eastAsia="Arial" w:hAnsi="Arial"/>
                <w:sz w:val="18"/>
                <w:szCs w:val="18"/>
                <w:color w:val="auto"/>
              </w:rPr>
              <w:t>(6)</w:t>
            </w:r>
          </w:p>
        </w:tc>
        <w:tc>
          <w:tcPr>
            <w:tcW w:w="12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57</w:t>
            </w:r>
          </w:p>
        </w:tc>
      </w:tr>
      <w:tr>
        <w:trPr>
          <w:trHeight w:val="203"/>
        </w:trPr>
        <w:tc>
          <w:tcPr>
            <w:tcW w:w="3960" w:type="dxa"/>
            <w:vAlign w:val="bottom"/>
          </w:tcPr>
          <w:p>
            <w:pPr>
              <w:spacing w:after="0" w:line="202" w:lineRule="exact"/>
              <w:rPr>
                <w:sz w:val="20"/>
                <w:szCs w:val="20"/>
                <w:color w:val="auto"/>
              </w:rPr>
            </w:pPr>
            <w:r>
              <w:rPr>
                <w:rFonts w:ascii="Arial" w:cs="Arial" w:eastAsia="Arial" w:hAnsi="Arial"/>
                <w:sz w:val="18"/>
                <w:szCs w:val="18"/>
                <w:color w:val="auto"/>
              </w:rPr>
              <w:t>2012</w:t>
            </w:r>
          </w:p>
        </w:tc>
        <w:tc>
          <w:tcPr>
            <w:tcW w:w="4080" w:type="dxa"/>
            <w:vAlign w:val="bottom"/>
          </w:tcPr>
          <w:p>
            <w:pPr>
              <w:jc w:val="right"/>
              <w:ind w:right="117"/>
              <w:spacing w:after="0" w:line="202" w:lineRule="exact"/>
              <w:rPr>
                <w:sz w:val="20"/>
                <w:szCs w:val="20"/>
                <w:color w:val="auto"/>
              </w:rPr>
            </w:pPr>
            <w:r>
              <w:rPr>
                <w:rFonts w:ascii="Arial" w:cs="Arial" w:eastAsia="Arial" w:hAnsi="Arial"/>
                <w:sz w:val="18"/>
                <w:szCs w:val="18"/>
                <w:color w:val="auto"/>
              </w:rPr>
              <w:t>74</w:t>
            </w:r>
          </w:p>
        </w:tc>
        <w:tc>
          <w:tcPr>
            <w:tcW w:w="1180" w:type="dxa"/>
            <w:vAlign w:val="bottom"/>
          </w:tcPr>
          <w:p>
            <w:pPr>
              <w:jc w:val="right"/>
              <w:ind w:right="119"/>
              <w:spacing w:after="0" w:line="202" w:lineRule="exact"/>
              <w:rPr>
                <w:sz w:val="20"/>
                <w:szCs w:val="20"/>
                <w:color w:val="auto"/>
              </w:rPr>
            </w:pPr>
            <w:r>
              <w:rPr>
                <w:rFonts w:ascii="Arial" w:cs="Arial" w:eastAsia="Arial" w:hAnsi="Arial"/>
                <w:sz w:val="18"/>
                <w:szCs w:val="18"/>
                <w:color w:val="auto"/>
              </w:rPr>
              <w:t>45</w:t>
            </w:r>
          </w:p>
        </w:tc>
        <w:tc>
          <w:tcPr>
            <w:tcW w:w="1000" w:type="dxa"/>
            <w:vAlign w:val="bottom"/>
          </w:tcPr>
          <w:p>
            <w:pPr>
              <w:jc w:val="right"/>
              <w:ind w:right="117"/>
              <w:spacing w:after="0" w:line="202" w:lineRule="exact"/>
              <w:rPr>
                <w:sz w:val="20"/>
                <w:szCs w:val="20"/>
                <w:color w:val="auto"/>
              </w:rPr>
            </w:pPr>
            <w:r>
              <w:rPr>
                <w:rFonts w:ascii="Arial" w:cs="Arial" w:eastAsia="Arial" w:hAnsi="Arial"/>
                <w:sz w:val="18"/>
                <w:szCs w:val="18"/>
                <w:color w:val="auto"/>
              </w:rPr>
              <w:t>(7)</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61</w:t>
            </w:r>
          </w:p>
        </w:tc>
      </w:tr>
      <w:tr>
        <w:trPr>
          <w:trHeight w:val="203"/>
        </w:trPr>
        <w:tc>
          <w:tcPr>
            <w:tcW w:w="39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2013–2017</w:t>
            </w:r>
          </w:p>
        </w:tc>
        <w:tc>
          <w:tcPr>
            <w:tcW w:w="4080" w:type="dxa"/>
            <w:vAlign w:val="bottom"/>
            <w:shd w:val="clear" w:color="auto" w:fill="E5E5E5"/>
          </w:tcPr>
          <w:p>
            <w:pPr>
              <w:jc w:val="right"/>
              <w:ind w:right="117"/>
              <w:spacing w:after="0" w:line="202" w:lineRule="exact"/>
              <w:rPr>
                <w:sz w:val="20"/>
                <w:szCs w:val="20"/>
                <w:color w:val="auto"/>
              </w:rPr>
            </w:pPr>
            <w:r>
              <w:rPr>
                <w:rFonts w:ascii="Arial" w:cs="Arial" w:eastAsia="Arial" w:hAnsi="Arial"/>
                <w:sz w:val="18"/>
                <w:szCs w:val="18"/>
                <w:color w:val="auto"/>
              </w:rPr>
              <w:t>294</w:t>
            </w:r>
          </w:p>
        </w:tc>
        <w:tc>
          <w:tcPr>
            <w:tcW w:w="1180" w:type="dxa"/>
            <w:vAlign w:val="bottom"/>
            <w:shd w:val="clear" w:color="auto" w:fill="E5E5E5"/>
          </w:tcPr>
          <w:p>
            <w:pPr>
              <w:jc w:val="right"/>
              <w:ind w:right="119"/>
              <w:spacing w:after="0" w:line="202" w:lineRule="exact"/>
              <w:rPr>
                <w:sz w:val="20"/>
                <w:szCs w:val="20"/>
                <w:color w:val="auto"/>
              </w:rPr>
            </w:pPr>
            <w:r>
              <w:rPr>
                <w:rFonts w:ascii="Arial" w:cs="Arial" w:eastAsia="Arial" w:hAnsi="Arial"/>
                <w:sz w:val="18"/>
                <w:szCs w:val="18"/>
                <w:color w:val="auto"/>
              </w:rPr>
              <w:t>228</w:t>
            </w:r>
          </w:p>
        </w:tc>
        <w:tc>
          <w:tcPr>
            <w:tcW w:w="1000" w:type="dxa"/>
            <w:vAlign w:val="bottom"/>
            <w:shd w:val="clear" w:color="auto" w:fill="E5E5E5"/>
          </w:tcPr>
          <w:p>
            <w:pPr>
              <w:jc w:val="right"/>
              <w:ind w:right="117"/>
              <w:spacing w:after="0" w:line="202" w:lineRule="exact"/>
              <w:rPr>
                <w:sz w:val="20"/>
                <w:szCs w:val="20"/>
                <w:color w:val="auto"/>
              </w:rPr>
            </w:pPr>
            <w:r>
              <w:rPr>
                <w:rFonts w:ascii="Arial" w:cs="Arial" w:eastAsia="Arial" w:hAnsi="Arial"/>
                <w:sz w:val="18"/>
                <w:szCs w:val="18"/>
                <w:color w:val="auto"/>
              </w:rPr>
              <w:t>(25)</w:t>
            </w:r>
          </w:p>
        </w:tc>
        <w:tc>
          <w:tcPr>
            <w:tcW w:w="12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356</w:t>
            </w:r>
          </w:p>
        </w:tc>
      </w:tr>
      <w:tr>
        <w:trPr>
          <w:trHeight w:val="310"/>
        </w:trPr>
        <w:tc>
          <w:tcPr>
            <w:tcW w:w="3960" w:type="dxa"/>
            <w:vAlign w:val="bottom"/>
          </w:tcPr>
          <w:p>
            <w:pPr>
              <w:spacing w:after="0"/>
              <w:rPr>
                <w:sz w:val="20"/>
                <w:szCs w:val="20"/>
                <w:color w:val="auto"/>
              </w:rPr>
            </w:pPr>
            <w:r>
              <w:rPr>
                <w:rFonts w:ascii="Arial" w:cs="Arial" w:eastAsia="Arial" w:hAnsi="Arial"/>
                <w:sz w:val="14"/>
                <w:szCs w:val="14"/>
                <w:color w:val="auto"/>
              </w:rPr>
              <w:t>32</w:t>
            </w:r>
          </w:p>
        </w:tc>
        <w:tc>
          <w:tcPr>
            <w:tcW w:w="4080" w:type="dxa"/>
            <w:vAlign w:val="bottom"/>
          </w:tcPr>
          <w:p>
            <w:pPr>
              <w:spacing w:after="0"/>
              <w:rPr>
                <w:sz w:val="24"/>
                <w:szCs w:val="24"/>
                <w:color w:val="auto"/>
              </w:rPr>
            </w:pPr>
          </w:p>
        </w:tc>
        <w:tc>
          <w:tcPr>
            <w:tcW w:w="3380" w:type="dxa"/>
            <w:vAlign w:val="bottom"/>
            <w:gridSpan w:val="3"/>
          </w:tcPr>
          <w:p>
            <w:pPr>
              <w:jc w:val="right"/>
              <w:spacing w:after="0"/>
              <w:rPr>
                <w:sz w:val="20"/>
                <w:szCs w:val="20"/>
                <w:color w:val="auto"/>
              </w:rPr>
            </w:pPr>
            <w:r>
              <w:rPr>
                <w:rFonts w:ascii="Arial" w:cs="Arial" w:eastAsia="Arial" w:hAnsi="Arial"/>
                <w:sz w:val="14"/>
                <w:szCs w:val="14"/>
                <w:color w:val="auto"/>
              </w:rPr>
              <w:t>TEXAS INSTRUMENTS 2007 ANNUAL REPORT</w:t>
            </w:r>
          </w:p>
        </w:tc>
      </w:tr>
    </w:tbl>
    <w:p>
      <w:pPr>
        <w:sectPr>
          <w:pgSz w:w="11900" w:h="16838" w:orient="portrait"/>
          <w:cols w:equalWidth="0" w:num="1">
            <w:col w:w="11420"/>
          </w:cols>
          <w:pgMar w:left="240" w:top="291" w:right="239" w:bottom="1440" w:gutter="0" w:footer="0" w:header="0"/>
        </w:sectPr>
      </w:pPr>
    </w:p>
    <w:bookmarkStart w:id="52" w:name="page53"/>
    <w:bookmarkEnd w:id="52"/>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Assumed health care cost trend rates for the U.S. retiree health care plan at December 31 are:</w:t>
      </w:r>
    </w:p>
    <w:p>
      <w:pPr>
        <w:spacing w:after="0" w:line="178" w:lineRule="exact"/>
        <w:rPr>
          <w:sz w:val="20"/>
          <w:szCs w:val="20"/>
          <w:color w:val="auto"/>
        </w:rPr>
      </w:pPr>
    </w:p>
    <w:p>
      <w:pPr>
        <w:ind w:left="10240"/>
        <w:spacing w:after="0"/>
        <w:rPr>
          <w:sz w:val="20"/>
          <w:szCs w:val="20"/>
          <w:color w:val="auto"/>
        </w:rPr>
      </w:pPr>
      <w:r>
        <w:rPr>
          <w:rFonts w:ascii="Arial" w:cs="Arial" w:eastAsia="Arial" w:hAnsi="Arial"/>
          <w:sz w:val="14"/>
          <w:szCs w:val="14"/>
          <w:b w:val="1"/>
          <w:bCs w:val="1"/>
          <w:color w:val="auto"/>
        </w:rPr>
        <w:t>U.S. Retiree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3860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386080"/>
                    </a:xfrm>
                    <a:prstGeom prst="rect">
                      <a:avLst/>
                    </a:prstGeom>
                    <a:noFill/>
                  </pic:spPr>
                </pic:pic>
              </a:graphicData>
            </a:graphic>
          </wp:anchor>
        </w:drawing>
      </w:r>
    </w:p>
    <w:p>
      <w:pPr>
        <w:ind w:left="10240"/>
        <w:spacing w:after="0" w:line="227" w:lineRule="auto"/>
        <w:rPr>
          <w:sz w:val="20"/>
          <w:szCs w:val="20"/>
          <w:color w:val="auto"/>
        </w:rPr>
      </w:pPr>
      <w:r>
        <w:rPr>
          <w:rFonts w:ascii="Arial" w:cs="Arial" w:eastAsia="Arial" w:hAnsi="Arial"/>
          <w:sz w:val="14"/>
          <w:szCs w:val="14"/>
          <w:b w:val="1"/>
          <w:bCs w:val="1"/>
          <w:color w:val="auto"/>
        </w:rPr>
        <w:t>Health Care</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91"/>
        </w:trPr>
        <w:tc>
          <w:tcPr>
            <w:tcW w:w="9660" w:type="dxa"/>
            <w:vAlign w:val="bottom"/>
          </w:tcPr>
          <w:p>
            <w:pPr>
              <w:spacing w:after="0"/>
              <w:rPr>
                <w:sz w:val="24"/>
                <w:szCs w:val="24"/>
                <w:color w:val="auto"/>
              </w:rPr>
            </w:pPr>
          </w:p>
        </w:tc>
        <w:tc>
          <w:tcPr>
            <w:tcW w:w="1040" w:type="dxa"/>
            <w:vAlign w:val="bottom"/>
            <w:shd w:val="clear" w:color="auto" w:fill="E5E5E5"/>
          </w:tcPr>
          <w:p>
            <w:pPr>
              <w:jc w:val="right"/>
              <w:ind w:right="232"/>
              <w:spacing w:after="0"/>
              <w:rPr>
                <w:sz w:val="20"/>
                <w:szCs w:val="20"/>
                <w:color w:val="auto"/>
              </w:rPr>
            </w:pPr>
            <w:r>
              <w:rPr>
                <w:rFonts w:ascii="Arial" w:cs="Arial" w:eastAsia="Arial" w:hAnsi="Arial"/>
                <w:sz w:val="18"/>
                <w:szCs w:val="18"/>
                <w:b w:val="1"/>
                <w:bCs w:val="1"/>
                <w:color w:val="auto"/>
              </w:rPr>
              <w:t>2007</w:t>
            </w:r>
          </w:p>
        </w:tc>
        <w:tc>
          <w:tcPr>
            <w:tcW w:w="720" w:type="dxa"/>
            <w:vAlign w:val="bottom"/>
            <w:shd w:val="clear" w:color="auto" w:fill="E5E5E5"/>
          </w:tcPr>
          <w:p>
            <w:pPr>
              <w:jc w:val="right"/>
              <w:ind w:right="72"/>
              <w:spacing w:after="0"/>
              <w:rPr>
                <w:sz w:val="20"/>
                <w:szCs w:val="20"/>
                <w:color w:val="auto"/>
              </w:rPr>
            </w:pPr>
            <w:r>
              <w:rPr>
                <w:rFonts w:ascii="Arial" w:cs="Arial" w:eastAsia="Arial" w:hAnsi="Arial"/>
                <w:sz w:val="18"/>
                <w:szCs w:val="18"/>
                <w:b w:val="1"/>
                <w:bCs w:val="1"/>
                <w:color w:val="auto"/>
              </w:rPr>
              <w:t>2006</w:t>
            </w:r>
          </w:p>
        </w:tc>
      </w:tr>
      <w:tr>
        <w:trPr>
          <w:trHeight w:val="311"/>
        </w:trPr>
        <w:tc>
          <w:tcPr>
            <w:tcW w:w="9660" w:type="dxa"/>
            <w:vAlign w:val="bottom"/>
          </w:tcPr>
          <w:p>
            <w:pPr>
              <w:spacing w:after="0"/>
              <w:rPr>
                <w:sz w:val="20"/>
                <w:szCs w:val="20"/>
                <w:color w:val="auto"/>
              </w:rPr>
            </w:pPr>
            <w:r>
              <w:rPr>
                <w:rFonts w:ascii="Arial" w:cs="Arial" w:eastAsia="Arial" w:hAnsi="Arial"/>
                <w:sz w:val="18"/>
                <w:szCs w:val="18"/>
                <w:color w:val="auto"/>
              </w:rPr>
              <w:t>Assumed health care trend rate for next year:</w:t>
            </w: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03"/>
        </w:trPr>
        <w:tc>
          <w:tcPr>
            <w:tcW w:w="966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Attributed to less than age 65</w:t>
            </w:r>
          </w:p>
        </w:tc>
        <w:tc>
          <w:tcPr>
            <w:tcW w:w="1040" w:type="dxa"/>
            <w:vAlign w:val="bottom"/>
            <w:shd w:val="clear" w:color="auto" w:fill="E5E5E5"/>
          </w:tcPr>
          <w:p>
            <w:pPr>
              <w:jc w:val="right"/>
              <w:ind w:right="72"/>
              <w:spacing w:after="0" w:line="202" w:lineRule="exact"/>
              <w:rPr>
                <w:sz w:val="20"/>
                <w:szCs w:val="20"/>
                <w:color w:val="auto"/>
              </w:rPr>
            </w:pPr>
            <w:r>
              <w:rPr>
                <w:rFonts w:ascii="Arial" w:cs="Arial" w:eastAsia="Arial" w:hAnsi="Arial"/>
                <w:sz w:val="18"/>
                <w:szCs w:val="18"/>
                <w:b w:val="1"/>
                <w:bCs w:val="1"/>
                <w:color w:val="auto"/>
              </w:rPr>
              <w:t>9.0%</w:t>
            </w:r>
          </w:p>
        </w:tc>
        <w:tc>
          <w:tcPr>
            <w:tcW w:w="7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9.0%</w:t>
            </w:r>
          </w:p>
        </w:tc>
      </w:tr>
      <w:tr>
        <w:trPr>
          <w:trHeight w:val="203"/>
        </w:trPr>
        <w:tc>
          <w:tcPr>
            <w:tcW w:w="9660" w:type="dxa"/>
            <w:vAlign w:val="bottom"/>
          </w:tcPr>
          <w:p>
            <w:pPr>
              <w:ind w:left="220"/>
              <w:spacing w:after="0" w:line="202" w:lineRule="exact"/>
              <w:rPr>
                <w:sz w:val="20"/>
                <w:szCs w:val="20"/>
                <w:color w:val="auto"/>
              </w:rPr>
            </w:pPr>
            <w:r>
              <w:rPr>
                <w:rFonts w:ascii="Arial" w:cs="Arial" w:eastAsia="Arial" w:hAnsi="Arial"/>
                <w:sz w:val="18"/>
                <w:szCs w:val="18"/>
                <w:color w:val="auto"/>
              </w:rPr>
              <w:t>Attributed to age 65 or greater</w:t>
            </w:r>
          </w:p>
        </w:tc>
        <w:tc>
          <w:tcPr>
            <w:tcW w:w="1040" w:type="dxa"/>
            <w:vAlign w:val="bottom"/>
          </w:tcPr>
          <w:p>
            <w:pPr>
              <w:jc w:val="right"/>
              <w:ind w:right="72"/>
              <w:spacing w:after="0" w:line="202" w:lineRule="exact"/>
              <w:rPr>
                <w:sz w:val="20"/>
                <w:szCs w:val="20"/>
                <w:color w:val="auto"/>
              </w:rPr>
            </w:pPr>
            <w:r>
              <w:rPr>
                <w:rFonts w:ascii="Arial" w:cs="Arial" w:eastAsia="Arial" w:hAnsi="Arial"/>
                <w:sz w:val="18"/>
                <w:szCs w:val="18"/>
                <w:b w:val="1"/>
                <w:bCs w:val="1"/>
                <w:color w:val="auto"/>
              </w:rPr>
              <w:t>9.0%</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96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Ultimate trend rate</w:t>
            </w:r>
          </w:p>
        </w:tc>
        <w:tc>
          <w:tcPr>
            <w:tcW w:w="1040" w:type="dxa"/>
            <w:vAlign w:val="bottom"/>
            <w:shd w:val="clear" w:color="auto" w:fill="E5E5E5"/>
          </w:tcPr>
          <w:p>
            <w:pPr>
              <w:jc w:val="right"/>
              <w:ind w:right="72"/>
              <w:spacing w:after="0" w:line="202" w:lineRule="exact"/>
              <w:rPr>
                <w:sz w:val="20"/>
                <w:szCs w:val="20"/>
                <w:color w:val="auto"/>
              </w:rPr>
            </w:pPr>
            <w:r>
              <w:rPr>
                <w:rFonts w:ascii="Arial" w:cs="Arial" w:eastAsia="Arial" w:hAnsi="Arial"/>
                <w:sz w:val="18"/>
                <w:szCs w:val="18"/>
                <w:b w:val="1"/>
                <w:bCs w:val="1"/>
                <w:color w:val="auto"/>
              </w:rPr>
              <w:t>5.0%</w:t>
            </w:r>
          </w:p>
        </w:tc>
        <w:tc>
          <w:tcPr>
            <w:tcW w:w="7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5.0%</w:t>
            </w:r>
          </w:p>
        </w:tc>
      </w:tr>
      <w:tr>
        <w:trPr>
          <w:trHeight w:val="296"/>
        </w:trPr>
        <w:tc>
          <w:tcPr>
            <w:tcW w:w="9660" w:type="dxa"/>
            <w:vAlign w:val="bottom"/>
          </w:tcPr>
          <w:p>
            <w:pPr>
              <w:spacing w:after="0"/>
              <w:rPr>
                <w:sz w:val="20"/>
                <w:szCs w:val="20"/>
                <w:color w:val="auto"/>
              </w:rPr>
            </w:pPr>
            <w:r>
              <w:rPr>
                <w:rFonts w:ascii="Arial" w:cs="Arial" w:eastAsia="Arial" w:hAnsi="Arial"/>
                <w:sz w:val="18"/>
                <w:szCs w:val="18"/>
                <w:color w:val="auto"/>
              </w:rPr>
              <w:t>Year in which ultimate trend rate is reached:</w:t>
            </w: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04"/>
        </w:trPr>
        <w:tc>
          <w:tcPr>
            <w:tcW w:w="9660" w:type="dxa"/>
            <w:vAlign w:val="bottom"/>
            <w:shd w:val="clear" w:color="auto" w:fill="E5E5E5"/>
          </w:tcPr>
          <w:p>
            <w:pPr>
              <w:ind w:left="220"/>
              <w:spacing w:after="0" w:line="204" w:lineRule="exact"/>
              <w:rPr>
                <w:sz w:val="20"/>
                <w:szCs w:val="20"/>
                <w:color w:val="auto"/>
              </w:rPr>
            </w:pPr>
            <w:r>
              <w:rPr>
                <w:rFonts w:ascii="Arial" w:cs="Arial" w:eastAsia="Arial" w:hAnsi="Arial"/>
                <w:sz w:val="18"/>
                <w:szCs w:val="18"/>
                <w:color w:val="auto"/>
              </w:rPr>
              <w:t>Attributed to less than age 65</w:t>
            </w:r>
          </w:p>
        </w:tc>
        <w:tc>
          <w:tcPr>
            <w:tcW w:w="1040" w:type="dxa"/>
            <w:vAlign w:val="bottom"/>
            <w:shd w:val="clear" w:color="auto" w:fill="E5E5E5"/>
          </w:tcPr>
          <w:p>
            <w:pPr>
              <w:jc w:val="right"/>
              <w:ind w:right="232"/>
              <w:spacing w:after="0" w:line="204" w:lineRule="exact"/>
              <w:rPr>
                <w:sz w:val="20"/>
                <w:szCs w:val="20"/>
                <w:color w:val="auto"/>
              </w:rPr>
            </w:pPr>
            <w:r>
              <w:rPr>
                <w:rFonts w:ascii="Arial" w:cs="Arial" w:eastAsia="Arial" w:hAnsi="Arial"/>
                <w:sz w:val="18"/>
                <w:szCs w:val="18"/>
                <w:b w:val="1"/>
                <w:bCs w:val="1"/>
                <w:color w:val="auto"/>
              </w:rPr>
              <w:t>2016</w:t>
            </w:r>
          </w:p>
        </w:tc>
        <w:tc>
          <w:tcPr>
            <w:tcW w:w="720" w:type="dxa"/>
            <w:vAlign w:val="bottom"/>
            <w:shd w:val="clear" w:color="auto" w:fill="E5E5E5"/>
          </w:tcPr>
          <w:p>
            <w:pPr>
              <w:jc w:val="right"/>
              <w:ind w:right="72"/>
              <w:spacing w:after="0" w:line="204" w:lineRule="exact"/>
              <w:rPr>
                <w:sz w:val="20"/>
                <w:szCs w:val="20"/>
                <w:color w:val="auto"/>
              </w:rPr>
            </w:pPr>
            <w:r>
              <w:rPr>
                <w:rFonts w:ascii="Arial" w:cs="Arial" w:eastAsia="Arial" w:hAnsi="Arial"/>
                <w:sz w:val="18"/>
                <w:szCs w:val="18"/>
                <w:color w:val="auto"/>
              </w:rPr>
              <w:t>2011</w:t>
            </w:r>
          </w:p>
        </w:tc>
      </w:tr>
      <w:tr>
        <w:trPr>
          <w:trHeight w:val="233"/>
        </w:trPr>
        <w:tc>
          <w:tcPr>
            <w:tcW w:w="9660" w:type="dxa"/>
            <w:vAlign w:val="bottom"/>
          </w:tcPr>
          <w:p>
            <w:pPr>
              <w:ind w:left="220"/>
              <w:spacing w:after="0"/>
              <w:rPr>
                <w:sz w:val="20"/>
                <w:szCs w:val="20"/>
                <w:color w:val="auto"/>
              </w:rPr>
            </w:pPr>
            <w:r>
              <w:rPr>
                <w:rFonts w:ascii="Arial" w:cs="Arial" w:eastAsia="Arial" w:hAnsi="Arial"/>
                <w:sz w:val="18"/>
                <w:szCs w:val="18"/>
                <w:color w:val="auto"/>
              </w:rPr>
              <w:t>Attributed to age 65 or greater</w:t>
            </w:r>
          </w:p>
        </w:tc>
        <w:tc>
          <w:tcPr>
            <w:tcW w:w="1040" w:type="dxa"/>
            <w:vAlign w:val="bottom"/>
          </w:tcPr>
          <w:p>
            <w:pPr>
              <w:jc w:val="right"/>
              <w:ind w:right="232"/>
              <w:spacing w:after="0"/>
              <w:rPr>
                <w:sz w:val="20"/>
                <w:szCs w:val="20"/>
                <w:color w:val="auto"/>
              </w:rPr>
            </w:pPr>
            <w:r>
              <w:rPr>
                <w:rFonts w:ascii="Arial" w:cs="Arial" w:eastAsia="Arial" w:hAnsi="Arial"/>
                <w:sz w:val="18"/>
                <w:szCs w:val="18"/>
                <w:b w:val="1"/>
                <w:bCs w:val="1"/>
                <w:color w:val="auto"/>
              </w:rPr>
              <w:t>2016</w:t>
            </w:r>
          </w:p>
        </w:tc>
        <w:tc>
          <w:tcPr>
            <w:tcW w:w="720" w:type="dxa"/>
            <w:vAlign w:val="bottom"/>
          </w:tcPr>
          <w:p>
            <w:pPr>
              <w:jc w:val="right"/>
              <w:ind w:right="72"/>
              <w:spacing w:after="0"/>
              <w:rPr>
                <w:sz w:val="20"/>
                <w:szCs w:val="20"/>
                <w:color w:val="auto"/>
              </w:rPr>
            </w:pPr>
            <w:r>
              <w:rPr>
                <w:rFonts w:ascii="Arial" w:cs="Arial" w:eastAsia="Arial" w:hAnsi="Arial"/>
                <w:sz w:val="18"/>
                <w:szCs w:val="18"/>
                <w:color w:val="auto"/>
              </w:rPr>
              <w:t>2012</w:t>
            </w:r>
          </w:p>
        </w:tc>
      </w:tr>
    </w:tbl>
    <w:p>
      <w:pPr>
        <w:spacing w:after="0" w:line="135"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Increasing or decreasing health care cost trend rates by one percentage point would have increased or decreased the accumulated postretirement benefit obligation for the U.S. retiree health care plan at December 31, 2007, by $14 million and the service cost and interest cost components of 2007 plan expense by $1 million.</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Deferred Compensation Arrangements</w:t>
      </w:r>
    </w:p>
    <w:p>
      <w:pPr>
        <w:spacing w:after="0" w:line="158"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We have a non-qualified deferred compensation plan, which allows certain highly compensated employees the option to defer receipt of a portion of their salary, bonus and profit sharing. Employees who participate in the deferred compensation plan can select one of eight distribution options offered by the plan. Payments are made after the employee terminates, based on their distribution election and plan balance. Participants can earn a return on their deferred compensation that is based on hypothetical investments in the same investment funds and TI common stock offered in our defined contribution plans. Changes in the market value of these participant investments are reflected as an adjustment to the liability for deferred compensation with an offset to compensation expense.</w:t>
      </w:r>
    </w:p>
    <w:p>
      <w:pPr>
        <w:spacing w:after="0" w:line="156"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As of December 31, 2007, the liability to the participants of the deferred compensation plan was $199 million and is recorded in non-current liabilities. This amount reflects the accumulated participant deferrals and earnings thereon as of that date. We make no contributions to the deferred compensation plan and so remain liable to the participants. However, to serve as an economic hedge against the financial impact of changes in market values of these hypothetical investments, we invest in similar mutual funds and have entered into a forward purchase contract (explained below). Changes in the fair value of these mutual fund investments are recognized in compensation expense.</w:t>
      </w:r>
    </w:p>
    <w:p>
      <w:pPr>
        <w:spacing w:after="0" w:line="157"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As no shares of TI common stock are actually held for the account of participants, as of December 31, 2007, we have a forward purchase contract with a commercial bank to acquire 550,000 shares of TI common stock at a fixed price of $32.37 per share at the end of the contract term or, at our option, to settle in cash with the bank. We are also able, at our discretion, to unwind all or part of this contract prior to the end of the contract term. The contract is intended to be an economic hedge to minimize the earnings impact from the effect of fluctuations in stock market prices on the portion of the deferred compensation plan obligations that are denominated in TI stock. The changes in the fair value of the forward contract are reflected in compensation expense. Since December 31, 2005, participants have been prohibited from directing any further transfers to the TI common stock portion of the hypothetical investments, so this hedge will remain at or below 550,000 shares of TI common stock in the future.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Profit Sharing and Savings Plans</w:t>
      </w:r>
    </w:p>
    <w:p>
      <w:pPr>
        <w:spacing w:after="0" w:line="180" w:lineRule="exact"/>
        <w:rPr>
          <w:sz w:val="20"/>
          <w:szCs w:val="20"/>
          <w:color w:val="auto"/>
        </w:rPr>
      </w:pPr>
    </w:p>
    <w:p>
      <w:pPr>
        <w:ind w:right="20"/>
        <w:spacing w:after="0" w:line="273" w:lineRule="auto"/>
        <w:rPr>
          <w:sz w:val="20"/>
          <w:szCs w:val="20"/>
          <w:color w:val="auto"/>
        </w:rPr>
      </w:pPr>
      <w:r>
        <w:rPr>
          <w:rFonts w:ascii="Arial" w:cs="Arial" w:eastAsia="Arial" w:hAnsi="Arial"/>
          <w:sz w:val="16"/>
          <w:szCs w:val="16"/>
          <w:color w:val="auto"/>
        </w:rPr>
        <w:t>We pay profit sharing benefits primarily under the TI Employee Profit Sharing Plan. Profit sharing benefits are generally formulaic and determined by one or more business or company-wide financial metrics. This plan provides for profit sharing to be paid based solely upon TI’s operating margin for the full calendar year. Under this plan, a minimum threshold of 10 percent operating margin must be achieved before any profit sharing is paid. Profit sharing at 10 percent operating margin will be 2 percent of eligible payroll. The maximum amount of profit sharing available under the plan is 20 percent of eligible payroll and would only be paid when TI’s operating margin meets or exceeds 35 percent for a full calendar year.</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120" w:type="dxa"/>
            <w:vAlign w:val="bottom"/>
          </w:tcPr>
          <w:p>
            <w:pPr>
              <w:spacing w:after="0"/>
              <w:rPr>
                <w:sz w:val="20"/>
                <w:szCs w:val="20"/>
                <w:color w:val="auto"/>
              </w:rPr>
            </w:pPr>
            <w:r>
              <w:rPr>
                <w:rFonts w:ascii="Arial" w:cs="Arial" w:eastAsia="Arial" w:hAnsi="Arial"/>
                <w:sz w:val="14"/>
                <w:szCs w:val="14"/>
                <w:color w:val="auto"/>
              </w:rPr>
              <w:t>TEXAS INSTRUMENTS 2007 ANNUAL REPORT</w:t>
            </w:r>
          </w:p>
        </w:tc>
        <w:tc>
          <w:tcPr>
            <w:tcW w:w="4300" w:type="dxa"/>
            <w:vAlign w:val="bottom"/>
          </w:tcPr>
          <w:p>
            <w:pPr>
              <w:jc w:val="right"/>
              <w:spacing w:after="0"/>
              <w:rPr>
                <w:sz w:val="20"/>
                <w:szCs w:val="20"/>
                <w:color w:val="auto"/>
              </w:rPr>
            </w:pPr>
            <w:r>
              <w:rPr>
                <w:rFonts w:ascii="Arial" w:cs="Arial" w:eastAsia="Arial" w:hAnsi="Arial"/>
                <w:sz w:val="14"/>
                <w:szCs w:val="14"/>
                <w:color w:val="auto"/>
              </w:rPr>
              <w:t>33</w:t>
            </w:r>
          </w:p>
        </w:tc>
      </w:tr>
    </w:tbl>
    <w:p>
      <w:pPr>
        <w:sectPr>
          <w:pgSz w:w="11900" w:h="16838" w:orient="portrait"/>
          <w:cols w:equalWidth="0" w:num="1">
            <w:col w:w="11420"/>
          </w:cols>
          <w:pgMar w:left="240" w:top="291" w:right="239" w:bottom="1440" w:gutter="0" w:footer="0" w:header="0"/>
        </w:sectPr>
      </w:pPr>
    </w:p>
    <w:bookmarkStart w:id="53" w:name="page54"/>
    <w:bookmarkEnd w:id="53"/>
    <w:p>
      <w:pPr>
        <w:ind w:right="140"/>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recognized $180 million, $149 million and $115 million of profit sharing expense under the TI Employee Profit Sharing Plan in 2007, 2006 and 2005.</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Income from Continuing Operations before Income Taxes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2820" w:type="dxa"/>
            <w:vAlign w:val="bottom"/>
            <w:tcBorders>
              <w:bottom w:val="single" w:sz="8" w:color="E5E5E5"/>
            </w:tcBorders>
            <w:shd w:val="clear" w:color="auto" w:fill="E5E5E5"/>
          </w:tcPr>
          <w:p>
            <w:pPr>
              <w:spacing w:after="0"/>
              <w:rPr>
                <w:sz w:val="17"/>
                <w:szCs w:val="17"/>
                <w:color w:val="auto"/>
              </w:rPr>
            </w:pPr>
          </w:p>
        </w:tc>
        <w:tc>
          <w:tcPr>
            <w:tcW w:w="4800" w:type="dxa"/>
            <w:vAlign w:val="bottom"/>
            <w:tcBorders>
              <w:bottom w:val="single" w:sz="8" w:color="E5E5E5"/>
            </w:tcBorders>
            <w:shd w:val="clear" w:color="auto" w:fill="E5E5E5"/>
          </w:tcPr>
          <w:p>
            <w:pPr>
              <w:spacing w:after="0"/>
              <w:rPr>
                <w:sz w:val="17"/>
                <w:szCs w:val="17"/>
                <w:color w:val="auto"/>
              </w:rPr>
            </w:pPr>
          </w:p>
        </w:tc>
        <w:tc>
          <w:tcPr>
            <w:tcW w:w="840" w:type="dxa"/>
            <w:vAlign w:val="bottom"/>
            <w:tcBorders>
              <w:bottom w:val="single" w:sz="8" w:color="E5E5E5"/>
            </w:tcBorders>
            <w:shd w:val="clear" w:color="auto" w:fill="E5E5E5"/>
          </w:tcPr>
          <w:p>
            <w:pPr>
              <w:spacing w:after="0"/>
              <w:rPr>
                <w:sz w:val="17"/>
                <w:szCs w:val="17"/>
                <w:color w:val="auto"/>
              </w:rPr>
            </w:pPr>
          </w:p>
        </w:tc>
        <w:tc>
          <w:tcPr>
            <w:tcW w:w="120" w:type="dxa"/>
            <w:vAlign w:val="bottom"/>
            <w:tcBorders>
              <w:bottom w:val="single" w:sz="8" w:color="E5E5E5"/>
            </w:tcBorders>
            <w:shd w:val="clear" w:color="auto" w:fill="E5E5E5"/>
          </w:tcPr>
          <w:p>
            <w:pPr>
              <w:spacing w:after="0"/>
              <w:rPr>
                <w:sz w:val="17"/>
                <w:szCs w:val="17"/>
                <w:color w:val="auto"/>
              </w:rPr>
            </w:pPr>
          </w:p>
        </w:tc>
        <w:tc>
          <w:tcPr>
            <w:tcW w:w="380" w:type="dxa"/>
            <w:vAlign w:val="bottom"/>
            <w:tcBorders>
              <w:bottom w:val="single" w:sz="8" w:color="E5E5E5"/>
            </w:tcBorders>
            <w:shd w:val="clear" w:color="auto" w:fill="E5E5E5"/>
          </w:tcPr>
          <w:p>
            <w:pPr>
              <w:spacing w:after="0"/>
              <w:rPr>
                <w:sz w:val="17"/>
                <w:szCs w:val="17"/>
                <w:color w:val="auto"/>
              </w:rPr>
            </w:pPr>
          </w:p>
        </w:tc>
        <w:tc>
          <w:tcPr>
            <w:tcW w:w="200" w:type="dxa"/>
            <w:vAlign w:val="bottom"/>
            <w:tcBorders>
              <w:bottom w:val="single" w:sz="8" w:color="E5E5E5"/>
            </w:tcBorders>
            <w:shd w:val="clear" w:color="auto" w:fill="E5E5E5"/>
          </w:tcPr>
          <w:p>
            <w:pPr>
              <w:spacing w:after="0"/>
              <w:rPr>
                <w:sz w:val="17"/>
                <w:szCs w:val="17"/>
                <w:color w:val="auto"/>
              </w:rPr>
            </w:pPr>
          </w:p>
        </w:tc>
        <w:tc>
          <w:tcPr>
            <w:tcW w:w="680" w:type="dxa"/>
            <w:vAlign w:val="bottom"/>
            <w:tcBorders>
              <w:bottom w:val="single" w:sz="8" w:color="E5E5E5"/>
            </w:tcBorders>
            <w:gridSpan w:val="2"/>
            <w:shd w:val="clear" w:color="auto" w:fill="E5E5E5"/>
          </w:tcPr>
          <w:p>
            <w:pPr>
              <w:jc w:val="right"/>
              <w:ind w:right="255"/>
              <w:spacing w:after="0"/>
              <w:rPr>
                <w:sz w:val="20"/>
                <w:szCs w:val="20"/>
                <w:color w:val="auto"/>
              </w:rPr>
            </w:pPr>
            <w:r>
              <w:rPr>
                <w:rFonts w:ascii="Arial" w:cs="Arial" w:eastAsia="Arial" w:hAnsi="Arial"/>
                <w:sz w:val="14"/>
                <w:szCs w:val="14"/>
                <w:b w:val="1"/>
                <w:bCs w:val="1"/>
                <w:color w:val="auto"/>
              </w:rPr>
              <w:t>U.S.</w:t>
            </w:r>
          </w:p>
        </w:tc>
        <w:tc>
          <w:tcPr>
            <w:tcW w:w="800" w:type="dxa"/>
            <w:vAlign w:val="bottom"/>
            <w:tcBorders>
              <w:bottom w:val="single" w:sz="8" w:color="E5E5E5"/>
            </w:tcBorders>
            <w:gridSpan w:val="2"/>
            <w:shd w:val="clear" w:color="auto" w:fill="E5E5E5"/>
          </w:tcPr>
          <w:p>
            <w:pPr>
              <w:ind w:left="60"/>
              <w:spacing w:after="0"/>
              <w:rPr>
                <w:sz w:val="20"/>
                <w:szCs w:val="20"/>
                <w:color w:val="auto"/>
              </w:rPr>
            </w:pPr>
            <w:r>
              <w:rPr>
                <w:rFonts w:ascii="Arial" w:cs="Arial" w:eastAsia="Arial" w:hAnsi="Arial"/>
                <w:sz w:val="14"/>
                <w:szCs w:val="14"/>
                <w:b w:val="1"/>
                <w:bCs w:val="1"/>
                <w:color w:val="auto"/>
              </w:rPr>
              <w:t>Non-U.S.</w:t>
            </w:r>
          </w:p>
        </w:tc>
        <w:tc>
          <w:tcPr>
            <w:tcW w:w="180" w:type="dxa"/>
            <w:vAlign w:val="bottom"/>
            <w:tcBorders>
              <w:bottom w:val="single" w:sz="8" w:color="E5E5E5"/>
            </w:tcBorders>
            <w:shd w:val="clear" w:color="auto" w:fill="E5E5E5"/>
          </w:tcPr>
          <w:p>
            <w:pPr>
              <w:spacing w:after="0"/>
              <w:rPr>
                <w:sz w:val="17"/>
                <w:szCs w:val="17"/>
                <w:color w:val="auto"/>
              </w:rPr>
            </w:pPr>
          </w:p>
        </w:tc>
        <w:tc>
          <w:tcPr>
            <w:tcW w:w="580" w:type="dxa"/>
            <w:vAlign w:val="bottom"/>
            <w:tcBorders>
              <w:bottom w:val="single" w:sz="8" w:color="E5E5E5"/>
            </w:tcBorders>
            <w:gridSpan w:val="3"/>
            <w:shd w:val="clear" w:color="auto" w:fill="E5E5E5"/>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96"/>
        </w:trPr>
        <w:tc>
          <w:tcPr>
            <w:tcW w:w="2840" w:type="dxa"/>
            <w:vAlign w:val="bottom"/>
            <w:gridSpan w:val="2"/>
          </w:tcPr>
          <w:p>
            <w:pPr>
              <w:spacing w:after="0"/>
              <w:rPr>
                <w:sz w:val="20"/>
                <w:szCs w:val="20"/>
                <w:color w:val="auto"/>
              </w:rPr>
            </w:pPr>
            <w:r>
              <w:rPr>
                <w:rFonts w:ascii="Arial" w:cs="Arial" w:eastAsia="Arial" w:hAnsi="Arial"/>
                <w:sz w:val="18"/>
                <w:szCs w:val="18"/>
                <w:b w:val="1"/>
                <w:bCs w:val="1"/>
                <w:color w:val="auto"/>
              </w:rPr>
              <w:t>2007</w:t>
            </w:r>
          </w:p>
        </w:tc>
        <w:tc>
          <w:tcPr>
            <w:tcW w:w="4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tcPr>
          <w:p>
            <w:pPr>
              <w:ind w:left="80"/>
              <w:spacing w:after="0"/>
              <w:rPr>
                <w:sz w:val="20"/>
                <w:szCs w:val="20"/>
                <w:color w:val="auto"/>
              </w:rPr>
            </w:pPr>
            <w:r>
              <w:rPr>
                <w:rFonts w:ascii="Arial" w:cs="Arial" w:eastAsia="Arial" w:hAnsi="Arial"/>
                <w:sz w:val="18"/>
                <w:szCs w:val="18"/>
                <w:b w:val="1"/>
                <w:bCs w:val="1"/>
                <w:color w:val="auto"/>
              </w:rPr>
              <w:t>2,738</w:t>
            </w:r>
          </w:p>
        </w:tc>
        <w:tc>
          <w:tcPr>
            <w:tcW w:w="260" w:type="dxa"/>
            <w:vAlign w:val="bottom"/>
          </w:tcPr>
          <w:p>
            <w:pPr>
              <w:ind w:left="6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jc w:val="right"/>
              <w:ind w:right="72"/>
              <w:spacing w:after="0"/>
              <w:rPr>
                <w:sz w:val="20"/>
                <w:szCs w:val="20"/>
                <w:color w:val="auto"/>
              </w:rPr>
            </w:pPr>
            <w:r>
              <w:rPr>
                <w:rFonts w:ascii="Arial" w:cs="Arial" w:eastAsia="Arial" w:hAnsi="Arial"/>
                <w:sz w:val="18"/>
                <w:szCs w:val="18"/>
                <w:b w:val="1"/>
                <w:bCs w:val="1"/>
                <w:color w:val="auto"/>
              </w:rPr>
              <w:t>954</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3"/>
          </w:tcPr>
          <w:p>
            <w:pPr>
              <w:ind w:left="80"/>
              <w:spacing w:after="0"/>
              <w:rPr>
                <w:sz w:val="20"/>
                <w:szCs w:val="20"/>
                <w:color w:val="auto"/>
              </w:rPr>
            </w:pPr>
            <w:r>
              <w:rPr>
                <w:rFonts w:ascii="Arial" w:cs="Arial" w:eastAsia="Arial" w:hAnsi="Arial"/>
                <w:sz w:val="18"/>
                <w:szCs w:val="18"/>
                <w:b w:val="1"/>
                <w:bCs w:val="1"/>
                <w:color w:val="auto"/>
              </w:rPr>
              <w:t>3,692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820" w:type="dxa"/>
            <w:vAlign w:val="bottom"/>
            <w:shd w:val="clear" w:color="auto" w:fill="E5E5E5"/>
          </w:tcPr>
          <w:p>
            <w:pPr>
              <w:spacing w:after="0" w:line="204" w:lineRule="exact"/>
              <w:rPr>
                <w:sz w:val="20"/>
                <w:szCs w:val="20"/>
                <w:color w:val="auto"/>
              </w:rPr>
            </w:pPr>
            <w:r>
              <w:rPr>
                <w:rFonts w:ascii="Arial" w:cs="Arial" w:eastAsia="Arial" w:hAnsi="Arial"/>
                <w:sz w:val="18"/>
                <w:szCs w:val="18"/>
                <w:color w:val="auto"/>
              </w:rPr>
              <w:t>2006</w:t>
            </w:r>
          </w:p>
        </w:tc>
        <w:tc>
          <w:tcPr>
            <w:tcW w:w="4800" w:type="dxa"/>
            <w:vAlign w:val="bottom"/>
            <w:shd w:val="clear" w:color="auto" w:fill="E5E5E5"/>
          </w:tcPr>
          <w:p>
            <w:pPr>
              <w:spacing w:after="0"/>
              <w:rPr>
                <w:sz w:val="17"/>
                <w:szCs w:val="17"/>
                <w:color w:val="auto"/>
              </w:rPr>
            </w:pPr>
          </w:p>
        </w:tc>
        <w:tc>
          <w:tcPr>
            <w:tcW w:w="84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680" w:type="dxa"/>
            <w:vAlign w:val="bottom"/>
            <w:gridSpan w:val="2"/>
            <w:shd w:val="clear" w:color="auto" w:fill="E5E5E5"/>
          </w:tcPr>
          <w:p>
            <w:pPr>
              <w:ind w:left="80"/>
              <w:spacing w:after="0" w:line="204" w:lineRule="exact"/>
              <w:rPr>
                <w:sz w:val="20"/>
                <w:szCs w:val="20"/>
                <w:color w:val="auto"/>
              </w:rPr>
            </w:pPr>
            <w:r>
              <w:rPr>
                <w:rFonts w:ascii="Arial" w:cs="Arial" w:eastAsia="Arial" w:hAnsi="Arial"/>
                <w:sz w:val="18"/>
                <w:szCs w:val="18"/>
                <w:color w:val="auto"/>
              </w:rPr>
              <w:t>2,582</w:t>
            </w:r>
          </w:p>
        </w:tc>
        <w:tc>
          <w:tcPr>
            <w:tcW w:w="800" w:type="dxa"/>
            <w:vAlign w:val="bottom"/>
            <w:gridSpan w:val="2"/>
            <w:shd w:val="clear" w:color="auto" w:fill="E5E5E5"/>
          </w:tcPr>
          <w:p>
            <w:pPr>
              <w:jc w:val="right"/>
              <w:ind w:right="72"/>
              <w:spacing w:after="0" w:line="204" w:lineRule="exact"/>
              <w:rPr>
                <w:sz w:val="20"/>
                <w:szCs w:val="20"/>
                <w:color w:val="auto"/>
              </w:rPr>
            </w:pPr>
            <w:r>
              <w:rPr>
                <w:rFonts w:ascii="Arial" w:cs="Arial" w:eastAsia="Arial" w:hAnsi="Arial"/>
                <w:sz w:val="18"/>
                <w:szCs w:val="18"/>
                <w:color w:val="auto"/>
              </w:rPr>
              <w:t>1,043</w:t>
            </w:r>
          </w:p>
        </w:tc>
        <w:tc>
          <w:tcPr>
            <w:tcW w:w="180" w:type="dxa"/>
            <w:vAlign w:val="bottom"/>
            <w:shd w:val="clear" w:color="auto" w:fill="E5E5E5"/>
          </w:tcPr>
          <w:p>
            <w:pPr>
              <w:spacing w:after="0"/>
              <w:rPr>
                <w:sz w:val="17"/>
                <w:szCs w:val="17"/>
                <w:color w:val="auto"/>
              </w:rPr>
            </w:pPr>
          </w:p>
        </w:tc>
        <w:tc>
          <w:tcPr>
            <w:tcW w:w="580" w:type="dxa"/>
            <w:vAlign w:val="bottom"/>
            <w:gridSpan w:val="3"/>
            <w:shd w:val="clear" w:color="auto" w:fill="E5E5E5"/>
          </w:tcPr>
          <w:p>
            <w:pPr>
              <w:ind w:left="80"/>
              <w:spacing w:after="0" w:line="204" w:lineRule="exact"/>
              <w:rPr>
                <w:sz w:val="20"/>
                <w:szCs w:val="20"/>
                <w:color w:val="auto"/>
              </w:rPr>
            </w:pPr>
            <w:r>
              <w:rPr>
                <w:rFonts w:ascii="Arial" w:cs="Arial" w:eastAsia="Arial" w:hAnsi="Arial"/>
                <w:sz w:val="18"/>
                <w:szCs w:val="18"/>
                <w:color w:val="auto"/>
              </w:rPr>
              <w:t>3,625</w:t>
            </w:r>
          </w:p>
        </w:tc>
        <w:tc>
          <w:tcPr>
            <w:tcW w:w="0" w:type="dxa"/>
            <w:vAlign w:val="bottom"/>
          </w:tcPr>
          <w:p>
            <w:pPr>
              <w:spacing w:after="0"/>
              <w:rPr>
                <w:sz w:val="1"/>
                <w:szCs w:val="1"/>
                <w:color w:val="auto"/>
              </w:rPr>
            </w:pPr>
          </w:p>
        </w:tc>
      </w:tr>
      <w:tr>
        <w:trPr>
          <w:trHeight w:val="214"/>
        </w:trPr>
        <w:tc>
          <w:tcPr>
            <w:tcW w:w="2840" w:type="dxa"/>
            <w:vAlign w:val="bottom"/>
            <w:gridSpan w:val="2"/>
          </w:tcPr>
          <w:p>
            <w:pPr>
              <w:spacing w:after="0"/>
              <w:rPr>
                <w:sz w:val="20"/>
                <w:szCs w:val="20"/>
                <w:color w:val="auto"/>
              </w:rPr>
            </w:pPr>
            <w:r>
              <w:rPr>
                <w:rFonts w:ascii="Arial" w:cs="Arial" w:eastAsia="Arial" w:hAnsi="Arial"/>
                <w:sz w:val="18"/>
                <w:szCs w:val="18"/>
                <w:color w:val="auto"/>
              </w:rPr>
              <w:t>2005</w:t>
            </w:r>
          </w:p>
        </w:tc>
        <w:tc>
          <w:tcPr>
            <w:tcW w:w="4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ind w:left="80"/>
              <w:spacing w:after="0"/>
              <w:rPr>
                <w:sz w:val="20"/>
                <w:szCs w:val="20"/>
                <w:color w:val="auto"/>
              </w:rPr>
            </w:pPr>
            <w:r>
              <w:rPr>
                <w:rFonts w:ascii="Arial" w:cs="Arial" w:eastAsia="Arial" w:hAnsi="Arial"/>
                <w:sz w:val="18"/>
                <w:szCs w:val="18"/>
                <w:color w:val="auto"/>
              </w:rPr>
              <w:t>1,770</w:t>
            </w:r>
          </w:p>
        </w:tc>
        <w:tc>
          <w:tcPr>
            <w:tcW w:w="260" w:type="dxa"/>
            <w:vAlign w:val="bottom"/>
          </w:tcPr>
          <w:p>
            <w:pPr>
              <w:spacing w:after="0"/>
              <w:rPr>
                <w:sz w:val="18"/>
                <w:szCs w:val="18"/>
                <w:color w:val="auto"/>
              </w:rPr>
            </w:pPr>
          </w:p>
        </w:tc>
        <w:tc>
          <w:tcPr>
            <w:tcW w:w="540" w:type="dxa"/>
            <w:vAlign w:val="bottom"/>
          </w:tcPr>
          <w:p>
            <w:pPr>
              <w:jc w:val="right"/>
              <w:ind w:right="72"/>
              <w:spacing w:after="0"/>
              <w:rPr>
                <w:sz w:val="20"/>
                <w:szCs w:val="20"/>
                <w:color w:val="auto"/>
              </w:rPr>
            </w:pPr>
            <w:r>
              <w:rPr>
                <w:rFonts w:ascii="Arial" w:cs="Arial" w:eastAsia="Arial" w:hAnsi="Arial"/>
                <w:sz w:val="18"/>
                <w:szCs w:val="18"/>
                <w:color w:val="auto"/>
              </w:rPr>
              <w:t>985</w:t>
            </w:r>
          </w:p>
        </w:tc>
        <w:tc>
          <w:tcPr>
            <w:tcW w:w="180" w:type="dxa"/>
            <w:vAlign w:val="bottom"/>
          </w:tcPr>
          <w:p>
            <w:pPr>
              <w:spacing w:after="0"/>
              <w:rPr>
                <w:sz w:val="18"/>
                <w:szCs w:val="18"/>
                <w:color w:val="auto"/>
              </w:rPr>
            </w:pPr>
          </w:p>
        </w:tc>
        <w:tc>
          <w:tcPr>
            <w:tcW w:w="580" w:type="dxa"/>
            <w:vAlign w:val="bottom"/>
            <w:gridSpan w:val="3"/>
          </w:tcPr>
          <w:p>
            <w:pPr>
              <w:ind w:left="80"/>
              <w:spacing w:after="0"/>
              <w:rPr>
                <w:sz w:val="20"/>
                <w:szCs w:val="20"/>
                <w:color w:val="auto"/>
              </w:rPr>
            </w:pPr>
            <w:r>
              <w:rPr>
                <w:rFonts w:ascii="Arial" w:cs="Arial" w:eastAsia="Arial" w:hAnsi="Arial"/>
                <w:sz w:val="18"/>
                <w:szCs w:val="18"/>
                <w:color w:val="auto"/>
              </w:rPr>
              <w:t>2,755</w:t>
            </w: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7620" w:type="dxa"/>
            <w:vAlign w:val="bottom"/>
            <w:gridSpan w:val="2"/>
          </w:tcPr>
          <w:p>
            <w:pPr>
              <w:spacing w:after="0"/>
              <w:rPr>
                <w:sz w:val="20"/>
                <w:szCs w:val="20"/>
                <w:color w:val="auto"/>
              </w:rPr>
            </w:pPr>
            <w:r>
              <w:rPr>
                <w:rFonts w:ascii="Arial" w:cs="Arial" w:eastAsia="Arial" w:hAnsi="Arial"/>
                <w:sz w:val="18"/>
                <w:szCs w:val="18"/>
                <w:color w:val="auto"/>
              </w:rPr>
              <w:t>Provision (Benefit) for Income Taxes</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20" w:type="dxa"/>
            <w:vAlign w:val="bottom"/>
            <w:tcBorders>
              <w:top w:val="single" w:sz="8" w:color="auto"/>
            </w:tcBorders>
          </w:tcPr>
          <w:p>
            <w:pPr>
              <w:spacing w:after="0"/>
              <w:rPr>
                <w:sz w:val="18"/>
                <w:szCs w:val="18"/>
                <w:color w:val="auto"/>
              </w:rPr>
            </w:pPr>
          </w:p>
        </w:tc>
        <w:tc>
          <w:tcPr>
            <w:tcW w:w="4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20" w:type="dxa"/>
            <w:vAlign w:val="bottom"/>
            <w:shd w:val="clear" w:color="auto" w:fill="E5E5E5"/>
          </w:tcPr>
          <w:p>
            <w:pPr>
              <w:spacing w:after="0"/>
              <w:rPr>
                <w:sz w:val="11"/>
                <w:szCs w:val="11"/>
                <w:color w:val="auto"/>
              </w:rPr>
            </w:pPr>
          </w:p>
        </w:tc>
        <w:tc>
          <w:tcPr>
            <w:tcW w:w="4800" w:type="dxa"/>
            <w:vAlign w:val="bottom"/>
            <w:shd w:val="clear" w:color="auto" w:fill="E5E5E5"/>
          </w:tcPr>
          <w:p>
            <w:pPr>
              <w:spacing w:after="0"/>
              <w:rPr>
                <w:sz w:val="11"/>
                <w:szCs w:val="11"/>
                <w:color w:val="auto"/>
              </w:rPr>
            </w:pPr>
          </w:p>
        </w:tc>
        <w:tc>
          <w:tcPr>
            <w:tcW w:w="840" w:type="dxa"/>
            <w:vAlign w:val="bottom"/>
            <w:shd w:val="clear" w:color="auto" w:fill="E5E5E5"/>
          </w:tcPr>
          <w:p>
            <w:pPr>
              <w:spacing w:after="0"/>
              <w:rPr>
                <w:sz w:val="11"/>
                <w:szCs w:val="11"/>
                <w:color w:val="auto"/>
              </w:rPr>
            </w:pPr>
          </w:p>
        </w:tc>
        <w:tc>
          <w:tcPr>
            <w:tcW w:w="120" w:type="dxa"/>
            <w:vAlign w:val="bottom"/>
            <w:shd w:val="clear" w:color="auto" w:fill="E5E5E5"/>
          </w:tcPr>
          <w:p>
            <w:pPr>
              <w:spacing w:after="0"/>
              <w:rPr>
                <w:sz w:val="11"/>
                <w:szCs w:val="11"/>
                <w:color w:val="auto"/>
              </w:rPr>
            </w:pPr>
          </w:p>
        </w:tc>
        <w:tc>
          <w:tcPr>
            <w:tcW w:w="580" w:type="dxa"/>
            <w:vAlign w:val="bottom"/>
            <w:gridSpan w:val="2"/>
            <w:shd w:val="clear" w:color="auto" w:fill="E5E5E5"/>
          </w:tcPr>
          <w:p>
            <w:pPr>
              <w:jc w:val="right"/>
              <w:ind w:right="212"/>
              <w:spacing w:after="0" w:line="135" w:lineRule="exact"/>
              <w:rPr>
                <w:sz w:val="20"/>
                <w:szCs w:val="20"/>
                <w:color w:val="auto"/>
              </w:rPr>
            </w:pPr>
            <w:r>
              <w:rPr>
                <w:rFonts w:ascii="Arial" w:cs="Arial" w:eastAsia="Arial" w:hAnsi="Arial"/>
                <w:sz w:val="14"/>
                <w:szCs w:val="14"/>
                <w:b w:val="1"/>
                <w:bCs w:val="1"/>
                <w:color w:val="auto"/>
                <w:w w:val="95"/>
              </w:rPr>
              <w:t>U.S.</w:t>
            </w:r>
          </w:p>
        </w:tc>
        <w:tc>
          <w:tcPr>
            <w:tcW w:w="180" w:type="dxa"/>
            <w:vAlign w:val="bottom"/>
            <w:shd w:val="clear" w:color="auto" w:fill="E5E5E5"/>
          </w:tcPr>
          <w:p>
            <w:pPr>
              <w:spacing w:after="0"/>
              <w:rPr>
                <w:sz w:val="11"/>
                <w:szCs w:val="11"/>
                <w:color w:val="auto"/>
              </w:rPr>
            </w:pPr>
          </w:p>
        </w:tc>
        <w:tc>
          <w:tcPr>
            <w:tcW w:w="500" w:type="dxa"/>
            <w:vAlign w:val="bottom"/>
            <w:shd w:val="clear" w:color="auto" w:fill="E5E5E5"/>
          </w:tcPr>
          <w:p>
            <w:pPr>
              <w:jc w:val="right"/>
              <w:ind w:right="115"/>
              <w:spacing w:after="0" w:line="135" w:lineRule="exact"/>
              <w:rPr>
                <w:sz w:val="20"/>
                <w:szCs w:val="20"/>
                <w:color w:val="auto"/>
              </w:rPr>
            </w:pPr>
            <w:r>
              <w:rPr>
                <w:rFonts w:ascii="Arial" w:cs="Arial" w:eastAsia="Arial" w:hAnsi="Arial"/>
                <w:sz w:val="14"/>
                <w:szCs w:val="14"/>
                <w:b w:val="1"/>
                <w:bCs w:val="1"/>
                <w:color w:val="auto"/>
                <w:w w:val="87"/>
              </w:rPr>
              <w:t>Non-</w:t>
            </w:r>
          </w:p>
        </w:tc>
        <w:tc>
          <w:tcPr>
            <w:tcW w:w="800" w:type="dxa"/>
            <w:vAlign w:val="bottom"/>
            <w:gridSpan w:val="2"/>
            <w:shd w:val="clear" w:color="auto" w:fill="E5E5E5"/>
          </w:tcPr>
          <w:p>
            <w:pPr>
              <w:jc w:val="right"/>
              <w:ind w:right="212"/>
              <w:spacing w:after="0" w:line="135" w:lineRule="exact"/>
              <w:rPr>
                <w:sz w:val="20"/>
                <w:szCs w:val="20"/>
                <w:color w:val="auto"/>
              </w:rPr>
            </w:pPr>
            <w:r>
              <w:rPr>
                <w:rFonts w:ascii="Arial" w:cs="Arial" w:eastAsia="Arial" w:hAnsi="Arial"/>
                <w:sz w:val="14"/>
                <w:szCs w:val="14"/>
                <w:b w:val="1"/>
                <w:bCs w:val="1"/>
                <w:color w:val="auto"/>
              </w:rPr>
              <w:t>U.S.</w:t>
            </w:r>
          </w:p>
        </w:tc>
        <w:tc>
          <w:tcPr>
            <w:tcW w:w="180" w:type="dxa"/>
            <w:vAlign w:val="bottom"/>
            <w:shd w:val="clear" w:color="auto" w:fill="E5E5E5"/>
          </w:tcPr>
          <w:p>
            <w:pPr>
              <w:spacing w:after="0"/>
              <w:rPr>
                <w:sz w:val="11"/>
                <w:szCs w:val="11"/>
                <w:color w:val="auto"/>
              </w:rPr>
            </w:pPr>
          </w:p>
        </w:tc>
        <w:tc>
          <w:tcPr>
            <w:tcW w:w="140" w:type="dxa"/>
            <w:vAlign w:val="bottom"/>
            <w:shd w:val="clear" w:color="auto" w:fill="E5E5E5"/>
          </w:tcPr>
          <w:p>
            <w:pPr>
              <w:spacing w:after="0"/>
              <w:rPr>
                <w:sz w:val="11"/>
                <w:szCs w:val="11"/>
                <w:color w:val="auto"/>
              </w:rPr>
            </w:pPr>
          </w:p>
        </w:tc>
        <w:tc>
          <w:tcPr>
            <w:tcW w:w="380" w:type="dxa"/>
            <w:vAlign w:val="bottom"/>
            <w:shd w:val="clear" w:color="auto" w:fill="E5E5E5"/>
          </w:tcPr>
          <w:p>
            <w:pPr>
              <w:spacing w:after="0"/>
              <w:rPr>
                <w:sz w:val="11"/>
                <w:szCs w:val="11"/>
                <w:color w:val="auto"/>
              </w:rPr>
            </w:pPr>
          </w:p>
        </w:tc>
        <w:tc>
          <w:tcPr>
            <w:tcW w:w="60" w:type="dxa"/>
            <w:vAlign w:val="bottom"/>
            <w:shd w:val="clear" w:color="auto" w:fill="E5E5E5"/>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20" w:type="dxa"/>
            <w:vAlign w:val="bottom"/>
            <w:shd w:val="clear" w:color="auto" w:fill="E5E5E5"/>
          </w:tcPr>
          <w:p>
            <w:pPr>
              <w:spacing w:after="0"/>
              <w:rPr>
                <w:sz w:val="15"/>
                <w:szCs w:val="15"/>
                <w:color w:val="auto"/>
              </w:rPr>
            </w:pPr>
          </w:p>
        </w:tc>
        <w:tc>
          <w:tcPr>
            <w:tcW w:w="4800" w:type="dxa"/>
            <w:vAlign w:val="bottom"/>
            <w:shd w:val="clear" w:color="auto" w:fill="E5E5E5"/>
          </w:tcPr>
          <w:p>
            <w:pPr>
              <w:spacing w:after="0"/>
              <w:rPr>
                <w:sz w:val="15"/>
                <w:szCs w:val="15"/>
                <w:color w:val="auto"/>
              </w:rPr>
            </w:pPr>
          </w:p>
        </w:tc>
        <w:tc>
          <w:tcPr>
            <w:tcW w:w="840" w:type="dxa"/>
            <w:vAlign w:val="bottom"/>
            <w:shd w:val="clear" w:color="auto" w:fill="E5E5E5"/>
          </w:tcPr>
          <w:p>
            <w:pPr>
              <w:spacing w:after="0"/>
              <w:rPr>
                <w:sz w:val="15"/>
                <w:szCs w:val="15"/>
                <w:color w:val="auto"/>
              </w:rPr>
            </w:pPr>
          </w:p>
        </w:tc>
        <w:tc>
          <w:tcPr>
            <w:tcW w:w="700" w:type="dxa"/>
            <w:vAlign w:val="bottom"/>
            <w:gridSpan w:val="3"/>
            <w:shd w:val="clear" w:color="auto" w:fill="E5E5E5"/>
          </w:tcPr>
          <w:p>
            <w:pPr>
              <w:ind w:left="20"/>
              <w:spacing w:after="0"/>
              <w:rPr>
                <w:sz w:val="20"/>
                <w:szCs w:val="20"/>
                <w:color w:val="auto"/>
              </w:rPr>
            </w:pPr>
            <w:r>
              <w:rPr>
                <w:rFonts w:ascii="Arial" w:cs="Arial" w:eastAsia="Arial" w:hAnsi="Arial"/>
                <w:sz w:val="14"/>
                <w:szCs w:val="14"/>
                <w:b w:val="1"/>
                <w:bCs w:val="1"/>
                <w:color w:val="auto"/>
              </w:rPr>
              <w:t>Federal</w:t>
            </w:r>
          </w:p>
        </w:tc>
        <w:tc>
          <w:tcPr>
            <w:tcW w:w="180" w:type="dxa"/>
            <w:vAlign w:val="bottom"/>
            <w:shd w:val="clear" w:color="auto" w:fill="E5E5E5"/>
          </w:tcPr>
          <w:p>
            <w:pPr>
              <w:spacing w:after="0"/>
              <w:rPr>
                <w:sz w:val="15"/>
                <w:szCs w:val="15"/>
                <w:color w:val="auto"/>
              </w:rPr>
            </w:pPr>
          </w:p>
        </w:tc>
        <w:tc>
          <w:tcPr>
            <w:tcW w:w="500" w:type="dxa"/>
            <w:vAlign w:val="bottom"/>
            <w:shd w:val="clear" w:color="auto" w:fill="E5E5E5"/>
          </w:tcPr>
          <w:p>
            <w:pPr>
              <w:jc w:val="right"/>
              <w:ind w:right="135"/>
              <w:spacing w:after="0"/>
              <w:rPr>
                <w:sz w:val="20"/>
                <w:szCs w:val="20"/>
                <w:color w:val="auto"/>
              </w:rPr>
            </w:pPr>
            <w:r>
              <w:rPr>
                <w:rFonts w:ascii="Arial" w:cs="Arial" w:eastAsia="Arial" w:hAnsi="Arial"/>
                <w:sz w:val="14"/>
                <w:szCs w:val="14"/>
                <w:b w:val="1"/>
                <w:bCs w:val="1"/>
                <w:color w:val="auto"/>
                <w:w w:val="95"/>
              </w:rPr>
              <w:t>U.S.</w:t>
            </w:r>
          </w:p>
        </w:tc>
        <w:tc>
          <w:tcPr>
            <w:tcW w:w="800" w:type="dxa"/>
            <w:vAlign w:val="bottom"/>
            <w:gridSpan w:val="2"/>
            <w:shd w:val="clear" w:color="auto" w:fill="E5E5E5"/>
          </w:tcPr>
          <w:p>
            <w:pPr>
              <w:jc w:val="right"/>
              <w:ind w:right="172"/>
              <w:spacing w:after="0"/>
              <w:rPr>
                <w:sz w:val="20"/>
                <w:szCs w:val="20"/>
                <w:color w:val="auto"/>
              </w:rPr>
            </w:pPr>
            <w:r>
              <w:rPr>
                <w:rFonts w:ascii="Arial" w:cs="Arial" w:eastAsia="Arial" w:hAnsi="Arial"/>
                <w:sz w:val="14"/>
                <w:szCs w:val="14"/>
                <w:b w:val="1"/>
                <w:bCs w:val="1"/>
                <w:color w:val="auto"/>
              </w:rPr>
              <w:t>State</w:t>
            </w:r>
          </w:p>
        </w:tc>
        <w:tc>
          <w:tcPr>
            <w:tcW w:w="180" w:type="dxa"/>
            <w:vAlign w:val="bottom"/>
            <w:shd w:val="clear" w:color="auto" w:fill="E5E5E5"/>
          </w:tcPr>
          <w:p>
            <w:pPr>
              <w:spacing w:after="0"/>
              <w:rPr>
                <w:sz w:val="15"/>
                <w:szCs w:val="15"/>
                <w:color w:val="auto"/>
              </w:rPr>
            </w:pPr>
          </w:p>
        </w:tc>
        <w:tc>
          <w:tcPr>
            <w:tcW w:w="580" w:type="dxa"/>
            <w:vAlign w:val="bottom"/>
            <w:gridSpan w:val="3"/>
            <w:shd w:val="clear" w:color="auto" w:fill="E5E5E5"/>
          </w:tcPr>
          <w:p>
            <w:pPr>
              <w:jc w:val="right"/>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96"/>
        </w:trPr>
        <w:tc>
          <w:tcPr>
            <w:tcW w:w="2840" w:type="dxa"/>
            <w:vAlign w:val="bottom"/>
            <w:gridSpan w:val="2"/>
          </w:tcPr>
          <w:p>
            <w:pPr>
              <w:spacing w:after="0"/>
              <w:rPr>
                <w:sz w:val="20"/>
                <w:szCs w:val="20"/>
                <w:color w:val="auto"/>
              </w:rPr>
            </w:pPr>
            <w:r>
              <w:rPr>
                <w:rFonts w:ascii="Arial" w:cs="Arial" w:eastAsia="Arial" w:hAnsi="Arial"/>
                <w:sz w:val="18"/>
                <w:szCs w:val="18"/>
                <w:b w:val="1"/>
                <w:bCs w:val="1"/>
                <w:color w:val="auto"/>
              </w:rPr>
              <w:t>2007</w:t>
            </w:r>
            <w:r>
              <w:rPr>
                <w:rFonts w:ascii="Arial" w:cs="Arial" w:eastAsia="Arial" w:hAnsi="Arial"/>
                <w:sz w:val="18"/>
                <w:szCs w:val="18"/>
                <w:color w:val="auto"/>
              </w:rPr>
              <w:t>:</w:t>
            </w:r>
          </w:p>
        </w:tc>
        <w:tc>
          <w:tcPr>
            <w:tcW w:w="4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620" w:type="dxa"/>
            <w:vAlign w:val="bottom"/>
            <w:gridSpan w:val="2"/>
            <w:shd w:val="clear" w:color="auto" w:fill="E5E5E5"/>
          </w:tcPr>
          <w:p>
            <w:pPr>
              <w:ind w:left="200"/>
              <w:spacing w:after="0" w:line="204" w:lineRule="exact"/>
              <w:rPr>
                <w:sz w:val="20"/>
                <w:szCs w:val="20"/>
                <w:color w:val="auto"/>
              </w:rPr>
            </w:pPr>
            <w:r>
              <w:rPr>
                <w:rFonts w:ascii="Arial" w:cs="Arial" w:eastAsia="Arial" w:hAnsi="Arial"/>
                <w:sz w:val="18"/>
                <w:szCs w:val="18"/>
                <w:b w:val="1"/>
                <w:bCs w:val="1"/>
                <w:color w:val="auto"/>
              </w:rPr>
              <w:t>Current</w:t>
            </w:r>
          </w:p>
        </w:tc>
        <w:tc>
          <w:tcPr>
            <w:tcW w:w="960" w:type="dxa"/>
            <w:vAlign w:val="bottom"/>
            <w:gridSpan w:val="2"/>
            <w:shd w:val="clear" w:color="auto" w:fill="E5E5E5"/>
          </w:tcPr>
          <w:p>
            <w:pPr>
              <w:ind w:left="840"/>
              <w:spacing w:after="0" w:line="204" w:lineRule="exact"/>
              <w:rPr>
                <w:sz w:val="20"/>
                <w:szCs w:val="20"/>
                <w:color w:val="auto"/>
              </w:rPr>
            </w:pPr>
            <w:r>
              <w:rPr>
                <w:rFonts w:ascii="Arial" w:cs="Arial" w:eastAsia="Arial" w:hAnsi="Arial"/>
                <w:sz w:val="18"/>
                <w:szCs w:val="18"/>
                <w:b w:val="1"/>
                <w:bCs w:val="1"/>
                <w:color w:val="auto"/>
                <w:w w:val="99"/>
              </w:rPr>
              <w:t>$</w:t>
            </w:r>
          </w:p>
        </w:tc>
        <w:tc>
          <w:tcPr>
            <w:tcW w:w="380" w:type="dxa"/>
            <w:vAlign w:val="bottom"/>
            <w:shd w:val="clear" w:color="auto" w:fill="E5E5E5"/>
          </w:tcPr>
          <w:p>
            <w:pPr>
              <w:jc w:val="right"/>
              <w:spacing w:after="0" w:line="204" w:lineRule="exact"/>
              <w:rPr>
                <w:sz w:val="20"/>
                <w:szCs w:val="20"/>
                <w:color w:val="auto"/>
              </w:rPr>
            </w:pPr>
            <w:r>
              <w:rPr>
                <w:rFonts w:ascii="Arial" w:cs="Arial" w:eastAsia="Arial" w:hAnsi="Arial"/>
                <w:sz w:val="18"/>
                <w:szCs w:val="18"/>
                <w:b w:val="1"/>
                <w:bCs w:val="1"/>
                <w:color w:val="auto"/>
              </w:rPr>
              <w:t>823</w:t>
            </w:r>
          </w:p>
        </w:tc>
        <w:tc>
          <w:tcPr>
            <w:tcW w:w="200" w:type="dxa"/>
            <w:vAlign w:val="bottom"/>
            <w:shd w:val="clear" w:color="auto" w:fill="E5E5E5"/>
          </w:tcPr>
          <w:p>
            <w:pPr>
              <w:spacing w:after="0"/>
              <w:rPr>
                <w:sz w:val="17"/>
                <w:szCs w:val="17"/>
                <w:color w:val="auto"/>
              </w:rPr>
            </w:pPr>
          </w:p>
        </w:tc>
        <w:tc>
          <w:tcPr>
            <w:tcW w:w="180" w:type="dxa"/>
            <w:vAlign w:val="bottom"/>
            <w:shd w:val="clear" w:color="auto" w:fill="E5E5E5"/>
          </w:tcPr>
          <w:p>
            <w:pPr>
              <w:ind w:left="80"/>
              <w:spacing w:after="0" w:line="204" w:lineRule="exact"/>
              <w:rPr>
                <w:sz w:val="20"/>
                <w:szCs w:val="20"/>
                <w:color w:val="auto"/>
              </w:rPr>
            </w:pPr>
            <w:r>
              <w:rPr>
                <w:rFonts w:ascii="Arial" w:cs="Arial" w:eastAsia="Arial" w:hAnsi="Arial"/>
                <w:sz w:val="18"/>
                <w:szCs w:val="18"/>
                <w:b w:val="1"/>
                <w:bCs w:val="1"/>
                <w:color w:val="auto"/>
                <w:w w:val="79"/>
              </w:rPr>
              <w:t>$</w:t>
            </w:r>
          </w:p>
        </w:tc>
        <w:tc>
          <w:tcPr>
            <w:tcW w:w="500" w:type="dxa"/>
            <w:vAlign w:val="bottom"/>
            <w:shd w:val="clear" w:color="auto" w:fill="E5E5E5"/>
          </w:tcPr>
          <w:p>
            <w:pPr>
              <w:jc w:val="right"/>
              <w:ind w:right="15"/>
              <w:spacing w:after="0" w:line="204" w:lineRule="exact"/>
              <w:rPr>
                <w:sz w:val="20"/>
                <w:szCs w:val="20"/>
                <w:color w:val="auto"/>
              </w:rPr>
            </w:pPr>
            <w:r>
              <w:rPr>
                <w:rFonts w:ascii="Arial" w:cs="Arial" w:eastAsia="Arial" w:hAnsi="Arial"/>
                <w:sz w:val="18"/>
                <w:szCs w:val="18"/>
                <w:b w:val="1"/>
                <w:bCs w:val="1"/>
                <w:color w:val="auto"/>
              </w:rPr>
              <w:t>198</w:t>
            </w:r>
          </w:p>
        </w:tc>
        <w:tc>
          <w:tcPr>
            <w:tcW w:w="260" w:type="dxa"/>
            <w:vAlign w:val="bottom"/>
            <w:shd w:val="clear" w:color="auto" w:fill="E5E5E5"/>
          </w:tcPr>
          <w:p>
            <w:pPr>
              <w:jc w:val="right"/>
              <w:spacing w:after="0" w:line="204" w:lineRule="exact"/>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E5E5E5"/>
          </w:tcPr>
          <w:p>
            <w:pPr>
              <w:jc w:val="right"/>
              <w:ind w:right="72"/>
              <w:spacing w:after="0" w:line="204" w:lineRule="exact"/>
              <w:rPr>
                <w:sz w:val="20"/>
                <w:szCs w:val="20"/>
                <w:color w:val="auto"/>
              </w:rPr>
            </w:pPr>
            <w:r>
              <w:rPr>
                <w:rFonts w:ascii="Arial" w:cs="Arial" w:eastAsia="Arial" w:hAnsi="Arial"/>
                <w:sz w:val="18"/>
                <w:szCs w:val="18"/>
                <w:b w:val="1"/>
                <w:bCs w:val="1"/>
                <w:color w:val="auto"/>
              </w:rPr>
              <w:t>(4)</w:t>
            </w:r>
          </w:p>
        </w:tc>
        <w:tc>
          <w:tcPr>
            <w:tcW w:w="180" w:type="dxa"/>
            <w:vAlign w:val="bottom"/>
            <w:shd w:val="clear" w:color="auto" w:fill="E5E5E5"/>
          </w:tcPr>
          <w:p>
            <w:pPr>
              <w:jc w:val="right"/>
              <w:spacing w:after="0" w:line="204" w:lineRule="exact"/>
              <w:rPr>
                <w:sz w:val="20"/>
                <w:szCs w:val="20"/>
                <w:color w:val="auto"/>
              </w:rPr>
            </w:pPr>
            <w:r>
              <w:rPr>
                <w:rFonts w:ascii="Arial" w:cs="Arial" w:eastAsia="Arial" w:hAnsi="Arial"/>
                <w:sz w:val="18"/>
                <w:szCs w:val="18"/>
                <w:b w:val="1"/>
                <w:bCs w:val="1"/>
                <w:color w:val="auto"/>
              </w:rPr>
              <w:t>$</w:t>
            </w:r>
          </w:p>
        </w:tc>
        <w:tc>
          <w:tcPr>
            <w:tcW w:w="520" w:type="dxa"/>
            <w:vAlign w:val="bottom"/>
            <w:gridSpan w:val="2"/>
            <w:shd w:val="clear" w:color="auto" w:fill="E5E5E5"/>
          </w:tcPr>
          <w:p>
            <w:pPr>
              <w:jc w:val="right"/>
              <w:spacing w:after="0" w:line="204" w:lineRule="exact"/>
              <w:rPr>
                <w:sz w:val="20"/>
                <w:szCs w:val="20"/>
                <w:color w:val="auto"/>
              </w:rPr>
            </w:pPr>
            <w:r>
              <w:rPr>
                <w:rFonts w:ascii="Arial" w:cs="Arial" w:eastAsia="Arial" w:hAnsi="Arial"/>
                <w:sz w:val="18"/>
                <w:szCs w:val="18"/>
                <w:b w:val="1"/>
                <w:bCs w:val="1"/>
                <w:color w:val="auto"/>
              </w:rPr>
              <w:t>1,017</w:t>
            </w:r>
          </w:p>
        </w:tc>
        <w:tc>
          <w:tcPr>
            <w:tcW w:w="6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20" w:type="dxa"/>
            <w:vAlign w:val="bottom"/>
            <w:gridSpan w:val="2"/>
          </w:tcPr>
          <w:p>
            <w:pPr>
              <w:ind w:left="200"/>
              <w:spacing w:after="0" w:line="202" w:lineRule="exact"/>
              <w:rPr>
                <w:sz w:val="20"/>
                <w:szCs w:val="20"/>
                <w:color w:val="auto"/>
              </w:rPr>
            </w:pPr>
            <w:r>
              <w:rPr>
                <w:rFonts w:ascii="Arial" w:cs="Arial" w:eastAsia="Arial" w:hAnsi="Arial"/>
                <w:sz w:val="18"/>
                <w:szCs w:val="18"/>
                <w:b w:val="1"/>
                <w:bCs w:val="1"/>
                <w:color w:val="auto"/>
              </w:rPr>
              <w:t>Deferred</w:t>
            </w:r>
          </w:p>
        </w:tc>
        <w:tc>
          <w:tcPr>
            <w:tcW w:w="8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jc w:val="right"/>
              <w:ind w:right="52"/>
              <w:spacing w:after="0" w:line="202" w:lineRule="exact"/>
              <w:rPr>
                <w:sz w:val="20"/>
                <w:szCs w:val="20"/>
                <w:color w:val="auto"/>
              </w:rPr>
            </w:pPr>
            <w:r>
              <w:rPr>
                <w:rFonts w:ascii="Arial" w:cs="Arial" w:eastAsia="Arial" w:hAnsi="Arial"/>
                <w:sz w:val="18"/>
                <w:szCs w:val="18"/>
                <w:b w:val="1"/>
                <w:bCs w:val="1"/>
                <w:color w:val="auto"/>
              </w:rPr>
              <w:t>(57)</w:t>
            </w:r>
          </w:p>
        </w:tc>
        <w:tc>
          <w:tcPr>
            <w:tcW w:w="1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5"/>
              <w:spacing w:after="0" w:line="202" w:lineRule="exact"/>
              <w:rPr>
                <w:sz w:val="20"/>
                <w:szCs w:val="20"/>
                <w:color w:val="auto"/>
              </w:rPr>
            </w:pPr>
            <w:r>
              <w:rPr>
                <w:rFonts w:ascii="Arial" w:cs="Arial" w:eastAsia="Arial" w:hAnsi="Arial"/>
                <w:sz w:val="18"/>
                <w:szCs w:val="18"/>
                <w:b w:val="1"/>
                <w:bCs w:val="1"/>
                <w:color w:val="auto"/>
              </w:rPr>
              <w:t>91</w:t>
            </w:r>
          </w:p>
        </w:tc>
        <w:tc>
          <w:tcPr>
            <w:tcW w:w="2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32"/>
              <w:spacing w:after="0" w:line="202" w:lineRule="exact"/>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20" w:type="dxa"/>
            <w:vAlign w:val="bottom"/>
            <w:gridSpan w:val="2"/>
            <w:shd w:val="clear" w:color="auto" w:fill="E5E5E5"/>
          </w:tcPr>
          <w:p>
            <w:pPr>
              <w:spacing w:after="0" w:line="202" w:lineRule="exact"/>
              <w:rPr>
                <w:sz w:val="20"/>
                <w:szCs w:val="20"/>
                <w:color w:val="auto"/>
              </w:rPr>
            </w:pPr>
            <w:r>
              <w:rPr>
                <w:rFonts w:ascii="Arial" w:cs="Arial" w:eastAsia="Arial" w:hAnsi="Arial"/>
                <w:sz w:val="18"/>
                <w:szCs w:val="18"/>
                <w:b w:val="1"/>
                <w:bCs w:val="1"/>
                <w:color w:val="auto"/>
              </w:rPr>
              <w:t>Total</w:t>
            </w:r>
          </w:p>
        </w:tc>
        <w:tc>
          <w:tcPr>
            <w:tcW w:w="960" w:type="dxa"/>
            <w:vAlign w:val="bottom"/>
            <w:gridSpan w:val="2"/>
            <w:shd w:val="clear" w:color="auto" w:fill="E5E5E5"/>
          </w:tcPr>
          <w:p>
            <w:pPr>
              <w:ind w:left="840"/>
              <w:spacing w:after="0" w:line="202" w:lineRule="exact"/>
              <w:rPr>
                <w:sz w:val="20"/>
                <w:szCs w:val="20"/>
                <w:color w:val="auto"/>
              </w:rPr>
            </w:pPr>
            <w:r>
              <w:rPr>
                <w:rFonts w:ascii="Arial" w:cs="Arial" w:eastAsia="Arial" w:hAnsi="Arial"/>
                <w:sz w:val="18"/>
                <w:szCs w:val="18"/>
                <w:b w:val="1"/>
                <w:bCs w:val="1"/>
                <w:color w:val="auto"/>
                <w:w w:val="99"/>
              </w:rPr>
              <w:t>$</w:t>
            </w:r>
          </w:p>
        </w:tc>
        <w:tc>
          <w:tcPr>
            <w:tcW w:w="3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766</w:t>
            </w:r>
          </w:p>
        </w:tc>
        <w:tc>
          <w:tcPr>
            <w:tcW w:w="200" w:type="dxa"/>
            <w:vAlign w:val="bottom"/>
            <w:shd w:val="clear" w:color="auto" w:fill="E5E5E5"/>
          </w:tcPr>
          <w:p>
            <w:pPr>
              <w:spacing w:after="0"/>
              <w:rPr>
                <w:sz w:val="17"/>
                <w:szCs w:val="17"/>
                <w:color w:val="auto"/>
              </w:rPr>
            </w:pPr>
          </w:p>
        </w:tc>
        <w:tc>
          <w:tcPr>
            <w:tcW w:w="18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b w:val="1"/>
                <w:bCs w:val="1"/>
                <w:color w:val="auto"/>
                <w:w w:val="79"/>
              </w:rPr>
              <w:t>$</w:t>
            </w:r>
          </w:p>
        </w:tc>
        <w:tc>
          <w:tcPr>
            <w:tcW w:w="500" w:type="dxa"/>
            <w:vAlign w:val="bottom"/>
            <w:shd w:val="clear" w:color="auto" w:fill="E5E5E5"/>
          </w:tcPr>
          <w:p>
            <w:pPr>
              <w:jc w:val="right"/>
              <w:ind w:right="15"/>
              <w:spacing w:after="0" w:line="202" w:lineRule="exact"/>
              <w:rPr>
                <w:sz w:val="20"/>
                <w:szCs w:val="20"/>
                <w:color w:val="auto"/>
              </w:rPr>
            </w:pPr>
            <w:r>
              <w:rPr>
                <w:rFonts w:ascii="Arial" w:cs="Arial" w:eastAsia="Arial" w:hAnsi="Arial"/>
                <w:sz w:val="18"/>
                <w:szCs w:val="18"/>
                <w:b w:val="1"/>
                <w:bCs w:val="1"/>
                <w:color w:val="auto"/>
              </w:rPr>
              <w:t>289</w:t>
            </w:r>
          </w:p>
        </w:tc>
        <w:tc>
          <w:tcPr>
            <w:tcW w:w="2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E5E5E5"/>
          </w:tcPr>
          <w:p>
            <w:pPr>
              <w:jc w:val="right"/>
              <w:ind w:right="72"/>
              <w:spacing w:after="0" w:line="202" w:lineRule="exact"/>
              <w:rPr>
                <w:sz w:val="20"/>
                <w:szCs w:val="20"/>
                <w:color w:val="auto"/>
              </w:rPr>
            </w:pPr>
            <w:r>
              <w:rPr>
                <w:rFonts w:ascii="Arial" w:cs="Arial" w:eastAsia="Arial" w:hAnsi="Arial"/>
                <w:sz w:val="18"/>
                <w:szCs w:val="18"/>
                <w:b w:val="1"/>
                <w:bCs w:val="1"/>
                <w:color w:val="auto"/>
              </w:rPr>
              <w:t>(4)</w:t>
            </w:r>
          </w:p>
        </w:tc>
        <w:tc>
          <w:tcPr>
            <w:tcW w:w="1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52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1,051</w:t>
            </w:r>
          </w:p>
        </w:tc>
        <w:tc>
          <w:tcPr>
            <w:tcW w:w="6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40" w:type="dxa"/>
            <w:vAlign w:val="bottom"/>
            <w:gridSpan w:val="2"/>
            <w:vMerge w:val="restart"/>
          </w:tcPr>
          <w:p>
            <w:pPr>
              <w:spacing w:after="0"/>
              <w:rPr>
                <w:sz w:val="20"/>
                <w:szCs w:val="20"/>
                <w:color w:val="auto"/>
              </w:rPr>
            </w:pPr>
            <w:r>
              <w:rPr>
                <w:rFonts w:ascii="Arial" w:cs="Arial" w:eastAsia="Arial" w:hAnsi="Arial"/>
                <w:sz w:val="18"/>
                <w:szCs w:val="18"/>
                <w:color w:val="auto"/>
              </w:rPr>
              <w:t>2006:</w:t>
            </w:r>
          </w:p>
        </w:tc>
        <w:tc>
          <w:tcPr>
            <w:tcW w:w="4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840" w:type="dxa"/>
            <w:vAlign w:val="bottom"/>
            <w:gridSpan w:val="2"/>
            <w:vMerge w:val="continue"/>
          </w:tcPr>
          <w:p>
            <w:pPr>
              <w:spacing w:after="0"/>
              <w:rPr>
                <w:sz w:val="17"/>
                <w:szCs w:val="17"/>
                <w:color w:val="auto"/>
              </w:rPr>
            </w:pPr>
          </w:p>
        </w:tc>
        <w:tc>
          <w:tcPr>
            <w:tcW w:w="4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20" w:type="dxa"/>
            <w:vAlign w:val="bottom"/>
            <w:gridSpan w:val="2"/>
            <w:shd w:val="clear" w:color="auto" w:fill="E5E5E5"/>
          </w:tcPr>
          <w:p>
            <w:pPr>
              <w:ind w:left="200"/>
              <w:spacing w:after="0" w:line="202" w:lineRule="exact"/>
              <w:rPr>
                <w:sz w:val="20"/>
                <w:szCs w:val="20"/>
                <w:color w:val="auto"/>
              </w:rPr>
            </w:pPr>
            <w:r>
              <w:rPr>
                <w:rFonts w:ascii="Arial" w:cs="Arial" w:eastAsia="Arial" w:hAnsi="Arial"/>
                <w:sz w:val="18"/>
                <w:szCs w:val="18"/>
                <w:color w:val="auto"/>
              </w:rPr>
              <w:t>Current</w:t>
            </w:r>
          </w:p>
        </w:tc>
        <w:tc>
          <w:tcPr>
            <w:tcW w:w="960" w:type="dxa"/>
            <w:vAlign w:val="bottom"/>
            <w:gridSpan w:val="2"/>
            <w:shd w:val="clear" w:color="auto" w:fill="E5E5E5"/>
          </w:tcPr>
          <w:p>
            <w:pPr>
              <w:ind w:left="840"/>
              <w:spacing w:after="0" w:line="202" w:lineRule="exact"/>
              <w:rPr>
                <w:sz w:val="20"/>
                <w:szCs w:val="20"/>
                <w:color w:val="auto"/>
              </w:rPr>
            </w:pPr>
            <w:r>
              <w:rPr>
                <w:rFonts w:ascii="Arial" w:cs="Arial" w:eastAsia="Arial" w:hAnsi="Arial"/>
                <w:sz w:val="18"/>
                <w:szCs w:val="18"/>
                <w:color w:val="auto"/>
                <w:w w:val="99"/>
              </w:rPr>
              <w:t>$</w:t>
            </w:r>
          </w:p>
        </w:tc>
        <w:tc>
          <w:tcPr>
            <w:tcW w:w="3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885</w:t>
            </w:r>
          </w:p>
        </w:tc>
        <w:tc>
          <w:tcPr>
            <w:tcW w:w="200" w:type="dxa"/>
            <w:vAlign w:val="bottom"/>
            <w:shd w:val="clear" w:color="auto" w:fill="E5E5E5"/>
          </w:tcPr>
          <w:p>
            <w:pPr>
              <w:spacing w:after="0"/>
              <w:rPr>
                <w:sz w:val="17"/>
                <w:szCs w:val="17"/>
                <w:color w:val="auto"/>
              </w:rPr>
            </w:pPr>
          </w:p>
        </w:tc>
        <w:tc>
          <w:tcPr>
            <w:tcW w:w="18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E5E5E5"/>
          </w:tcPr>
          <w:p>
            <w:pPr>
              <w:jc w:val="right"/>
              <w:ind w:right="15"/>
              <w:spacing w:after="0" w:line="202" w:lineRule="exact"/>
              <w:rPr>
                <w:sz w:val="20"/>
                <w:szCs w:val="20"/>
                <w:color w:val="auto"/>
              </w:rPr>
            </w:pPr>
            <w:r>
              <w:rPr>
                <w:rFonts w:ascii="Arial" w:cs="Arial" w:eastAsia="Arial" w:hAnsi="Arial"/>
                <w:sz w:val="18"/>
                <w:szCs w:val="18"/>
                <w:color w:val="auto"/>
              </w:rPr>
              <w:t>280</w:t>
            </w:r>
          </w:p>
        </w:tc>
        <w:tc>
          <w:tcPr>
            <w:tcW w:w="2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E5E5E5"/>
          </w:tcPr>
          <w:p>
            <w:pPr>
              <w:jc w:val="right"/>
              <w:ind w:right="132"/>
              <w:spacing w:after="0" w:line="202" w:lineRule="exact"/>
              <w:rPr>
                <w:sz w:val="20"/>
                <w:szCs w:val="20"/>
                <w:color w:val="auto"/>
              </w:rPr>
            </w:pPr>
            <w:r>
              <w:rPr>
                <w:rFonts w:ascii="Arial" w:cs="Arial" w:eastAsia="Arial" w:hAnsi="Arial"/>
                <w:sz w:val="18"/>
                <w:szCs w:val="18"/>
                <w:color w:val="auto"/>
              </w:rPr>
              <w:t>22</w:t>
            </w:r>
          </w:p>
        </w:tc>
        <w:tc>
          <w:tcPr>
            <w:tcW w:w="1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1,187</w:t>
            </w:r>
          </w:p>
        </w:tc>
        <w:tc>
          <w:tcPr>
            <w:tcW w:w="6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2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Deferred</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52"/>
              <w:spacing w:after="0" w:line="202" w:lineRule="exact"/>
              <w:rPr>
                <w:sz w:val="20"/>
                <w:szCs w:val="20"/>
                <w:color w:val="auto"/>
              </w:rPr>
            </w:pPr>
            <w:r>
              <w:rPr>
                <w:rFonts w:ascii="Arial" w:cs="Arial" w:eastAsia="Arial" w:hAnsi="Arial"/>
                <w:sz w:val="18"/>
                <w:szCs w:val="18"/>
                <w:color w:val="auto"/>
                <w:w w:val="99"/>
              </w:rPr>
              <w:t>(218)</w:t>
            </w:r>
          </w:p>
        </w:tc>
        <w:tc>
          <w:tcPr>
            <w:tcW w:w="180" w:type="dxa"/>
            <w:vAlign w:val="bottom"/>
          </w:tcPr>
          <w:p>
            <w:pPr>
              <w:spacing w:after="0"/>
              <w:rPr>
                <w:sz w:val="18"/>
                <w:szCs w:val="18"/>
                <w:color w:val="auto"/>
              </w:rPr>
            </w:pPr>
          </w:p>
        </w:tc>
        <w:tc>
          <w:tcPr>
            <w:tcW w:w="500" w:type="dxa"/>
            <w:vAlign w:val="bottom"/>
          </w:tcPr>
          <w:p>
            <w:pPr>
              <w:jc w:val="right"/>
              <w:ind w:right="15"/>
              <w:spacing w:after="0" w:line="202" w:lineRule="exact"/>
              <w:rPr>
                <w:sz w:val="20"/>
                <w:szCs w:val="20"/>
                <w:color w:val="auto"/>
              </w:rPr>
            </w:pPr>
            <w:r>
              <w:rPr>
                <w:rFonts w:ascii="Arial" w:cs="Arial" w:eastAsia="Arial" w:hAnsi="Arial"/>
                <w:sz w:val="18"/>
                <w:szCs w:val="18"/>
                <w:color w:val="auto"/>
              </w:rPr>
              <w:t>31</w:t>
            </w:r>
          </w:p>
        </w:tc>
        <w:tc>
          <w:tcPr>
            <w:tcW w:w="260" w:type="dxa"/>
            <w:vAlign w:val="bottom"/>
          </w:tcPr>
          <w:p>
            <w:pPr>
              <w:spacing w:after="0"/>
              <w:rPr>
                <w:sz w:val="18"/>
                <w:szCs w:val="18"/>
                <w:color w:val="auto"/>
              </w:rPr>
            </w:pPr>
          </w:p>
        </w:tc>
        <w:tc>
          <w:tcPr>
            <w:tcW w:w="540" w:type="dxa"/>
            <w:vAlign w:val="bottom"/>
          </w:tcPr>
          <w:p>
            <w:pPr>
              <w:jc w:val="right"/>
              <w:ind w:right="72"/>
              <w:spacing w:after="0" w:line="202" w:lineRule="exact"/>
              <w:rPr>
                <w:sz w:val="20"/>
                <w:szCs w:val="20"/>
                <w:color w:val="auto"/>
              </w:rPr>
            </w:pPr>
            <w:r>
              <w:rPr>
                <w:rFonts w:ascii="Arial" w:cs="Arial" w:eastAsia="Arial" w:hAnsi="Arial"/>
                <w:sz w:val="18"/>
                <w:szCs w:val="18"/>
                <w:color w:val="auto"/>
              </w:rPr>
              <w:t>(13)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9"/>
              </w:rPr>
              <w:t>(200)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20" w:type="dxa"/>
            <w:vAlign w:val="bottom"/>
            <w:gridSpan w:val="2"/>
            <w:shd w:val="clear" w:color="auto" w:fill="E5E5E5"/>
          </w:tcPr>
          <w:p>
            <w:pPr>
              <w:spacing w:after="0" w:line="202" w:lineRule="exact"/>
              <w:rPr>
                <w:sz w:val="20"/>
                <w:szCs w:val="20"/>
                <w:color w:val="auto"/>
              </w:rPr>
            </w:pPr>
            <w:r>
              <w:rPr>
                <w:rFonts w:ascii="Arial" w:cs="Arial" w:eastAsia="Arial" w:hAnsi="Arial"/>
                <w:sz w:val="18"/>
                <w:szCs w:val="18"/>
                <w:color w:val="auto"/>
              </w:rPr>
              <w:t>Total</w:t>
            </w:r>
          </w:p>
        </w:tc>
        <w:tc>
          <w:tcPr>
            <w:tcW w:w="840" w:type="dxa"/>
            <w:vAlign w:val="bottom"/>
            <w:shd w:val="clear" w:color="auto" w:fill="E5E5E5"/>
          </w:tcPr>
          <w:p>
            <w:pPr>
              <w:spacing w:after="0"/>
              <w:rPr>
                <w:sz w:val="17"/>
                <w:szCs w:val="17"/>
                <w:color w:val="auto"/>
              </w:rPr>
            </w:pPr>
          </w:p>
        </w:tc>
        <w:tc>
          <w:tcPr>
            <w:tcW w:w="120" w:type="dxa"/>
            <w:vAlign w:val="bottom"/>
            <w:tcBorders>
              <w:top w:val="single" w:sz="8" w:color="auto"/>
              <w:bottom w:val="single" w:sz="8" w:color="auto"/>
            </w:tcBorders>
            <w:shd w:val="clear" w:color="auto" w:fill="E5E5E5"/>
          </w:tcPr>
          <w:p>
            <w:pPr>
              <w:spacing w:after="0" w:line="202" w:lineRule="exact"/>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shd w:val="clear" w:color="auto" w:fill="E5E5E5"/>
          </w:tcPr>
          <w:p>
            <w:pPr>
              <w:jc w:val="right"/>
              <w:spacing w:after="0" w:line="202" w:lineRule="exact"/>
              <w:rPr>
                <w:sz w:val="20"/>
                <w:szCs w:val="20"/>
                <w:color w:val="auto"/>
              </w:rPr>
            </w:pPr>
            <w:r>
              <w:rPr>
                <w:rFonts w:ascii="Arial" w:cs="Arial" w:eastAsia="Arial" w:hAnsi="Arial"/>
                <w:sz w:val="18"/>
                <w:szCs w:val="18"/>
                <w:color w:val="auto"/>
              </w:rPr>
              <w:t>667</w:t>
            </w:r>
          </w:p>
        </w:tc>
        <w:tc>
          <w:tcPr>
            <w:tcW w:w="200" w:type="dxa"/>
            <w:vAlign w:val="bottom"/>
            <w:tcBorders>
              <w:top w:val="single" w:sz="8" w:color="auto"/>
              <w:bottom w:val="single" w:sz="8" w:color="auto"/>
            </w:tcBorders>
            <w:shd w:val="clear" w:color="auto" w:fill="E5E5E5"/>
          </w:tcPr>
          <w:p>
            <w:pPr>
              <w:spacing w:after="0"/>
              <w:rPr>
                <w:sz w:val="17"/>
                <w:szCs w:val="17"/>
                <w:color w:val="auto"/>
              </w:rPr>
            </w:pPr>
          </w:p>
        </w:tc>
        <w:tc>
          <w:tcPr>
            <w:tcW w:w="180" w:type="dxa"/>
            <w:vAlign w:val="bottom"/>
            <w:tcBorders>
              <w:top w:val="single" w:sz="8" w:color="auto"/>
              <w:bottom w:val="single" w:sz="8" w:color="auto"/>
            </w:tcBorders>
            <w:shd w:val="clear" w:color="auto" w:fill="E5E5E5"/>
          </w:tcPr>
          <w:p>
            <w:pPr>
              <w:ind w:left="80"/>
              <w:spacing w:after="0" w:line="202"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E5E5E5"/>
          </w:tcPr>
          <w:p>
            <w:pPr>
              <w:jc w:val="right"/>
              <w:ind w:right="15"/>
              <w:spacing w:after="0" w:line="202" w:lineRule="exact"/>
              <w:rPr>
                <w:sz w:val="20"/>
                <w:szCs w:val="20"/>
                <w:color w:val="auto"/>
              </w:rPr>
            </w:pPr>
            <w:r>
              <w:rPr>
                <w:rFonts w:ascii="Arial" w:cs="Arial" w:eastAsia="Arial" w:hAnsi="Arial"/>
                <w:sz w:val="18"/>
                <w:szCs w:val="18"/>
                <w:color w:val="auto"/>
              </w:rPr>
              <w:t>311</w:t>
            </w:r>
          </w:p>
        </w:tc>
        <w:tc>
          <w:tcPr>
            <w:tcW w:w="260" w:type="dxa"/>
            <w:vAlign w:val="bottom"/>
            <w:tcBorders>
              <w:top w:val="single" w:sz="8" w:color="auto"/>
              <w:bottom w:val="single" w:sz="8" w:color="auto"/>
            </w:tcBorders>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shd w:val="clear" w:color="auto" w:fill="E5E5E5"/>
          </w:tcPr>
          <w:p>
            <w:pPr>
              <w:jc w:val="right"/>
              <w:ind w:right="132"/>
              <w:spacing w:after="0" w:line="202" w:lineRule="exact"/>
              <w:rPr>
                <w:sz w:val="20"/>
                <w:szCs w:val="20"/>
                <w:color w:val="auto"/>
              </w:rPr>
            </w:pPr>
            <w:r>
              <w:rPr>
                <w:rFonts w:ascii="Arial" w:cs="Arial" w:eastAsia="Arial" w:hAnsi="Arial"/>
                <w:sz w:val="18"/>
                <w:szCs w:val="18"/>
                <w:color w:val="auto"/>
              </w:rPr>
              <w:t>9</w:t>
            </w:r>
          </w:p>
        </w:tc>
        <w:tc>
          <w:tcPr>
            <w:tcW w:w="180" w:type="dxa"/>
            <w:vAlign w:val="bottom"/>
            <w:tcBorders>
              <w:top w:val="single" w:sz="8" w:color="auto"/>
              <w:bottom w:val="single" w:sz="8" w:color="auto"/>
            </w:tcBorders>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auto"/>
              <w:bottom w:val="single" w:sz="8" w:color="auto"/>
            </w:tcBorders>
            <w:shd w:val="clear" w:color="auto" w:fill="E5E5E5"/>
          </w:tcPr>
          <w:p>
            <w:pPr>
              <w:spacing w:after="0"/>
              <w:rPr>
                <w:sz w:val="17"/>
                <w:szCs w:val="17"/>
                <w:color w:val="auto"/>
              </w:rPr>
            </w:pPr>
          </w:p>
        </w:tc>
        <w:tc>
          <w:tcPr>
            <w:tcW w:w="380" w:type="dxa"/>
            <w:vAlign w:val="bottom"/>
            <w:tcBorders>
              <w:top w:val="single" w:sz="8" w:color="auto"/>
              <w:bottom w:val="single" w:sz="8" w:color="auto"/>
            </w:tcBorders>
            <w:shd w:val="clear" w:color="auto" w:fill="E5E5E5"/>
          </w:tcPr>
          <w:p>
            <w:pPr>
              <w:jc w:val="right"/>
              <w:spacing w:after="0" w:line="202" w:lineRule="exact"/>
              <w:rPr>
                <w:sz w:val="20"/>
                <w:szCs w:val="20"/>
                <w:color w:val="auto"/>
              </w:rPr>
            </w:pPr>
            <w:r>
              <w:rPr>
                <w:rFonts w:ascii="Arial" w:cs="Arial" w:eastAsia="Arial" w:hAnsi="Arial"/>
                <w:sz w:val="18"/>
                <w:szCs w:val="18"/>
                <w:color w:val="auto"/>
              </w:rPr>
              <w:t>987</w:t>
            </w:r>
          </w:p>
        </w:tc>
        <w:tc>
          <w:tcPr>
            <w:tcW w:w="6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40" w:type="dxa"/>
            <w:vAlign w:val="bottom"/>
            <w:gridSpan w:val="2"/>
            <w:vMerge w:val="restart"/>
          </w:tcPr>
          <w:p>
            <w:pPr>
              <w:spacing w:after="0"/>
              <w:rPr>
                <w:sz w:val="20"/>
                <w:szCs w:val="20"/>
                <w:color w:val="auto"/>
              </w:rPr>
            </w:pPr>
            <w:r>
              <w:rPr>
                <w:rFonts w:ascii="Arial" w:cs="Arial" w:eastAsia="Arial" w:hAnsi="Arial"/>
                <w:sz w:val="18"/>
                <w:szCs w:val="18"/>
                <w:color w:val="auto"/>
              </w:rPr>
              <w:t>2005:</w:t>
            </w:r>
          </w:p>
        </w:tc>
        <w:tc>
          <w:tcPr>
            <w:tcW w:w="4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840" w:type="dxa"/>
            <w:vAlign w:val="bottom"/>
            <w:gridSpan w:val="2"/>
            <w:vMerge w:val="continue"/>
          </w:tcPr>
          <w:p>
            <w:pPr>
              <w:spacing w:after="0"/>
              <w:rPr>
                <w:sz w:val="17"/>
                <w:szCs w:val="17"/>
                <w:color w:val="auto"/>
              </w:rPr>
            </w:pPr>
          </w:p>
        </w:tc>
        <w:tc>
          <w:tcPr>
            <w:tcW w:w="4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20" w:type="dxa"/>
            <w:vAlign w:val="bottom"/>
            <w:gridSpan w:val="2"/>
            <w:shd w:val="clear" w:color="auto" w:fill="E5E5E5"/>
          </w:tcPr>
          <w:p>
            <w:pPr>
              <w:ind w:left="200"/>
              <w:spacing w:after="0" w:line="202" w:lineRule="exact"/>
              <w:rPr>
                <w:sz w:val="20"/>
                <w:szCs w:val="20"/>
                <w:color w:val="auto"/>
              </w:rPr>
            </w:pPr>
            <w:r>
              <w:rPr>
                <w:rFonts w:ascii="Arial" w:cs="Arial" w:eastAsia="Arial" w:hAnsi="Arial"/>
                <w:sz w:val="18"/>
                <w:szCs w:val="18"/>
                <w:color w:val="auto"/>
              </w:rPr>
              <w:t>Current</w:t>
            </w:r>
          </w:p>
        </w:tc>
        <w:tc>
          <w:tcPr>
            <w:tcW w:w="960" w:type="dxa"/>
            <w:vAlign w:val="bottom"/>
            <w:gridSpan w:val="2"/>
            <w:shd w:val="clear" w:color="auto" w:fill="E5E5E5"/>
          </w:tcPr>
          <w:p>
            <w:pPr>
              <w:ind w:left="840"/>
              <w:spacing w:after="0" w:line="202" w:lineRule="exact"/>
              <w:rPr>
                <w:sz w:val="20"/>
                <w:szCs w:val="20"/>
                <w:color w:val="auto"/>
              </w:rPr>
            </w:pPr>
            <w:r>
              <w:rPr>
                <w:rFonts w:ascii="Arial" w:cs="Arial" w:eastAsia="Arial" w:hAnsi="Arial"/>
                <w:sz w:val="18"/>
                <w:szCs w:val="18"/>
                <w:color w:val="auto"/>
                <w:w w:val="99"/>
              </w:rPr>
              <w:t>$</w:t>
            </w:r>
          </w:p>
        </w:tc>
        <w:tc>
          <w:tcPr>
            <w:tcW w:w="3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481</w:t>
            </w:r>
          </w:p>
        </w:tc>
        <w:tc>
          <w:tcPr>
            <w:tcW w:w="200" w:type="dxa"/>
            <w:vAlign w:val="bottom"/>
            <w:shd w:val="clear" w:color="auto" w:fill="E5E5E5"/>
          </w:tcPr>
          <w:p>
            <w:pPr>
              <w:spacing w:after="0"/>
              <w:rPr>
                <w:sz w:val="17"/>
                <w:szCs w:val="17"/>
                <w:color w:val="auto"/>
              </w:rPr>
            </w:pPr>
          </w:p>
        </w:tc>
        <w:tc>
          <w:tcPr>
            <w:tcW w:w="18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E5E5E5"/>
          </w:tcPr>
          <w:p>
            <w:pPr>
              <w:jc w:val="right"/>
              <w:ind w:right="15"/>
              <w:spacing w:after="0" w:line="202" w:lineRule="exact"/>
              <w:rPr>
                <w:sz w:val="20"/>
                <w:szCs w:val="20"/>
                <w:color w:val="auto"/>
              </w:rPr>
            </w:pPr>
            <w:r>
              <w:rPr>
                <w:rFonts w:ascii="Arial" w:cs="Arial" w:eastAsia="Arial" w:hAnsi="Arial"/>
                <w:sz w:val="18"/>
                <w:szCs w:val="18"/>
                <w:color w:val="auto"/>
              </w:rPr>
              <w:t>293</w:t>
            </w:r>
          </w:p>
        </w:tc>
        <w:tc>
          <w:tcPr>
            <w:tcW w:w="2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E5E5E5"/>
          </w:tcPr>
          <w:p>
            <w:pPr>
              <w:jc w:val="right"/>
              <w:ind w:right="132"/>
              <w:spacing w:after="0" w:line="202" w:lineRule="exact"/>
              <w:rPr>
                <w:sz w:val="20"/>
                <w:szCs w:val="20"/>
                <w:color w:val="auto"/>
              </w:rPr>
            </w:pPr>
            <w:r>
              <w:rPr>
                <w:rFonts w:ascii="Arial" w:cs="Arial" w:eastAsia="Arial" w:hAnsi="Arial"/>
                <w:sz w:val="18"/>
                <w:szCs w:val="18"/>
                <w:color w:val="auto"/>
              </w:rPr>
              <w:t>2</w:t>
            </w:r>
          </w:p>
        </w:tc>
        <w:tc>
          <w:tcPr>
            <w:tcW w:w="1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E5E5E5"/>
          </w:tcPr>
          <w:p>
            <w:pPr>
              <w:spacing w:after="0"/>
              <w:rPr>
                <w:sz w:val="17"/>
                <w:szCs w:val="17"/>
                <w:color w:val="auto"/>
              </w:rPr>
            </w:pPr>
          </w:p>
        </w:tc>
        <w:tc>
          <w:tcPr>
            <w:tcW w:w="44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2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Deferred</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52"/>
              <w:spacing w:after="0" w:line="202" w:lineRule="exact"/>
              <w:rPr>
                <w:sz w:val="20"/>
                <w:szCs w:val="20"/>
                <w:color w:val="auto"/>
              </w:rPr>
            </w:pPr>
            <w:r>
              <w:rPr>
                <w:rFonts w:ascii="Arial" w:cs="Arial" w:eastAsia="Arial" w:hAnsi="Arial"/>
                <w:sz w:val="18"/>
                <w:szCs w:val="18"/>
                <w:color w:val="auto"/>
                <w:w w:val="99"/>
              </w:rPr>
              <w:t>(176)</w:t>
            </w:r>
          </w:p>
        </w:tc>
        <w:tc>
          <w:tcPr>
            <w:tcW w:w="180" w:type="dxa"/>
            <w:vAlign w:val="bottom"/>
          </w:tcPr>
          <w:p>
            <w:pPr>
              <w:spacing w:after="0"/>
              <w:rPr>
                <w:sz w:val="18"/>
                <w:szCs w:val="18"/>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(12)</w:t>
            </w:r>
          </w:p>
        </w:tc>
        <w:tc>
          <w:tcPr>
            <w:tcW w:w="260" w:type="dxa"/>
            <w:vAlign w:val="bottom"/>
          </w:tcPr>
          <w:p>
            <w:pPr>
              <w:spacing w:after="0"/>
              <w:rPr>
                <w:sz w:val="18"/>
                <w:szCs w:val="18"/>
                <w:color w:val="auto"/>
              </w:rPr>
            </w:pPr>
          </w:p>
        </w:tc>
        <w:tc>
          <w:tcPr>
            <w:tcW w:w="540" w:type="dxa"/>
            <w:vAlign w:val="bottom"/>
          </w:tcPr>
          <w:p>
            <w:pPr>
              <w:jc w:val="right"/>
              <w:ind w:right="72"/>
              <w:spacing w:after="0" w:line="202" w:lineRule="exact"/>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9"/>
              </w:rPr>
              <w:t>(194)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20" w:type="dxa"/>
            <w:vAlign w:val="bottom"/>
            <w:gridSpan w:val="2"/>
            <w:shd w:val="clear" w:color="auto" w:fill="E5E5E5"/>
          </w:tcPr>
          <w:p>
            <w:pPr>
              <w:spacing w:after="0" w:line="202" w:lineRule="exact"/>
              <w:rPr>
                <w:sz w:val="20"/>
                <w:szCs w:val="20"/>
                <w:color w:val="auto"/>
              </w:rPr>
            </w:pPr>
            <w:r>
              <w:rPr>
                <w:rFonts w:ascii="Arial" w:cs="Arial" w:eastAsia="Arial" w:hAnsi="Arial"/>
                <w:sz w:val="18"/>
                <w:szCs w:val="18"/>
                <w:color w:val="auto"/>
              </w:rPr>
              <w:t>Total</w:t>
            </w:r>
          </w:p>
        </w:tc>
        <w:tc>
          <w:tcPr>
            <w:tcW w:w="840" w:type="dxa"/>
            <w:vAlign w:val="bottom"/>
            <w:shd w:val="clear" w:color="auto" w:fill="E5E5E5"/>
          </w:tcPr>
          <w:p>
            <w:pPr>
              <w:spacing w:after="0"/>
              <w:rPr>
                <w:sz w:val="17"/>
                <w:szCs w:val="17"/>
                <w:color w:val="auto"/>
              </w:rPr>
            </w:pPr>
          </w:p>
        </w:tc>
        <w:tc>
          <w:tcPr>
            <w:tcW w:w="120" w:type="dxa"/>
            <w:vAlign w:val="bottom"/>
            <w:tcBorders>
              <w:top w:val="single" w:sz="8" w:color="auto"/>
              <w:bottom w:val="single" w:sz="8" w:color="auto"/>
            </w:tcBorders>
            <w:shd w:val="clear" w:color="auto" w:fill="E5E5E5"/>
          </w:tcPr>
          <w:p>
            <w:pPr>
              <w:spacing w:after="0" w:line="202" w:lineRule="exact"/>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shd w:val="clear" w:color="auto" w:fill="E5E5E5"/>
          </w:tcPr>
          <w:p>
            <w:pPr>
              <w:jc w:val="right"/>
              <w:spacing w:after="0" w:line="202" w:lineRule="exact"/>
              <w:rPr>
                <w:sz w:val="20"/>
                <w:szCs w:val="20"/>
                <w:color w:val="auto"/>
              </w:rPr>
            </w:pPr>
            <w:r>
              <w:rPr>
                <w:rFonts w:ascii="Arial" w:cs="Arial" w:eastAsia="Arial" w:hAnsi="Arial"/>
                <w:sz w:val="18"/>
                <w:szCs w:val="18"/>
                <w:color w:val="auto"/>
              </w:rPr>
              <w:t>305</w:t>
            </w:r>
          </w:p>
        </w:tc>
        <w:tc>
          <w:tcPr>
            <w:tcW w:w="200" w:type="dxa"/>
            <w:vAlign w:val="bottom"/>
            <w:tcBorders>
              <w:top w:val="single" w:sz="8" w:color="auto"/>
              <w:bottom w:val="single" w:sz="8" w:color="auto"/>
            </w:tcBorders>
            <w:shd w:val="clear" w:color="auto" w:fill="E5E5E5"/>
          </w:tcPr>
          <w:p>
            <w:pPr>
              <w:spacing w:after="0"/>
              <w:rPr>
                <w:sz w:val="17"/>
                <w:szCs w:val="17"/>
                <w:color w:val="auto"/>
              </w:rPr>
            </w:pPr>
          </w:p>
        </w:tc>
        <w:tc>
          <w:tcPr>
            <w:tcW w:w="180" w:type="dxa"/>
            <w:vAlign w:val="bottom"/>
            <w:tcBorders>
              <w:top w:val="single" w:sz="8" w:color="auto"/>
              <w:bottom w:val="single" w:sz="8" w:color="auto"/>
            </w:tcBorders>
            <w:shd w:val="clear" w:color="auto" w:fill="E5E5E5"/>
          </w:tcPr>
          <w:p>
            <w:pPr>
              <w:ind w:left="80"/>
              <w:spacing w:after="0" w:line="202"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E5E5E5"/>
          </w:tcPr>
          <w:p>
            <w:pPr>
              <w:jc w:val="right"/>
              <w:ind w:right="15"/>
              <w:spacing w:after="0" w:line="202" w:lineRule="exact"/>
              <w:rPr>
                <w:sz w:val="20"/>
                <w:szCs w:val="20"/>
                <w:color w:val="auto"/>
              </w:rPr>
            </w:pPr>
            <w:r>
              <w:rPr>
                <w:rFonts w:ascii="Arial" w:cs="Arial" w:eastAsia="Arial" w:hAnsi="Arial"/>
                <w:sz w:val="18"/>
                <w:szCs w:val="18"/>
                <w:color w:val="auto"/>
              </w:rPr>
              <w:t>281</w:t>
            </w:r>
          </w:p>
        </w:tc>
        <w:tc>
          <w:tcPr>
            <w:tcW w:w="260" w:type="dxa"/>
            <w:vAlign w:val="bottom"/>
            <w:tcBorders>
              <w:top w:val="single" w:sz="8" w:color="auto"/>
              <w:bottom w:val="single" w:sz="8" w:color="auto"/>
            </w:tcBorders>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shd w:val="clear" w:color="auto" w:fill="E5E5E5"/>
          </w:tcPr>
          <w:p>
            <w:pPr>
              <w:jc w:val="right"/>
              <w:ind w:right="72"/>
              <w:spacing w:after="0" w:line="202" w:lineRule="exact"/>
              <w:rPr>
                <w:sz w:val="20"/>
                <w:szCs w:val="20"/>
                <w:color w:val="auto"/>
              </w:rPr>
            </w:pPr>
            <w:r>
              <w:rPr>
                <w:rFonts w:ascii="Arial" w:cs="Arial" w:eastAsia="Arial" w:hAnsi="Arial"/>
                <w:sz w:val="18"/>
                <w:szCs w:val="18"/>
                <w:color w:val="auto"/>
              </w:rPr>
              <w:t>(4)</w:t>
            </w:r>
          </w:p>
        </w:tc>
        <w:tc>
          <w:tcPr>
            <w:tcW w:w="180" w:type="dxa"/>
            <w:vAlign w:val="bottom"/>
            <w:tcBorders>
              <w:top w:val="single" w:sz="8" w:color="auto"/>
              <w:bottom w:val="single" w:sz="8" w:color="auto"/>
            </w:tcBorders>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auto"/>
              <w:bottom w:val="single" w:sz="8" w:color="auto"/>
            </w:tcBorders>
            <w:shd w:val="clear" w:color="auto" w:fill="E5E5E5"/>
          </w:tcPr>
          <w:p>
            <w:pPr>
              <w:spacing w:after="0"/>
              <w:rPr>
                <w:sz w:val="17"/>
                <w:szCs w:val="17"/>
                <w:color w:val="auto"/>
              </w:rPr>
            </w:pPr>
          </w:p>
        </w:tc>
        <w:tc>
          <w:tcPr>
            <w:tcW w:w="380" w:type="dxa"/>
            <w:vAlign w:val="bottom"/>
            <w:tcBorders>
              <w:top w:val="single" w:sz="8" w:color="auto"/>
              <w:bottom w:val="single" w:sz="8" w:color="auto"/>
            </w:tcBorders>
            <w:shd w:val="clear" w:color="auto" w:fill="E5E5E5"/>
          </w:tcPr>
          <w:p>
            <w:pPr>
              <w:jc w:val="right"/>
              <w:spacing w:after="0" w:line="202" w:lineRule="exact"/>
              <w:rPr>
                <w:sz w:val="20"/>
                <w:szCs w:val="20"/>
                <w:color w:val="auto"/>
              </w:rPr>
            </w:pPr>
            <w:r>
              <w:rPr>
                <w:rFonts w:ascii="Arial" w:cs="Arial" w:eastAsia="Arial" w:hAnsi="Arial"/>
                <w:sz w:val="18"/>
                <w:szCs w:val="18"/>
                <w:color w:val="auto"/>
              </w:rPr>
              <w:t>582</w:t>
            </w:r>
          </w:p>
        </w:tc>
        <w:tc>
          <w:tcPr>
            <w:tcW w:w="6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gridSpan w:val="2"/>
            <w:vMerge w:val="restart"/>
          </w:tcPr>
          <w:p>
            <w:pPr>
              <w:spacing w:after="0"/>
              <w:rPr>
                <w:sz w:val="20"/>
                <w:szCs w:val="20"/>
                <w:color w:val="auto"/>
              </w:rPr>
            </w:pPr>
            <w:r>
              <w:rPr>
                <w:rFonts w:ascii="Arial" w:cs="Arial" w:eastAsia="Arial" w:hAnsi="Arial"/>
                <w:sz w:val="18"/>
                <w:szCs w:val="18"/>
                <w:color w:val="auto"/>
              </w:rPr>
              <w:t>Principal reconciling items from income tax computed at the statutory federal rate follow:</w:t>
            </w:r>
          </w:p>
        </w:tc>
        <w:tc>
          <w:tcPr>
            <w:tcW w:w="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20" w:type="dxa"/>
            <w:vAlign w:val="bottom"/>
          </w:tcPr>
          <w:p>
            <w:pPr>
              <w:spacing w:after="0"/>
              <w:rPr>
                <w:sz w:val="24"/>
                <w:szCs w:val="24"/>
                <w:color w:val="auto"/>
              </w:rPr>
            </w:pPr>
          </w:p>
        </w:tc>
        <w:tc>
          <w:tcPr>
            <w:tcW w:w="7620" w:type="dxa"/>
            <w:vAlign w:val="bottom"/>
            <w:gridSpan w:val="2"/>
            <w:vMerge w:val="continue"/>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gridSpan w:val="3"/>
          </w:tcPr>
          <w:p>
            <w:pPr>
              <w:spacing w:after="0"/>
              <w:rPr>
                <w:sz w:val="16"/>
                <w:szCs w:val="16"/>
                <w:color w:val="auto"/>
              </w:rPr>
            </w:pPr>
          </w:p>
        </w:tc>
        <w:tc>
          <w:tcPr>
            <w:tcW w:w="800" w:type="dxa"/>
            <w:vAlign w:val="bottom"/>
            <w:gridSpan w:val="2"/>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gridSpan w:val="2"/>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820" w:type="dxa"/>
            <w:vAlign w:val="bottom"/>
            <w:tcBorders>
              <w:bottom w:val="single" w:sz="8" w:color="E5E5E5"/>
            </w:tcBorders>
            <w:shd w:val="clear" w:color="auto" w:fill="E5E5E5"/>
          </w:tcPr>
          <w:p>
            <w:pPr>
              <w:spacing w:after="0"/>
              <w:rPr>
                <w:sz w:val="21"/>
                <w:szCs w:val="21"/>
                <w:color w:val="auto"/>
              </w:rPr>
            </w:pPr>
          </w:p>
        </w:tc>
        <w:tc>
          <w:tcPr>
            <w:tcW w:w="4800" w:type="dxa"/>
            <w:vAlign w:val="bottom"/>
            <w:tcBorders>
              <w:bottom w:val="single" w:sz="8" w:color="E5E5E5"/>
            </w:tcBorders>
            <w:shd w:val="clear" w:color="auto" w:fill="E5E5E5"/>
          </w:tcPr>
          <w:p>
            <w:pPr>
              <w:spacing w:after="0"/>
              <w:rPr>
                <w:sz w:val="21"/>
                <w:szCs w:val="21"/>
                <w:color w:val="auto"/>
              </w:rPr>
            </w:pPr>
          </w:p>
        </w:tc>
        <w:tc>
          <w:tcPr>
            <w:tcW w:w="840" w:type="dxa"/>
            <w:vAlign w:val="bottom"/>
            <w:tcBorders>
              <w:bottom w:val="single" w:sz="8" w:color="E5E5E5"/>
            </w:tcBorders>
            <w:shd w:val="clear" w:color="auto" w:fill="E5E5E5"/>
          </w:tcPr>
          <w:p>
            <w:pPr>
              <w:spacing w:after="0"/>
              <w:rPr>
                <w:sz w:val="21"/>
                <w:szCs w:val="21"/>
                <w:color w:val="auto"/>
              </w:rPr>
            </w:pPr>
          </w:p>
        </w:tc>
        <w:tc>
          <w:tcPr>
            <w:tcW w:w="120" w:type="dxa"/>
            <w:vAlign w:val="bottom"/>
            <w:tcBorders>
              <w:bottom w:val="single" w:sz="8" w:color="E5E5E5"/>
            </w:tcBorders>
            <w:shd w:val="clear" w:color="auto" w:fill="E5E5E5"/>
          </w:tcPr>
          <w:p>
            <w:pPr>
              <w:spacing w:after="0"/>
              <w:rPr>
                <w:sz w:val="21"/>
                <w:szCs w:val="21"/>
                <w:color w:val="auto"/>
              </w:rPr>
            </w:pPr>
          </w:p>
        </w:tc>
        <w:tc>
          <w:tcPr>
            <w:tcW w:w="1260" w:type="dxa"/>
            <w:vAlign w:val="bottom"/>
            <w:tcBorders>
              <w:bottom w:val="single" w:sz="8" w:color="E5E5E5"/>
            </w:tcBorders>
            <w:gridSpan w:val="4"/>
            <w:shd w:val="clear" w:color="auto" w:fill="E5E5E5"/>
          </w:tcPr>
          <w:p>
            <w:pPr>
              <w:jc w:val="right"/>
              <w:ind w:right="275"/>
              <w:spacing w:after="0"/>
              <w:rPr>
                <w:sz w:val="20"/>
                <w:szCs w:val="20"/>
                <w:color w:val="auto"/>
              </w:rPr>
            </w:pPr>
            <w:r>
              <w:rPr>
                <w:rFonts w:ascii="Arial" w:cs="Arial" w:eastAsia="Arial" w:hAnsi="Arial"/>
                <w:sz w:val="18"/>
                <w:szCs w:val="18"/>
                <w:b w:val="1"/>
                <w:bCs w:val="1"/>
                <w:color w:val="auto"/>
              </w:rPr>
              <w:t>2007</w:t>
            </w:r>
          </w:p>
        </w:tc>
        <w:tc>
          <w:tcPr>
            <w:tcW w:w="800" w:type="dxa"/>
            <w:vAlign w:val="bottom"/>
            <w:tcBorders>
              <w:bottom w:val="single" w:sz="8" w:color="E5E5E5"/>
            </w:tcBorders>
            <w:gridSpan w:val="2"/>
            <w:shd w:val="clear" w:color="auto" w:fill="E5E5E5"/>
          </w:tcPr>
          <w:p>
            <w:pPr>
              <w:jc w:val="right"/>
              <w:ind w:right="132"/>
              <w:spacing w:after="0"/>
              <w:rPr>
                <w:sz w:val="20"/>
                <w:szCs w:val="20"/>
                <w:color w:val="auto"/>
              </w:rPr>
            </w:pPr>
            <w:r>
              <w:rPr>
                <w:rFonts w:ascii="Arial" w:cs="Arial" w:eastAsia="Arial" w:hAnsi="Arial"/>
                <w:sz w:val="18"/>
                <w:szCs w:val="18"/>
                <w:b w:val="1"/>
                <w:bCs w:val="1"/>
                <w:color w:val="auto"/>
              </w:rPr>
              <w:t>2006</w:t>
            </w:r>
          </w:p>
        </w:tc>
        <w:tc>
          <w:tcPr>
            <w:tcW w:w="180" w:type="dxa"/>
            <w:vAlign w:val="bottom"/>
            <w:tcBorders>
              <w:bottom w:val="single" w:sz="8" w:color="E5E5E5"/>
            </w:tcBorders>
            <w:shd w:val="clear" w:color="auto" w:fill="E5E5E5"/>
          </w:tcPr>
          <w:p>
            <w:pPr>
              <w:spacing w:after="0"/>
              <w:rPr>
                <w:sz w:val="21"/>
                <w:szCs w:val="21"/>
                <w:color w:val="auto"/>
              </w:rPr>
            </w:pPr>
          </w:p>
        </w:tc>
        <w:tc>
          <w:tcPr>
            <w:tcW w:w="520" w:type="dxa"/>
            <w:vAlign w:val="bottom"/>
            <w:tcBorders>
              <w:bottom w:val="single" w:sz="8" w:color="E5E5E5"/>
            </w:tcBorders>
            <w:gridSpan w:val="2"/>
            <w:shd w:val="clear" w:color="auto" w:fill="E5E5E5"/>
          </w:tcPr>
          <w:p>
            <w:pPr>
              <w:ind w:left="60"/>
              <w:spacing w:after="0"/>
              <w:rPr>
                <w:sz w:val="20"/>
                <w:szCs w:val="20"/>
                <w:color w:val="auto"/>
              </w:rPr>
            </w:pPr>
            <w:r>
              <w:rPr>
                <w:rFonts w:ascii="Arial" w:cs="Arial" w:eastAsia="Arial" w:hAnsi="Arial"/>
                <w:sz w:val="18"/>
                <w:szCs w:val="18"/>
                <w:b w:val="1"/>
                <w:bCs w:val="1"/>
                <w:color w:val="auto"/>
              </w:rPr>
              <w:t>2005</w:t>
            </w:r>
          </w:p>
        </w:tc>
        <w:tc>
          <w:tcPr>
            <w:tcW w:w="60" w:type="dxa"/>
            <w:vAlign w:val="bottom"/>
            <w:tcBorders>
              <w:bottom w:val="single" w:sz="8" w:color="E5E5E5"/>
            </w:tcBorders>
            <w:shd w:val="clear" w:color="auto" w:fill="E5E5E5"/>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640" w:type="dxa"/>
            <w:vAlign w:val="bottom"/>
            <w:gridSpan w:val="3"/>
          </w:tcPr>
          <w:p>
            <w:pPr>
              <w:spacing w:after="0"/>
              <w:rPr>
                <w:sz w:val="20"/>
                <w:szCs w:val="20"/>
                <w:color w:val="auto"/>
              </w:rPr>
            </w:pPr>
            <w:r>
              <w:rPr>
                <w:rFonts w:ascii="Arial" w:cs="Arial" w:eastAsia="Arial" w:hAnsi="Arial"/>
                <w:sz w:val="18"/>
                <w:szCs w:val="18"/>
                <w:color w:val="auto"/>
              </w:rPr>
              <w:t>Computed tax at statutory rate</w:t>
            </w: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gridSpan w:val="2"/>
          </w:tcPr>
          <w:p>
            <w:pPr>
              <w:jc w:val="right"/>
              <w:ind w:right="12"/>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tcPr>
          <w:p>
            <w:pPr>
              <w:jc w:val="right"/>
              <w:ind w:right="135"/>
              <w:spacing w:after="0"/>
              <w:rPr>
                <w:sz w:val="20"/>
                <w:szCs w:val="20"/>
                <w:color w:val="auto"/>
              </w:rPr>
            </w:pPr>
            <w:r>
              <w:rPr>
                <w:rFonts w:ascii="Arial" w:cs="Arial" w:eastAsia="Arial" w:hAnsi="Arial"/>
                <w:sz w:val="18"/>
                <w:szCs w:val="18"/>
                <w:b w:val="1"/>
                <w:bCs w:val="1"/>
                <w:color w:val="auto"/>
                <w:w w:val="97"/>
              </w:rPr>
              <w:t>1,292</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2"/>
              <w:spacing w:after="0"/>
              <w:rPr>
                <w:sz w:val="20"/>
                <w:szCs w:val="20"/>
                <w:color w:val="auto"/>
              </w:rPr>
            </w:pPr>
            <w:r>
              <w:rPr>
                <w:rFonts w:ascii="Arial" w:cs="Arial" w:eastAsia="Arial" w:hAnsi="Arial"/>
                <w:sz w:val="18"/>
                <w:szCs w:val="18"/>
                <w:color w:val="auto"/>
                <w:w w:val="93"/>
              </w:rPr>
              <w:t>1,269</w:t>
            </w:r>
          </w:p>
        </w:tc>
        <w:tc>
          <w:tcPr>
            <w:tcW w:w="180" w:type="dxa"/>
            <w:vAlign w:val="bottom"/>
          </w:tcPr>
          <w:p>
            <w:pPr>
              <w:spacing w:after="0"/>
              <w:rPr>
                <w:sz w:val="23"/>
                <w:szCs w:val="23"/>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965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20" w:type="dxa"/>
            <w:vAlign w:val="bottom"/>
            <w:gridSpan w:val="2"/>
            <w:shd w:val="clear" w:color="auto" w:fill="E5E5E5"/>
          </w:tcPr>
          <w:p>
            <w:pPr>
              <w:spacing w:after="0" w:line="202" w:lineRule="exact"/>
              <w:rPr>
                <w:sz w:val="20"/>
                <w:szCs w:val="20"/>
                <w:color w:val="auto"/>
              </w:rPr>
            </w:pPr>
            <w:r>
              <w:rPr>
                <w:rFonts w:ascii="Arial" w:cs="Arial" w:eastAsia="Arial" w:hAnsi="Arial"/>
                <w:sz w:val="18"/>
                <w:szCs w:val="18"/>
                <w:color w:val="auto"/>
              </w:rPr>
              <w:t>Effect of non-U.S. rates</w:t>
            </w:r>
          </w:p>
        </w:tc>
        <w:tc>
          <w:tcPr>
            <w:tcW w:w="84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500" w:type="dxa"/>
            <w:vAlign w:val="bottom"/>
            <w:shd w:val="clear" w:color="auto" w:fill="E5E5E5"/>
          </w:tcPr>
          <w:p>
            <w:pPr>
              <w:jc w:val="right"/>
              <w:ind w:right="75"/>
              <w:spacing w:after="0" w:line="202" w:lineRule="exact"/>
              <w:rPr>
                <w:sz w:val="20"/>
                <w:szCs w:val="20"/>
                <w:color w:val="auto"/>
              </w:rPr>
            </w:pPr>
            <w:r>
              <w:rPr>
                <w:rFonts w:ascii="Arial" w:cs="Arial" w:eastAsia="Arial" w:hAnsi="Arial"/>
                <w:sz w:val="18"/>
                <w:szCs w:val="18"/>
                <w:b w:val="1"/>
                <w:bCs w:val="1"/>
                <w:color w:val="auto"/>
                <w:w w:val="99"/>
              </w:rPr>
              <w:t>(94)</w:t>
            </w:r>
          </w:p>
        </w:tc>
        <w:tc>
          <w:tcPr>
            <w:tcW w:w="260" w:type="dxa"/>
            <w:vAlign w:val="bottom"/>
            <w:shd w:val="clear" w:color="auto" w:fill="E5E5E5"/>
          </w:tcPr>
          <w:p>
            <w:pPr>
              <w:spacing w:after="0"/>
              <w:rPr>
                <w:sz w:val="17"/>
                <w:szCs w:val="17"/>
                <w:color w:val="auto"/>
              </w:rPr>
            </w:pPr>
          </w:p>
        </w:tc>
        <w:tc>
          <w:tcPr>
            <w:tcW w:w="5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(80)</w:t>
            </w:r>
          </w:p>
        </w:tc>
        <w:tc>
          <w:tcPr>
            <w:tcW w:w="18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44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w w:val="99"/>
              </w:rPr>
              <w:t>(144)</w:t>
            </w:r>
          </w:p>
        </w:tc>
        <w:tc>
          <w:tcPr>
            <w:tcW w:w="0" w:type="dxa"/>
            <w:vAlign w:val="bottom"/>
          </w:tcPr>
          <w:p>
            <w:pPr>
              <w:spacing w:after="0"/>
              <w:rPr>
                <w:sz w:val="1"/>
                <w:szCs w:val="1"/>
                <w:color w:val="auto"/>
              </w:rPr>
            </w:pPr>
          </w:p>
        </w:tc>
      </w:tr>
      <w:tr>
        <w:trPr>
          <w:trHeight w:val="203"/>
        </w:trPr>
        <w:tc>
          <w:tcPr>
            <w:tcW w:w="7640" w:type="dxa"/>
            <w:vAlign w:val="bottom"/>
            <w:gridSpan w:val="3"/>
          </w:tcPr>
          <w:p>
            <w:pPr>
              <w:spacing w:after="0" w:line="202" w:lineRule="exact"/>
              <w:rPr>
                <w:sz w:val="20"/>
                <w:szCs w:val="20"/>
                <w:color w:val="auto"/>
              </w:rPr>
            </w:pPr>
            <w:r>
              <w:rPr>
                <w:rFonts w:ascii="Arial" w:cs="Arial" w:eastAsia="Arial" w:hAnsi="Arial"/>
                <w:sz w:val="18"/>
                <w:szCs w:val="18"/>
                <w:color w:val="auto"/>
              </w:rPr>
              <w:t>AJCA repatriation tax</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jc w:val="right"/>
              <w:ind w:right="135"/>
              <w:spacing w:after="0" w:line="202" w:lineRule="exact"/>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7"/>
                <w:szCs w:val="17"/>
                <w:color w:val="auto"/>
              </w:rPr>
            </w:pPr>
          </w:p>
        </w:tc>
        <w:tc>
          <w:tcPr>
            <w:tcW w:w="5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55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20" w:type="dxa"/>
            <w:vAlign w:val="bottom"/>
            <w:gridSpan w:val="2"/>
            <w:shd w:val="clear" w:color="auto" w:fill="E5E5E5"/>
          </w:tcPr>
          <w:p>
            <w:pPr>
              <w:spacing w:after="0" w:line="202" w:lineRule="exact"/>
              <w:rPr>
                <w:sz w:val="20"/>
                <w:szCs w:val="20"/>
                <w:color w:val="auto"/>
              </w:rPr>
            </w:pPr>
            <w:r>
              <w:rPr>
                <w:rFonts w:ascii="Arial" w:cs="Arial" w:eastAsia="Arial" w:hAnsi="Arial"/>
                <w:sz w:val="18"/>
                <w:szCs w:val="18"/>
                <w:color w:val="auto"/>
              </w:rPr>
              <w:t>Research and experimentation tax credits</w:t>
            </w:r>
          </w:p>
        </w:tc>
        <w:tc>
          <w:tcPr>
            <w:tcW w:w="84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500" w:type="dxa"/>
            <w:vAlign w:val="bottom"/>
            <w:shd w:val="clear" w:color="auto" w:fill="E5E5E5"/>
          </w:tcPr>
          <w:p>
            <w:pPr>
              <w:jc w:val="right"/>
              <w:ind w:right="75"/>
              <w:spacing w:after="0" w:line="202" w:lineRule="exact"/>
              <w:rPr>
                <w:sz w:val="20"/>
                <w:szCs w:val="20"/>
                <w:color w:val="auto"/>
              </w:rPr>
            </w:pPr>
            <w:r>
              <w:rPr>
                <w:rFonts w:ascii="Arial" w:cs="Arial" w:eastAsia="Arial" w:hAnsi="Arial"/>
                <w:sz w:val="18"/>
                <w:szCs w:val="18"/>
                <w:b w:val="1"/>
                <w:bCs w:val="1"/>
                <w:color w:val="auto"/>
                <w:w w:val="99"/>
              </w:rPr>
              <w:t>(69)</w:t>
            </w:r>
          </w:p>
        </w:tc>
        <w:tc>
          <w:tcPr>
            <w:tcW w:w="260" w:type="dxa"/>
            <w:vAlign w:val="bottom"/>
            <w:shd w:val="clear" w:color="auto" w:fill="E5E5E5"/>
          </w:tcPr>
          <w:p>
            <w:pPr>
              <w:spacing w:after="0"/>
              <w:rPr>
                <w:sz w:val="17"/>
                <w:szCs w:val="17"/>
                <w:color w:val="auto"/>
              </w:rPr>
            </w:pPr>
          </w:p>
        </w:tc>
        <w:tc>
          <w:tcPr>
            <w:tcW w:w="5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(78)</w:t>
            </w:r>
          </w:p>
        </w:tc>
        <w:tc>
          <w:tcPr>
            <w:tcW w:w="18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44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3"/>
        </w:trPr>
        <w:tc>
          <w:tcPr>
            <w:tcW w:w="7640" w:type="dxa"/>
            <w:vAlign w:val="bottom"/>
            <w:gridSpan w:val="3"/>
          </w:tcPr>
          <w:p>
            <w:pPr>
              <w:spacing w:after="0" w:line="202" w:lineRule="exact"/>
              <w:rPr>
                <w:sz w:val="20"/>
                <w:szCs w:val="20"/>
                <w:color w:val="auto"/>
              </w:rPr>
            </w:pPr>
            <w:r>
              <w:rPr>
                <w:rFonts w:ascii="Arial" w:cs="Arial" w:eastAsia="Arial" w:hAnsi="Arial"/>
                <w:sz w:val="18"/>
                <w:szCs w:val="18"/>
                <w:color w:val="auto"/>
              </w:rPr>
              <w:t>Favorable proposed audit adjustments communicated by tax authorities</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jc w:val="right"/>
              <w:ind w:right="135"/>
              <w:spacing w:after="0" w:line="202" w:lineRule="exact"/>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7"/>
                <w:szCs w:val="17"/>
                <w:color w:val="auto"/>
              </w:rPr>
            </w:pPr>
          </w:p>
        </w:tc>
        <w:tc>
          <w:tcPr>
            <w:tcW w:w="5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9"/>
              </w:rPr>
              <w:t>(147)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20" w:type="dxa"/>
            <w:vAlign w:val="bottom"/>
            <w:gridSpan w:val="2"/>
            <w:shd w:val="clear" w:color="auto" w:fill="E5E5E5"/>
          </w:tcPr>
          <w:p>
            <w:pPr>
              <w:spacing w:after="0" w:line="202" w:lineRule="exact"/>
              <w:rPr>
                <w:sz w:val="20"/>
                <w:szCs w:val="20"/>
                <w:color w:val="auto"/>
              </w:rPr>
            </w:pPr>
            <w:r>
              <w:rPr>
                <w:rFonts w:ascii="Arial" w:cs="Arial" w:eastAsia="Arial" w:hAnsi="Arial"/>
                <w:sz w:val="18"/>
                <w:szCs w:val="18"/>
                <w:color w:val="auto"/>
              </w:rPr>
              <w:t>U.S. tax benefits for manufacturing and foreign sales</w:t>
            </w:r>
          </w:p>
        </w:tc>
        <w:tc>
          <w:tcPr>
            <w:tcW w:w="84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500" w:type="dxa"/>
            <w:vAlign w:val="bottom"/>
            <w:shd w:val="clear" w:color="auto" w:fill="E5E5E5"/>
          </w:tcPr>
          <w:p>
            <w:pPr>
              <w:jc w:val="right"/>
              <w:ind w:right="75"/>
              <w:spacing w:after="0" w:line="202" w:lineRule="exact"/>
              <w:rPr>
                <w:sz w:val="20"/>
                <w:szCs w:val="20"/>
                <w:color w:val="auto"/>
              </w:rPr>
            </w:pPr>
            <w:r>
              <w:rPr>
                <w:rFonts w:ascii="Arial" w:cs="Arial" w:eastAsia="Arial" w:hAnsi="Arial"/>
                <w:sz w:val="18"/>
                <w:szCs w:val="18"/>
                <w:b w:val="1"/>
                <w:bCs w:val="1"/>
                <w:color w:val="auto"/>
                <w:w w:val="99"/>
              </w:rPr>
              <w:t>(24)</w:t>
            </w:r>
          </w:p>
        </w:tc>
        <w:tc>
          <w:tcPr>
            <w:tcW w:w="260" w:type="dxa"/>
            <w:vAlign w:val="bottom"/>
            <w:shd w:val="clear" w:color="auto" w:fill="E5E5E5"/>
          </w:tcPr>
          <w:p>
            <w:pPr>
              <w:spacing w:after="0"/>
              <w:rPr>
                <w:sz w:val="17"/>
                <w:szCs w:val="17"/>
                <w:color w:val="auto"/>
              </w:rPr>
            </w:pPr>
          </w:p>
        </w:tc>
        <w:tc>
          <w:tcPr>
            <w:tcW w:w="5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(106)</w:t>
            </w:r>
          </w:p>
        </w:tc>
        <w:tc>
          <w:tcPr>
            <w:tcW w:w="18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44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0"/>
        </w:trPr>
        <w:tc>
          <w:tcPr>
            <w:tcW w:w="7640" w:type="dxa"/>
            <w:vAlign w:val="bottom"/>
            <w:gridSpan w:val="3"/>
          </w:tcPr>
          <w:p>
            <w:pPr>
              <w:spacing w:after="0" w:line="202" w:lineRule="exact"/>
              <w:rPr>
                <w:sz w:val="20"/>
                <w:szCs w:val="20"/>
                <w:color w:val="auto"/>
              </w:rPr>
            </w:pPr>
            <w:r>
              <w:rPr>
                <w:rFonts w:ascii="Arial" w:cs="Arial" w:eastAsia="Arial" w:hAnsi="Arial"/>
                <w:sz w:val="18"/>
                <w:szCs w:val="18"/>
                <w:color w:val="auto"/>
              </w:rPr>
              <w:t>Other</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ind w:right="75"/>
              <w:spacing w:after="0" w:line="202" w:lineRule="exact"/>
              <w:rPr>
                <w:sz w:val="20"/>
                <w:szCs w:val="20"/>
                <w:color w:val="auto"/>
              </w:rPr>
            </w:pPr>
            <w:r>
              <w:rPr>
                <w:rFonts w:ascii="Arial" w:cs="Arial" w:eastAsia="Arial" w:hAnsi="Arial"/>
                <w:sz w:val="18"/>
                <w:szCs w:val="18"/>
                <w:b w:val="1"/>
                <w:bCs w:val="1"/>
                <w:color w:val="auto"/>
                <w:w w:val="99"/>
              </w:rPr>
              <w:t>(54)</w:t>
            </w:r>
          </w:p>
        </w:tc>
        <w:tc>
          <w:tcPr>
            <w:tcW w:w="260" w:type="dxa"/>
            <w:vAlign w:val="bottom"/>
          </w:tcPr>
          <w:p>
            <w:pPr>
              <w:spacing w:after="0"/>
              <w:rPr>
                <w:sz w:val="18"/>
                <w:szCs w:val="18"/>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(18)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20" w:type="dxa"/>
            <w:vAlign w:val="bottom"/>
            <w:gridSpan w:val="2"/>
            <w:shd w:val="clear" w:color="auto" w:fill="E5E5E5"/>
          </w:tcPr>
          <w:p>
            <w:pPr>
              <w:spacing w:after="0" w:line="202" w:lineRule="exact"/>
              <w:rPr>
                <w:sz w:val="20"/>
                <w:szCs w:val="20"/>
                <w:color w:val="auto"/>
              </w:rPr>
            </w:pPr>
            <w:r>
              <w:rPr>
                <w:rFonts w:ascii="Arial" w:cs="Arial" w:eastAsia="Arial" w:hAnsi="Arial"/>
                <w:sz w:val="18"/>
                <w:szCs w:val="18"/>
                <w:color w:val="auto"/>
              </w:rPr>
              <w:t>Total provision for income taxes</w:t>
            </w:r>
          </w:p>
        </w:tc>
        <w:tc>
          <w:tcPr>
            <w:tcW w:w="84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200" w:type="dxa"/>
            <w:vAlign w:val="bottom"/>
            <w:tcBorders>
              <w:top w:val="single" w:sz="8" w:color="auto"/>
              <w:bottom w:val="single" w:sz="8" w:color="auto"/>
            </w:tcBorders>
            <w:shd w:val="clear" w:color="auto" w:fill="E5E5E5"/>
          </w:tcPr>
          <w:p>
            <w:pPr>
              <w:jc w:val="right"/>
              <w:ind w:right="12"/>
              <w:spacing w:after="0" w:line="202" w:lineRule="exact"/>
              <w:rPr>
                <w:sz w:val="20"/>
                <w:szCs w:val="20"/>
                <w:color w:val="auto"/>
              </w:rPr>
            </w:pPr>
            <w:r>
              <w:rPr>
                <w:rFonts w:ascii="Arial" w:cs="Arial" w:eastAsia="Arial" w:hAnsi="Arial"/>
                <w:sz w:val="18"/>
                <w:szCs w:val="18"/>
                <w:b w:val="1"/>
                <w:bCs w:val="1"/>
                <w:color w:val="auto"/>
                <w:w w:val="79"/>
              </w:rPr>
              <w:t>$</w:t>
            </w:r>
          </w:p>
        </w:tc>
        <w:tc>
          <w:tcPr>
            <w:tcW w:w="680" w:type="dxa"/>
            <w:vAlign w:val="bottom"/>
            <w:tcBorders>
              <w:top w:val="single" w:sz="8" w:color="auto"/>
              <w:bottom w:val="single" w:sz="8" w:color="auto"/>
            </w:tcBorders>
            <w:gridSpan w:val="2"/>
            <w:shd w:val="clear" w:color="auto" w:fill="E5E5E5"/>
          </w:tcPr>
          <w:p>
            <w:pPr>
              <w:jc w:val="right"/>
              <w:ind w:right="135"/>
              <w:spacing w:after="0" w:line="202" w:lineRule="exact"/>
              <w:rPr>
                <w:sz w:val="20"/>
                <w:szCs w:val="20"/>
                <w:color w:val="auto"/>
              </w:rPr>
            </w:pPr>
            <w:r>
              <w:rPr>
                <w:rFonts w:ascii="Arial" w:cs="Arial" w:eastAsia="Arial" w:hAnsi="Arial"/>
                <w:sz w:val="18"/>
                <w:szCs w:val="18"/>
                <w:b w:val="1"/>
                <w:bCs w:val="1"/>
                <w:color w:val="auto"/>
                <w:w w:val="97"/>
              </w:rPr>
              <w:t>1,051</w:t>
            </w:r>
          </w:p>
        </w:tc>
        <w:tc>
          <w:tcPr>
            <w:tcW w:w="260" w:type="dxa"/>
            <w:vAlign w:val="bottom"/>
            <w:tcBorders>
              <w:top w:val="single" w:sz="8" w:color="auto"/>
              <w:bottom w:val="single" w:sz="8" w:color="auto"/>
            </w:tcBorders>
            <w:shd w:val="clear" w:color="auto" w:fill="E5E5E5"/>
          </w:tcPr>
          <w:p>
            <w:pPr>
              <w:ind w:left="60"/>
              <w:spacing w:after="0" w:line="202"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shd w:val="clear" w:color="auto" w:fill="E5E5E5"/>
          </w:tcPr>
          <w:p>
            <w:pPr>
              <w:jc w:val="right"/>
              <w:ind w:right="12"/>
              <w:spacing w:after="0" w:line="202" w:lineRule="exact"/>
              <w:rPr>
                <w:sz w:val="20"/>
                <w:szCs w:val="20"/>
                <w:color w:val="auto"/>
              </w:rPr>
            </w:pPr>
            <w:r>
              <w:rPr>
                <w:rFonts w:ascii="Arial" w:cs="Arial" w:eastAsia="Arial" w:hAnsi="Arial"/>
                <w:sz w:val="18"/>
                <w:szCs w:val="18"/>
                <w:color w:val="auto"/>
              </w:rPr>
              <w:t>987</w:t>
            </w:r>
          </w:p>
        </w:tc>
        <w:tc>
          <w:tcPr>
            <w:tcW w:w="180" w:type="dxa"/>
            <w:vAlign w:val="bottom"/>
            <w:tcBorders>
              <w:top w:val="single" w:sz="8" w:color="auto"/>
              <w:bottom w:val="single" w:sz="8" w:color="auto"/>
            </w:tcBorders>
            <w:shd w:val="clear" w:color="auto" w:fill="E5E5E5"/>
          </w:tcPr>
          <w:p>
            <w:pPr>
              <w:spacing w:after="0"/>
              <w:rPr>
                <w:sz w:val="17"/>
                <w:szCs w:val="17"/>
                <w:color w:val="auto"/>
              </w:rPr>
            </w:pPr>
          </w:p>
        </w:tc>
        <w:tc>
          <w:tcPr>
            <w:tcW w:w="140" w:type="dxa"/>
            <w:vAlign w:val="bottom"/>
            <w:tcBorders>
              <w:top w:val="single" w:sz="8" w:color="auto"/>
              <w:bottom w:val="single" w:sz="8" w:color="auto"/>
            </w:tcBorders>
            <w:shd w:val="clear" w:color="auto" w:fill="E5E5E5"/>
          </w:tcPr>
          <w:p>
            <w:pPr>
              <w:ind w:left="20"/>
              <w:spacing w:after="0" w:line="202" w:lineRule="exact"/>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shd w:val="clear" w:color="auto" w:fill="E5E5E5"/>
          </w:tcPr>
          <w:p>
            <w:pPr>
              <w:jc w:val="right"/>
              <w:spacing w:after="0" w:line="202" w:lineRule="exact"/>
              <w:rPr>
                <w:sz w:val="20"/>
                <w:szCs w:val="20"/>
                <w:color w:val="auto"/>
              </w:rPr>
            </w:pPr>
            <w:r>
              <w:rPr>
                <w:rFonts w:ascii="Arial" w:cs="Arial" w:eastAsia="Arial" w:hAnsi="Arial"/>
                <w:sz w:val="18"/>
                <w:szCs w:val="18"/>
                <w:color w:val="auto"/>
              </w:rPr>
              <w:t>582</w:t>
            </w:r>
          </w:p>
        </w:tc>
        <w:tc>
          <w:tcPr>
            <w:tcW w:w="6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2380" w:type="dxa"/>
            <w:vAlign w:val="bottom"/>
            <w:tcBorders>
              <w:bottom w:val="single" w:sz="8" w:color="auto"/>
            </w:tcBorders>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840" w:type="dxa"/>
            <w:vAlign w:val="bottom"/>
            <w:gridSpan w:val="2"/>
          </w:tcPr>
          <w:p>
            <w:pPr>
              <w:spacing w:after="0"/>
              <w:rPr>
                <w:sz w:val="20"/>
                <w:szCs w:val="20"/>
                <w:color w:val="auto"/>
              </w:rPr>
            </w:pPr>
            <w:r>
              <w:rPr>
                <w:rFonts w:ascii="Arial" w:cs="Arial" w:eastAsia="Arial" w:hAnsi="Arial"/>
                <w:sz w:val="14"/>
                <w:szCs w:val="14"/>
                <w:color w:val="auto"/>
              </w:rPr>
              <w:t>34</w:t>
            </w:r>
          </w:p>
        </w:tc>
        <w:tc>
          <w:tcPr>
            <w:tcW w:w="4800" w:type="dxa"/>
            <w:vAlign w:val="bottom"/>
          </w:tcPr>
          <w:p>
            <w:pPr>
              <w:spacing w:after="0"/>
              <w:rPr>
                <w:sz w:val="24"/>
                <w:szCs w:val="24"/>
                <w:color w:val="auto"/>
              </w:rPr>
            </w:pPr>
          </w:p>
        </w:tc>
        <w:tc>
          <w:tcPr>
            <w:tcW w:w="3780" w:type="dxa"/>
            <w:vAlign w:val="bottom"/>
            <w:gridSpan w:val="12"/>
          </w:tcPr>
          <w:p>
            <w:pPr>
              <w:jc w:val="right"/>
              <w:spacing w:after="0"/>
              <w:rPr>
                <w:sz w:val="20"/>
                <w:szCs w:val="20"/>
                <w:color w:val="auto"/>
              </w:rPr>
            </w:pPr>
            <w:r>
              <w:rPr>
                <w:rFonts w:ascii="Arial" w:cs="Arial" w:eastAsia="Arial" w:hAnsi="Arial"/>
                <w:sz w:val="14"/>
                <w:szCs w:val="14"/>
                <w:color w:val="auto"/>
              </w:rPr>
              <w:t>TEXAS INSTRUMENTS 2007 ANNUAL REPORT</w:t>
            </w:r>
          </w:p>
        </w:tc>
        <w:tc>
          <w:tcPr>
            <w:tcW w:w="0" w:type="dxa"/>
            <w:vAlign w:val="bottom"/>
          </w:tcPr>
          <w:p>
            <w:pPr>
              <w:spacing w:after="0"/>
              <w:rPr>
                <w:sz w:val="1"/>
                <w:szCs w:val="1"/>
                <w:color w:val="auto"/>
              </w:rPr>
            </w:pPr>
          </w:p>
        </w:tc>
      </w:tr>
    </w:tbl>
    <w:p>
      <w:pPr>
        <w:sectPr>
          <w:pgSz w:w="11900" w:h="16838" w:orient="portrait"/>
          <w:cols w:equalWidth="0" w:num="1">
            <w:col w:w="11420"/>
          </w:cols>
          <w:pgMar w:left="240" w:top="291" w:right="239" w:bottom="1440" w:gutter="0" w:footer="0" w:header="0"/>
        </w:sectPr>
      </w:pPr>
    </w:p>
    <w:bookmarkStart w:id="54" w:name="page55"/>
    <w:bookmarkEnd w:id="54"/>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primary components of deferred income tax assets and liabilities at December 31 were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6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1440" w:type="dxa"/>
            <w:vAlign w:val="bottom"/>
            <w:gridSpan w:val="4"/>
            <w:shd w:val="clear" w:color="auto" w:fill="E5E5E5"/>
          </w:tcPr>
          <w:p>
            <w:pPr>
              <w:jc w:val="right"/>
              <w:ind w:right="360"/>
              <w:spacing w:after="0"/>
              <w:rPr>
                <w:sz w:val="20"/>
                <w:szCs w:val="20"/>
                <w:color w:val="auto"/>
              </w:rPr>
            </w:pPr>
            <w:r>
              <w:rPr>
                <w:rFonts w:ascii="Arial" w:cs="Arial" w:eastAsia="Arial" w:hAnsi="Arial"/>
                <w:sz w:val="14"/>
                <w:szCs w:val="14"/>
                <w:b w:val="1"/>
                <w:bCs w:val="1"/>
                <w:color w:val="auto"/>
              </w:rPr>
              <w:t>December 31,</w:t>
            </w:r>
          </w:p>
        </w:tc>
      </w:tr>
      <w:tr>
        <w:trPr>
          <w:trHeight w:val="271"/>
        </w:trPr>
        <w:tc>
          <w:tcPr>
            <w:tcW w:w="9660" w:type="dxa"/>
            <w:vAlign w:val="bottom"/>
            <w:shd w:val="clear" w:color="auto" w:fill="E5E5E5"/>
          </w:tcPr>
          <w:p>
            <w:pPr>
              <w:spacing w:after="0"/>
              <w:rPr>
                <w:sz w:val="23"/>
                <w:szCs w:val="23"/>
                <w:color w:val="auto"/>
              </w:rPr>
            </w:pPr>
          </w:p>
        </w:tc>
        <w:tc>
          <w:tcPr>
            <w:tcW w:w="220" w:type="dxa"/>
            <w:vAlign w:val="bottom"/>
            <w:shd w:val="clear" w:color="auto" w:fill="E5E5E5"/>
          </w:tcPr>
          <w:p>
            <w:pPr>
              <w:spacing w:after="0"/>
              <w:rPr>
                <w:sz w:val="23"/>
                <w:szCs w:val="23"/>
                <w:color w:val="auto"/>
              </w:rPr>
            </w:pPr>
          </w:p>
        </w:tc>
        <w:tc>
          <w:tcPr>
            <w:tcW w:w="100" w:type="dxa"/>
            <w:vAlign w:val="bottom"/>
            <w:shd w:val="clear" w:color="auto" w:fill="E5E5E5"/>
          </w:tcPr>
          <w:p>
            <w:pPr>
              <w:spacing w:after="0"/>
              <w:rPr>
                <w:sz w:val="23"/>
                <w:szCs w:val="23"/>
                <w:color w:val="auto"/>
              </w:rPr>
            </w:pPr>
          </w:p>
        </w:tc>
        <w:tc>
          <w:tcPr>
            <w:tcW w:w="660" w:type="dxa"/>
            <w:vAlign w:val="bottom"/>
            <w:shd w:val="clear" w:color="auto" w:fill="E5E5E5"/>
          </w:tcPr>
          <w:p>
            <w:pPr>
              <w:jc w:val="right"/>
              <w:ind w:right="133"/>
              <w:spacing w:after="0"/>
              <w:rPr>
                <w:sz w:val="20"/>
                <w:szCs w:val="20"/>
                <w:color w:val="auto"/>
              </w:rPr>
            </w:pPr>
            <w:r>
              <w:rPr>
                <w:rFonts w:ascii="Arial" w:cs="Arial" w:eastAsia="Arial" w:hAnsi="Arial"/>
                <w:sz w:val="18"/>
                <w:szCs w:val="18"/>
                <w:b w:val="1"/>
                <w:bCs w:val="1"/>
                <w:color w:val="auto"/>
              </w:rPr>
              <w:t>2007</w:t>
            </w:r>
          </w:p>
        </w:tc>
        <w:tc>
          <w:tcPr>
            <w:tcW w:w="720" w:type="dxa"/>
            <w:vAlign w:val="bottom"/>
            <w:gridSpan w:val="2"/>
            <w:shd w:val="clear" w:color="auto" w:fill="E5E5E5"/>
          </w:tcPr>
          <w:p>
            <w:pPr>
              <w:jc w:val="right"/>
              <w:spacing w:after="0"/>
              <w:rPr>
                <w:sz w:val="20"/>
                <w:szCs w:val="20"/>
                <w:color w:val="auto"/>
              </w:rPr>
            </w:pPr>
            <w:r>
              <w:rPr>
                <w:rFonts w:ascii="Arial" w:cs="Arial" w:eastAsia="Arial" w:hAnsi="Arial"/>
                <w:sz w:val="18"/>
                <w:szCs w:val="18"/>
                <w:b w:val="1"/>
                <w:bCs w:val="1"/>
                <w:color w:val="auto"/>
              </w:rPr>
              <w:t>2006</w:t>
            </w:r>
          </w:p>
        </w:tc>
        <w:tc>
          <w:tcPr>
            <w:tcW w:w="60" w:type="dxa"/>
            <w:vAlign w:val="bottom"/>
            <w:shd w:val="clear" w:color="auto" w:fill="E5E5E5"/>
          </w:tcPr>
          <w:p>
            <w:pPr>
              <w:spacing w:after="0"/>
              <w:rPr>
                <w:sz w:val="23"/>
                <w:szCs w:val="23"/>
                <w:color w:val="auto"/>
              </w:rPr>
            </w:pPr>
          </w:p>
        </w:tc>
      </w:tr>
      <w:tr>
        <w:trPr>
          <w:trHeight w:val="203"/>
        </w:trPr>
        <w:tc>
          <w:tcPr>
            <w:tcW w:w="9660" w:type="dxa"/>
            <w:vAlign w:val="bottom"/>
          </w:tcPr>
          <w:p>
            <w:pPr>
              <w:spacing w:after="0" w:line="202" w:lineRule="exact"/>
              <w:rPr>
                <w:sz w:val="20"/>
                <w:szCs w:val="20"/>
                <w:color w:val="auto"/>
              </w:rPr>
            </w:pPr>
            <w:r>
              <w:rPr>
                <w:rFonts w:ascii="Arial" w:cs="Arial" w:eastAsia="Arial" w:hAnsi="Arial"/>
                <w:sz w:val="18"/>
                <w:szCs w:val="18"/>
                <w:color w:val="auto"/>
              </w:rPr>
              <w:t>Deferred income tax assets: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966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Accrued retirement costs (defined benefit and retiree health care)</w:t>
            </w:r>
          </w:p>
        </w:tc>
        <w:tc>
          <w:tcPr>
            <w:tcW w:w="32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E5E5E5"/>
          </w:tcPr>
          <w:p>
            <w:pPr>
              <w:jc w:val="right"/>
              <w:ind w:right="113"/>
              <w:spacing w:after="0" w:line="202" w:lineRule="exact"/>
              <w:rPr>
                <w:sz w:val="20"/>
                <w:szCs w:val="20"/>
                <w:color w:val="auto"/>
              </w:rPr>
            </w:pPr>
            <w:r>
              <w:rPr>
                <w:rFonts w:ascii="Arial" w:cs="Arial" w:eastAsia="Arial" w:hAnsi="Arial"/>
                <w:sz w:val="18"/>
                <w:szCs w:val="18"/>
                <w:b w:val="1"/>
                <w:bCs w:val="1"/>
                <w:color w:val="auto"/>
              </w:rPr>
              <w:t>173</w:t>
            </w:r>
          </w:p>
        </w:tc>
        <w:tc>
          <w:tcPr>
            <w:tcW w:w="2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194</w:t>
            </w:r>
          </w:p>
        </w:tc>
        <w:tc>
          <w:tcPr>
            <w:tcW w:w="60" w:type="dxa"/>
            <w:vAlign w:val="bottom"/>
            <w:shd w:val="clear" w:color="auto" w:fill="E5E5E5"/>
          </w:tcPr>
          <w:p>
            <w:pPr>
              <w:spacing w:after="0"/>
              <w:rPr>
                <w:sz w:val="17"/>
                <w:szCs w:val="17"/>
                <w:color w:val="auto"/>
              </w:rPr>
            </w:pPr>
          </w:p>
        </w:tc>
      </w:tr>
      <w:tr>
        <w:trPr>
          <w:trHeight w:val="203"/>
        </w:trPr>
        <w:tc>
          <w:tcPr>
            <w:tcW w:w="9660" w:type="dxa"/>
            <w:vAlign w:val="bottom"/>
          </w:tcPr>
          <w:p>
            <w:pPr>
              <w:ind w:left="220"/>
              <w:spacing w:after="0" w:line="202" w:lineRule="exact"/>
              <w:rPr>
                <w:sz w:val="20"/>
                <w:szCs w:val="20"/>
                <w:color w:val="auto"/>
              </w:rPr>
            </w:pPr>
            <w:r>
              <w:rPr>
                <w:rFonts w:ascii="Arial" w:cs="Arial" w:eastAsia="Arial" w:hAnsi="Arial"/>
                <w:sz w:val="18"/>
                <w:szCs w:val="18"/>
                <w:color w:val="auto"/>
              </w:rPr>
              <w:t>Inventories and related reserves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113"/>
              <w:spacing w:after="0" w:line="202" w:lineRule="exact"/>
              <w:rPr>
                <w:sz w:val="20"/>
                <w:szCs w:val="20"/>
                <w:color w:val="auto"/>
              </w:rPr>
            </w:pPr>
            <w:r>
              <w:rPr>
                <w:rFonts w:ascii="Arial" w:cs="Arial" w:eastAsia="Arial" w:hAnsi="Arial"/>
                <w:sz w:val="18"/>
                <w:szCs w:val="18"/>
                <w:b w:val="1"/>
                <w:bCs w:val="1"/>
                <w:color w:val="auto"/>
              </w:rPr>
              <w:t>369</w:t>
            </w:r>
          </w:p>
        </w:tc>
        <w:tc>
          <w:tcPr>
            <w:tcW w:w="26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392</w:t>
            </w:r>
          </w:p>
        </w:tc>
        <w:tc>
          <w:tcPr>
            <w:tcW w:w="60" w:type="dxa"/>
            <w:vAlign w:val="bottom"/>
          </w:tcPr>
          <w:p>
            <w:pPr>
              <w:spacing w:after="0"/>
              <w:rPr>
                <w:sz w:val="17"/>
                <w:szCs w:val="17"/>
                <w:color w:val="auto"/>
              </w:rPr>
            </w:pPr>
          </w:p>
        </w:tc>
      </w:tr>
      <w:tr>
        <w:trPr>
          <w:trHeight w:val="203"/>
        </w:trPr>
        <w:tc>
          <w:tcPr>
            <w:tcW w:w="966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Stock-based compensation</w:t>
            </w:r>
          </w:p>
        </w:tc>
        <w:tc>
          <w:tcPr>
            <w:tcW w:w="2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660" w:type="dxa"/>
            <w:vAlign w:val="bottom"/>
            <w:shd w:val="clear" w:color="auto" w:fill="E5E5E5"/>
          </w:tcPr>
          <w:p>
            <w:pPr>
              <w:jc w:val="right"/>
              <w:ind w:right="113"/>
              <w:spacing w:after="0" w:line="202" w:lineRule="exact"/>
              <w:rPr>
                <w:sz w:val="20"/>
                <w:szCs w:val="20"/>
                <w:color w:val="auto"/>
              </w:rPr>
            </w:pPr>
            <w:r>
              <w:rPr>
                <w:rFonts w:ascii="Arial" w:cs="Arial" w:eastAsia="Arial" w:hAnsi="Arial"/>
                <w:sz w:val="18"/>
                <w:szCs w:val="18"/>
                <w:b w:val="1"/>
                <w:bCs w:val="1"/>
                <w:color w:val="auto"/>
              </w:rPr>
              <w:t>245</w:t>
            </w:r>
          </w:p>
        </w:tc>
        <w:tc>
          <w:tcPr>
            <w:tcW w:w="260" w:type="dxa"/>
            <w:vAlign w:val="bottom"/>
            <w:shd w:val="clear" w:color="auto" w:fill="E5E5E5"/>
          </w:tcPr>
          <w:p>
            <w:pPr>
              <w:spacing w:after="0"/>
              <w:rPr>
                <w:sz w:val="17"/>
                <w:szCs w:val="17"/>
                <w:color w:val="auto"/>
              </w:rPr>
            </w:pPr>
          </w:p>
        </w:tc>
        <w:tc>
          <w:tcPr>
            <w:tcW w:w="4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156</w:t>
            </w:r>
          </w:p>
        </w:tc>
        <w:tc>
          <w:tcPr>
            <w:tcW w:w="60" w:type="dxa"/>
            <w:vAlign w:val="bottom"/>
            <w:shd w:val="clear" w:color="auto" w:fill="E5E5E5"/>
          </w:tcPr>
          <w:p>
            <w:pPr>
              <w:spacing w:after="0"/>
              <w:rPr>
                <w:sz w:val="17"/>
                <w:szCs w:val="17"/>
                <w:color w:val="auto"/>
              </w:rPr>
            </w:pPr>
          </w:p>
        </w:tc>
      </w:tr>
      <w:tr>
        <w:trPr>
          <w:trHeight w:val="203"/>
        </w:trPr>
        <w:tc>
          <w:tcPr>
            <w:tcW w:w="9660" w:type="dxa"/>
            <w:vAlign w:val="bottom"/>
          </w:tcPr>
          <w:p>
            <w:pPr>
              <w:ind w:left="220"/>
              <w:spacing w:after="0" w:line="202" w:lineRule="exact"/>
              <w:rPr>
                <w:sz w:val="20"/>
                <w:szCs w:val="20"/>
                <w:color w:val="auto"/>
              </w:rPr>
            </w:pPr>
            <w:r>
              <w:rPr>
                <w:rFonts w:ascii="Arial" w:cs="Arial" w:eastAsia="Arial" w:hAnsi="Arial"/>
                <w:sz w:val="18"/>
                <w:szCs w:val="18"/>
                <w:color w:val="auto"/>
              </w:rPr>
              <w:t>Accrued expenses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113"/>
              <w:spacing w:after="0" w:line="202" w:lineRule="exact"/>
              <w:rPr>
                <w:sz w:val="20"/>
                <w:szCs w:val="20"/>
                <w:color w:val="auto"/>
              </w:rPr>
            </w:pPr>
            <w:r>
              <w:rPr>
                <w:rFonts w:ascii="Arial" w:cs="Arial" w:eastAsia="Arial" w:hAnsi="Arial"/>
                <w:sz w:val="18"/>
                <w:szCs w:val="18"/>
                <w:b w:val="1"/>
                <w:bCs w:val="1"/>
                <w:color w:val="auto"/>
              </w:rPr>
              <w:t>363</w:t>
            </w:r>
          </w:p>
        </w:tc>
        <w:tc>
          <w:tcPr>
            <w:tcW w:w="26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295</w:t>
            </w:r>
          </w:p>
        </w:tc>
        <w:tc>
          <w:tcPr>
            <w:tcW w:w="60" w:type="dxa"/>
            <w:vAlign w:val="bottom"/>
          </w:tcPr>
          <w:p>
            <w:pPr>
              <w:spacing w:after="0"/>
              <w:rPr>
                <w:sz w:val="17"/>
                <w:szCs w:val="17"/>
                <w:color w:val="auto"/>
              </w:rPr>
            </w:pPr>
          </w:p>
        </w:tc>
      </w:tr>
      <w:tr>
        <w:trPr>
          <w:trHeight w:val="203"/>
        </w:trPr>
        <w:tc>
          <w:tcPr>
            <w:tcW w:w="966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Deferred loss and tax credits</w:t>
            </w:r>
          </w:p>
        </w:tc>
        <w:tc>
          <w:tcPr>
            <w:tcW w:w="2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660" w:type="dxa"/>
            <w:vAlign w:val="bottom"/>
            <w:shd w:val="clear" w:color="auto" w:fill="E5E5E5"/>
          </w:tcPr>
          <w:p>
            <w:pPr>
              <w:jc w:val="right"/>
              <w:ind w:right="113"/>
              <w:spacing w:after="0" w:line="202" w:lineRule="exact"/>
              <w:rPr>
                <w:sz w:val="20"/>
                <w:szCs w:val="20"/>
                <w:color w:val="auto"/>
              </w:rPr>
            </w:pPr>
            <w:r>
              <w:rPr>
                <w:rFonts w:ascii="Arial" w:cs="Arial" w:eastAsia="Arial" w:hAnsi="Arial"/>
                <w:sz w:val="18"/>
                <w:szCs w:val="18"/>
                <w:b w:val="1"/>
                <w:bCs w:val="1"/>
                <w:color w:val="auto"/>
              </w:rPr>
              <w:t>159</w:t>
            </w:r>
          </w:p>
        </w:tc>
        <w:tc>
          <w:tcPr>
            <w:tcW w:w="260" w:type="dxa"/>
            <w:vAlign w:val="bottom"/>
            <w:shd w:val="clear" w:color="auto" w:fill="E5E5E5"/>
          </w:tcPr>
          <w:p>
            <w:pPr>
              <w:spacing w:after="0"/>
              <w:rPr>
                <w:sz w:val="17"/>
                <w:szCs w:val="17"/>
                <w:color w:val="auto"/>
              </w:rPr>
            </w:pPr>
          </w:p>
        </w:tc>
        <w:tc>
          <w:tcPr>
            <w:tcW w:w="4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387</w:t>
            </w:r>
          </w:p>
        </w:tc>
        <w:tc>
          <w:tcPr>
            <w:tcW w:w="60" w:type="dxa"/>
            <w:vAlign w:val="bottom"/>
            <w:shd w:val="clear" w:color="auto" w:fill="E5E5E5"/>
          </w:tcPr>
          <w:p>
            <w:pPr>
              <w:spacing w:after="0"/>
              <w:rPr>
                <w:sz w:val="17"/>
                <w:szCs w:val="17"/>
                <w:color w:val="auto"/>
              </w:rPr>
            </w:pPr>
          </w:p>
        </w:tc>
      </w:tr>
      <w:tr>
        <w:trPr>
          <w:trHeight w:val="203"/>
        </w:trPr>
        <w:tc>
          <w:tcPr>
            <w:tcW w:w="9660" w:type="dxa"/>
            <w:vAlign w:val="bottom"/>
          </w:tcPr>
          <w:p>
            <w:pPr>
              <w:ind w:left="220"/>
              <w:spacing w:after="0" w:line="202" w:lineRule="exact"/>
              <w:rPr>
                <w:sz w:val="20"/>
                <w:szCs w:val="20"/>
                <w:color w:val="auto"/>
              </w:rPr>
            </w:pPr>
            <w:r>
              <w:rPr>
                <w:rFonts w:ascii="Arial" w:cs="Arial" w:eastAsia="Arial" w:hAnsi="Arial"/>
                <w:sz w:val="18"/>
                <w:szCs w:val="18"/>
                <w:color w:val="auto"/>
              </w:rPr>
              <w:t>Investments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113"/>
              <w:spacing w:after="0" w:line="202" w:lineRule="exact"/>
              <w:rPr>
                <w:sz w:val="20"/>
                <w:szCs w:val="20"/>
                <w:color w:val="auto"/>
              </w:rPr>
            </w:pPr>
            <w:r>
              <w:rPr>
                <w:rFonts w:ascii="Arial" w:cs="Arial" w:eastAsia="Arial" w:hAnsi="Arial"/>
                <w:sz w:val="18"/>
                <w:szCs w:val="18"/>
                <w:b w:val="1"/>
                <w:bCs w:val="1"/>
                <w:color w:val="auto"/>
              </w:rPr>
              <w:t>35</w:t>
            </w:r>
          </w:p>
        </w:tc>
        <w:tc>
          <w:tcPr>
            <w:tcW w:w="26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48</w:t>
            </w:r>
          </w:p>
        </w:tc>
        <w:tc>
          <w:tcPr>
            <w:tcW w:w="60" w:type="dxa"/>
            <w:vAlign w:val="bottom"/>
          </w:tcPr>
          <w:p>
            <w:pPr>
              <w:spacing w:after="0"/>
              <w:rPr>
                <w:sz w:val="17"/>
                <w:szCs w:val="17"/>
                <w:color w:val="auto"/>
              </w:rPr>
            </w:pPr>
          </w:p>
        </w:tc>
      </w:tr>
      <w:tr>
        <w:trPr>
          <w:trHeight w:val="203"/>
        </w:trPr>
        <w:tc>
          <w:tcPr>
            <w:tcW w:w="966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Other</w:t>
            </w:r>
          </w:p>
        </w:tc>
        <w:tc>
          <w:tcPr>
            <w:tcW w:w="220" w:type="dxa"/>
            <w:vAlign w:val="bottom"/>
            <w:shd w:val="clear" w:color="auto" w:fill="E5E5E5"/>
          </w:tcPr>
          <w:p>
            <w:pPr>
              <w:spacing w:after="0"/>
              <w:rPr>
                <w:sz w:val="17"/>
                <w:szCs w:val="17"/>
                <w:color w:val="auto"/>
              </w:rPr>
            </w:pPr>
          </w:p>
        </w:tc>
        <w:tc>
          <w:tcPr>
            <w:tcW w:w="100" w:type="dxa"/>
            <w:vAlign w:val="bottom"/>
            <w:tcBorders>
              <w:bottom w:val="single" w:sz="8" w:color="auto"/>
            </w:tcBorders>
            <w:shd w:val="clear" w:color="auto" w:fill="E5E5E5"/>
          </w:tcPr>
          <w:p>
            <w:pPr>
              <w:spacing w:after="0"/>
              <w:rPr>
                <w:sz w:val="17"/>
                <w:szCs w:val="17"/>
                <w:color w:val="auto"/>
              </w:rPr>
            </w:pPr>
          </w:p>
        </w:tc>
        <w:tc>
          <w:tcPr>
            <w:tcW w:w="660" w:type="dxa"/>
            <w:vAlign w:val="bottom"/>
            <w:tcBorders>
              <w:bottom w:val="single" w:sz="8" w:color="auto"/>
            </w:tcBorders>
            <w:shd w:val="clear" w:color="auto" w:fill="E5E5E5"/>
          </w:tcPr>
          <w:p>
            <w:pPr>
              <w:jc w:val="right"/>
              <w:ind w:right="113"/>
              <w:spacing w:after="0" w:line="202" w:lineRule="exact"/>
              <w:rPr>
                <w:sz w:val="20"/>
                <w:szCs w:val="20"/>
                <w:color w:val="auto"/>
              </w:rPr>
            </w:pPr>
            <w:r>
              <w:rPr>
                <w:rFonts w:ascii="Arial" w:cs="Arial" w:eastAsia="Arial" w:hAnsi="Arial"/>
                <w:sz w:val="18"/>
                <w:szCs w:val="18"/>
                <w:b w:val="1"/>
                <w:bCs w:val="1"/>
                <w:color w:val="auto"/>
              </w:rPr>
              <w:t>86</w:t>
            </w:r>
          </w:p>
        </w:tc>
        <w:tc>
          <w:tcPr>
            <w:tcW w:w="260" w:type="dxa"/>
            <w:vAlign w:val="bottom"/>
            <w:tcBorders>
              <w:bottom w:val="single" w:sz="8" w:color="auto"/>
            </w:tcBorders>
            <w:shd w:val="clear" w:color="auto" w:fill="E5E5E5"/>
          </w:tcPr>
          <w:p>
            <w:pPr>
              <w:spacing w:after="0"/>
              <w:rPr>
                <w:sz w:val="17"/>
                <w:szCs w:val="17"/>
                <w:color w:val="auto"/>
              </w:rPr>
            </w:pPr>
          </w:p>
        </w:tc>
        <w:tc>
          <w:tcPr>
            <w:tcW w:w="460" w:type="dxa"/>
            <w:vAlign w:val="bottom"/>
            <w:tcBorders>
              <w:bottom w:val="single" w:sz="8" w:color="auto"/>
            </w:tcBorders>
            <w:shd w:val="clear" w:color="auto" w:fill="E5E5E5"/>
          </w:tcPr>
          <w:p>
            <w:pPr>
              <w:jc w:val="right"/>
              <w:spacing w:after="0" w:line="202" w:lineRule="exact"/>
              <w:rPr>
                <w:sz w:val="20"/>
                <w:szCs w:val="20"/>
                <w:color w:val="auto"/>
              </w:rPr>
            </w:pPr>
            <w:r>
              <w:rPr>
                <w:rFonts w:ascii="Arial" w:cs="Arial" w:eastAsia="Arial" w:hAnsi="Arial"/>
                <w:sz w:val="18"/>
                <w:szCs w:val="18"/>
                <w:color w:val="auto"/>
              </w:rPr>
              <w:t>121</w:t>
            </w:r>
          </w:p>
        </w:tc>
        <w:tc>
          <w:tcPr>
            <w:tcW w:w="60" w:type="dxa"/>
            <w:vAlign w:val="bottom"/>
            <w:shd w:val="clear" w:color="auto" w:fill="E5E5E5"/>
          </w:tcPr>
          <w:p>
            <w:pPr>
              <w:spacing w:after="0"/>
              <w:rPr>
                <w:sz w:val="17"/>
                <w:szCs w:val="17"/>
                <w:color w:val="auto"/>
              </w:rPr>
            </w:pPr>
          </w:p>
        </w:tc>
      </w:tr>
      <w:tr>
        <w:trPr>
          <w:trHeight w:val="210"/>
        </w:trPr>
        <w:tc>
          <w:tcPr>
            <w:tcW w:w="9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ind w:right="113"/>
              <w:spacing w:after="0"/>
              <w:rPr>
                <w:sz w:val="20"/>
                <w:szCs w:val="20"/>
                <w:color w:val="auto"/>
              </w:rPr>
            </w:pPr>
            <w:r>
              <w:rPr>
                <w:rFonts w:ascii="Arial" w:cs="Arial" w:eastAsia="Arial" w:hAnsi="Arial"/>
                <w:sz w:val="18"/>
                <w:szCs w:val="18"/>
                <w:b w:val="1"/>
                <w:bCs w:val="1"/>
                <w:color w:val="auto"/>
                <w:w w:val="97"/>
              </w:rPr>
              <w:t>1,430</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1,593</w:t>
            </w:r>
          </w:p>
        </w:tc>
        <w:tc>
          <w:tcPr>
            <w:tcW w:w="60" w:type="dxa"/>
            <w:vAlign w:val="bottom"/>
          </w:tcPr>
          <w:p>
            <w:pPr>
              <w:spacing w:after="0"/>
              <w:rPr>
                <w:sz w:val="18"/>
                <w:szCs w:val="18"/>
                <w:color w:val="auto"/>
              </w:rPr>
            </w:pPr>
          </w:p>
        </w:tc>
      </w:tr>
      <w:tr>
        <w:trPr>
          <w:trHeight w:val="203"/>
        </w:trPr>
        <w:tc>
          <w:tcPr>
            <w:tcW w:w="966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Less valuation allowance</w:t>
            </w:r>
          </w:p>
        </w:tc>
        <w:tc>
          <w:tcPr>
            <w:tcW w:w="2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660" w:type="dxa"/>
            <w:vAlign w:val="bottom"/>
            <w:shd w:val="clear" w:color="auto" w:fill="E5E5E5"/>
          </w:tcPr>
          <w:p>
            <w:pPr>
              <w:jc w:val="right"/>
              <w:ind w:right="73"/>
              <w:spacing w:after="0" w:line="202" w:lineRule="exact"/>
              <w:rPr>
                <w:sz w:val="20"/>
                <w:szCs w:val="20"/>
                <w:color w:val="auto"/>
              </w:rPr>
            </w:pPr>
            <w:r>
              <w:rPr>
                <w:rFonts w:ascii="Arial" w:cs="Arial" w:eastAsia="Arial" w:hAnsi="Arial"/>
                <w:sz w:val="18"/>
                <w:szCs w:val="18"/>
                <w:b w:val="1"/>
                <w:bCs w:val="1"/>
                <w:color w:val="auto"/>
              </w:rPr>
              <w:t>(5)</w:t>
            </w:r>
          </w:p>
        </w:tc>
        <w:tc>
          <w:tcPr>
            <w:tcW w:w="260" w:type="dxa"/>
            <w:vAlign w:val="bottom"/>
            <w:shd w:val="clear" w:color="auto" w:fill="E5E5E5"/>
          </w:tcPr>
          <w:p>
            <w:pPr>
              <w:spacing w:after="0"/>
              <w:rPr>
                <w:sz w:val="17"/>
                <w:szCs w:val="17"/>
                <w:color w:val="auto"/>
              </w:rPr>
            </w:pPr>
          </w:p>
        </w:tc>
        <w:tc>
          <w:tcPr>
            <w:tcW w:w="52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(14)</w:t>
            </w:r>
          </w:p>
        </w:tc>
      </w:tr>
      <w:tr>
        <w:trPr>
          <w:trHeight w:val="210"/>
        </w:trPr>
        <w:tc>
          <w:tcPr>
            <w:tcW w:w="9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b w:val="1"/>
                <w:bCs w:val="1"/>
                <w:color w:val="auto"/>
                <w:w w:val="97"/>
              </w:rPr>
              <w:t>1,425</w:t>
            </w:r>
          </w:p>
        </w:tc>
        <w:tc>
          <w:tcPr>
            <w:tcW w:w="2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1,579</w:t>
            </w:r>
          </w:p>
        </w:tc>
        <w:tc>
          <w:tcPr>
            <w:tcW w:w="60" w:type="dxa"/>
            <w:vAlign w:val="bottom"/>
          </w:tcPr>
          <w:p>
            <w:pPr>
              <w:spacing w:after="0"/>
              <w:rPr>
                <w:sz w:val="18"/>
                <w:szCs w:val="18"/>
                <w:color w:val="auto"/>
              </w:rPr>
            </w:pPr>
          </w:p>
        </w:tc>
      </w:tr>
      <w:tr>
        <w:trPr>
          <w:trHeight w:val="203"/>
        </w:trPr>
        <w:tc>
          <w:tcPr>
            <w:tcW w:w="96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Deferred income tax liabilities:</w:t>
            </w:r>
          </w:p>
        </w:tc>
        <w:tc>
          <w:tcPr>
            <w:tcW w:w="2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66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r>
      <w:tr>
        <w:trPr>
          <w:trHeight w:val="203"/>
        </w:trPr>
        <w:tc>
          <w:tcPr>
            <w:tcW w:w="9660" w:type="dxa"/>
            <w:vAlign w:val="bottom"/>
          </w:tcPr>
          <w:p>
            <w:pPr>
              <w:ind w:left="220"/>
              <w:spacing w:after="0" w:line="202" w:lineRule="exact"/>
              <w:rPr>
                <w:sz w:val="20"/>
                <w:szCs w:val="20"/>
                <w:color w:val="auto"/>
              </w:rPr>
            </w:pPr>
            <w:r>
              <w:rPr>
                <w:rFonts w:ascii="Arial" w:cs="Arial" w:eastAsia="Arial" w:hAnsi="Arial"/>
                <w:sz w:val="18"/>
                <w:szCs w:val="18"/>
                <w:color w:val="auto"/>
              </w:rPr>
              <w:t>Property, plant and equipment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73"/>
              <w:spacing w:after="0" w:line="202" w:lineRule="exact"/>
              <w:rPr>
                <w:sz w:val="20"/>
                <w:szCs w:val="20"/>
                <w:color w:val="auto"/>
              </w:rPr>
            </w:pPr>
            <w:r>
              <w:rPr>
                <w:rFonts w:ascii="Arial" w:cs="Arial" w:eastAsia="Arial" w:hAnsi="Arial"/>
                <w:sz w:val="18"/>
                <w:szCs w:val="18"/>
                <w:b w:val="1"/>
                <w:bCs w:val="1"/>
                <w:color w:val="auto"/>
              </w:rPr>
              <w:t>(122)</w:t>
            </w:r>
          </w:p>
        </w:tc>
        <w:tc>
          <w:tcPr>
            <w:tcW w:w="260" w:type="dxa"/>
            <w:vAlign w:val="bottom"/>
          </w:tcPr>
          <w:p>
            <w:pPr>
              <w:spacing w:after="0"/>
              <w:rPr>
                <w:sz w:val="17"/>
                <w:szCs w:val="17"/>
                <w:color w:val="auto"/>
              </w:rPr>
            </w:pPr>
          </w:p>
        </w:tc>
        <w:tc>
          <w:tcPr>
            <w:tcW w:w="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(145)</w:t>
            </w:r>
          </w:p>
        </w:tc>
      </w:tr>
      <w:tr>
        <w:trPr>
          <w:trHeight w:val="203"/>
        </w:trPr>
        <w:tc>
          <w:tcPr>
            <w:tcW w:w="966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Intangibles</w:t>
            </w:r>
          </w:p>
        </w:tc>
        <w:tc>
          <w:tcPr>
            <w:tcW w:w="2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660" w:type="dxa"/>
            <w:vAlign w:val="bottom"/>
            <w:shd w:val="clear" w:color="auto" w:fill="E5E5E5"/>
          </w:tcPr>
          <w:p>
            <w:pPr>
              <w:jc w:val="right"/>
              <w:ind w:right="73"/>
              <w:spacing w:after="0" w:line="202" w:lineRule="exact"/>
              <w:rPr>
                <w:sz w:val="20"/>
                <w:szCs w:val="20"/>
                <w:color w:val="auto"/>
              </w:rPr>
            </w:pPr>
            <w:r>
              <w:rPr>
                <w:rFonts w:ascii="Arial" w:cs="Arial" w:eastAsia="Arial" w:hAnsi="Arial"/>
                <w:sz w:val="18"/>
                <w:szCs w:val="18"/>
                <w:b w:val="1"/>
                <w:bCs w:val="1"/>
                <w:color w:val="auto"/>
              </w:rPr>
              <w:t>(25)</w:t>
            </w:r>
          </w:p>
        </w:tc>
        <w:tc>
          <w:tcPr>
            <w:tcW w:w="260" w:type="dxa"/>
            <w:vAlign w:val="bottom"/>
            <w:shd w:val="clear" w:color="auto" w:fill="E5E5E5"/>
          </w:tcPr>
          <w:p>
            <w:pPr>
              <w:spacing w:after="0"/>
              <w:rPr>
                <w:sz w:val="17"/>
                <w:szCs w:val="17"/>
                <w:color w:val="auto"/>
              </w:rPr>
            </w:pPr>
          </w:p>
        </w:tc>
        <w:tc>
          <w:tcPr>
            <w:tcW w:w="52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(29)</w:t>
            </w:r>
          </w:p>
        </w:tc>
      </w:tr>
      <w:tr>
        <w:trPr>
          <w:trHeight w:val="203"/>
        </w:trPr>
        <w:tc>
          <w:tcPr>
            <w:tcW w:w="9660" w:type="dxa"/>
            <w:vAlign w:val="bottom"/>
          </w:tcPr>
          <w:p>
            <w:pPr>
              <w:ind w:left="220"/>
              <w:spacing w:after="0" w:line="202" w:lineRule="exact"/>
              <w:rPr>
                <w:sz w:val="20"/>
                <w:szCs w:val="20"/>
                <w:color w:val="auto"/>
              </w:rPr>
            </w:pPr>
            <w:r>
              <w:rPr>
                <w:rFonts w:ascii="Arial" w:cs="Arial" w:eastAsia="Arial" w:hAnsi="Arial"/>
                <w:sz w:val="18"/>
                <w:szCs w:val="18"/>
                <w:color w:val="auto"/>
              </w:rPr>
              <w:t>Non-U.S. earnings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73"/>
              <w:spacing w:after="0" w:line="202" w:lineRule="exact"/>
              <w:rPr>
                <w:sz w:val="20"/>
                <w:szCs w:val="20"/>
                <w:color w:val="auto"/>
              </w:rPr>
            </w:pPr>
            <w:r>
              <w:rPr>
                <w:rFonts w:ascii="Arial" w:cs="Arial" w:eastAsia="Arial" w:hAnsi="Arial"/>
                <w:sz w:val="18"/>
                <w:szCs w:val="18"/>
                <w:b w:val="1"/>
                <w:bCs w:val="1"/>
                <w:color w:val="auto"/>
              </w:rPr>
              <w:t>(80)</w:t>
            </w:r>
          </w:p>
        </w:tc>
        <w:tc>
          <w:tcPr>
            <w:tcW w:w="260" w:type="dxa"/>
            <w:vAlign w:val="bottom"/>
          </w:tcPr>
          <w:p>
            <w:pPr>
              <w:spacing w:after="0"/>
              <w:rPr>
                <w:sz w:val="17"/>
                <w:szCs w:val="17"/>
                <w:color w:val="auto"/>
              </w:rPr>
            </w:pPr>
          </w:p>
        </w:tc>
        <w:tc>
          <w:tcPr>
            <w:tcW w:w="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(26)</w:t>
            </w:r>
          </w:p>
        </w:tc>
      </w:tr>
      <w:tr>
        <w:trPr>
          <w:trHeight w:val="203"/>
        </w:trPr>
        <w:tc>
          <w:tcPr>
            <w:tcW w:w="966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Other</w:t>
            </w:r>
          </w:p>
        </w:tc>
        <w:tc>
          <w:tcPr>
            <w:tcW w:w="2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660" w:type="dxa"/>
            <w:vAlign w:val="bottom"/>
            <w:shd w:val="clear" w:color="auto" w:fill="E5E5E5"/>
          </w:tcPr>
          <w:p>
            <w:pPr>
              <w:jc w:val="right"/>
              <w:ind w:right="73"/>
              <w:spacing w:after="0" w:line="202" w:lineRule="exact"/>
              <w:rPr>
                <w:sz w:val="20"/>
                <w:szCs w:val="20"/>
                <w:color w:val="auto"/>
              </w:rPr>
            </w:pPr>
            <w:r>
              <w:rPr>
                <w:rFonts w:ascii="Arial" w:cs="Arial" w:eastAsia="Arial" w:hAnsi="Arial"/>
                <w:sz w:val="18"/>
                <w:szCs w:val="18"/>
                <w:b w:val="1"/>
                <w:bCs w:val="1"/>
                <w:color w:val="auto"/>
              </w:rPr>
              <w:t>(83)</w:t>
            </w:r>
          </w:p>
        </w:tc>
        <w:tc>
          <w:tcPr>
            <w:tcW w:w="260" w:type="dxa"/>
            <w:vAlign w:val="bottom"/>
            <w:shd w:val="clear" w:color="auto" w:fill="E5E5E5"/>
          </w:tcPr>
          <w:p>
            <w:pPr>
              <w:spacing w:after="0"/>
              <w:rPr>
                <w:sz w:val="17"/>
                <w:szCs w:val="17"/>
                <w:color w:val="auto"/>
              </w:rPr>
            </w:pPr>
          </w:p>
        </w:tc>
        <w:tc>
          <w:tcPr>
            <w:tcW w:w="52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(60)</w:t>
            </w:r>
          </w:p>
        </w:tc>
      </w:tr>
      <w:tr>
        <w:trPr>
          <w:trHeight w:val="20"/>
        </w:trPr>
        <w:tc>
          <w:tcPr>
            <w:tcW w:w="9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7"/>
        </w:trPr>
        <w:tc>
          <w:tcPr>
            <w:tcW w:w="9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ind w:right="73"/>
              <w:spacing w:after="0"/>
              <w:rPr>
                <w:sz w:val="20"/>
                <w:szCs w:val="20"/>
                <w:color w:val="auto"/>
              </w:rPr>
            </w:pPr>
            <w:r>
              <w:rPr>
                <w:rFonts w:ascii="Arial" w:cs="Arial" w:eastAsia="Arial" w:hAnsi="Arial"/>
                <w:sz w:val="18"/>
                <w:szCs w:val="18"/>
                <w:b w:val="1"/>
                <w:bCs w:val="1"/>
                <w:color w:val="auto"/>
              </w:rPr>
              <w:t>(310)</w:t>
            </w:r>
          </w:p>
        </w:tc>
        <w:tc>
          <w:tcPr>
            <w:tcW w:w="2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(260)</w:t>
            </w:r>
          </w:p>
        </w:tc>
      </w:tr>
      <w:tr>
        <w:trPr>
          <w:trHeight w:val="203"/>
        </w:trPr>
        <w:tc>
          <w:tcPr>
            <w:tcW w:w="96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Net deferred income tax asset</w:t>
            </w:r>
          </w:p>
        </w:tc>
        <w:tc>
          <w:tcPr>
            <w:tcW w:w="220" w:type="dxa"/>
            <w:vAlign w:val="bottom"/>
            <w:shd w:val="clear" w:color="auto" w:fill="E5E5E5"/>
          </w:tcPr>
          <w:p>
            <w:pPr>
              <w:spacing w:after="0"/>
              <w:rPr>
                <w:sz w:val="17"/>
                <w:szCs w:val="17"/>
                <w:color w:val="auto"/>
              </w:rPr>
            </w:pPr>
          </w:p>
        </w:tc>
        <w:tc>
          <w:tcPr>
            <w:tcW w:w="100" w:type="dxa"/>
            <w:vAlign w:val="bottom"/>
            <w:tcBorders>
              <w:top w:val="single" w:sz="8" w:color="auto"/>
              <w:bottom w:val="single" w:sz="8" w:color="auto"/>
            </w:tcBorders>
            <w:shd w:val="clear" w:color="auto" w:fill="E5E5E5"/>
          </w:tcPr>
          <w:p>
            <w:pPr>
              <w:jc w:val="right"/>
              <w:spacing w:after="0" w:line="202" w:lineRule="exact"/>
              <w:rPr>
                <w:sz w:val="20"/>
                <w:szCs w:val="20"/>
                <w:color w:val="auto"/>
              </w:rPr>
            </w:pPr>
            <w:r>
              <w:rPr>
                <w:rFonts w:ascii="Arial" w:cs="Arial" w:eastAsia="Arial" w:hAnsi="Arial"/>
                <w:sz w:val="18"/>
                <w:szCs w:val="18"/>
                <w:b w:val="1"/>
                <w:bCs w:val="1"/>
                <w:u w:val="single" w:color="auto"/>
                <w:color w:val="auto"/>
                <w:w w:val="79"/>
              </w:rPr>
              <w:t>$</w:t>
            </w:r>
          </w:p>
        </w:tc>
        <w:tc>
          <w:tcPr>
            <w:tcW w:w="660" w:type="dxa"/>
            <w:vAlign w:val="bottom"/>
            <w:tcBorders>
              <w:top w:val="single" w:sz="8" w:color="auto"/>
              <w:bottom w:val="single" w:sz="8" w:color="auto"/>
            </w:tcBorders>
            <w:shd w:val="clear" w:color="auto" w:fill="E5E5E5"/>
          </w:tcPr>
          <w:p>
            <w:pPr>
              <w:jc w:val="right"/>
              <w:ind w:right="113"/>
              <w:spacing w:after="0" w:line="202" w:lineRule="exact"/>
              <w:rPr>
                <w:sz w:val="20"/>
                <w:szCs w:val="20"/>
                <w:color w:val="auto"/>
              </w:rPr>
            </w:pPr>
            <w:r>
              <w:rPr>
                <w:rFonts w:ascii="Arial" w:cs="Arial" w:eastAsia="Arial" w:hAnsi="Arial"/>
                <w:sz w:val="18"/>
                <w:szCs w:val="18"/>
                <w:b w:val="1"/>
                <w:bCs w:val="1"/>
                <w:color w:val="auto"/>
                <w:w w:val="97"/>
              </w:rPr>
              <w:t>1,115</w:t>
            </w:r>
          </w:p>
        </w:tc>
        <w:tc>
          <w:tcPr>
            <w:tcW w:w="260" w:type="dxa"/>
            <w:vAlign w:val="bottom"/>
            <w:tcBorders>
              <w:top w:val="single" w:sz="8" w:color="auto"/>
              <w:bottom w:val="single" w:sz="8" w:color="auto"/>
            </w:tcBorders>
            <w:shd w:val="clear" w:color="auto" w:fill="E5E5E5"/>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460" w:type="dxa"/>
            <w:vAlign w:val="bottom"/>
            <w:tcBorders>
              <w:top w:val="single" w:sz="8" w:color="auto"/>
              <w:bottom w:val="single" w:sz="8" w:color="auto"/>
            </w:tcBorders>
            <w:shd w:val="clear" w:color="auto" w:fill="E5E5E5"/>
          </w:tcPr>
          <w:p>
            <w:pPr>
              <w:jc w:val="right"/>
              <w:spacing w:after="0" w:line="202" w:lineRule="exact"/>
              <w:rPr>
                <w:sz w:val="20"/>
                <w:szCs w:val="20"/>
                <w:color w:val="auto"/>
              </w:rPr>
            </w:pPr>
            <w:r>
              <w:rPr>
                <w:rFonts w:ascii="Arial" w:cs="Arial" w:eastAsia="Arial" w:hAnsi="Arial"/>
                <w:sz w:val="18"/>
                <w:szCs w:val="18"/>
                <w:color w:val="auto"/>
                <w:w w:val="97"/>
              </w:rPr>
              <w:t>1,319</w:t>
            </w:r>
          </w:p>
        </w:tc>
        <w:tc>
          <w:tcPr>
            <w:tcW w:w="60" w:type="dxa"/>
            <w:vAlign w:val="bottom"/>
            <w:shd w:val="clear" w:color="auto" w:fill="E5E5E5"/>
          </w:tcPr>
          <w:p>
            <w:pPr>
              <w:spacing w:after="0"/>
              <w:rPr>
                <w:sz w:val="17"/>
                <w:szCs w:val="17"/>
                <w:color w:val="auto"/>
              </w:rPr>
            </w:pPr>
          </w:p>
        </w:tc>
      </w:tr>
      <w:tr>
        <w:trPr>
          <w:trHeight w:val="20"/>
        </w:trPr>
        <w:tc>
          <w:tcPr>
            <w:tcW w:w="9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9"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As of December 31, 2007 and 2006, the net deferred income tax assets of $1.12 billion and $1.32 billion were presented in the balance sheets, based on tax jurisdiction, as deferred income tax assets of $1.16 billion and $1.34 billion and deferred income tax liabilities of $49 million and $23 million. We make an ongoing assessment regarding the realization of U.S. and non-U.S. deferred tax assets. While these assets are not assured of realization, our assessment is that a valuation allowance is not required for the remaining balance of the deferred tax assets. This assessment is based on our evaluation of relevant criteria including the existence of (a) deferred tax liabilities that can be used to absorb deferred tax assets, (b) taxable income in prior carryback years and (c) future taxable income.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We have aggregate U.S. and non-U.S. tax loss carryforwards of approximately $215 million of which $27 million expire through the year 2025.</w:t>
      </w:r>
    </w:p>
    <w:p>
      <w:pPr>
        <w:spacing w:after="0" w:line="158"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During 2005, we repatriated approximately $1.29 billion of non-U.S. subsidiary earnings that qualified under the AJCA and recognized a related tax expense of $55 million.</w:t>
      </w:r>
    </w:p>
    <w:p>
      <w:pPr>
        <w:spacing w:after="0" w:line="155"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Provision has been made for deferred taxes on undistributed earnings of non-U.S. subsidiaries to the extent that dividend payments from such companies are expected to result in additional tax liability. The remaining undistributed earnings (approximately $1.62 billion at December 31, 2007) have been indefinitely reinvested; therefore, no provision has been made for taxes due upon remittance of these earnings. Determination of the amount of unrecognized deferred tax liability on these unremitted earnings is not feasible.</w:t>
      </w:r>
    </w:p>
    <w:p>
      <w:pPr>
        <w:spacing w:after="0" w:line="155" w:lineRule="exact"/>
        <w:rPr>
          <w:sz w:val="20"/>
          <w:szCs w:val="20"/>
          <w:color w:val="auto"/>
        </w:rPr>
      </w:pPr>
    </w:p>
    <w:p>
      <w:pPr>
        <w:jc w:val="both"/>
        <w:ind w:right="160"/>
        <w:spacing w:after="0" w:line="239" w:lineRule="auto"/>
        <w:rPr>
          <w:sz w:val="20"/>
          <w:szCs w:val="20"/>
          <w:color w:val="auto"/>
        </w:rPr>
      </w:pPr>
      <w:r>
        <w:rPr>
          <w:rFonts w:ascii="Arial" w:cs="Arial" w:eastAsia="Arial" w:hAnsi="Arial"/>
          <w:sz w:val="18"/>
          <w:szCs w:val="18"/>
          <w:color w:val="auto"/>
        </w:rPr>
        <w:t>Cash payments made for income taxes (net of refunds) were $733 million, $1.83 billion and $591 million for the years ended December 31, 2007, 2006 and 2005, respectively.</w:t>
      </w:r>
    </w:p>
    <w:p>
      <w:pPr>
        <w:spacing w:after="0" w:line="155" w:lineRule="exact"/>
        <w:rPr>
          <w:sz w:val="20"/>
          <w:szCs w:val="20"/>
          <w:color w:val="auto"/>
        </w:rPr>
      </w:pPr>
    </w:p>
    <w:p>
      <w:pPr>
        <w:jc w:val="both"/>
        <w:ind w:right="160"/>
        <w:spacing w:after="0" w:line="238" w:lineRule="auto"/>
        <w:rPr>
          <w:sz w:val="20"/>
          <w:szCs w:val="20"/>
          <w:color w:val="auto"/>
        </w:rPr>
      </w:pPr>
      <w:r>
        <w:rPr>
          <w:rFonts w:ascii="Arial" w:cs="Arial" w:eastAsia="Arial" w:hAnsi="Arial"/>
          <w:sz w:val="18"/>
          <w:szCs w:val="18"/>
          <w:u w:val="single" w:color="auto"/>
          <w:color w:val="auto"/>
        </w:rPr>
        <w:t>Uncertain Tax Positions</w:t>
      </w:r>
      <w:r>
        <w:rPr>
          <w:rFonts w:ascii="Arial" w:cs="Arial" w:eastAsia="Arial" w:hAnsi="Arial"/>
          <w:sz w:val="18"/>
          <w:szCs w:val="18"/>
          <w:color w:val="auto"/>
        </w:rPr>
        <w:t>: We operate in a number of tax jurisdictions and are subject to examination of our income tax returns by tax authorities in those jurisdictions who may challenge any item on these tax returns. Because the tax matters challenged by tax authorities are typically complex, the ultimate outcome of these challenges is uncertain.</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120" w:type="dxa"/>
            <w:vAlign w:val="bottom"/>
          </w:tcPr>
          <w:p>
            <w:pPr>
              <w:spacing w:after="0"/>
              <w:rPr>
                <w:sz w:val="20"/>
                <w:szCs w:val="20"/>
                <w:color w:val="auto"/>
              </w:rPr>
            </w:pPr>
            <w:r>
              <w:rPr>
                <w:rFonts w:ascii="Arial" w:cs="Arial" w:eastAsia="Arial" w:hAnsi="Arial"/>
                <w:sz w:val="14"/>
                <w:szCs w:val="14"/>
                <w:color w:val="auto"/>
              </w:rPr>
              <w:t>TEXAS INSTRUMENTS 2007 ANNUAL REPORT</w:t>
            </w:r>
          </w:p>
        </w:tc>
        <w:tc>
          <w:tcPr>
            <w:tcW w:w="4300" w:type="dxa"/>
            <w:vAlign w:val="bottom"/>
          </w:tcPr>
          <w:p>
            <w:pPr>
              <w:jc w:val="right"/>
              <w:spacing w:after="0"/>
              <w:rPr>
                <w:sz w:val="20"/>
                <w:szCs w:val="20"/>
                <w:color w:val="auto"/>
              </w:rPr>
            </w:pPr>
            <w:r>
              <w:rPr>
                <w:rFonts w:ascii="Arial" w:cs="Arial" w:eastAsia="Arial" w:hAnsi="Arial"/>
                <w:sz w:val="14"/>
                <w:szCs w:val="14"/>
                <w:color w:val="auto"/>
              </w:rPr>
              <w:t>35</w:t>
            </w:r>
          </w:p>
        </w:tc>
      </w:tr>
    </w:tbl>
    <w:p>
      <w:pPr>
        <w:sectPr>
          <w:pgSz w:w="11900" w:h="16838" w:orient="portrait"/>
          <w:cols w:equalWidth="0" w:num="1">
            <w:col w:w="11420"/>
          </w:cols>
          <w:pgMar w:left="240" w:top="291" w:right="239" w:bottom="1440" w:gutter="0" w:footer="0" w:header="0"/>
        </w:sectPr>
      </w:pPr>
    </w:p>
    <w:bookmarkStart w:id="55" w:name="page56"/>
    <w:bookmarkEnd w:id="55"/>
    <w:p>
      <w:pPr>
        <w:ind w:right="180"/>
        <w:spacing w:after="0" w:line="23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Through December 31, 2006, in accordance with prior standards, we assessed the ultimate resolution of uncertain tax matters as they arose and established reserves for tax contingencies when we believed an unfavorable outcome was probable and the liability could be reasonably estimated.</w:t>
      </w:r>
    </w:p>
    <w:p>
      <w:pPr>
        <w:spacing w:after="0" w:line="154" w:lineRule="exact"/>
        <w:rPr>
          <w:sz w:val="20"/>
          <w:szCs w:val="20"/>
          <w:color w:val="auto"/>
        </w:rPr>
      </w:pPr>
    </w:p>
    <w:p>
      <w:pPr>
        <w:ind w:right="300"/>
        <w:spacing w:after="0" w:line="237" w:lineRule="auto"/>
        <w:rPr>
          <w:sz w:val="20"/>
          <w:szCs w:val="20"/>
          <w:color w:val="auto"/>
        </w:rPr>
      </w:pPr>
      <w:r>
        <w:rPr>
          <w:rFonts w:ascii="Arial" w:cs="Arial" w:eastAsia="Arial" w:hAnsi="Arial"/>
          <w:sz w:val="18"/>
          <w:szCs w:val="18"/>
          <w:color w:val="auto"/>
        </w:rPr>
        <w:t>As of December 31, 2006, we had tax reserves of $178 million and offsets of $76 million to certain of these tax reserves. These offsets were expected to be realized primarily through tax treaty procedures for relief from double taxation under applicable tax treaties with foreign tax jurisdictions or through the reduction of future tax liabilities. The net amount of the reserves and offsets was recorded primarily as a reduction of non-current deferred tax assets.</w:t>
      </w:r>
    </w:p>
    <w:p>
      <w:pPr>
        <w:spacing w:after="0" w:line="155" w:lineRule="exact"/>
        <w:rPr>
          <w:sz w:val="20"/>
          <w:szCs w:val="20"/>
          <w:color w:val="auto"/>
        </w:rPr>
      </w:pPr>
    </w:p>
    <w:p>
      <w:pPr>
        <w:jc w:val="both"/>
        <w:ind w:right="200"/>
        <w:spacing w:after="0" w:line="238" w:lineRule="auto"/>
        <w:rPr>
          <w:sz w:val="20"/>
          <w:szCs w:val="20"/>
          <w:color w:val="auto"/>
        </w:rPr>
      </w:pPr>
      <w:r>
        <w:rPr>
          <w:rFonts w:ascii="Arial" w:cs="Arial" w:eastAsia="Arial" w:hAnsi="Arial"/>
          <w:sz w:val="18"/>
          <w:szCs w:val="18"/>
          <w:color w:val="auto"/>
        </w:rPr>
        <w:t>Effective January 1, 2007, we adopted the provisions of FIN 48. FIN 48 differs from the prior standards in that it requires companies to determine that it is “more likely than not” that a tax position will be sustained by the appropriate taxing authorities before any benefit can be recorded in the financial statements.</w:t>
      </w:r>
    </w:p>
    <w:p>
      <w:pPr>
        <w:spacing w:after="0" w:line="154" w:lineRule="exact"/>
        <w:rPr>
          <w:sz w:val="20"/>
          <w:szCs w:val="20"/>
          <w:color w:val="auto"/>
        </w:rPr>
      </w:pPr>
    </w:p>
    <w:p>
      <w:pPr>
        <w:jc w:val="both"/>
        <w:ind w:right="360"/>
        <w:spacing w:after="0" w:line="238" w:lineRule="auto"/>
        <w:rPr>
          <w:sz w:val="20"/>
          <w:szCs w:val="20"/>
          <w:color w:val="auto"/>
        </w:rPr>
      </w:pPr>
      <w:r>
        <w:rPr>
          <w:rFonts w:ascii="Arial" w:cs="Arial" w:eastAsia="Arial" w:hAnsi="Arial"/>
          <w:sz w:val="18"/>
          <w:szCs w:val="18"/>
          <w:color w:val="auto"/>
        </w:rPr>
        <w:t>As a result of adopting FIN 48, we reduced the tax reserves by $20 million, from $178 million to $158 million as of January 1, 2007. In addition, because FIN 48 requires that liabilities for uncertain tax positions be recorded as a separate liability, we reclassified the $158 million liability for uncertain tax positions from deferred tax assets to deferred credits and other liabilities.</w:t>
      </w:r>
    </w:p>
    <w:p>
      <w:pPr>
        <w:spacing w:after="0" w:line="154"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As a result of the $20 million reduction in the liability for uncertain tax positions, we recorded a $9 million decrease in the amount of accrued interest expense as of January 1, 2007. Our policy continues to be to recognize accrued interest related to uncertain tax positions and penalties as components of other income (expense) net.</w:t>
      </w:r>
    </w:p>
    <w:p>
      <w:pPr>
        <w:spacing w:after="0" w:line="154" w:lineRule="exact"/>
        <w:rPr>
          <w:sz w:val="20"/>
          <w:szCs w:val="20"/>
          <w:color w:val="auto"/>
        </w:rPr>
      </w:pPr>
    </w:p>
    <w:p>
      <w:pPr>
        <w:ind w:right="640"/>
        <w:spacing w:after="0" w:line="239" w:lineRule="auto"/>
        <w:rPr>
          <w:sz w:val="20"/>
          <w:szCs w:val="20"/>
          <w:color w:val="auto"/>
        </w:rPr>
      </w:pPr>
      <w:r>
        <w:rPr>
          <w:rFonts w:ascii="Arial" w:cs="Arial" w:eastAsia="Arial" w:hAnsi="Arial"/>
          <w:sz w:val="18"/>
          <w:szCs w:val="18"/>
          <w:color w:val="auto"/>
        </w:rPr>
        <w:t>The decrease in tax reserves and the decrease in accrued interest expense both resulted in an increase to the January 1, 2007, balance of retained earnings.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0860" w:type="dxa"/>
            <w:vAlign w:val="bottom"/>
          </w:tcPr>
          <w:p>
            <w:pPr>
              <w:spacing w:after="0"/>
              <w:rPr>
                <w:sz w:val="20"/>
                <w:szCs w:val="20"/>
                <w:color w:val="auto"/>
              </w:rPr>
            </w:pPr>
            <w:r>
              <w:rPr>
                <w:rFonts w:ascii="Arial" w:cs="Arial" w:eastAsia="Arial" w:hAnsi="Arial"/>
                <w:sz w:val="18"/>
                <w:szCs w:val="18"/>
                <w:color w:val="auto"/>
              </w:rPr>
              <w:t>The following table summarizes the changes in the total amounts of uncertain tax positions for 2007:</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1"/>
        </w:trPr>
        <w:tc>
          <w:tcPr>
            <w:tcW w:w="10860" w:type="dxa"/>
            <w:vAlign w:val="bottom"/>
          </w:tcPr>
          <w:p>
            <w:pPr>
              <w:spacing w:after="0"/>
              <w:rPr>
                <w:sz w:val="16"/>
                <w:szCs w:val="16"/>
                <w:color w:val="auto"/>
              </w:rPr>
            </w:pPr>
          </w:p>
        </w:tc>
        <w:tc>
          <w:tcPr>
            <w:tcW w:w="500" w:type="dxa"/>
            <w:vAlign w:val="bottom"/>
            <w:gridSpan w:val="2"/>
          </w:tcPr>
          <w:p>
            <w:pPr>
              <w:spacing w:after="0"/>
              <w:rPr>
                <w:sz w:val="16"/>
                <w:szCs w:val="16"/>
                <w:color w:val="auto"/>
              </w:rPr>
            </w:pPr>
          </w:p>
        </w:tc>
        <w:tc>
          <w:tcPr>
            <w:tcW w:w="60" w:type="dxa"/>
            <w:vAlign w:val="bottom"/>
          </w:tcPr>
          <w:p>
            <w:pPr>
              <w:spacing w:after="0"/>
              <w:rPr>
                <w:sz w:val="16"/>
                <w:szCs w:val="16"/>
                <w:color w:val="auto"/>
              </w:rPr>
            </w:pPr>
          </w:p>
        </w:tc>
      </w:tr>
      <w:tr>
        <w:trPr>
          <w:trHeight w:val="203"/>
        </w:trPr>
        <w:tc>
          <w:tcPr>
            <w:tcW w:w="10860" w:type="dxa"/>
            <w:vAlign w:val="bottom"/>
            <w:shd w:val="clear" w:color="auto" w:fill="E5E5E5"/>
          </w:tcPr>
          <w:p>
            <w:pPr>
              <w:spacing w:after="0"/>
              <w:rPr>
                <w:sz w:val="17"/>
                <w:szCs w:val="17"/>
                <w:color w:val="auto"/>
              </w:rPr>
            </w:pPr>
          </w:p>
        </w:tc>
        <w:tc>
          <w:tcPr>
            <w:tcW w:w="50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2007</w:t>
            </w:r>
          </w:p>
        </w:tc>
        <w:tc>
          <w:tcPr>
            <w:tcW w:w="60" w:type="dxa"/>
            <w:vAlign w:val="bottom"/>
            <w:shd w:val="clear" w:color="auto" w:fill="E5E5E5"/>
          </w:tcPr>
          <w:p>
            <w:pPr>
              <w:spacing w:after="0"/>
              <w:rPr>
                <w:sz w:val="17"/>
                <w:szCs w:val="17"/>
                <w:color w:val="auto"/>
              </w:rPr>
            </w:pPr>
          </w:p>
        </w:tc>
      </w:tr>
      <w:tr>
        <w:trPr>
          <w:trHeight w:val="203"/>
        </w:trPr>
        <w:tc>
          <w:tcPr>
            <w:tcW w:w="10860" w:type="dxa"/>
            <w:vAlign w:val="bottom"/>
          </w:tcPr>
          <w:p>
            <w:pPr>
              <w:spacing w:after="0" w:line="202" w:lineRule="exact"/>
              <w:rPr>
                <w:sz w:val="20"/>
                <w:szCs w:val="20"/>
                <w:color w:val="auto"/>
              </w:rPr>
            </w:pPr>
            <w:r>
              <w:rPr>
                <w:rFonts w:ascii="Arial" w:cs="Arial" w:eastAsia="Arial" w:hAnsi="Arial"/>
                <w:sz w:val="18"/>
                <w:szCs w:val="18"/>
                <w:color w:val="auto"/>
              </w:rPr>
              <w:t>Balance, January 1 upon adoption of FIN 48</w:t>
            </w:r>
          </w:p>
        </w:tc>
        <w:tc>
          <w:tcPr>
            <w:tcW w:w="1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42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158</w:t>
            </w:r>
          </w:p>
        </w:tc>
      </w:tr>
      <w:tr>
        <w:trPr>
          <w:trHeight w:val="203"/>
        </w:trPr>
        <w:tc>
          <w:tcPr>
            <w:tcW w:w="108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Additions based on tax positions related to the current year</w:t>
            </w:r>
          </w:p>
        </w:tc>
        <w:tc>
          <w:tcPr>
            <w:tcW w:w="140" w:type="dxa"/>
            <w:vAlign w:val="bottom"/>
            <w:shd w:val="clear" w:color="auto" w:fill="E5E5E5"/>
          </w:tcPr>
          <w:p>
            <w:pPr>
              <w:spacing w:after="0"/>
              <w:rPr>
                <w:sz w:val="17"/>
                <w:szCs w:val="17"/>
                <w:color w:val="auto"/>
              </w:rPr>
            </w:pPr>
          </w:p>
        </w:tc>
        <w:tc>
          <w:tcPr>
            <w:tcW w:w="3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21</w:t>
            </w:r>
          </w:p>
        </w:tc>
        <w:tc>
          <w:tcPr>
            <w:tcW w:w="60" w:type="dxa"/>
            <w:vAlign w:val="bottom"/>
            <w:shd w:val="clear" w:color="auto" w:fill="E5E5E5"/>
          </w:tcPr>
          <w:p>
            <w:pPr>
              <w:spacing w:after="0"/>
              <w:rPr>
                <w:sz w:val="17"/>
                <w:szCs w:val="17"/>
                <w:color w:val="auto"/>
              </w:rPr>
            </w:pPr>
          </w:p>
        </w:tc>
      </w:tr>
      <w:tr>
        <w:trPr>
          <w:trHeight w:val="203"/>
        </w:trPr>
        <w:tc>
          <w:tcPr>
            <w:tcW w:w="10860" w:type="dxa"/>
            <w:vAlign w:val="bottom"/>
          </w:tcPr>
          <w:p>
            <w:pPr>
              <w:spacing w:after="0" w:line="202" w:lineRule="exact"/>
              <w:rPr>
                <w:sz w:val="20"/>
                <w:szCs w:val="20"/>
                <w:color w:val="auto"/>
              </w:rPr>
            </w:pPr>
            <w:r>
              <w:rPr>
                <w:rFonts w:ascii="Arial" w:cs="Arial" w:eastAsia="Arial" w:hAnsi="Arial"/>
                <w:sz w:val="18"/>
                <w:szCs w:val="18"/>
                <w:color w:val="auto"/>
              </w:rPr>
              <w:t>Additions for tax positions of prior years</w:t>
            </w:r>
          </w:p>
        </w:tc>
        <w:tc>
          <w:tcPr>
            <w:tcW w:w="140" w:type="dxa"/>
            <w:vAlign w:val="bottom"/>
          </w:tcPr>
          <w:p>
            <w:pPr>
              <w:spacing w:after="0"/>
              <w:rPr>
                <w:sz w:val="17"/>
                <w:szCs w:val="17"/>
                <w:color w:val="auto"/>
              </w:rPr>
            </w:pPr>
          </w:p>
        </w:tc>
        <w:tc>
          <w:tcPr>
            <w:tcW w:w="3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39</w:t>
            </w:r>
          </w:p>
        </w:tc>
        <w:tc>
          <w:tcPr>
            <w:tcW w:w="60" w:type="dxa"/>
            <w:vAlign w:val="bottom"/>
          </w:tcPr>
          <w:p>
            <w:pPr>
              <w:spacing w:after="0"/>
              <w:rPr>
                <w:sz w:val="17"/>
                <w:szCs w:val="17"/>
                <w:color w:val="auto"/>
              </w:rPr>
            </w:pPr>
          </w:p>
        </w:tc>
      </w:tr>
      <w:tr>
        <w:trPr>
          <w:trHeight w:val="203"/>
        </w:trPr>
        <w:tc>
          <w:tcPr>
            <w:tcW w:w="108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Reductions for tax positions of prior years</w:t>
            </w:r>
          </w:p>
        </w:tc>
        <w:tc>
          <w:tcPr>
            <w:tcW w:w="140" w:type="dxa"/>
            <w:vAlign w:val="bottom"/>
            <w:shd w:val="clear" w:color="auto" w:fill="E5E5E5"/>
          </w:tcPr>
          <w:p>
            <w:pPr>
              <w:spacing w:after="0"/>
              <w:rPr>
                <w:sz w:val="17"/>
                <w:szCs w:val="17"/>
                <w:color w:val="auto"/>
              </w:rPr>
            </w:pPr>
          </w:p>
        </w:tc>
        <w:tc>
          <w:tcPr>
            <w:tcW w:w="42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(44)</w:t>
            </w:r>
          </w:p>
        </w:tc>
      </w:tr>
      <w:tr>
        <w:trPr>
          <w:trHeight w:val="210"/>
        </w:trPr>
        <w:tc>
          <w:tcPr>
            <w:tcW w:w="10860" w:type="dxa"/>
            <w:vAlign w:val="bottom"/>
          </w:tcPr>
          <w:p>
            <w:pPr>
              <w:spacing w:after="0" w:line="202" w:lineRule="exact"/>
              <w:rPr>
                <w:sz w:val="20"/>
                <w:szCs w:val="20"/>
                <w:color w:val="auto"/>
              </w:rPr>
            </w:pPr>
            <w:r>
              <w:rPr>
                <w:rFonts w:ascii="Arial" w:cs="Arial" w:eastAsia="Arial" w:hAnsi="Arial"/>
                <w:sz w:val="18"/>
                <w:szCs w:val="18"/>
                <w:color w:val="auto"/>
              </w:rPr>
              <w:t>Settlements with taxing authorities</w:t>
            </w:r>
          </w:p>
        </w:tc>
        <w:tc>
          <w:tcPr>
            <w:tcW w:w="140" w:type="dxa"/>
            <w:vAlign w:val="bottom"/>
          </w:tcPr>
          <w:p>
            <w:pPr>
              <w:spacing w:after="0"/>
              <w:rPr>
                <w:sz w:val="18"/>
                <w:szCs w:val="18"/>
                <w:color w:val="auto"/>
              </w:rPr>
            </w:pPr>
          </w:p>
        </w:tc>
        <w:tc>
          <w:tcPr>
            <w:tcW w:w="42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(37)</w:t>
            </w:r>
          </w:p>
        </w:tc>
      </w:tr>
      <w:tr>
        <w:trPr>
          <w:trHeight w:val="203"/>
        </w:trPr>
        <w:tc>
          <w:tcPr>
            <w:tcW w:w="108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Balance, December 31</w:t>
            </w:r>
          </w:p>
        </w:tc>
        <w:tc>
          <w:tcPr>
            <w:tcW w:w="140" w:type="dxa"/>
            <w:vAlign w:val="bottom"/>
            <w:tcBorders>
              <w:top w:val="single" w:sz="8" w:color="auto"/>
              <w:bottom w:val="single" w:sz="8" w:color="auto"/>
            </w:tcBorders>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360" w:type="dxa"/>
            <w:vAlign w:val="bottom"/>
            <w:tcBorders>
              <w:top w:val="single" w:sz="8" w:color="auto"/>
              <w:bottom w:val="single" w:sz="8" w:color="auto"/>
            </w:tcBorders>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137</w:t>
            </w:r>
          </w:p>
        </w:tc>
        <w:tc>
          <w:tcPr>
            <w:tcW w:w="60" w:type="dxa"/>
            <w:vAlign w:val="bottom"/>
            <w:shd w:val="clear" w:color="auto" w:fill="E5E5E5"/>
          </w:tcPr>
          <w:p>
            <w:pPr>
              <w:spacing w:after="0"/>
              <w:rPr>
                <w:sz w:val="17"/>
                <w:szCs w:val="17"/>
                <w:color w:val="auto"/>
              </w:rPr>
            </w:pPr>
          </w:p>
        </w:tc>
      </w:tr>
      <w:tr>
        <w:trPr>
          <w:trHeight w:val="20"/>
        </w:trPr>
        <w:tc>
          <w:tcPr>
            <w:tcW w:w="10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5"/>
        </w:trPr>
        <w:tc>
          <w:tcPr>
            <w:tcW w:w="10860" w:type="dxa"/>
            <w:vAlign w:val="bottom"/>
          </w:tcPr>
          <w:p>
            <w:pPr>
              <w:spacing w:after="0"/>
              <w:rPr>
                <w:sz w:val="20"/>
                <w:szCs w:val="20"/>
                <w:color w:val="auto"/>
              </w:rPr>
            </w:pPr>
            <w:r>
              <w:rPr>
                <w:rFonts w:ascii="Arial" w:cs="Arial" w:eastAsia="Arial" w:hAnsi="Arial"/>
                <w:sz w:val="18"/>
                <w:szCs w:val="18"/>
                <w:color w:val="auto"/>
              </w:rPr>
              <w:t>Interest income recognized in the year ended December 31</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22</w:t>
            </w:r>
          </w:p>
        </w:tc>
      </w:tr>
      <w:tr>
        <w:trPr>
          <w:trHeight w:val="20"/>
        </w:trPr>
        <w:tc>
          <w:tcPr>
            <w:tcW w:w="10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10860" w:type="dxa"/>
            <w:vAlign w:val="bottom"/>
            <w:shd w:val="clear" w:color="auto" w:fill="E5E5E5"/>
          </w:tcPr>
          <w:p>
            <w:pPr>
              <w:spacing w:after="0" w:line="196" w:lineRule="exact"/>
              <w:rPr>
                <w:sz w:val="20"/>
                <w:szCs w:val="20"/>
                <w:color w:val="auto"/>
              </w:rPr>
            </w:pPr>
            <w:r>
              <w:rPr>
                <w:rFonts w:ascii="Arial" w:cs="Arial" w:eastAsia="Arial" w:hAnsi="Arial"/>
                <w:sz w:val="18"/>
                <w:szCs w:val="18"/>
                <w:color w:val="auto"/>
              </w:rPr>
              <w:t>Accrued interest as of December 31</w:t>
            </w:r>
          </w:p>
        </w:tc>
        <w:tc>
          <w:tcPr>
            <w:tcW w:w="140" w:type="dxa"/>
            <w:vAlign w:val="bottom"/>
            <w:tcBorders>
              <w:bottom w:val="single" w:sz="8" w:color="auto"/>
            </w:tcBorders>
            <w:shd w:val="clear" w:color="auto" w:fill="E5E5E5"/>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360" w:type="dxa"/>
            <w:vAlign w:val="bottom"/>
            <w:tcBorders>
              <w:bottom w:val="single" w:sz="8" w:color="auto"/>
            </w:tcBorders>
            <w:shd w:val="clear" w:color="auto" w:fill="E5E5E5"/>
          </w:tcPr>
          <w:p>
            <w:pPr>
              <w:jc w:val="right"/>
              <w:spacing w:after="0" w:line="196" w:lineRule="exact"/>
              <w:rPr>
                <w:sz w:val="20"/>
                <w:szCs w:val="20"/>
                <w:color w:val="auto"/>
              </w:rPr>
            </w:pPr>
            <w:r>
              <w:rPr>
                <w:rFonts w:ascii="Arial" w:cs="Arial" w:eastAsia="Arial" w:hAnsi="Arial"/>
                <w:sz w:val="18"/>
                <w:szCs w:val="18"/>
                <w:b w:val="1"/>
                <w:bCs w:val="1"/>
                <w:color w:val="auto"/>
              </w:rPr>
              <w:t>1</w:t>
            </w:r>
          </w:p>
        </w:tc>
        <w:tc>
          <w:tcPr>
            <w:tcW w:w="60" w:type="dxa"/>
            <w:vAlign w:val="bottom"/>
            <w:shd w:val="clear" w:color="auto" w:fill="E5E5E5"/>
          </w:tcPr>
          <w:p>
            <w:pPr>
              <w:spacing w:after="0"/>
              <w:rPr>
                <w:sz w:val="17"/>
                <w:szCs w:val="17"/>
                <w:color w:val="auto"/>
              </w:rPr>
            </w:pPr>
          </w:p>
        </w:tc>
      </w:tr>
      <w:tr>
        <w:trPr>
          <w:trHeight w:val="20"/>
        </w:trPr>
        <w:tc>
          <w:tcPr>
            <w:tcW w:w="10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7"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Of the $137 million liability for uncertain tax positions as of December 31, 2007, $109 million represents tax positions that, if recognized, would impact the effective tax rate. If these tax positions were recognized, $67 million of deferred tax assets primarily related to the procedures for relief from double taxation (as described above) would also be recognized.</w:t>
      </w:r>
    </w:p>
    <w:p>
      <w:pPr>
        <w:spacing w:after="0" w:line="15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As of December 31, 2007, the statute of limitations remains open for U.S. federal tax returns for 1999 and following years. Our returns for the years 2000 through 2002 are the subject of tax treaty procedures for relief from double taxation, our returns for the years 2003 through 2004 are the subject of an appeals proceeding and our return years 2005 through 2006 are currently under audit. It is reasonably possible that both the appeals proceeding and the audit will be completed within the next twelve months.</w:t>
      </w:r>
    </w:p>
    <w:p>
      <w:pPr>
        <w:spacing w:after="0" w:line="155" w:lineRule="exact"/>
        <w:rPr>
          <w:sz w:val="20"/>
          <w:szCs w:val="20"/>
          <w:color w:val="auto"/>
        </w:rPr>
      </w:pPr>
    </w:p>
    <w:p>
      <w:pPr>
        <w:ind w:right="260"/>
        <w:spacing w:after="0" w:line="299" w:lineRule="auto"/>
        <w:rPr>
          <w:sz w:val="20"/>
          <w:szCs w:val="20"/>
          <w:color w:val="auto"/>
        </w:rPr>
      </w:pPr>
      <w:r>
        <w:rPr>
          <w:rFonts w:ascii="Arial" w:cs="Arial" w:eastAsia="Arial" w:hAnsi="Arial"/>
          <w:sz w:val="16"/>
          <w:szCs w:val="16"/>
          <w:color w:val="auto"/>
        </w:rPr>
        <w:t>In foreign jurisdictions, the years open to audit represent the years still subject to the statute of limitations. Years still open to audit by foreign tax authorities in major jurisdictions include Germany (2003 onward), France (2005 onward), Japan (2000 onward) and Taiwan (2002 onward).</w:t>
      </w:r>
    </w:p>
    <w:p>
      <w:pPr>
        <w:spacing w:after="0" w:line="91" w:lineRule="exact"/>
        <w:rPr>
          <w:sz w:val="20"/>
          <w:szCs w:val="20"/>
          <w:color w:val="auto"/>
        </w:rPr>
      </w:pPr>
    </w:p>
    <w:p>
      <w:pPr>
        <w:spacing w:after="0"/>
        <w:tabs>
          <w:tab w:leader="none" w:pos="8420" w:val="left"/>
        </w:tabs>
        <w:rPr>
          <w:sz w:val="20"/>
          <w:szCs w:val="20"/>
          <w:color w:val="auto"/>
        </w:rPr>
      </w:pPr>
      <w:r>
        <w:rPr>
          <w:rFonts w:ascii="Arial" w:cs="Arial" w:eastAsia="Arial" w:hAnsi="Arial"/>
          <w:sz w:val="12"/>
          <w:szCs w:val="12"/>
          <w:color w:val="auto"/>
        </w:rPr>
        <w:t>36</w:t>
      </w:r>
      <w:r>
        <w:rPr>
          <w:sz w:val="20"/>
          <w:szCs w:val="20"/>
          <w:color w:val="auto"/>
        </w:rPr>
        <w:tab/>
      </w:r>
      <w:r>
        <w:rPr>
          <w:rFonts w:ascii="Arial" w:cs="Arial" w:eastAsia="Arial" w:hAnsi="Arial"/>
          <w:sz w:val="12"/>
          <w:szCs w:val="12"/>
          <w:color w:val="auto"/>
        </w:rPr>
        <w:t>TEXAS INSTRUMENTS 2007 ANNUAL REPORT</w:t>
      </w:r>
    </w:p>
    <w:p>
      <w:pPr>
        <w:sectPr>
          <w:pgSz w:w="11900" w:h="16838" w:orient="portrait"/>
          <w:cols w:equalWidth="0" w:num="1">
            <w:col w:w="11420"/>
          </w:cols>
          <w:pgMar w:left="240" w:top="291" w:right="239" w:bottom="1440" w:gutter="0" w:footer="0" w:header="0"/>
        </w:sectPr>
      </w:pPr>
    </w:p>
    <w:bookmarkStart w:id="56" w:name="page57"/>
    <w:bookmarkEnd w:id="56"/>
    <w:p>
      <w:pPr>
        <w:ind w:right="80"/>
        <w:spacing w:after="0" w:line="23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Although we are unable to estimate the range of any reasonably possible increase or decrease in uncertain tax positions that may occur within the next twelve months from the eventual outcome of the years currently under audit or appeal, we do not anticipate such outcome will result in a material change to our financial position or results of operations.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180"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u w:val="single" w:color="auto"/>
          <w:color w:val="auto"/>
        </w:rPr>
        <w:t>Venture Capital Commitments</w:t>
      </w:r>
      <w:r>
        <w:rPr>
          <w:rFonts w:ascii="Arial" w:cs="Arial" w:eastAsia="Arial" w:hAnsi="Arial"/>
          <w:sz w:val="18"/>
          <w:szCs w:val="18"/>
          <w:color w:val="auto"/>
        </w:rPr>
        <w:t>: We have committed to provide additional capital to certain venture capital funds in which we have invested. As those venture capital funds enter into investments, their general partners may call for that committed additional capital. As of December 31, 2007, we have committed to provide up to $24 million if committed additional capital is called.</w:t>
      </w:r>
    </w:p>
    <w:p>
      <w:pPr>
        <w:spacing w:after="0" w:line="154" w:lineRule="exact"/>
        <w:rPr>
          <w:sz w:val="20"/>
          <w:szCs w:val="20"/>
          <w:color w:val="auto"/>
        </w:rPr>
      </w:pPr>
    </w:p>
    <w:p>
      <w:pPr>
        <w:ind w:right="420"/>
        <w:spacing w:after="0" w:line="237" w:lineRule="auto"/>
        <w:rPr>
          <w:sz w:val="20"/>
          <w:szCs w:val="20"/>
          <w:color w:val="auto"/>
        </w:rPr>
      </w:pPr>
      <w:r>
        <w:rPr>
          <w:rFonts w:ascii="Arial" w:cs="Arial" w:eastAsia="Arial" w:hAnsi="Arial"/>
          <w:sz w:val="18"/>
          <w:szCs w:val="18"/>
          <w:u w:val="single" w:color="auto"/>
          <w:color w:val="auto"/>
        </w:rPr>
        <w:t>Operating Leases</w:t>
      </w:r>
      <w:r>
        <w:rPr>
          <w:rFonts w:ascii="Arial" w:cs="Arial" w:eastAsia="Arial" w:hAnsi="Arial"/>
          <w:sz w:val="18"/>
          <w:szCs w:val="18"/>
          <w:color w:val="auto"/>
        </w:rPr>
        <w:t>: We conduct certain operations in leased facilities and also lease a portion of our data processing and other equipment. In addition, certain long-term supply agreements to purchase industrial gases are also accounted for as operating leases. Lease agreements frequently include purchase and renewal provisions and require us to pay taxes, insurance and maintenance costs. Rental and lease expense incurred was $123 million in 2007, $125 million in 2006 and $126 million in 2005.</w:t>
      </w:r>
    </w:p>
    <w:p>
      <w:pPr>
        <w:spacing w:after="0" w:line="155" w:lineRule="exact"/>
        <w:rPr>
          <w:sz w:val="20"/>
          <w:szCs w:val="20"/>
          <w:color w:val="auto"/>
        </w:rPr>
      </w:pPr>
    </w:p>
    <w:p>
      <w:pPr>
        <w:ind w:right="360"/>
        <w:spacing w:after="0" w:line="238" w:lineRule="auto"/>
        <w:rPr>
          <w:sz w:val="20"/>
          <w:szCs w:val="20"/>
          <w:color w:val="auto"/>
        </w:rPr>
      </w:pPr>
      <w:r>
        <w:rPr>
          <w:rFonts w:ascii="Arial" w:cs="Arial" w:eastAsia="Arial" w:hAnsi="Arial"/>
          <w:sz w:val="18"/>
          <w:szCs w:val="18"/>
          <w:u w:val="single" w:color="auto"/>
          <w:color w:val="auto"/>
        </w:rPr>
        <w:t>Capitalized Software Licenses</w:t>
      </w:r>
      <w:r>
        <w:rPr>
          <w:rFonts w:ascii="Arial" w:cs="Arial" w:eastAsia="Arial" w:hAnsi="Arial"/>
          <w:sz w:val="18"/>
          <w:szCs w:val="18"/>
          <w:color w:val="auto"/>
        </w:rPr>
        <w:t xml:space="preserve">: We have licenses for certain electronic design automation software that are accounted for in accordance with Statement of Position 98-1, </w:t>
      </w:r>
      <w:r>
        <w:rPr>
          <w:rFonts w:ascii="Arial" w:cs="Arial" w:eastAsia="Arial" w:hAnsi="Arial"/>
          <w:sz w:val="18"/>
          <w:szCs w:val="18"/>
          <w:i w:val="1"/>
          <w:iCs w:val="1"/>
          <w:color w:val="auto"/>
        </w:rPr>
        <w:t>“Accounting for the Costs of Computer Software Developed or Obtained for Internal Use.”</w:t>
      </w:r>
      <w:r>
        <w:rPr>
          <w:rFonts w:ascii="Arial" w:cs="Arial" w:eastAsia="Arial" w:hAnsi="Arial"/>
          <w:sz w:val="18"/>
          <w:szCs w:val="18"/>
          <w:color w:val="auto"/>
        </w:rPr>
        <w:t xml:space="preserve"> The related liabilities are apportioned between current liabilities (accounts payable) and long-term liabilities (other liabilities) on our balance sheets.</w:t>
      </w:r>
    </w:p>
    <w:p>
      <w:pPr>
        <w:spacing w:after="0" w:line="154" w:lineRule="exact"/>
        <w:rPr>
          <w:sz w:val="20"/>
          <w:szCs w:val="20"/>
          <w:color w:val="auto"/>
        </w:rPr>
      </w:pPr>
    </w:p>
    <w:p>
      <w:pPr>
        <w:ind w:right="620"/>
        <w:spacing w:after="0" w:line="239" w:lineRule="auto"/>
        <w:rPr>
          <w:sz w:val="20"/>
          <w:szCs w:val="20"/>
          <w:color w:val="auto"/>
        </w:rPr>
      </w:pPr>
      <w:r>
        <w:rPr>
          <w:rFonts w:ascii="Arial" w:cs="Arial" w:eastAsia="Arial" w:hAnsi="Arial"/>
          <w:sz w:val="18"/>
          <w:szCs w:val="18"/>
          <w:u w:val="single" w:color="auto"/>
          <w:color w:val="auto"/>
        </w:rPr>
        <w:t>Purchase Commitments</w:t>
      </w:r>
      <w:r>
        <w:rPr>
          <w:rFonts w:ascii="Arial" w:cs="Arial" w:eastAsia="Arial" w:hAnsi="Arial"/>
          <w:sz w:val="18"/>
          <w:szCs w:val="18"/>
          <w:color w:val="auto"/>
        </w:rPr>
        <w:t>: We have certain purchase commitments that are for normal usage, some of which contain provisions for minimum payments.</w:t>
      </w:r>
    </w:p>
    <w:p>
      <w:pPr>
        <w:spacing w:after="0" w:line="155" w:lineRule="exact"/>
        <w:rPr>
          <w:sz w:val="20"/>
          <w:szCs w:val="20"/>
          <w:color w:val="auto"/>
        </w:rPr>
      </w:pPr>
    </w:p>
    <w:p>
      <w:pPr>
        <w:ind w:right="460"/>
        <w:spacing w:after="0" w:line="239" w:lineRule="auto"/>
        <w:rPr>
          <w:sz w:val="20"/>
          <w:szCs w:val="20"/>
          <w:color w:val="auto"/>
        </w:rPr>
      </w:pPr>
      <w:r>
        <w:rPr>
          <w:rFonts w:ascii="Arial" w:cs="Arial" w:eastAsia="Arial" w:hAnsi="Arial"/>
          <w:sz w:val="18"/>
          <w:szCs w:val="18"/>
          <w:u w:val="single" w:color="auto"/>
          <w:color w:val="auto"/>
        </w:rPr>
        <w:t>Summary</w:t>
      </w:r>
      <w:r>
        <w:rPr>
          <w:rFonts w:ascii="Arial" w:cs="Arial" w:eastAsia="Arial" w:hAnsi="Arial"/>
          <w:sz w:val="18"/>
          <w:szCs w:val="18"/>
          <w:color w:val="auto"/>
        </w:rPr>
        <w:t>: At December 31, 2007, we were committed to make the following minimum payments under operating leases, capitalized software licenses and purchase commitments: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shd w:val="clear" w:color="auto" w:fill="E5E5E5"/>
          </w:tcPr>
          <w:p>
            <w:pPr>
              <w:spacing w:after="0"/>
              <w:rPr>
                <w:sz w:val="14"/>
                <w:szCs w:val="14"/>
                <w:color w:val="auto"/>
              </w:rPr>
            </w:pPr>
          </w:p>
        </w:tc>
        <w:tc>
          <w:tcPr>
            <w:tcW w:w="4660" w:type="dxa"/>
            <w:vAlign w:val="bottom"/>
            <w:shd w:val="clear" w:color="auto" w:fill="E5E5E5"/>
          </w:tcPr>
          <w:p>
            <w:pPr>
              <w:spacing w:after="0"/>
              <w:rPr>
                <w:sz w:val="14"/>
                <w:szCs w:val="14"/>
                <w:color w:val="auto"/>
              </w:rPr>
            </w:pPr>
          </w:p>
        </w:tc>
        <w:tc>
          <w:tcPr>
            <w:tcW w:w="1040" w:type="dxa"/>
            <w:vAlign w:val="bottom"/>
            <w:shd w:val="clear" w:color="auto" w:fill="E5E5E5"/>
          </w:tcPr>
          <w:p>
            <w:pPr>
              <w:jc w:val="right"/>
              <w:ind w:right="99"/>
              <w:spacing w:after="0"/>
              <w:rPr>
                <w:sz w:val="20"/>
                <w:szCs w:val="20"/>
                <w:color w:val="auto"/>
              </w:rPr>
            </w:pPr>
            <w:r>
              <w:rPr>
                <w:rFonts w:ascii="Arial" w:cs="Arial" w:eastAsia="Arial" w:hAnsi="Arial"/>
                <w:sz w:val="14"/>
                <w:szCs w:val="14"/>
                <w:b w:val="1"/>
                <w:bCs w:val="1"/>
                <w:color w:val="auto"/>
              </w:rPr>
              <w:t>Capitalized</w:t>
            </w:r>
          </w:p>
        </w:tc>
        <w:tc>
          <w:tcPr>
            <w:tcW w:w="1060" w:type="dxa"/>
            <w:vAlign w:val="bottom"/>
            <w:shd w:val="clear" w:color="auto" w:fill="E5E5E5"/>
          </w:tcPr>
          <w:p>
            <w:pPr>
              <w:spacing w:after="0"/>
              <w:rPr>
                <w:sz w:val="14"/>
                <w:szCs w:val="14"/>
                <w:color w:val="auto"/>
              </w:rPr>
            </w:pPr>
          </w:p>
        </w:tc>
      </w:tr>
      <w:tr>
        <w:trPr>
          <w:trHeight w:val="149"/>
        </w:trPr>
        <w:tc>
          <w:tcPr>
            <w:tcW w:w="4660" w:type="dxa"/>
            <w:vAlign w:val="bottom"/>
            <w:shd w:val="clear" w:color="auto" w:fill="E5E5E5"/>
          </w:tcPr>
          <w:p>
            <w:pPr>
              <w:spacing w:after="0"/>
              <w:rPr>
                <w:sz w:val="12"/>
                <w:szCs w:val="12"/>
                <w:color w:val="auto"/>
              </w:rPr>
            </w:pPr>
          </w:p>
        </w:tc>
        <w:tc>
          <w:tcPr>
            <w:tcW w:w="4660" w:type="dxa"/>
            <w:vAlign w:val="bottom"/>
            <w:shd w:val="clear" w:color="auto" w:fill="E5E5E5"/>
          </w:tcPr>
          <w:p>
            <w:pPr>
              <w:jc w:val="right"/>
              <w:ind w:right="97"/>
              <w:spacing w:after="0" w:line="149" w:lineRule="exact"/>
              <w:rPr>
                <w:sz w:val="20"/>
                <w:szCs w:val="20"/>
                <w:color w:val="auto"/>
              </w:rPr>
            </w:pPr>
            <w:r>
              <w:rPr>
                <w:rFonts w:ascii="Arial" w:cs="Arial" w:eastAsia="Arial" w:hAnsi="Arial"/>
                <w:sz w:val="14"/>
                <w:szCs w:val="14"/>
                <w:b w:val="1"/>
                <w:bCs w:val="1"/>
                <w:color w:val="auto"/>
              </w:rPr>
              <w:t>Operating</w:t>
            </w:r>
          </w:p>
        </w:tc>
        <w:tc>
          <w:tcPr>
            <w:tcW w:w="1040" w:type="dxa"/>
            <w:vAlign w:val="bottom"/>
            <w:shd w:val="clear" w:color="auto" w:fill="E5E5E5"/>
          </w:tcPr>
          <w:p>
            <w:pPr>
              <w:jc w:val="right"/>
              <w:ind w:right="159"/>
              <w:spacing w:after="0" w:line="149" w:lineRule="exact"/>
              <w:rPr>
                <w:sz w:val="20"/>
                <w:szCs w:val="20"/>
                <w:color w:val="auto"/>
              </w:rPr>
            </w:pPr>
            <w:r>
              <w:rPr>
                <w:rFonts w:ascii="Arial" w:cs="Arial" w:eastAsia="Arial" w:hAnsi="Arial"/>
                <w:sz w:val="14"/>
                <w:szCs w:val="14"/>
                <w:b w:val="1"/>
                <w:bCs w:val="1"/>
                <w:color w:val="auto"/>
              </w:rPr>
              <w:t>Software</w:t>
            </w:r>
          </w:p>
        </w:tc>
        <w:tc>
          <w:tcPr>
            <w:tcW w:w="1060" w:type="dxa"/>
            <w:vAlign w:val="bottom"/>
            <w:shd w:val="clear" w:color="auto" w:fill="E5E5E5"/>
          </w:tcPr>
          <w:p>
            <w:pPr>
              <w:jc w:val="right"/>
              <w:ind w:right="57"/>
              <w:spacing w:after="0" w:line="149" w:lineRule="exact"/>
              <w:rPr>
                <w:sz w:val="20"/>
                <w:szCs w:val="20"/>
                <w:color w:val="auto"/>
              </w:rPr>
            </w:pPr>
            <w:r>
              <w:rPr>
                <w:rFonts w:ascii="Arial" w:cs="Arial" w:eastAsia="Arial" w:hAnsi="Arial"/>
                <w:sz w:val="14"/>
                <w:szCs w:val="14"/>
                <w:b w:val="1"/>
                <w:bCs w:val="1"/>
                <w:color w:val="auto"/>
              </w:rPr>
              <w:t>Purchase</w:t>
            </w:r>
          </w:p>
        </w:tc>
      </w:tr>
      <w:tr>
        <w:trPr>
          <w:trHeight w:val="165"/>
        </w:trPr>
        <w:tc>
          <w:tcPr>
            <w:tcW w:w="4660" w:type="dxa"/>
            <w:vAlign w:val="bottom"/>
            <w:shd w:val="clear" w:color="auto" w:fill="E5E5E5"/>
          </w:tcPr>
          <w:p>
            <w:pPr>
              <w:spacing w:after="0"/>
              <w:rPr>
                <w:sz w:val="14"/>
                <w:szCs w:val="14"/>
                <w:color w:val="auto"/>
              </w:rPr>
            </w:pPr>
          </w:p>
        </w:tc>
        <w:tc>
          <w:tcPr>
            <w:tcW w:w="4660" w:type="dxa"/>
            <w:vAlign w:val="bottom"/>
            <w:shd w:val="clear" w:color="auto" w:fill="E5E5E5"/>
          </w:tcPr>
          <w:p>
            <w:pPr>
              <w:jc w:val="right"/>
              <w:ind w:right="177"/>
              <w:spacing w:after="0"/>
              <w:rPr>
                <w:sz w:val="20"/>
                <w:szCs w:val="20"/>
                <w:color w:val="auto"/>
              </w:rPr>
            </w:pPr>
            <w:r>
              <w:rPr>
                <w:rFonts w:ascii="Arial" w:cs="Arial" w:eastAsia="Arial" w:hAnsi="Arial"/>
                <w:sz w:val="14"/>
                <w:szCs w:val="14"/>
                <w:b w:val="1"/>
                <w:bCs w:val="1"/>
                <w:color w:val="auto"/>
              </w:rPr>
              <w:t>Leases</w:t>
            </w:r>
          </w:p>
        </w:tc>
        <w:tc>
          <w:tcPr>
            <w:tcW w:w="1040" w:type="dxa"/>
            <w:vAlign w:val="bottom"/>
            <w:shd w:val="clear" w:color="auto" w:fill="E5E5E5"/>
          </w:tcPr>
          <w:p>
            <w:pPr>
              <w:jc w:val="right"/>
              <w:ind w:right="159"/>
              <w:spacing w:after="0"/>
              <w:rPr>
                <w:sz w:val="20"/>
                <w:szCs w:val="20"/>
                <w:color w:val="auto"/>
              </w:rPr>
            </w:pPr>
            <w:r>
              <w:rPr>
                <w:rFonts w:ascii="Arial" w:cs="Arial" w:eastAsia="Arial" w:hAnsi="Arial"/>
                <w:sz w:val="14"/>
                <w:szCs w:val="14"/>
                <w:b w:val="1"/>
                <w:bCs w:val="1"/>
                <w:color w:val="auto"/>
              </w:rPr>
              <w:t>Licenses</w:t>
            </w:r>
          </w:p>
        </w:tc>
        <w:tc>
          <w:tcPr>
            <w:tcW w:w="1060" w:type="dxa"/>
            <w:vAlign w:val="bottom"/>
            <w:shd w:val="clear" w:color="auto" w:fill="E5E5E5"/>
          </w:tcPr>
          <w:p>
            <w:pPr>
              <w:jc w:val="right"/>
              <w:spacing w:after="0"/>
              <w:rPr>
                <w:sz w:val="20"/>
                <w:szCs w:val="20"/>
                <w:color w:val="auto"/>
              </w:rPr>
            </w:pPr>
            <w:r>
              <w:rPr>
                <w:rFonts w:ascii="Arial" w:cs="Arial" w:eastAsia="Arial" w:hAnsi="Arial"/>
                <w:sz w:val="14"/>
                <w:szCs w:val="14"/>
                <w:b w:val="1"/>
                <w:bCs w:val="1"/>
                <w:color w:val="auto"/>
              </w:rPr>
              <w:t>Commitments</w:t>
            </w:r>
          </w:p>
        </w:tc>
      </w:tr>
      <w:tr>
        <w:trPr>
          <w:trHeight w:val="311"/>
        </w:trPr>
        <w:tc>
          <w:tcPr>
            <w:tcW w:w="4660" w:type="dxa"/>
            <w:vAlign w:val="bottom"/>
          </w:tcPr>
          <w:p>
            <w:pPr>
              <w:spacing w:after="0"/>
              <w:rPr>
                <w:sz w:val="20"/>
                <w:szCs w:val="20"/>
                <w:color w:val="auto"/>
              </w:rPr>
            </w:pPr>
            <w:r>
              <w:rPr>
                <w:rFonts w:ascii="Arial" w:cs="Arial" w:eastAsia="Arial" w:hAnsi="Arial"/>
                <w:sz w:val="18"/>
                <w:szCs w:val="18"/>
                <w:color w:val="auto"/>
              </w:rPr>
              <w:t>2008</w:t>
            </w:r>
          </w:p>
        </w:tc>
        <w:tc>
          <w:tcPr>
            <w:tcW w:w="4660" w:type="dxa"/>
            <w:vAlign w:val="bottom"/>
          </w:tcPr>
          <w:p>
            <w:pPr>
              <w:jc w:val="right"/>
              <w:ind w:right="177"/>
              <w:spacing w:after="0"/>
              <w:rPr>
                <w:sz w:val="20"/>
                <w:szCs w:val="20"/>
                <w:color w:val="auto"/>
              </w:rPr>
            </w:pPr>
            <w:r>
              <w:rPr>
                <w:rFonts w:ascii="Arial" w:cs="Arial" w:eastAsia="Arial" w:hAnsi="Arial"/>
                <w:sz w:val="18"/>
                <w:szCs w:val="18"/>
                <w:color w:val="auto"/>
              </w:rPr>
              <w:t>$ 93</w:t>
            </w:r>
          </w:p>
        </w:tc>
        <w:tc>
          <w:tcPr>
            <w:tcW w:w="1040" w:type="dxa"/>
            <w:vAlign w:val="bottom"/>
          </w:tcPr>
          <w:p>
            <w:pPr>
              <w:jc w:val="right"/>
              <w:ind w:right="179"/>
              <w:spacing w:after="0"/>
              <w:rPr>
                <w:sz w:val="20"/>
                <w:szCs w:val="20"/>
                <w:color w:val="auto"/>
              </w:rPr>
            </w:pPr>
            <w:r>
              <w:rPr>
                <w:rFonts w:ascii="Arial" w:cs="Arial" w:eastAsia="Arial" w:hAnsi="Arial"/>
                <w:sz w:val="18"/>
                <w:szCs w:val="18"/>
                <w:color w:val="auto"/>
              </w:rPr>
              <w:t>$ 67</w:t>
            </w: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$ 138</w:t>
            </w:r>
          </w:p>
        </w:tc>
      </w:tr>
      <w:tr>
        <w:trPr>
          <w:trHeight w:val="203"/>
        </w:trPr>
        <w:tc>
          <w:tcPr>
            <w:tcW w:w="46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2009</w:t>
            </w:r>
          </w:p>
        </w:tc>
        <w:tc>
          <w:tcPr>
            <w:tcW w:w="4660" w:type="dxa"/>
            <w:vAlign w:val="bottom"/>
            <w:shd w:val="clear" w:color="auto" w:fill="E5E5E5"/>
          </w:tcPr>
          <w:p>
            <w:pPr>
              <w:jc w:val="right"/>
              <w:ind w:right="177"/>
              <w:spacing w:after="0" w:line="202" w:lineRule="exact"/>
              <w:rPr>
                <w:sz w:val="20"/>
                <w:szCs w:val="20"/>
                <w:color w:val="auto"/>
              </w:rPr>
            </w:pPr>
            <w:r>
              <w:rPr>
                <w:rFonts w:ascii="Arial" w:cs="Arial" w:eastAsia="Arial" w:hAnsi="Arial"/>
                <w:sz w:val="18"/>
                <w:szCs w:val="18"/>
                <w:color w:val="auto"/>
              </w:rPr>
              <w:t>72</w:t>
            </w:r>
          </w:p>
        </w:tc>
        <w:tc>
          <w:tcPr>
            <w:tcW w:w="1040" w:type="dxa"/>
            <w:vAlign w:val="bottom"/>
            <w:shd w:val="clear" w:color="auto" w:fill="E5E5E5"/>
          </w:tcPr>
          <w:p>
            <w:pPr>
              <w:jc w:val="right"/>
              <w:ind w:right="179"/>
              <w:spacing w:after="0" w:line="202" w:lineRule="exact"/>
              <w:rPr>
                <w:sz w:val="20"/>
                <w:szCs w:val="20"/>
                <w:color w:val="auto"/>
              </w:rPr>
            </w:pPr>
            <w:r>
              <w:rPr>
                <w:rFonts w:ascii="Arial" w:cs="Arial" w:eastAsia="Arial" w:hAnsi="Arial"/>
                <w:sz w:val="18"/>
                <w:szCs w:val="18"/>
                <w:color w:val="auto"/>
              </w:rPr>
              <w:t>57</w:t>
            </w:r>
          </w:p>
        </w:tc>
        <w:tc>
          <w:tcPr>
            <w:tcW w:w="1060" w:type="dxa"/>
            <w:vAlign w:val="bottom"/>
            <w:shd w:val="clear" w:color="auto" w:fill="E5E5E5"/>
          </w:tcPr>
          <w:p>
            <w:pPr>
              <w:jc w:val="right"/>
              <w:ind w:right="17"/>
              <w:spacing w:after="0" w:line="202" w:lineRule="exact"/>
              <w:rPr>
                <w:sz w:val="20"/>
                <w:szCs w:val="20"/>
                <w:color w:val="auto"/>
              </w:rPr>
            </w:pPr>
            <w:r>
              <w:rPr>
                <w:rFonts w:ascii="Arial" w:cs="Arial" w:eastAsia="Arial" w:hAnsi="Arial"/>
                <w:sz w:val="18"/>
                <w:szCs w:val="18"/>
                <w:color w:val="auto"/>
              </w:rPr>
              <w:t>75</w:t>
            </w:r>
          </w:p>
        </w:tc>
      </w:tr>
      <w:tr>
        <w:trPr>
          <w:trHeight w:val="203"/>
        </w:trPr>
        <w:tc>
          <w:tcPr>
            <w:tcW w:w="4660" w:type="dxa"/>
            <w:vAlign w:val="bottom"/>
          </w:tcPr>
          <w:p>
            <w:pPr>
              <w:spacing w:after="0" w:line="202" w:lineRule="exact"/>
              <w:rPr>
                <w:sz w:val="20"/>
                <w:szCs w:val="20"/>
                <w:color w:val="auto"/>
              </w:rPr>
            </w:pPr>
            <w:r>
              <w:rPr>
                <w:rFonts w:ascii="Arial" w:cs="Arial" w:eastAsia="Arial" w:hAnsi="Arial"/>
                <w:sz w:val="18"/>
                <w:szCs w:val="18"/>
                <w:color w:val="auto"/>
              </w:rPr>
              <w:t>2010</w:t>
            </w:r>
          </w:p>
        </w:tc>
        <w:tc>
          <w:tcPr>
            <w:tcW w:w="4660" w:type="dxa"/>
            <w:vAlign w:val="bottom"/>
          </w:tcPr>
          <w:p>
            <w:pPr>
              <w:jc w:val="right"/>
              <w:ind w:right="177"/>
              <w:spacing w:after="0" w:line="202" w:lineRule="exact"/>
              <w:rPr>
                <w:sz w:val="20"/>
                <w:szCs w:val="20"/>
                <w:color w:val="auto"/>
              </w:rPr>
            </w:pPr>
            <w:r>
              <w:rPr>
                <w:rFonts w:ascii="Arial" w:cs="Arial" w:eastAsia="Arial" w:hAnsi="Arial"/>
                <w:sz w:val="18"/>
                <w:szCs w:val="18"/>
                <w:color w:val="auto"/>
              </w:rPr>
              <w:t>55</w:t>
            </w:r>
          </w:p>
        </w:tc>
        <w:tc>
          <w:tcPr>
            <w:tcW w:w="1040" w:type="dxa"/>
            <w:vAlign w:val="bottom"/>
          </w:tcPr>
          <w:p>
            <w:pPr>
              <w:jc w:val="right"/>
              <w:ind w:right="179"/>
              <w:spacing w:after="0" w:line="202" w:lineRule="exact"/>
              <w:rPr>
                <w:sz w:val="20"/>
                <w:szCs w:val="20"/>
                <w:color w:val="auto"/>
              </w:rPr>
            </w:pPr>
            <w:r>
              <w:rPr>
                <w:rFonts w:ascii="Arial" w:cs="Arial" w:eastAsia="Arial" w:hAnsi="Arial"/>
                <w:sz w:val="18"/>
                <w:szCs w:val="18"/>
                <w:color w:val="auto"/>
              </w:rPr>
              <w:t>13</w:t>
            </w:r>
          </w:p>
        </w:tc>
        <w:tc>
          <w:tcPr>
            <w:tcW w:w="1060" w:type="dxa"/>
            <w:vAlign w:val="bottom"/>
          </w:tcPr>
          <w:p>
            <w:pPr>
              <w:jc w:val="right"/>
              <w:ind w:right="17"/>
              <w:spacing w:after="0" w:line="202" w:lineRule="exact"/>
              <w:rPr>
                <w:sz w:val="20"/>
                <w:szCs w:val="20"/>
                <w:color w:val="auto"/>
              </w:rPr>
            </w:pPr>
            <w:r>
              <w:rPr>
                <w:rFonts w:ascii="Arial" w:cs="Arial" w:eastAsia="Arial" w:hAnsi="Arial"/>
                <w:sz w:val="18"/>
                <w:szCs w:val="18"/>
                <w:color w:val="auto"/>
              </w:rPr>
              <w:t>22</w:t>
            </w:r>
          </w:p>
        </w:tc>
      </w:tr>
      <w:tr>
        <w:trPr>
          <w:trHeight w:val="203"/>
        </w:trPr>
        <w:tc>
          <w:tcPr>
            <w:tcW w:w="46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2011</w:t>
            </w:r>
          </w:p>
        </w:tc>
        <w:tc>
          <w:tcPr>
            <w:tcW w:w="4660" w:type="dxa"/>
            <w:vAlign w:val="bottom"/>
            <w:shd w:val="clear" w:color="auto" w:fill="E5E5E5"/>
          </w:tcPr>
          <w:p>
            <w:pPr>
              <w:jc w:val="right"/>
              <w:ind w:right="177"/>
              <w:spacing w:after="0" w:line="202" w:lineRule="exact"/>
              <w:rPr>
                <w:sz w:val="20"/>
                <w:szCs w:val="20"/>
                <w:color w:val="auto"/>
              </w:rPr>
            </w:pPr>
            <w:r>
              <w:rPr>
                <w:rFonts w:ascii="Arial" w:cs="Arial" w:eastAsia="Arial" w:hAnsi="Arial"/>
                <w:sz w:val="18"/>
                <w:szCs w:val="18"/>
                <w:color w:val="auto"/>
              </w:rPr>
              <w:t>48</w:t>
            </w:r>
          </w:p>
        </w:tc>
        <w:tc>
          <w:tcPr>
            <w:tcW w:w="1040" w:type="dxa"/>
            <w:vAlign w:val="bottom"/>
            <w:shd w:val="clear" w:color="auto" w:fill="E5E5E5"/>
          </w:tcPr>
          <w:p>
            <w:pPr>
              <w:jc w:val="right"/>
              <w:ind w:right="179"/>
              <w:spacing w:after="0" w:line="202" w:lineRule="exact"/>
              <w:rPr>
                <w:sz w:val="20"/>
                <w:szCs w:val="20"/>
                <w:color w:val="auto"/>
              </w:rPr>
            </w:pPr>
            <w:r>
              <w:rPr>
                <w:rFonts w:ascii="Arial" w:cs="Arial" w:eastAsia="Arial" w:hAnsi="Arial"/>
                <w:sz w:val="18"/>
                <w:szCs w:val="18"/>
                <w:color w:val="auto"/>
              </w:rPr>
              <w:t>5</w:t>
            </w:r>
          </w:p>
        </w:tc>
        <w:tc>
          <w:tcPr>
            <w:tcW w:w="1060" w:type="dxa"/>
            <w:vAlign w:val="bottom"/>
            <w:shd w:val="clear" w:color="auto" w:fill="E5E5E5"/>
          </w:tcPr>
          <w:p>
            <w:pPr>
              <w:jc w:val="right"/>
              <w:ind w:right="17"/>
              <w:spacing w:after="0" w:line="202" w:lineRule="exact"/>
              <w:rPr>
                <w:sz w:val="20"/>
                <w:szCs w:val="20"/>
                <w:color w:val="auto"/>
              </w:rPr>
            </w:pPr>
            <w:r>
              <w:rPr>
                <w:rFonts w:ascii="Arial" w:cs="Arial" w:eastAsia="Arial" w:hAnsi="Arial"/>
                <w:sz w:val="18"/>
                <w:szCs w:val="18"/>
                <w:color w:val="auto"/>
              </w:rPr>
              <w:t>18</w:t>
            </w:r>
          </w:p>
        </w:tc>
      </w:tr>
      <w:tr>
        <w:trPr>
          <w:trHeight w:val="203"/>
        </w:trPr>
        <w:tc>
          <w:tcPr>
            <w:tcW w:w="4660" w:type="dxa"/>
            <w:vAlign w:val="bottom"/>
          </w:tcPr>
          <w:p>
            <w:pPr>
              <w:spacing w:after="0" w:line="202" w:lineRule="exact"/>
              <w:rPr>
                <w:sz w:val="20"/>
                <w:szCs w:val="20"/>
                <w:color w:val="auto"/>
              </w:rPr>
            </w:pPr>
            <w:r>
              <w:rPr>
                <w:rFonts w:ascii="Arial" w:cs="Arial" w:eastAsia="Arial" w:hAnsi="Arial"/>
                <w:sz w:val="18"/>
                <w:szCs w:val="18"/>
                <w:color w:val="auto"/>
              </w:rPr>
              <w:t>2012</w:t>
            </w:r>
          </w:p>
        </w:tc>
        <w:tc>
          <w:tcPr>
            <w:tcW w:w="4660" w:type="dxa"/>
            <w:vAlign w:val="bottom"/>
          </w:tcPr>
          <w:p>
            <w:pPr>
              <w:jc w:val="right"/>
              <w:ind w:right="177"/>
              <w:spacing w:after="0" w:line="202" w:lineRule="exact"/>
              <w:rPr>
                <w:sz w:val="20"/>
                <w:szCs w:val="20"/>
                <w:color w:val="auto"/>
              </w:rPr>
            </w:pPr>
            <w:r>
              <w:rPr>
                <w:rFonts w:ascii="Arial" w:cs="Arial" w:eastAsia="Arial" w:hAnsi="Arial"/>
                <w:sz w:val="18"/>
                <w:szCs w:val="18"/>
                <w:color w:val="auto"/>
              </w:rPr>
              <w:t>37</w:t>
            </w:r>
          </w:p>
        </w:tc>
        <w:tc>
          <w:tcPr>
            <w:tcW w:w="1040" w:type="dxa"/>
            <w:vAlign w:val="bottom"/>
          </w:tcPr>
          <w:p>
            <w:pPr>
              <w:jc w:val="right"/>
              <w:ind w:right="179"/>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17"/>
              <w:spacing w:after="0" w:line="202" w:lineRule="exact"/>
              <w:rPr>
                <w:sz w:val="20"/>
                <w:szCs w:val="20"/>
                <w:color w:val="auto"/>
              </w:rPr>
            </w:pPr>
            <w:r>
              <w:rPr>
                <w:rFonts w:ascii="Arial" w:cs="Arial" w:eastAsia="Arial" w:hAnsi="Arial"/>
                <w:sz w:val="18"/>
                <w:szCs w:val="18"/>
                <w:color w:val="auto"/>
              </w:rPr>
              <w:t>18</w:t>
            </w:r>
          </w:p>
        </w:tc>
      </w:tr>
      <w:tr>
        <w:trPr>
          <w:trHeight w:val="203"/>
        </w:trPr>
        <w:tc>
          <w:tcPr>
            <w:tcW w:w="46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Thereafter</w:t>
            </w:r>
          </w:p>
        </w:tc>
        <w:tc>
          <w:tcPr>
            <w:tcW w:w="4660" w:type="dxa"/>
            <w:vAlign w:val="bottom"/>
            <w:shd w:val="clear" w:color="auto" w:fill="E5E5E5"/>
          </w:tcPr>
          <w:p>
            <w:pPr>
              <w:jc w:val="right"/>
              <w:ind w:right="177"/>
              <w:spacing w:after="0" w:line="202" w:lineRule="exact"/>
              <w:rPr>
                <w:sz w:val="20"/>
                <w:szCs w:val="20"/>
                <w:color w:val="auto"/>
              </w:rPr>
            </w:pPr>
            <w:r>
              <w:rPr>
                <w:rFonts w:ascii="Arial" w:cs="Arial" w:eastAsia="Arial" w:hAnsi="Arial"/>
                <w:sz w:val="18"/>
                <w:szCs w:val="18"/>
                <w:color w:val="auto"/>
              </w:rPr>
              <w:t>149</w:t>
            </w:r>
          </w:p>
        </w:tc>
        <w:tc>
          <w:tcPr>
            <w:tcW w:w="1040" w:type="dxa"/>
            <w:vAlign w:val="bottom"/>
            <w:shd w:val="clear" w:color="auto" w:fill="E5E5E5"/>
          </w:tcPr>
          <w:p>
            <w:pPr>
              <w:jc w:val="right"/>
              <w:ind w:right="179"/>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E5E5E5"/>
          </w:tcPr>
          <w:p>
            <w:pPr>
              <w:jc w:val="right"/>
              <w:ind w:right="17"/>
              <w:spacing w:after="0" w:line="202" w:lineRule="exact"/>
              <w:rPr>
                <w:sz w:val="20"/>
                <w:szCs w:val="20"/>
                <w:color w:val="auto"/>
              </w:rPr>
            </w:pPr>
            <w:r>
              <w:rPr>
                <w:rFonts w:ascii="Arial" w:cs="Arial" w:eastAsia="Arial" w:hAnsi="Arial"/>
                <w:sz w:val="18"/>
                <w:szCs w:val="18"/>
                <w:color w:val="auto"/>
              </w:rPr>
              <w:t>100</w:t>
            </w:r>
          </w:p>
        </w:tc>
      </w:tr>
    </w:tbl>
    <w:p>
      <w:pPr>
        <w:spacing w:after="0" w:line="165"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u w:val="single" w:color="auto"/>
          <w:color w:val="auto"/>
        </w:rPr>
        <w:t>Indemnification Guarantees</w:t>
      </w:r>
      <w:r>
        <w:rPr>
          <w:rFonts w:ascii="Arial" w:cs="Arial" w:eastAsia="Arial" w:hAnsi="Arial"/>
          <w:sz w:val="18"/>
          <w:szCs w:val="18"/>
          <w:color w:val="auto"/>
        </w:rPr>
        <w:t>: We routinely sell products with a limited intellectual property indemnification included in the terms of sale. Historically, we have had only minimal and infrequent losses associated with these indemnities. Consequently, any future liabilities resulting from the intellectual property indemnities cannot reasonably be estimated or accrued.</w:t>
      </w:r>
    </w:p>
    <w:p>
      <w:pPr>
        <w:spacing w:after="0" w:line="15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u w:val="single" w:color="auto"/>
          <w:color w:val="auto"/>
        </w:rPr>
        <w:t>Warranty Costs/Product Liabilities</w:t>
      </w:r>
      <w:r>
        <w:rPr>
          <w:rFonts w:ascii="Arial" w:cs="Arial" w:eastAsia="Arial" w:hAnsi="Arial"/>
          <w:sz w:val="18"/>
          <w:szCs w:val="18"/>
          <w:color w:val="auto"/>
        </w:rPr>
        <w:t>: We accrue for known product-related claims if a loss is probable and can be reasonably estimated. During the periods presented, there have been no material accruals or payments regarding product warranty or product liability, and historically we have experienced a low rate of payments on product claims. Consistent with general industry practice, we enter into formal contracts with certain customers in which the parties define warranty remedies. Typically, under these agreements, our warranty for semiconductor products covers three years; an obligation to repair, replace or refund; and a maximum payment obligation tied to the price paid for our products. In some cases, product claims may be disproportionate to the price of our products.</w:t>
      </w:r>
    </w:p>
    <w:p>
      <w:pPr>
        <w:spacing w:after="0" w:line="156" w:lineRule="exact"/>
        <w:rPr>
          <w:sz w:val="20"/>
          <w:szCs w:val="20"/>
          <w:color w:val="auto"/>
        </w:rPr>
      </w:pPr>
    </w:p>
    <w:p>
      <w:pPr>
        <w:jc w:val="both"/>
        <w:ind w:right="260"/>
        <w:spacing w:after="0" w:line="299" w:lineRule="auto"/>
        <w:rPr>
          <w:sz w:val="20"/>
          <w:szCs w:val="20"/>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We are subject to various legal and administrative proceedings. Although it is not possible to predict the outcome of these matters, we believe that the results of these proceedings will not have a material adverse effect upon our financial condition, results of operations or liquidity.</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120" w:type="dxa"/>
            <w:vAlign w:val="bottom"/>
          </w:tcPr>
          <w:p>
            <w:pPr>
              <w:spacing w:after="0"/>
              <w:rPr>
                <w:sz w:val="20"/>
                <w:szCs w:val="20"/>
                <w:color w:val="auto"/>
              </w:rPr>
            </w:pPr>
            <w:r>
              <w:rPr>
                <w:rFonts w:ascii="Arial" w:cs="Arial" w:eastAsia="Arial" w:hAnsi="Arial"/>
                <w:sz w:val="14"/>
                <w:szCs w:val="14"/>
                <w:color w:val="auto"/>
              </w:rPr>
              <w:t>TEXAS INSTRUMENTS 2007 ANNUAL REPORT</w:t>
            </w:r>
          </w:p>
        </w:tc>
        <w:tc>
          <w:tcPr>
            <w:tcW w:w="4300" w:type="dxa"/>
            <w:vAlign w:val="bottom"/>
          </w:tcPr>
          <w:p>
            <w:pPr>
              <w:jc w:val="right"/>
              <w:spacing w:after="0"/>
              <w:rPr>
                <w:sz w:val="20"/>
                <w:szCs w:val="20"/>
                <w:color w:val="auto"/>
              </w:rPr>
            </w:pPr>
            <w:r>
              <w:rPr>
                <w:rFonts w:ascii="Arial" w:cs="Arial" w:eastAsia="Arial" w:hAnsi="Arial"/>
                <w:sz w:val="14"/>
                <w:szCs w:val="14"/>
                <w:color w:val="auto"/>
              </w:rPr>
              <w:t>37</w:t>
            </w:r>
          </w:p>
        </w:tc>
      </w:tr>
    </w:tbl>
    <w:p>
      <w:pPr>
        <w:sectPr>
          <w:pgSz w:w="11900" w:h="16838" w:orient="portrait"/>
          <w:cols w:equalWidth="0" w:num="1">
            <w:col w:w="11420"/>
          </w:cols>
          <w:pgMar w:left="240" w:top="291" w:right="239" w:bottom="1440" w:gutter="0" w:footer="0" w:header="0"/>
        </w:sectPr>
      </w:pPr>
    </w:p>
    <w:bookmarkStart w:id="57" w:name="page58"/>
    <w:bookmarkEnd w:id="57"/>
    <w:p>
      <w:pPr>
        <w:ind w:right="140"/>
        <w:spacing w:after="0" w:line="275"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Discontinued Operations Indemnity</w:t>
      </w:r>
      <w:r>
        <w:rPr>
          <w:rFonts w:ascii="Arial" w:cs="Arial" w:eastAsia="Arial" w:hAnsi="Arial"/>
          <w:sz w:val="16"/>
          <w:szCs w:val="16"/>
          <w:color w:val="auto"/>
        </w:rPr>
        <w:t>: In connection with the sale of the former Sensors &amp; Controls business, we have agreed to indemnify Sensata for certain specified litigation matters, as well as other liabilities, including environmental liabilities. Our indemnification obligations with respect to breaches of representations and warranties and the specified litigation matters are, generally, subject to a total deductible of $30 million and our maximum potential exposure is limited to $300 million. There were no significant liabilities recorded under these indemnification obligations.</w:t>
      </w:r>
    </w:p>
    <w:p>
      <w:pPr>
        <w:spacing w:after="0" w:line="148"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Financial Information</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20" w:type="dxa"/>
            <w:vAlign w:val="bottom"/>
            <w:gridSpan w:val="3"/>
          </w:tcPr>
          <w:p>
            <w:pPr>
              <w:ind w:left="20"/>
              <w:spacing w:after="0"/>
              <w:rPr>
                <w:sz w:val="20"/>
                <w:szCs w:val="20"/>
                <w:color w:val="auto"/>
              </w:rPr>
            </w:pPr>
            <w:r>
              <w:rPr>
                <w:rFonts w:ascii="Arial" w:cs="Arial" w:eastAsia="Arial" w:hAnsi="Arial"/>
                <w:sz w:val="18"/>
                <w:szCs w:val="18"/>
                <w:color w:val="auto"/>
              </w:rPr>
              <w:t>Other Income (Expense) Net</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2220" w:type="dxa"/>
            <w:vAlign w:val="bottom"/>
            <w:tcBorders>
              <w:top w:val="single" w:sz="8" w:color="auto"/>
            </w:tcBorders>
          </w:tcPr>
          <w:p>
            <w:pPr>
              <w:spacing w:after="0"/>
              <w:rPr>
                <w:sz w:val="18"/>
                <w:szCs w:val="18"/>
                <w:color w:val="auto"/>
              </w:rPr>
            </w:pPr>
          </w:p>
        </w:tc>
        <w:tc>
          <w:tcPr>
            <w:tcW w:w="6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20" w:type="dxa"/>
            <w:vAlign w:val="bottom"/>
            <w:shd w:val="clear" w:color="auto" w:fill="E5E5E5"/>
          </w:tcPr>
          <w:p>
            <w:pPr>
              <w:spacing w:after="0"/>
              <w:rPr>
                <w:sz w:val="17"/>
                <w:szCs w:val="17"/>
                <w:color w:val="auto"/>
              </w:rPr>
            </w:pPr>
          </w:p>
        </w:tc>
        <w:tc>
          <w:tcPr>
            <w:tcW w:w="2220" w:type="dxa"/>
            <w:vAlign w:val="bottom"/>
            <w:shd w:val="clear" w:color="auto" w:fill="E5E5E5"/>
          </w:tcPr>
          <w:p>
            <w:pPr>
              <w:spacing w:after="0"/>
              <w:rPr>
                <w:sz w:val="17"/>
                <w:szCs w:val="17"/>
                <w:color w:val="auto"/>
              </w:rPr>
            </w:pPr>
          </w:p>
        </w:tc>
        <w:tc>
          <w:tcPr>
            <w:tcW w:w="6780" w:type="dxa"/>
            <w:vAlign w:val="bottom"/>
            <w:shd w:val="clear" w:color="auto" w:fill="E5E5E5"/>
          </w:tcPr>
          <w:p>
            <w:pPr>
              <w:spacing w:after="0"/>
              <w:rPr>
                <w:sz w:val="17"/>
                <w:szCs w:val="17"/>
                <w:color w:val="auto"/>
              </w:rPr>
            </w:pPr>
          </w:p>
        </w:tc>
        <w:tc>
          <w:tcPr>
            <w:tcW w:w="720" w:type="dxa"/>
            <w:vAlign w:val="bottom"/>
            <w:gridSpan w:val="2"/>
            <w:shd w:val="clear" w:color="auto" w:fill="E5E5E5"/>
          </w:tcPr>
          <w:p>
            <w:pPr>
              <w:jc w:val="right"/>
              <w:ind w:right="192"/>
              <w:spacing w:after="0" w:line="202" w:lineRule="exact"/>
              <w:rPr>
                <w:sz w:val="20"/>
                <w:szCs w:val="20"/>
                <w:color w:val="auto"/>
              </w:rPr>
            </w:pPr>
            <w:r>
              <w:rPr>
                <w:rFonts w:ascii="Arial" w:cs="Arial" w:eastAsia="Arial" w:hAnsi="Arial"/>
                <w:sz w:val="18"/>
                <w:szCs w:val="18"/>
                <w:b w:val="1"/>
                <w:bCs w:val="1"/>
                <w:color w:val="auto"/>
              </w:rPr>
              <w:t>2007</w:t>
            </w:r>
          </w:p>
        </w:tc>
        <w:tc>
          <w:tcPr>
            <w:tcW w:w="860" w:type="dxa"/>
            <w:vAlign w:val="bottom"/>
            <w:gridSpan w:val="2"/>
            <w:shd w:val="clear" w:color="auto" w:fill="E5E5E5"/>
          </w:tcPr>
          <w:p>
            <w:pPr>
              <w:jc w:val="right"/>
              <w:ind w:right="192"/>
              <w:spacing w:after="0" w:line="202" w:lineRule="exact"/>
              <w:rPr>
                <w:sz w:val="20"/>
                <w:szCs w:val="20"/>
                <w:color w:val="auto"/>
              </w:rPr>
            </w:pPr>
            <w:r>
              <w:rPr>
                <w:rFonts w:ascii="Arial" w:cs="Arial" w:eastAsia="Arial" w:hAnsi="Arial"/>
                <w:sz w:val="18"/>
                <w:szCs w:val="18"/>
                <w:b w:val="1"/>
                <w:bCs w:val="1"/>
                <w:color w:val="auto"/>
              </w:rPr>
              <w:t>2006</w:t>
            </w:r>
          </w:p>
        </w:tc>
        <w:tc>
          <w:tcPr>
            <w:tcW w:w="760" w:type="dxa"/>
            <w:vAlign w:val="bottom"/>
            <w:gridSpan w:val="2"/>
            <w:shd w:val="clear" w:color="auto" w:fill="E5E5E5"/>
          </w:tcPr>
          <w:p>
            <w:pPr>
              <w:ind w:left="160"/>
              <w:spacing w:after="0" w:line="202" w:lineRule="exact"/>
              <w:rPr>
                <w:sz w:val="20"/>
                <w:szCs w:val="20"/>
                <w:color w:val="auto"/>
              </w:rPr>
            </w:pPr>
            <w:r>
              <w:rPr>
                <w:rFonts w:ascii="Arial" w:cs="Arial" w:eastAsia="Arial" w:hAnsi="Arial"/>
                <w:sz w:val="18"/>
                <w:szCs w:val="18"/>
                <w:b w:val="1"/>
                <w:bCs w:val="1"/>
                <w:color w:val="auto"/>
              </w:rPr>
              <w:t>2005</w:t>
            </w:r>
          </w:p>
        </w:tc>
        <w:tc>
          <w:tcPr>
            <w:tcW w:w="60" w:type="dxa"/>
            <w:vAlign w:val="bottom"/>
            <w:shd w:val="clear" w:color="auto" w:fill="E5E5E5"/>
          </w:tcPr>
          <w:p>
            <w:pPr>
              <w:spacing w:after="0"/>
              <w:rPr>
                <w:sz w:val="17"/>
                <w:szCs w:val="17"/>
                <w:color w:val="auto"/>
              </w:rPr>
            </w:pPr>
          </w:p>
        </w:tc>
      </w:tr>
      <w:tr>
        <w:trPr>
          <w:trHeight w:val="270"/>
        </w:trPr>
        <w:tc>
          <w:tcPr>
            <w:tcW w:w="9020" w:type="dxa"/>
            <w:vAlign w:val="bottom"/>
            <w:gridSpan w:val="3"/>
          </w:tcPr>
          <w:p>
            <w:pPr>
              <w:spacing w:after="0"/>
              <w:rPr>
                <w:sz w:val="20"/>
                <w:szCs w:val="20"/>
                <w:color w:val="auto"/>
              </w:rPr>
            </w:pPr>
            <w:r>
              <w:rPr>
                <w:rFonts w:ascii="Arial" w:cs="Arial" w:eastAsia="Arial" w:hAnsi="Arial"/>
                <w:sz w:val="18"/>
                <w:szCs w:val="18"/>
                <w:color w:val="auto"/>
              </w:rPr>
              <w:t>Interest income</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tcPr>
          <w:p>
            <w:pPr>
              <w:jc w:val="right"/>
              <w:ind w:right="112"/>
              <w:spacing w:after="0"/>
              <w:rPr>
                <w:sz w:val="20"/>
                <w:szCs w:val="20"/>
                <w:color w:val="auto"/>
              </w:rPr>
            </w:pPr>
            <w:r>
              <w:rPr>
                <w:rFonts w:ascii="Arial" w:cs="Arial" w:eastAsia="Arial" w:hAnsi="Arial"/>
                <w:sz w:val="18"/>
                <w:szCs w:val="18"/>
                <w:b w:val="1"/>
                <w:bCs w:val="1"/>
                <w:color w:val="auto"/>
              </w:rPr>
              <w:t>157</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12"/>
              <w:spacing w:after="0"/>
              <w:rPr>
                <w:sz w:val="20"/>
                <w:szCs w:val="20"/>
                <w:color w:val="auto"/>
              </w:rPr>
            </w:pPr>
            <w:r>
              <w:rPr>
                <w:rFonts w:ascii="Arial" w:cs="Arial" w:eastAsia="Arial" w:hAnsi="Arial"/>
                <w:sz w:val="18"/>
                <w:szCs w:val="18"/>
                <w:color w:val="auto"/>
              </w:rPr>
              <w:t>196</w:t>
            </w:r>
          </w:p>
        </w:tc>
        <w:tc>
          <w:tcPr>
            <w:tcW w:w="360" w:type="dxa"/>
            <w:vAlign w:val="bottom"/>
          </w:tcPr>
          <w:p>
            <w:pPr>
              <w:ind w:left="16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165</w:t>
            </w:r>
          </w:p>
        </w:tc>
        <w:tc>
          <w:tcPr>
            <w:tcW w:w="60" w:type="dxa"/>
            <w:vAlign w:val="bottom"/>
          </w:tcPr>
          <w:p>
            <w:pPr>
              <w:spacing w:after="0"/>
              <w:rPr>
                <w:sz w:val="23"/>
                <w:szCs w:val="23"/>
                <w:color w:val="auto"/>
              </w:rPr>
            </w:pPr>
          </w:p>
        </w:tc>
      </w:tr>
      <w:tr>
        <w:trPr>
          <w:trHeight w:val="203"/>
        </w:trPr>
        <w:tc>
          <w:tcPr>
            <w:tcW w:w="9020" w:type="dxa"/>
            <w:vAlign w:val="bottom"/>
            <w:gridSpan w:val="3"/>
            <w:shd w:val="clear" w:color="auto" w:fill="E5E5E5"/>
          </w:tcPr>
          <w:p>
            <w:pPr>
              <w:spacing w:after="0" w:line="202" w:lineRule="exact"/>
              <w:rPr>
                <w:sz w:val="20"/>
                <w:szCs w:val="20"/>
                <w:color w:val="auto"/>
              </w:rPr>
            </w:pPr>
            <w:r>
              <w:rPr>
                <w:rFonts w:ascii="Arial" w:cs="Arial" w:eastAsia="Arial" w:hAnsi="Arial"/>
                <w:sz w:val="18"/>
                <w:szCs w:val="18"/>
                <w:color w:val="auto"/>
              </w:rPr>
              <w:t>Interest expense on loans</w:t>
            </w:r>
          </w:p>
        </w:tc>
        <w:tc>
          <w:tcPr>
            <w:tcW w:w="160" w:type="dxa"/>
            <w:vAlign w:val="bottom"/>
            <w:shd w:val="clear" w:color="auto" w:fill="E5E5E5"/>
          </w:tcPr>
          <w:p>
            <w:pPr>
              <w:spacing w:after="0"/>
              <w:rPr>
                <w:sz w:val="17"/>
                <w:szCs w:val="17"/>
                <w:color w:val="auto"/>
              </w:rPr>
            </w:pPr>
          </w:p>
        </w:tc>
        <w:tc>
          <w:tcPr>
            <w:tcW w:w="560" w:type="dxa"/>
            <w:vAlign w:val="bottom"/>
            <w:shd w:val="clear" w:color="auto" w:fill="E5E5E5"/>
          </w:tcPr>
          <w:p>
            <w:pPr>
              <w:jc w:val="right"/>
              <w:ind w:right="72"/>
              <w:spacing w:after="0" w:line="202" w:lineRule="exact"/>
              <w:rPr>
                <w:sz w:val="20"/>
                <w:szCs w:val="20"/>
                <w:color w:val="auto"/>
              </w:rPr>
            </w:pPr>
            <w:r>
              <w:rPr>
                <w:rFonts w:ascii="Arial" w:cs="Arial" w:eastAsia="Arial" w:hAnsi="Arial"/>
                <w:sz w:val="18"/>
                <w:szCs w:val="18"/>
                <w:b w:val="1"/>
                <w:bCs w:val="1"/>
                <w:color w:val="auto"/>
              </w:rPr>
              <w:t>(1)</w:t>
            </w:r>
          </w:p>
        </w:tc>
        <w:tc>
          <w:tcPr>
            <w:tcW w:w="300" w:type="dxa"/>
            <w:vAlign w:val="bottom"/>
            <w:shd w:val="clear" w:color="auto" w:fill="E5E5E5"/>
          </w:tcPr>
          <w:p>
            <w:pPr>
              <w:spacing w:after="0"/>
              <w:rPr>
                <w:sz w:val="17"/>
                <w:szCs w:val="17"/>
                <w:color w:val="auto"/>
              </w:rPr>
            </w:pPr>
          </w:p>
        </w:tc>
        <w:tc>
          <w:tcPr>
            <w:tcW w:w="560" w:type="dxa"/>
            <w:vAlign w:val="bottom"/>
            <w:shd w:val="clear" w:color="auto" w:fill="E5E5E5"/>
          </w:tcPr>
          <w:p>
            <w:pPr>
              <w:jc w:val="right"/>
              <w:ind w:right="72"/>
              <w:spacing w:after="0" w:line="202" w:lineRule="exact"/>
              <w:rPr>
                <w:sz w:val="20"/>
                <w:szCs w:val="20"/>
                <w:color w:val="auto"/>
              </w:rPr>
            </w:pPr>
            <w:r>
              <w:rPr>
                <w:rFonts w:ascii="Arial" w:cs="Arial" w:eastAsia="Arial" w:hAnsi="Arial"/>
                <w:sz w:val="18"/>
                <w:szCs w:val="18"/>
                <w:color w:val="auto"/>
              </w:rPr>
              <w:t>(7)</w:t>
            </w:r>
          </w:p>
        </w:tc>
        <w:tc>
          <w:tcPr>
            <w:tcW w:w="360" w:type="dxa"/>
            <w:vAlign w:val="bottom"/>
            <w:shd w:val="clear" w:color="auto" w:fill="E5E5E5"/>
          </w:tcPr>
          <w:p>
            <w:pPr>
              <w:spacing w:after="0"/>
              <w:rPr>
                <w:sz w:val="17"/>
                <w:szCs w:val="17"/>
                <w:color w:val="auto"/>
              </w:rPr>
            </w:pPr>
          </w:p>
        </w:tc>
        <w:tc>
          <w:tcPr>
            <w:tcW w:w="46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(9)</w:t>
            </w:r>
          </w:p>
        </w:tc>
      </w:tr>
      <w:tr>
        <w:trPr>
          <w:trHeight w:val="203"/>
        </w:trPr>
        <w:tc>
          <w:tcPr>
            <w:tcW w:w="9020" w:type="dxa"/>
            <w:vAlign w:val="bottom"/>
            <w:gridSpan w:val="3"/>
          </w:tcPr>
          <w:p>
            <w:pPr>
              <w:spacing w:after="0" w:line="202" w:lineRule="exact"/>
              <w:rPr>
                <w:sz w:val="20"/>
                <w:szCs w:val="20"/>
                <w:color w:val="auto"/>
              </w:rPr>
            </w:pPr>
            <w:r>
              <w:rPr>
                <w:rFonts w:ascii="Arial" w:cs="Arial" w:eastAsia="Arial" w:hAnsi="Arial"/>
                <w:sz w:val="18"/>
                <w:szCs w:val="18"/>
                <w:color w:val="auto"/>
              </w:rPr>
              <w:t>Settlement of Italian grants (a)</w:t>
            </w:r>
          </w:p>
        </w:tc>
        <w:tc>
          <w:tcPr>
            <w:tcW w:w="160" w:type="dxa"/>
            <w:vAlign w:val="bottom"/>
          </w:tcPr>
          <w:p>
            <w:pPr>
              <w:spacing w:after="0"/>
              <w:rPr>
                <w:sz w:val="17"/>
                <w:szCs w:val="17"/>
                <w:color w:val="auto"/>
              </w:rPr>
            </w:pPr>
          </w:p>
        </w:tc>
        <w:tc>
          <w:tcPr>
            <w:tcW w:w="560" w:type="dxa"/>
            <w:vAlign w:val="bottom"/>
          </w:tcPr>
          <w:p>
            <w:pPr>
              <w:jc w:val="right"/>
              <w:ind w:right="112"/>
              <w:spacing w:after="0" w:line="202" w:lineRule="exact"/>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7"/>
                <w:szCs w:val="17"/>
                <w:color w:val="auto"/>
              </w:rPr>
            </w:pPr>
          </w:p>
        </w:tc>
        <w:tc>
          <w:tcPr>
            <w:tcW w:w="56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28</w:t>
            </w:r>
          </w:p>
        </w:tc>
        <w:tc>
          <w:tcPr>
            <w:tcW w:w="360" w:type="dxa"/>
            <w:vAlign w:val="bottom"/>
          </w:tcPr>
          <w:p>
            <w:pPr>
              <w:spacing w:after="0"/>
              <w:rPr>
                <w:sz w:val="17"/>
                <w:szCs w:val="17"/>
                <w:color w:val="auto"/>
              </w:rPr>
            </w:pP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c>
          <w:tcPr>
            <w:tcW w:w="60" w:type="dxa"/>
            <w:vAlign w:val="bottom"/>
          </w:tcPr>
          <w:p>
            <w:pPr>
              <w:spacing w:after="0"/>
              <w:rPr>
                <w:sz w:val="17"/>
                <w:szCs w:val="17"/>
                <w:color w:val="auto"/>
              </w:rPr>
            </w:pPr>
          </w:p>
        </w:tc>
      </w:tr>
      <w:tr>
        <w:trPr>
          <w:trHeight w:val="203"/>
        </w:trPr>
        <w:tc>
          <w:tcPr>
            <w:tcW w:w="9020" w:type="dxa"/>
            <w:vAlign w:val="bottom"/>
            <w:gridSpan w:val="3"/>
            <w:shd w:val="clear" w:color="auto" w:fill="E5E5E5"/>
          </w:tcPr>
          <w:p>
            <w:pPr>
              <w:spacing w:after="0" w:line="202" w:lineRule="exact"/>
              <w:rPr>
                <w:sz w:val="20"/>
                <w:szCs w:val="20"/>
                <w:color w:val="auto"/>
              </w:rPr>
            </w:pPr>
            <w:r>
              <w:rPr>
                <w:rFonts w:ascii="Arial" w:cs="Arial" w:eastAsia="Arial" w:hAnsi="Arial"/>
                <w:sz w:val="18"/>
                <w:szCs w:val="18"/>
                <w:color w:val="auto"/>
              </w:rPr>
              <w:t>Sales tax refunds (b)</w:t>
            </w:r>
          </w:p>
        </w:tc>
        <w:tc>
          <w:tcPr>
            <w:tcW w:w="160" w:type="dxa"/>
            <w:vAlign w:val="bottom"/>
            <w:shd w:val="clear" w:color="auto" w:fill="E5E5E5"/>
          </w:tcPr>
          <w:p>
            <w:pPr>
              <w:spacing w:after="0"/>
              <w:rPr>
                <w:sz w:val="17"/>
                <w:szCs w:val="17"/>
                <w:color w:val="auto"/>
              </w:rPr>
            </w:pPr>
          </w:p>
        </w:tc>
        <w:tc>
          <w:tcPr>
            <w:tcW w:w="560" w:type="dxa"/>
            <w:vAlign w:val="bottom"/>
            <w:shd w:val="clear" w:color="auto" w:fill="E5E5E5"/>
          </w:tcPr>
          <w:p>
            <w:pPr>
              <w:jc w:val="right"/>
              <w:ind w:right="112"/>
              <w:spacing w:after="0" w:line="202" w:lineRule="exact"/>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E5E5E5"/>
          </w:tcPr>
          <w:p>
            <w:pPr>
              <w:spacing w:after="0"/>
              <w:rPr>
                <w:sz w:val="17"/>
                <w:szCs w:val="17"/>
                <w:color w:val="auto"/>
              </w:rPr>
            </w:pPr>
          </w:p>
        </w:tc>
        <w:tc>
          <w:tcPr>
            <w:tcW w:w="560" w:type="dxa"/>
            <w:vAlign w:val="bottom"/>
            <w:shd w:val="clear" w:color="auto" w:fill="E5E5E5"/>
          </w:tcPr>
          <w:p>
            <w:pPr>
              <w:jc w:val="right"/>
              <w:ind w:right="112"/>
              <w:spacing w:after="0" w:line="202" w:lineRule="exact"/>
              <w:rPr>
                <w:sz w:val="20"/>
                <w:szCs w:val="20"/>
                <w:color w:val="auto"/>
              </w:rPr>
            </w:pPr>
            <w:r>
              <w:rPr>
                <w:rFonts w:ascii="Arial" w:cs="Arial" w:eastAsia="Arial" w:hAnsi="Arial"/>
                <w:sz w:val="18"/>
                <w:szCs w:val="18"/>
                <w:color w:val="auto"/>
              </w:rPr>
              <w:t>20</w:t>
            </w:r>
          </w:p>
        </w:tc>
        <w:tc>
          <w:tcPr>
            <w:tcW w:w="360" w:type="dxa"/>
            <w:vAlign w:val="bottom"/>
            <w:shd w:val="clear" w:color="auto" w:fill="E5E5E5"/>
          </w:tcPr>
          <w:p>
            <w:pPr>
              <w:spacing w:after="0"/>
              <w:rPr>
                <w:sz w:val="17"/>
                <w:szCs w:val="17"/>
                <w:color w:val="auto"/>
              </w:rPr>
            </w:pPr>
          </w:p>
        </w:tc>
        <w:tc>
          <w:tcPr>
            <w:tcW w:w="46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10"/>
        </w:trPr>
        <w:tc>
          <w:tcPr>
            <w:tcW w:w="9020" w:type="dxa"/>
            <w:vAlign w:val="bottom"/>
            <w:gridSpan w:val="3"/>
          </w:tcPr>
          <w:p>
            <w:pPr>
              <w:spacing w:after="0" w:line="202" w:lineRule="exact"/>
              <w:rPr>
                <w:sz w:val="20"/>
                <w:szCs w:val="20"/>
                <w:color w:val="auto"/>
              </w:rPr>
            </w:pPr>
            <w:r>
              <w:rPr>
                <w:rFonts w:ascii="Arial" w:cs="Arial" w:eastAsia="Arial" w:hAnsi="Arial"/>
                <w:sz w:val="18"/>
                <w:szCs w:val="18"/>
                <w:color w:val="auto"/>
              </w:rPr>
              <w:t>Other (c)</w:t>
            </w: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12"/>
              <w:spacing w:after="0" w:line="202" w:lineRule="exact"/>
              <w:rPr>
                <w:sz w:val="20"/>
                <w:szCs w:val="20"/>
                <w:color w:val="auto"/>
              </w:rPr>
            </w:pPr>
            <w:r>
              <w:rPr>
                <w:rFonts w:ascii="Arial" w:cs="Arial" w:eastAsia="Arial" w:hAnsi="Arial"/>
                <w:sz w:val="18"/>
                <w:szCs w:val="18"/>
                <w:b w:val="1"/>
                <w:bCs w:val="1"/>
                <w:color w:val="auto"/>
              </w:rPr>
              <w:t>39</w:t>
            </w:r>
          </w:p>
        </w:tc>
        <w:tc>
          <w:tcPr>
            <w:tcW w:w="3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12"/>
              <w:spacing w:after="0" w:line="202" w:lineRule="exact"/>
              <w:rPr>
                <w:sz w:val="20"/>
                <w:szCs w:val="20"/>
                <w:color w:val="auto"/>
              </w:rPr>
            </w:pPr>
            <w:r>
              <w:rPr>
                <w:rFonts w:ascii="Arial" w:cs="Arial" w:eastAsia="Arial" w:hAnsi="Arial"/>
                <w:sz w:val="18"/>
                <w:szCs w:val="18"/>
                <w:color w:val="auto"/>
              </w:rPr>
              <w:t>21</w:t>
            </w:r>
          </w:p>
        </w:tc>
        <w:tc>
          <w:tcPr>
            <w:tcW w:w="3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w:t>
            </w:r>
          </w:p>
        </w:tc>
        <w:tc>
          <w:tcPr>
            <w:tcW w:w="60" w:type="dxa"/>
            <w:vAlign w:val="bottom"/>
          </w:tcPr>
          <w:p>
            <w:pPr>
              <w:spacing w:after="0"/>
              <w:rPr>
                <w:sz w:val="18"/>
                <w:szCs w:val="18"/>
                <w:color w:val="auto"/>
              </w:rPr>
            </w:pPr>
          </w:p>
        </w:tc>
      </w:tr>
      <w:tr>
        <w:trPr>
          <w:trHeight w:val="203"/>
        </w:trPr>
        <w:tc>
          <w:tcPr>
            <w:tcW w:w="9020" w:type="dxa"/>
            <w:vAlign w:val="bottom"/>
            <w:gridSpan w:val="3"/>
            <w:shd w:val="clear" w:color="auto" w:fill="E5E5E5"/>
          </w:tcPr>
          <w:p>
            <w:pPr>
              <w:spacing w:after="0" w:line="202" w:lineRule="exact"/>
              <w:rPr>
                <w:sz w:val="20"/>
                <w:szCs w:val="20"/>
                <w:color w:val="auto"/>
              </w:rPr>
            </w:pPr>
            <w:r>
              <w:rPr>
                <w:rFonts w:ascii="Arial" w:cs="Arial" w:eastAsia="Arial" w:hAnsi="Arial"/>
                <w:sz w:val="18"/>
                <w:szCs w:val="18"/>
                <w:color w:val="auto"/>
              </w:rPr>
              <w:t>Total</w:t>
            </w:r>
          </w:p>
        </w:tc>
        <w:tc>
          <w:tcPr>
            <w:tcW w:w="1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560" w:type="dxa"/>
            <w:vAlign w:val="bottom"/>
            <w:shd w:val="clear" w:color="auto" w:fill="E5E5E5"/>
          </w:tcPr>
          <w:p>
            <w:pPr>
              <w:jc w:val="right"/>
              <w:ind w:right="112"/>
              <w:spacing w:after="0" w:line="202" w:lineRule="exact"/>
              <w:rPr>
                <w:sz w:val="20"/>
                <w:szCs w:val="20"/>
                <w:color w:val="auto"/>
              </w:rPr>
            </w:pPr>
            <w:r>
              <w:rPr>
                <w:rFonts w:ascii="Arial" w:cs="Arial" w:eastAsia="Arial" w:hAnsi="Arial"/>
                <w:sz w:val="18"/>
                <w:szCs w:val="18"/>
                <w:b w:val="1"/>
                <w:bCs w:val="1"/>
                <w:color w:val="auto"/>
              </w:rPr>
              <w:t>195</w:t>
            </w:r>
          </w:p>
        </w:tc>
        <w:tc>
          <w:tcPr>
            <w:tcW w:w="3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E5E5E5"/>
          </w:tcPr>
          <w:p>
            <w:pPr>
              <w:jc w:val="right"/>
              <w:ind w:right="112"/>
              <w:spacing w:after="0" w:line="202" w:lineRule="exact"/>
              <w:rPr>
                <w:sz w:val="20"/>
                <w:szCs w:val="20"/>
                <w:color w:val="auto"/>
              </w:rPr>
            </w:pPr>
            <w:r>
              <w:rPr>
                <w:rFonts w:ascii="Arial" w:cs="Arial" w:eastAsia="Arial" w:hAnsi="Arial"/>
                <w:sz w:val="18"/>
                <w:szCs w:val="18"/>
                <w:color w:val="auto"/>
              </w:rPr>
              <w:t>258</w:t>
            </w:r>
          </w:p>
        </w:tc>
        <w:tc>
          <w:tcPr>
            <w:tcW w:w="360" w:type="dxa"/>
            <w:vAlign w:val="bottom"/>
            <w:shd w:val="clear" w:color="auto" w:fill="E5E5E5"/>
          </w:tcPr>
          <w:p>
            <w:pPr>
              <w:ind w:left="160"/>
              <w:spacing w:after="0" w:line="202" w:lineRule="exact"/>
              <w:rPr>
                <w:sz w:val="20"/>
                <w:szCs w:val="20"/>
                <w:color w:val="auto"/>
              </w:rPr>
            </w:pPr>
            <w:r>
              <w:rPr>
                <w:rFonts w:ascii="Arial" w:cs="Arial" w:eastAsia="Arial" w:hAnsi="Arial"/>
                <w:sz w:val="18"/>
                <w:szCs w:val="18"/>
                <w:color w:val="auto"/>
              </w:rPr>
              <w:t>$</w:t>
            </w:r>
          </w:p>
        </w:tc>
        <w:tc>
          <w:tcPr>
            <w:tcW w:w="46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196</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Consists of benefits recognized due to the resolution of matters relating to grants from the government of Italy to our former memory business operations in Italy.</w:t>
      </w:r>
    </w:p>
    <w:p>
      <w:pPr>
        <w:spacing w:after="0" w:line="190" w:lineRule="exact"/>
        <w:rPr>
          <w:rFonts w:ascii="Arial" w:cs="Arial" w:eastAsia="Arial" w:hAnsi="Arial"/>
          <w:sz w:val="14"/>
          <w:szCs w:val="14"/>
          <w:color w:val="auto"/>
        </w:rPr>
      </w:pPr>
    </w:p>
    <w:p>
      <w:pPr>
        <w:ind w:left="340" w:right="240" w:hanging="332"/>
        <w:spacing w:after="0" w:line="231" w:lineRule="auto"/>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Consists of refunds of overpayments attributable to previously divested businesses and interest on refunds relating to settlements of audits of sales and use taxes paid to the State of Texas.</w:t>
      </w:r>
    </w:p>
    <w:p>
      <w:pPr>
        <w:spacing w:after="0" w:line="189" w:lineRule="exact"/>
        <w:rPr>
          <w:rFonts w:ascii="Arial" w:cs="Arial" w:eastAsia="Arial" w:hAnsi="Arial"/>
          <w:sz w:val="14"/>
          <w:szCs w:val="14"/>
          <w:color w:val="auto"/>
        </w:rPr>
      </w:pPr>
    </w:p>
    <w:p>
      <w:pPr>
        <w:ind w:left="340" w:right="120" w:hanging="332"/>
        <w:spacing w:after="0" w:line="272" w:lineRule="auto"/>
        <w:tabs>
          <w:tab w:leader="none" w:pos="340" w:val="left"/>
        </w:tabs>
        <w:numPr>
          <w:ilvl w:val="0"/>
          <w:numId w:val="22"/>
        </w:numPr>
        <w:rPr>
          <w:rFonts w:ascii="Arial" w:cs="Arial" w:eastAsia="Arial" w:hAnsi="Arial"/>
          <w:sz w:val="12"/>
          <w:szCs w:val="12"/>
          <w:color w:val="auto"/>
        </w:rPr>
      </w:pPr>
      <w:r>
        <w:rPr>
          <w:rFonts w:ascii="Arial" w:cs="Arial" w:eastAsia="Arial" w:hAnsi="Arial"/>
          <w:sz w:val="12"/>
          <w:szCs w:val="12"/>
          <w:color w:val="auto"/>
        </w:rPr>
        <w:t>Includes lease income of approximately $20 million per year, primarily from the purchaser of our former defense electronics business divested in 1997. As of December 31, 2007, the aggregate amount of non-cancellable future lease payments to be received from these leases is $81 million. These leases contain renewal options. Other also includes miscellaneous non-operational items such as interest income and expense related to non-investment items such as taxes, gains and losses for our proportionate share of the net income or loss of our limited partnerships accounted for under the equity method, gains and losses related to previously divested businesses, and gains and losses from currency exchange rate changes.</w:t>
      </w:r>
    </w:p>
    <w:p>
      <w:pPr>
        <w:spacing w:after="0" w:line="135"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Inventories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shd w:val="clear" w:color="auto" w:fill="E5E5E5"/>
          </w:tcPr>
          <w:p>
            <w:pPr>
              <w:spacing w:after="0"/>
              <w:rPr>
                <w:sz w:val="14"/>
                <w:szCs w:val="14"/>
                <w:color w:val="auto"/>
              </w:rPr>
            </w:pPr>
          </w:p>
        </w:tc>
        <w:tc>
          <w:tcPr>
            <w:tcW w:w="2980" w:type="dxa"/>
            <w:vAlign w:val="bottom"/>
            <w:shd w:val="clear" w:color="auto" w:fill="E5E5E5"/>
          </w:tcPr>
          <w:p>
            <w:pPr>
              <w:spacing w:after="0"/>
              <w:rPr>
                <w:sz w:val="14"/>
                <w:szCs w:val="14"/>
                <w:color w:val="auto"/>
              </w:rPr>
            </w:pPr>
          </w:p>
        </w:tc>
        <w:tc>
          <w:tcPr>
            <w:tcW w:w="4840" w:type="dxa"/>
            <w:vAlign w:val="bottom"/>
            <w:shd w:val="clear" w:color="auto" w:fill="E5E5E5"/>
          </w:tcPr>
          <w:p>
            <w:pPr>
              <w:spacing w:after="0"/>
              <w:rPr>
                <w:sz w:val="14"/>
                <w:szCs w:val="14"/>
                <w:color w:val="auto"/>
              </w:rPr>
            </w:pPr>
          </w:p>
        </w:tc>
        <w:tc>
          <w:tcPr>
            <w:tcW w:w="170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1560" w:type="dxa"/>
            <w:vAlign w:val="bottom"/>
            <w:tcBorders>
              <w:right w:val="single" w:sz="8" w:color="E5E5E5"/>
            </w:tcBorders>
            <w:gridSpan w:val="3"/>
            <w:shd w:val="clear" w:color="auto" w:fill="E5E5E5"/>
          </w:tcPr>
          <w:p>
            <w:pPr>
              <w:jc w:val="right"/>
              <w:ind w:right="332"/>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E5E5E5"/>
          </w:tcPr>
          <w:p>
            <w:pPr>
              <w:spacing w:after="0"/>
              <w:rPr>
                <w:sz w:val="17"/>
                <w:szCs w:val="17"/>
                <w:color w:val="auto"/>
              </w:rPr>
            </w:pPr>
          </w:p>
        </w:tc>
        <w:tc>
          <w:tcPr>
            <w:tcW w:w="2980" w:type="dxa"/>
            <w:vAlign w:val="bottom"/>
            <w:shd w:val="clear" w:color="auto" w:fill="E5E5E5"/>
          </w:tcPr>
          <w:p>
            <w:pPr>
              <w:spacing w:after="0"/>
              <w:rPr>
                <w:sz w:val="17"/>
                <w:szCs w:val="17"/>
                <w:color w:val="auto"/>
              </w:rPr>
            </w:pPr>
          </w:p>
        </w:tc>
        <w:tc>
          <w:tcPr>
            <w:tcW w:w="4840" w:type="dxa"/>
            <w:vAlign w:val="bottom"/>
            <w:shd w:val="clear" w:color="auto" w:fill="E5E5E5"/>
          </w:tcPr>
          <w:p>
            <w:pPr>
              <w:spacing w:after="0"/>
              <w:rPr>
                <w:sz w:val="17"/>
                <w:szCs w:val="17"/>
                <w:color w:val="auto"/>
              </w:rPr>
            </w:pPr>
          </w:p>
        </w:tc>
        <w:tc>
          <w:tcPr>
            <w:tcW w:w="1700" w:type="dxa"/>
            <w:vAlign w:val="bottom"/>
            <w:shd w:val="clear" w:color="auto" w:fill="E5E5E5"/>
          </w:tcPr>
          <w:p>
            <w:pPr>
              <w:spacing w:after="0"/>
              <w:rPr>
                <w:sz w:val="17"/>
                <w:szCs w:val="17"/>
                <w:color w:val="auto"/>
              </w:rPr>
            </w:pPr>
          </w:p>
        </w:tc>
        <w:tc>
          <w:tcPr>
            <w:tcW w:w="1020" w:type="dxa"/>
            <w:vAlign w:val="bottom"/>
            <w:gridSpan w:val="4"/>
            <w:shd w:val="clear" w:color="auto" w:fill="E5E5E5"/>
          </w:tcPr>
          <w:p>
            <w:pPr>
              <w:jc w:val="right"/>
              <w:ind w:right="256"/>
              <w:spacing w:after="0" w:line="202" w:lineRule="exact"/>
              <w:rPr>
                <w:sz w:val="20"/>
                <w:szCs w:val="20"/>
                <w:color w:val="auto"/>
              </w:rPr>
            </w:pPr>
            <w:r>
              <w:rPr>
                <w:rFonts w:ascii="Arial" w:cs="Arial" w:eastAsia="Arial" w:hAnsi="Arial"/>
                <w:sz w:val="18"/>
                <w:szCs w:val="18"/>
                <w:b w:val="1"/>
                <w:bCs w:val="1"/>
                <w:color w:val="auto"/>
              </w:rPr>
              <w:t>2007</w:t>
            </w:r>
          </w:p>
        </w:tc>
        <w:tc>
          <w:tcPr>
            <w:tcW w:w="860" w:type="dxa"/>
            <w:vAlign w:val="bottom"/>
            <w:tcBorders>
              <w:right w:val="single" w:sz="8" w:color="E5E5E5"/>
            </w:tcBorders>
            <w:gridSpan w:val="2"/>
            <w:shd w:val="clear" w:color="auto" w:fill="E5E5E5"/>
          </w:tcPr>
          <w:p>
            <w:pPr>
              <w:jc w:val="right"/>
              <w:ind w:right="192"/>
              <w:spacing w:after="0" w:line="202" w:lineRule="exact"/>
              <w:rPr>
                <w:sz w:val="20"/>
                <w:szCs w:val="20"/>
                <w:color w:val="auto"/>
              </w:rPr>
            </w:pPr>
            <w:r>
              <w:rPr>
                <w:rFonts w:ascii="Arial" w:cs="Arial" w:eastAsia="Arial" w:hAnsi="Arial"/>
                <w:sz w:val="18"/>
                <w:szCs w:val="18"/>
                <w:b w:val="1"/>
                <w:bCs w:val="1"/>
                <w:color w:val="auto"/>
              </w:rPr>
              <w:t>2006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7840" w:type="dxa"/>
            <w:vAlign w:val="bottom"/>
            <w:gridSpan w:val="3"/>
          </w:tcPr>
          <w:p>
            <w:pPr>
              <w:spacing w:after="0"/>
              <w:rPr>
                <w:sz w:val="20"/>
                <w:szCs w:val="20"/>
                <w:color w:val="auto"/>
              </w:rPr>
            </w:pPr>
            <w:r>
              <w:rPr>
                <w:rFonts w:ascii="Arial" w:cs="Arial" w:eastAsia="Arial" w:hAnsi="Arial"/>
                <w:sz w:val="18"/>
                <w:szCs w:val="18"/>
                <w:color w:val="auto"/>
              </w:rPr>
              <w:t>Raw materials and purchased parts</w:t>
            </w:r>
          </w:p>
        </w:tc>
        <w:tc>
          <w:tcPr>
            <w:tcW w:w="1700" w:type="dxa"/>
            <w:vAlign w:val="bottom"/>
          </w:tcPr>
          <w:p>
            <w:pPr>
              <w:spacing w:after="0"/>
              <w:rPr>
                <w:sz w:val="23"/>
                <w:szCs w:val="23"/>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ind w:right="76"/>
              <w:spacing w:after="0"/>
              <w:rPr>
                <w:sz w:val="20"/>
                <w:szCs w:val="20"/>
                <w:color w:val="auto"/>
              </w:rPr>
            </w:pPr>
            <w:r>
              <w:rPr>
                <w:rFonts w:ascii="Arial" w:cs="Arial" w:eastAsia="Arial" w:hAnsi="Arial"/>
                <w:sz w:val="18"/>
                <w:szCs w:val="18"/>
                <w:b w:val="1"/>
                <w:bCs w:val="1"/>
                <w:color w:val="auto"/>
              </w:rPr>
              <w:t>105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7840" w:type="dxa"/>
            <w:vAlign w:val="bottom"/>
            <w:gridSpan w:val="3"/>
            <w:shd w:val="clear" w:color="auto" w:fill="E5E5E5"/>
          </w:tcPr>
          <w:p>
            <w:pPr>
              <w:spacing w:after="0" w:line="202" w:lineRule="exact"/>
              <w:rPr>
                <w:sz w:val="20"/>
                <w:szCs w:val="20"/>
                <w:color w:val="auto"/>
              </w:rPr>
            </w:pPr>
            <w:r>
              <w:rPr>
                <w:rFonts w:ascii="Arial" w:cs="Arial" w:eastAsia="Arial" w:hAnsi="Arial"/>
                <w:sz w:val="18"/>
                <w:szCs w:val="18"/>
                <w:color w:val="auto"/>
              </w:rPr>
              <w:t>Work in process</w:t>
            </w:r>
          </w:p>
        </w:tc>
        <w:tc>
          <w:tcPr>
            <w:tcW w:w="17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700" w:type="dxa"/>
            <w:vAlign w:val="bottom"/>
            <w:shd w:val="clear" w:color="auto" w:fill="E5E5E5"/>
          </w:tcPr>
          <w:p>
            <w:pPr>
              <w:jc w:val="right"/>
              <w:ind w:right="76"/>
              <w:spacing w:after="0" w:line="202" w:lineRule="exact"/>
              <w:rPr>
                <w:sz w:val="20"/>
                <w:szCs w:val="20"/>
                <w:color w:val="auto"/>
              </w:rPr>
            </w:pPr>
            <w:r>
              <w:rPr>
                <w:rFonts w:ascii="Arial" w:cs="Arial" w:eastAsia="Arial" w:hAnsi="Arial"/>
                <w:sz w:val="18"/>
                <w:szCs w:val="18"/>
                <w:b w:val="1"/>
                <w:bCs w:val="1"/>
                <w:color w:val="auto"/>
              </w:rPr>
              <w:t>876</w:t>
            </w:r>
          </w:p>
        </w:tc>
        <w:tc>
          <w:tcPr>
            <w:tcW w:w="320" w:type="dxa"/>
            <w:vAlign w:val="bottom"/>
            <w:shd w:val="clear" w:color="auto" w:fill="E5E5E5"/>
          </w:tcPr>
          <w:p>
            <w:pPr>
              <w:spacing w:after="0"/>
              <w:rPr>
                <w:sz w:val="17"/>
                <w:szCs w:val="17"/>
                <w:color w:val="auto"/>
              </w:rPr>
            </w:pPr>
          </w:p>
        </w:tc>
        <w:tc>
          <w:tcPr>
            <w:tcW w:w="540" w:type="dxa"/>
            <w:vAlign w:val="bottom"/>
            <w:tcBorders>
              <w:right w:val="single" w:sz="8" w:color="E5E5E5"/>
            </w:tcBorders>
            <w:shd w:val="clear" w:color="auto" w:fill="E5E5E5"/>
          </w:tcPr>
          <w:p>
            <w:pPr>
              <w:jc w:val="right"/>
              <w:spacing w:after="0" w:line="202" w:lineRule="exact"/>
              <w:rPr>
                <w:sz w:val="20"/>
                <w:szCs w:val="20"/>
                <w:color w:val="auto"/>
              </w:rPr>
            </w:pPr>
            <w:r>
              <w:rPr>
                <w:rFonts w:ascii="Arial" w:cs="Arial" w:eastAsia="Arial" w:hAnsi="Arial"/>
                <w:sz w:val="18"/>
                <w:szCs w:val="18"/>
                <w:color w:val="auto"/>
              </w:rPr>
              <w:t>930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840" w:type="dxa"/>
            <w:vAlign w:val="bottom"/>
            <w:gridSpan w:val="3"/>
          </w:tcPr>
          <w:p>
            <w:pPr>
              <w:spacing w:after="0" w:line="202" w:lineRule="exact"/>
              <w:rPr>
                <w:sz w:val="20"/>
                <w:szCs w:val="20"/>
                <w:color w:val="auto"/>
              </w:rPr>
            </w:pPr>
            <w:r>
              <w:rPr>
                <w:rFonts w:ascii="Arial" w:cs="Arial" w:eastAsia="Arial" w:hAnsi="Arial"/>
                <w:sz w:val="18"/>
                <w:szCs w:val="18"/>
                <w:color w:val="auto"/>
              </w:rPr>
              <w:t>Finished goods</w:t>
            </w: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76"/>
              <w:spacing w:after="0" w:line="202" w:lineRule="exact"/>
              <w:rPr>
                <w:sz w:val="20"/>
                <w:szCs w:val="20"/>
                <w:color w:val="auto"/>
              </w:rPr>
            </w:pPr>
            <w:r>
              <w:rPr>
                <w:rFonts w:ascii="Arial" w:cs="Arial" w:eastAsia="Arial" w:hAnsi="Arial"/>
                <w:sz w:val="18"/>
                <w:szCs w:val="18"/>
                <w:b w:val="1"/>
                <w:bCs w:val="1"/>
                <w:color w:val="auto"/>
              </w:rPr>
              <w:t>437</w:t>
            </w:r>
          </w:p>
        </w:tc>
        <w:tc>
          <w:tcPr>
            <w:tcW w:w="3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840" w:type="dxa"/>
            <w:vAlign w:val="bottom"/>
            <w:gridSpan w:val="3"/>
            <w:shd w:val="clear" w:color="auto" w:fill="E5E5E5"/>
          </w:tcPr>
          <w:p>
            <w:pPr>
              <w:spacing w:after="0" w:line="202" w:lineRule="exact"/>
              <w:rPr>
                <w:sz w:val="20"/>
                <w:szCs w:val="20"/>
                <w:color w:val="auto"/>
              </w:rPr>
            </w:pPr>
            <w:r>
              <w:rPr>
                <w:rFonts w:ascii="Arial" w:cs="Arial" w:eastAsia="Arial" w:hAnsi="Arial"/>
                <w:sz w:val="18"/>
                <w:szCs w:val="18"/>
                <w:color w:val="auto"/>
              </w:rPr>
              <w:t>Total</w:t>
            </w:r>
          </w:p>
        </w:tc>
        <w:tc>
          <w:tcPr>
            <w:tcW w:w="17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700" w:type="dxa"/>
            <w:vAlign w:val="bottom"/>
            <w:shd w:val="clear" w:color="auto" w:fill="E5E5E5"/>
          </w:tcPr>
          <w:p>
            <w:pPr>
              <w:jc w:val="right"/>
              <w:ind w:right="76"/>
              <w:spacing w:after="0" w:line="202" w:lineRule="exact"/>
              <w:rPr>
                <w:sz w:val="20"/>
                <w:szCs w:val="20"/>
                <w:color w:val="auto"/>
              </w:rPr>
            </w:pPr>
            <w:r>
              <w:rPr>
                <w:rFonts w:ascii="Arial" w:cs="Arial" w:eastAsia="Arial" w:hAnsi="Arial"/>
                <w:sz w:val="18"/>
                <w:szCs w:val="18"/>
                <w:b w:val="1"/>
                <w:bCs w:val="1"/>
                <w:color w:val="auto"/>
              </w:rPr>
              <w:t>1,418</w:t>
            </w:r>
          </w:p>
        </w:tc>
        <w:tc>
          <w:tcPr>
            <w:tcW w:w="3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tcBorders>
              <w:right w:val="single" w:sz="8" w:color="E5E5E5"/>
            </w:tcBorders>
            <w:shd w:val="clear" w:color="auto" w:fill="E5E5E5"/>
          </w:tcPr>
          <w:p>
            <w:pPr>
              <w:jc w:val="right"/>
              <w:spacing w:after="0" w:line="202" w:lineRule="exact"/>
              <w:rPr>
                <w:sz w:val="20"/>
                <w:szCs w:val="20"/>
                <w:color w:val="auto"/>
              </w:rPr>
            </w:pPr>
            <w:r>
              <w:rPr>
                <w:rFonts w:ascii="Arial" w:cs="Arial" w:eastAsia="Arial" w:hAnsi="Arial"/>
                <w:sz w:val="18"/>
                <w:szCs w:val="18"/>
                <w:color w:val="auto"/>
              </w:rPr>
              <w:t>1,437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40" w:type="dxa"/>
            <w:vAlign w:val="bottom"/>
            <w:gridSpan w:val="3"/>
            <w:vMerge w:val="restart"/>
          </w:tcPr>
          <w:p>
            <w:pPr>
              <w:ind w:left="20"/>
              <w:spacing w:after="0"/>
              <w:rPr>
                <w:sz w:val="20"/>
                <w:szCs w:val="20"/>
                <w:color w:val="auto"/>
              </w:rPr>
            </w:pPr>
            <w:r>
              <w:rPr>
                <w:rFonts w:ascii="Arial" w:cs="Arial" w:eastAsia="Arial" w:hAnsi="Arial"/>
                <w:sz w:val="18"/>
                <w:szCs w:val="18"/>
                <w:color w:val="auto"/>
              </w:rPr>
              <w:t>Property, Plant and Equipment at Cost</w:t>
            </w: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7840" w:type="dxa"/>
            <w:vAlign w:val="bottom"/>
            <w:gridSpan w:val="3"/>
            <w:vMerge w:val="continue"/>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80" w:type="dxa"/>
            <w:vAlign w:val="bottom"/>
            <w:tcBorders>
              <w:top w:val="single" w:sz="8" w:color="auto"/>
            </w:tcBorders>
          </w:tcPr>
          <w:p>
            <w:pPr>
              <w:spacing w:after="0"/>
              <w:rPr>
                <w:sz w:val="18"/>
                <w:szCs w:val="18"/>
                <w:color w:val="auto"/>
              </w:rPr>
            </w:pPr>
          </w:p>
        </w:tc>
        <w:tc>
          <w:tcPr>
            <w:tcW w:w="48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E5E5E5"/>
          </w:tcPr>
          <w:p>
            <w:pPr>
              <w:spacing w:after="0"/>
              <w:rPr>
                <w:sz w:val="12"/>
                <w:szCs w:val="12"/>
                <w:color w:val="auto"/>
              </w:rPr>
            </w:pPr>
          </w:p>
        </w:tc>
        <w:tc>
          <w:tcPr>
            <w:tcW w:w="2980" w:type="dxa"/>
            <w:vAlign w:val="bottom"/>
            <w:shd w:val="clear" w:color="auto" w:fill="E5E5E5"/>
          </w:tcPr>
          <w:p>
            <w:pPr>
              <w:spacing w:after="0"/>
              <w:rPr>
                <w:sz w:val="12"/>
                <w:szCs w:val="12"/>
                <w:color w:val="auto"/>
              </w:rPr>
            </w:pPr>
          </w:p>
        </w:tc>
        <w:tc>
          <w:tcPr>
            <w:tcW w:w="4840" w:type="dxa"/>
            <w:vAlign w:val="bottom"/>
            <w:shd w:val="clear" w:color="auto" w:fill="E5E5E5"/>
          </w:tcPr>
          <w:p>
            <w:pPr>
              <w:spacing w:after="0"/>
              <w:rPr>
                <w:sz w:val="12"/>
                <w:szCs w:val="12"/>
                <w:color w:val="auto"/>
              </w:rPr>
            </w:pPr>
          </w:p>
        </w:tc>
        <w:tc>
          <w:tcPr>
            <w:tcW w:w="1700" w:type="dxa"/>
            <w:vAlign w:val="bottom"/>
            <w:shd w:val="clear" w:color="auto" w:fill="E5E5E5"/>
          </w:tcPr>
          <w:p>
            <w:pPr>
              <w:spacing w:after="0"/>
              <w:rPr>
                <w:sz w:val="12"/>
                <w:szCs w:val="12"/>
                <w:color w:val="auto"/>
              </w:rPr>
            </w:pPr>
          </w:p>
        </w:tc>
        <w:tc>
          <w:tcPr>
            <w:tcW w:w="120" w:type="dxa"/>
            <w:vAlign w:val="bottom"/>
            <w:shd w:val="clear" w:color="auto" w:fill="E5E5E5"/>
          </w:tcPr>
          <w:p>
            <w:pPr>
              <w:spacing w:after="0"/>
              <w:rPr>
                <w:sz w:val="12"/>
                <w:szCs w:val="12"/>
                <w:color w:val="auto"/>
              </w:rPr>
            </w:pPr>
          </w:p>
        </w:tc>
        <w:tc>
          <w:tcPr>
            <w:tcW w:w="100" w:type="dxa"/>
            <w:vAlign w:val="bottom"/>
            <w:shd w:val="clear" w:color="auto" w:fill="E5E5E5"/>
          </w:tcPr>
          <w:p>
            <w:pPr>
              <w:spacing w:after="0"/>
              <w:rPr>
                <w:sz w:val="12"/>
                <w:szCs w:val="12"/>
                <w:color w:val="auto"/>
              </w:rPr>
            </w:pPr>
          </w:p>
        </w:tc>
        <w:tc>
          <w:tcPr>
            <w:tcW w:w="100" w:type="dxa"/>
            <w:vAlign w:val="bottom"/>
            <w:shd w:val="clear" w:color="auto" w:fill="E5E5E5"/>
          </w:tcPr>
          <w:p>
            <w:pPr>
              <w:spacing w:after="0"/>
              <w:rPr>
                <w:sz w:val="12"/>
                <w:szCs w:val="12"/>
                <w:color w:val="auto"/>
              </w:rPr>
            </w:pPr>
          </w:p>
        </w:tc>
        <w:tc>
          <w:tcPr>
            <w:tcW w:w="1560" w:type="dxa"/>
            <w:vAlign w:val="bottom"/>
            <w:tcBorders>
              <w:right w:val="single" w:sz="8" w:color="E5E5E5"/>
            </w:tcBorders>
            <w:gridSpan w:val="3"/>
            <w:shd w:val="clear" w:color="auto" w:fill="E5E5E5"/>
          </w:tcPr>
          <w:p>
            <w:pPr>
              <w:jc w:val="right"/>
              <w:ind w:right="392"/>
              <w:spacing w:after="0" w:line="149" w:lineRule="exact"/>
              <w:rPr>
                <w:sz w:val="20"/>
                <w:szCs w:val="20"/>
                <w:color w:val="auto"/>
              </w:rPr>
            </w:pPr>
            <w:r>
              <w:rPr>
                <w:rFonts w:ascii="Arial" w:cs="Arial" w:eastAsia="Arial" w:hAnsi="Arial"/>
                <w:sz w:val="14"/>
                <w:szCs w:val="14"/>
                <w:b w:val="1"/>
                <w:bCs w:val="1"/>
                <w:color w:val="auto"/>
              </w:rPr>
              <w:t>December 31,</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E5E5E5"/>
          </w:tcPr>
          <w:p>
            <w:pPr>
              <w:spacing w:after="0"/>
              <w:rPr>
                <w:sz w:val="17"/>
                <w:szCs w:val="17"/>
                <w:color w:val="auto"/>
              </w:rPr>
            </w:pPr>
          </w:p>
        </w:tc>
        <w:tc>
          <w:tcPr>
            <w:tcW w:w="2980" w:type="dxa"/>
            <w:vAlign w:val="bottom"/>
            <w:shd w:val="clear" w:color="auto" w:fill="E5E5E5"/>
          </w:tcPr>
          <w:p>
            <w:pPr>
              <w:spacing w:after="0"/>
              <w:rPr>
                <w:sz w:val="17"/>
                <w:szCs w:val="17"/>
                <w:color w:val="auto"/>
              </w:rPr>
            </w:pPr>
          </w:p>
        </w:tc>
        <w:tc>
          <w:tcPr>
            <w:tcW w:w="4840" w:type="dxa"/>
            <w:vAlign w:val="bottom"/>
            <w:shd w:val="clear" w:color="auto" w:fill="E5E5E5"/>
          </w:tcPr>
          <w:p>
            <w:pPr>
              <w:spacing w:after="0"/>
              <w:rPr>
                <w:sz w:val="17"/>
                <w:szCs w:val="17"/>
                <w:color w:val="auto"/>
              </w:rPr>
            </w:pPr>
          </w:p>
        </w:tc>
        <w:tc>
          <w:tcPr>
            <w:tcW w:w="1700" w:type="dxa"/>
            <w:vAlign w:val="bottom"/>
            <w:shd w:val="clear" w:color="auto" w:fill="E5E5E5"/>
          </w:tcPr>
          <w:p>
            <w:pPr>
              <w:jc w:val="center"/>
              <w:ind w:left="40"/>
              <w:spacing w:after="0"/>
              <w:rPr>
                <w:sz w:val="20"/>
                <w:szCs w:val="20"/>
                <w:color w:val="auto"/>
              </w:rPr>
            </w:pPr>
            <w:r>
              <w:rPr>
                <w:rFonts w:ascii="Arial" w:cs="Arial" w:eastAsia="Arial" w:hAnsi="Arial"/>
                <w:sz w:val="14"/>
                <w:szCs w:val="14"/>
                <w:b w:val="1"/>
                <w:bCs w:val="1"/>
                <w:color w:val="auto"/>
                <w:w w:val="95"/>
              </w:rPr>
              <w:t>Depreciable Lives</w:t>
            </w:r>
          </w:p>
        </w:tc>
        <w:tc>
          <w:tcPr>
            <w:tcW w:w="1020" w:type="dxa"/>
            <w:vAlign w:val="bottom"/>
            <w:gridSpan w:val="4"/>
            <w:shd w:val="clear" w:color="auto" w:fill="E5E5E5"/>
          </w:tcPr>
          <w:p>
            <w:pPr>
              <w:jc w:val="right"/>
              <w:ind w:right="356"/>
              <w:spacing w:after="0" w:line="202" w:lineRule="exact"/>
              <w:rPr>
                <w:sz w:val="20"/>
                <w:szCs w:val="20"/>
                <w:color w:val="auto"/>
              </w:rPr>
            </w:pPr>
            <w:r>
              <w:rPr>
                <w:rFonts w:ascii="Arial" w:cs="Arial" w:eastAsia="Arial" w:hAnsi="Arial"/>
                <w:sz w:val="18"/>
                <w:szCs w:val="18"/>
                <w:b w:val="1"/>
                <w:bCs w:val="1"/>
                <w:color w:val="auto"/>
              </w:rPr>
              <w:t>2007</w:t>
            </w:r>
          </w:p>
        </w:tc>
        <w:tc>
          <w:tcPr>
            <w:tcW w:w="860" w:type="dxa"/>
            <w:vAlign w:val="bottom"/>
            <w:tcBorders>
              <w:right w:val="single" w:sz="8" w:color="E5E5E5"/>
            </w:tcBorders>
            <w:gridSpan w:val="2"/>
            <w:shd w:val="clear" w:color="auto" w:fill="E5E5E5"/>
          </w:tcPr>
          <w:p>
            <w:pPr>
              <w:jc w:val="right"/>
              <w:ind w:right="192"/>
              <w:spacing w:after="0" w:line="202" w:lineRule="exact"/>
              <w:rPr>
                <w:sz w:val="20"/>
                <w:szCs w:val="20"/>
                <w:color w:val="auto"/>
              </w:rPr>
            </w:pPr>
            <w:r>
              <w:rPr>
                <w:rFonts w:ascii="Arial" w:cs="Arial" w:eastAsia="Arial" w:hAnsi="Arial"/>
                <w:sz w:val="18"/>
                <w:szCs w:val="18"/>
                <w:b w:val="1"/>
                <w:bCs w:val="1"/>
                <w:color w:val="auto"/>
              </w:rPr>
              <w:t>2006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40" w:type="dxa"/>
            <w:vAlign w:val="bottom"/>
            <w:gridSpan w:val="3"/>
          </w:tcPr>
          <w:p>
            <w:pPr>
              <w:spacing w:after="0" w:line="202" w:lineRule="exact"/>
              <w:rPr>
                <w:sz w:val="20"/>
                <w:szCs w:val="20"/>
                <w:color w:val="auto"/>
              </w:rPr>
            </w:pPr>
            <w:r>
              <w:rPr>
                <w:rFonts w:ascii="Arial" w:cs="Arial" w:eastAsia="Arial" w:hAnsi="Arial"/>
                <w:sz w:val="18"/>
                <w:szCs w:val="18"/>
                <w:color w:val="auto"/>
              </w:rPr>
              <w:t>Land</w:t>
            </w:r>
          </w:p>
        </w:tc>
        <w:tc>
          <w:tcPr>
            <w:tcW w:w="1700" w:type="dxa"/>
            <w:vAlign w:val="bottom"/>
          </w:tcPr>
          <w:p>
            <w:pPr>
              <w:ind w:left="760"/>
              <w:spacing w:after="0" w:line="202" w:lineRule="exact"/>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7"/>
                <w:szCs w:val="17"/>
                <w:color w:val="auto"/>
              </w:rPr>
            </w:pPr>
          </w:p>
        </w:tc>
        <w:tc>
          <w:tcPr>
            <w:tcW w:w="700" w:type="dxa"/>
            <w:vAlign w:val="bottom"/>
          </w:tcPr>
          <w:p>
            <w:pPr>
              <w:jc w:val="right"/>
              <w:ind w:right="176"/>
              <w:spacing w:after="0" w:line="202" w:lineRule="exact"/>
              <w:rPr>
                <w:sz w:val="20"/>
                <w:szCs w:val="20"/>
                <w:color w:val="auto"/>
              </w:rPr>
            </w:pPr>
            <w:r>
              <w:rPr>
                <w:rFonts w:ascii="Arial" w:cs="Arial" w:eastAsia="Arial" w:hAnsi="Arial"/>
                <w:sz w:val="18"/>
                <w:szCs w:val="18"/>
                <w:b w:val="1"/>
                <w:bCs w:val="1"/>
                <w:color w:val="auto"/>
              </w:rPr>
              <w:t>82</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40" w:type="dxa"/>
            <w:vAlign w:val="bottom"/>
            <w:gridSpan w:val="3"/>
            <w:shd w:val="clear" w:color="auto" w:fill="E5E5E5"/>
          </w:tcPr>
          <w:p>
            <w:pPr>
              <w:spacing w:after="0" w:line="202" w:lineRule="exact"/>
              <w:rPr>
                <w:sz w:val="20"/>
                <w:szCs w:val="20"/>
                <w:color w:val="auto"/>
              </w:rPr>
            </w:pPr>
            <w:r>
              <w:rPr>
                <w:rFonts w:ascii="Arial" w:cs="Arial" w:eastAsia="Arial" w:hAnsi="Arial"/>
                <w:sz w:val="18"/>
                <w:szCs w:val="18"/>
                <w:color w:val="auto"/>
              </w:rPr>
              <w:t>Buildings and improvements</w:t>
            </w:r>
          </w:p>
        </w:tc>
        <w:tc>
          <w:tcPr>
            <w:tcW w:w="1700" w:type="dxa"/>
            <w:vAlign w:val="bottom"/>
            <w:shd w:val="clear" w:color="auto" w:fill="E5E5E5"/>
          </w:tcPr>
          <w:p>
            <w:pPr>
              <w:jc w:val="center"/>
              <w:ind w:left="40"/>
              <w:spacing w:after="0" w:line="202" w:lineRule="exact"/>
              <w:rPr>
                <w:sz w:val="20"/>
                <w:szCs w:val="20"/>
                <w:color w:val="auto"/>
              </w:rPr>
            </w:pPr>
            <w:r>
              <w:rPr>
                <w:rFonts w:ascii="Arial" w:cs="Arial" w:eastAsia="Arial" w:hAnsi="Arial"/>
                <w:sz w:val="18"/>
                <w:szCs w:val="18"/>
                <w:color w:val="auto"/>
                <w:w w:val="96"/>
              </w:rPr>
              <w:t>5-40 years</w:t>
            </w:r>
          </w:p>
        </w:tc>
        <w:tc>
          <w:tcPr>
            <w:tcW w:w="1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700" w:type="dxa"/>
            <w:vAlign w:val="bottom"/>
            <w:shd w:val="clear" w:color="auto" w:fill="E5E5E5"/>
          </w:tcPr>
          <w:p>
            <w:pPr>
              <w:jc w:val="right"/>
              <w:ind w:right="176"/>
              <w:spacing w:after="0" w:line="202" w:lineRule="exact"/>
              <w:rPr>
                <w:sz w:val="20"/>
                <w:szCs w:val="20"/>
                <w:color w:val="auto"/>
              </w:rPr>
            </w:pPr>
            <w:r>
              <w:rPr>
                <w:rFonts w:ascii="Arial" w:cs="Arial" w:eastAsia="Arial" w:hAnsi="Arial"/>
                <w:sz w:val="18"/>
                <w:szCs w:val="18"/>
                <w:b w:val="1"/>
                <w:bCs w:val="1"/>
                <w:color w:val="auto"/>
                <w:w w:val="93"/>
              </w:rPr>
              <w:t>2,895</w:t>
            </w:r>
          </w:p>
        </w:tc>
        <w:tc>
          <w:tcPr>
            <w:tcW w:w="320" w:type="dxa"/>
            <w:vAlign w:val="bottom"/>
            <w:shd w:val="clear" w:color="auto" w:fill="E5E5E5"/>
          </w:tcPr>
          <w:p>
            <w:pPr>
              <w:spacing w:after="0"/>
              <w:rPr>
                <w:sz w:val="17"/>
                <w:szCs w:val="17"/>
                <w:color w:val="auto"/>
              </w:rPr>
            </w:pPr>
          </w:p>
        </w:tc>
        <w:tc>
          <w:tcPr>
            <w:tcW w:w="540" w:type="dxa"/>
            <w:vAlign w:val="bottom"/>
            <w:tcBorders>
              <w:right w:val="single" w:sz="8" w:color="E5E5E5"/>
            </w:tcBorders>
            <w:shd w:val="clear" w:color="auto" w:fill="E5E5E5"/>
          </w:tcPr>
          <w:p>
            <w:pPr>
              <w:jc w:val="right"/>
              <w:spacing w:after="0" w:line="202" w:lineRule="exact"/>
              <w:rPr>
                <w:sz w:val="20"/>
                <w:szCs w:val="20"/>
                <w:color w:val="auto"/>
              </w:rPr>
            </w:pPr>
            <w:r>
              <w:rPr>
                <w:rFonts w:ascii="Arial" w:cs="Arial" w:eastAsia="Arial" w:hAnsi="Arial"/>
                <w:sz w:val="18"/>
                <w:szCs w:val="18"/>
                <w:color w:val="auto"/>
              </w:rPr>
              <w:t>2,890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840" w:type="dxa"/>
            <w:vAlign w:val="bottom"/>
            <w:gridSpan w:val="3"/>
          </w:tcPr>
          <w:p>
            <w:pPr>
              <w:spacing w:after="0" w:line="202" w:lineRule="exact"/>
              <w:rPr>
                <w:sz w:val="20"/>
                <w:szCs w:val="20"/>
                <w:color w:val="auto"/>
              </w:rPr>
            </w:pPr>
            <w:r>
              <w:rPr>
                <w:rFonts w:ascii="Arial" w:cs="Arial" w:eastAsia="Arial" w:hAnsi="Arial"/>
                <w:sz w:val="18"/>
                <w:szCs w:val="18"/>
                <w:color w:val="auto"/>
              </w:rPr>
              <w:t>Machinery and equipment</w:t>
            </w:r>
          </w:p>
        </w:tc>
        <w:tc>
          <w:tcPr>
            <w:tcW w:w="1700" w:type="dxa"/>
            <w:vAlign w:val="bottom"/>
          </w:tcPr>
          <w:p>
            <w:pPr>
              <w:jc w:val="center"/>
              <w:ind w:left="40"/>
              <w:spacing w:after="0" w:line="202" w:lineRule="exact"/>
              <w:rPr>
                <w:sz w:val="20"/>
                <w:szCs w:val="20"/>
                <w:color w:val="auto"/>
              </w:rPr>
            </w:pPr>
            <w:r>
              <w:rPr>
                <w:rFonts w:ascii="Arial" w:cs="Arial" w:eastAsia="Arial" w:hAnsi="Arial"/>
                <w:sz w:val="18"/>
                <w:szCs w:val="18"/>
                <w:color w:val="auto"/>
                <w:w w:val="96"/>
              </w:rPr>
              <w:t>3-10 years</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6"/>
              <w:spacing w:after="0" w:line="202" w:lineRule="exact"/>
              <w:rPr>
                <w:sz w:val="20"/>
                <w:szCs w:val="20"/>
                <w:color w:val="auto"/>
              </w:rPr>
            </w:pPr>
            <w:r>
              <w:rPr>
                <w:rFonts w:ascii="Arial" w:cs="Arial" w:eastAsia="Arial" w:hAnsi="Arial"/>
                <w:sz w:val="18"/>
                <w:szCs w:val="18"/>
                <w:b w:val="1"/>
                <w:bCs w:val="1"/>
                <w:color w:val="auto"/>
                <w:w w:val="93"/>
              </w:rPr>
              <w:t>4,591</w:t>
            </w:r>
          </w:p>
        </w:tc>
        <w:tc>
          <w:tcPr>
            <w:tcW w:w="3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4,779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840" w:type="dxa"/>
            <w:vAlign w:val="bottom"/>
            <w:gridSpan w:val="3"/>
            <w:shd w:val="clear" w:color="auto" w:fill="E5E5E5"/>
          </w:tcPr>
          <w:p>
            <w:pPr>
              <w:spacing w:after="0" w:line="202" w:lineRule="exact"/>
              <w:rPr>
                <w:sz w:val="20"/>
                <w:szCs w:val="20"/>
                <w:color w:val="auto"/>
              </w:rPr>
            </w:pPr>
            <w:r>
              <w:rPr>
                <w:rFonts w:ascii="Arial" w:cs="Arial" w:eastAsia="Arial" w:hAnsi="Arial"/>
                <w:sz w:val="18"/>
                <w:szCs w:val="18"/>
                <w:color w:val="auto"/>
              </w:rPr>
              <w:t>Total</w:t>
            </w:r>
          </w:p>
        </w:tc>
        <w:tc>
          <w:tcPr>
            <w:tcW w:w="17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00" w:type="dxa"/>
            <w:vAlign w:val="bottom"/>
            <w:shd w:val="clear" w:color="auto" w:fill="E5E5E5"/>
          </w:tcPr>
          <w:p>
            <w:pPr>
              <w:jc w:val="right"/>
              <w:spacing w:after="0"/>
              <w:rPr>
                <w:sz w:val="20"/>
                <w:szCs w:val="20"/>
                <w:color w:val="auto"/>
              </w:rPr>
            </w:pPr>
            <w:r>
              <w:rPr>
                <w:rFonts w:ascii="Arial" w:cs="Arial" w:eastAsia="Arial" w:hAnsi="Arial"/>
                <w:sz w:val="15"/>
                <w:szCs w:val="15"/>
                <w:b w:val="1"/>
                <w:bCs w:val="1"/>
                <w:color w:val="auto"/>
                <w:w w:val="71"/>
              </w:rPr>
              <w:t>$</w:t>
            </w:r>
          </w:p>
        </w:tc>
        <w:tc>
          <w:tcPr>
            <w:tcW w:w="100" w:type="dxa"/>
            <w:vAlign w:val="bottom"/>
            <w:shd w:val="clear" w:color="auto" w:fill="E5E5E5"/>
          </w:tcPr>
          <w:p>
            <w:pPr>
              <w:spacing w:after="0"/>
              <w:rPr>
                <w:sz w:val="17"/>
                <w:szCs w:val="17"/>
                <w:color w:val="auto"/>
              </w:rPr>
            </w:pPr>
          </w:p>
        </w:tc>
        <w:tc>
          <w:tcPr>
            <w:tcW w:w="700" w:type="dxa"/>
            <w:vAlign w:val="bottom"/>
            <w:shd w:val="clear" w:color="auto" w:fill="E5E5E5"/>
          </w:tcPr>
          <w:p>
            <w:pPr>
              <w:jc w:val="right"/>
              <w:ind w:right="176"/>
              <w:spacing w:after="0" w:line="202" w:lineRule="exact"/>
              <w:rPr>
                <w:sz w:val="20"/>
                <w:szCs w:val="20"/>
                <w:color w:val="auto"/>
              </w:rPr>
            </w:pPr>
            <w:r>
              <w:rPr>
                <w:rFonts w:ascii="Arial" w:cs="Arial" w:eastAsia="Arial" w:hAnsi="Arial"/>
                <w:sz w:val="18"/>
                <w:szCs w:val="18"/>
                <w:b w:val="1"/>
                <w:bCs w:val="1"/>
                <w:color w:val="auto"/>
                <w:w w:val="93"/>
              </w:rPr>
              <w:t>7,568</w:t>
            </w:r>
          </w:p>
        </w:tc>
        <w:tc>
          <w:tcPr>
            <w:tcW w:w="3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tcBorders>
              <w:right w:val="single" w:sz="8" w:color="E5E5E5"/>
            </w:tcBorders>
            <w:shd w:val="clear" w:color="auto" w:fill="E5E5E5"/>
          </w:tcPr>
          <w:p>
            <w:pPr>
              <w:jc w:val="right"/>
              <w:spacing w:after="0" w:line="202" w:lineRule="exact"/>
              <w:rPr>
                <w:sz w:val="20"/>
                <w:szCs w:val="20"/>
                <w:color w:val="auto"/>
              </w:rPr>
            </w:pPr>
            <w:r>
              <w:rPr>
                <w:rFonts w:ascii="Arial" w:cs="Arial" w:eastAsia="Arial" w:hAnsi="Arial"/>
                <w:sz w:val="18"/>
                <w:szCs w:val="18"/>
                <w:color w:val="auto"/>
              </w:rPr>
              <w:t>7,751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760" w:type="dxa"/>
            <w:vAlign w:val="bottom"/>
            <w:tcBorders>
              <w:top w:val="single" w:sz="8" w:color="auto"/>
              <w:bottom w:val="single" w:sz="8" w:color="auto"/>
            </w:tcBorders>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000" w:type="dxa"/>
            <w:vAlign w:val="bottom"/>
            <w:gridSpan w:val="2"/>
          </w:tcPr>
          <w:p>
            <w:pPr>
              <w:spacing w:after="0"/>
              <w:rPr>
                <w:sz w:val="20"/>
                <w:szCs w:val="20"/>
                <w:color w:val="auto"/>
              </w:rPr>
            </w:pPr>
            <w:r>
              <w:rPr>
                <w:rFonts w:ascii="Arial" w:cs="Arial" w:eastAsia="Arial" w:hAnsi="Arial"/>
                <w:sz w:val="14"/>
                <w:szCs w:val="14"/>
                <w:color w:val="auto"/>
              </w:rPr>
              <w:t>38</w:t>
            </w:r>
          </w:p>
        </w:tc>
        <w:tc>
          <w:tcPr>
            <w:tcW w:w="4840" w:type="dxa"/>
            <w:vAlign w:val="bottom"/>
          </w:tcPr>
          <w:p>
            <w:pPr>
              <w:spacing w:after="0"/>
              <w:rPr>
                <w:sz w:val="24"/>
                <w:szCs w:val="24"/>
                <w:color w:val="auto"/>
              </w:rPr>
            </w:pPr>
          </w:p>
        </w:tc>
        <w:tc>
          <w:tcPr>
            <w:tcW w:w="3600" w:type="dxa"/>
            <w:vAlign w:val="bottom"/>
            <w:gridSpan w:val="8"/>
          </w:tcPr>
          <w:p>
            <w:pPr>
              <w:ind w:left="600"/>
              <w:spacing w:after="0"/>
              <w:rPr>
                <w:sz w:val="20"/>
                <w:szCs w:val="20"/>
                <w:color w:val="auto"/>
              </w:rPr>
            </w:pPr>
            <w:r>
              <w:rPr>
                <w:rFonts w:ascii="Arial" w:cs="Arial" w:eastAsia="Arial" w:hAnsi="Arial"/>
                <w:sz w:val="14"/>
                <w:szCs w:val="14"/>
                <w:color w:val="auto"/>
                <w:w w:val="96"/>
              </w:rPr>
              <w:t>TEXAS INSTRUMENTS 2007 ANNUAL REPORT</w:t>
            </w:r>
          </w:p>
        </w:tc>
        <w:tc>
          <w:tcPr>
            <w:tcW w:w="0" w:type="dxa"/>
            <w:vAlign w:val="bottom"/>
          </w:tcPr>
          <w:p>
            <w:pPr>
              <w:spacing w:after="0"/>
              <w:rPr>
                <w:sz w:val="1"/>
                <w:szCs w:val="1"/>
                <w:color w:val="auto"/>
              </w:rPr>
            </w:pPr>
          </w:p>
        </w:tc>
      </w:tr>
    </w:tbl>
    <w:p>
      <w:pPr>
        <w:sectPr>
          <w:pgSz w:w="11900" w:h="16838" w:orient="portrait"/>
          <w:cols w:equalWidth="0" w:num="1">
            <w:col w:w="11420"/>
          </w:cols>
          <w:pgMar w:left="240" w:top="291" w:right="239" w:bottom="1440" w:gutter="0" w:footer="0" w:header="0"/>
        </w:sectPr>
      </w:pPr>
    </w:p>
    <w:bookmarkStart w:id="58" w:name="page59"/>
    <w:bookmarkEnd w:id="58"/>
    <w:p>
      <w:pPr>
        <w:ind w:left="20" w:right="2200"/>
        <w:spacing w:after="0" w:line="42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Authorizations for property, plant and equipment expenditures in future years were $416 million at December 31, 2007. </w:t>
      </w:r>
      <w:r>
        <w:rPr>
          <w:rFonts w:ascii="Arial" w:cs="Arial" w:eastAsia="Arial" w:hAnsi="Arial"/>
          <w:sz w:val="18"/>
          <w:szCs w:val="18"/>
          <w:u w:val="single" w:color="auto"/>
          <w:color w:val="auto"/>
        </w:rPr>
        <w:t>Accrued Expenses and Other Liabilities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shd w:val="clear" w:color="auto" w:fill="E5E5E5"/>
          </w:tcPr>
          <w:p>
            <w:pPr>
              <w:spacing w:after="0"/>
              <w:rPr>
                <w:sz w:val="14"/>
                <w:szCs w:val="14"/>
                <w:color w:val="auto"/>
              </w:rPr>
            </w:pPr>
          </w:p>
        </w:tc>
        <w:tc>
          <w:tcPr>
            <w:tcW w:w="3200" w:type="dxa"/>
            <w:vAlign w:val="bottom"/>
            <w:shd w:val="clear" w:color="auto" w:fill="E5E5E5"/>
          </w:tcPr>
          <w:p>
            <w:pPr>
              <w:spacing w:after="0"/>
              <w:rPr>
                <w:sz w:val="14"/>
                <w:szCs w:val="14"/>
                <w:color w:val="auto"/>
              </w:rPr>
            </w:pPr>
          </w:p>
        </w:tc>
        <w:tc>
          <w:tcPr>
            <w:tcW w:w="6320" w:type="dxa"/>
            <w:vAlign w:val="bottom"/>
            <w:shd w:val="clear" w:color="auto" w:fill="E5E5E5"/>
          </w:tcPr>
          <w:p>
            <w:pPr>
              <w:spacing w:after="0"/>
              <w:rPr>
                <w:sz w:val="14"/>
                <w:szCs w:val="14"/>
                <w:color w:val="auto"/>
              </w:rPr>
            </w:pPr>
          </w:p>
        </w:tc>
        <w:tc>
          <w:tcPr>
            <w:tcW w:w="160" w:type="dxa"/>
            <w:vAlign w:val="bottom"/>
            <w:shd w:val="clear" w:color="auto" w:fill="E5E5E5"/>
          </w:tcPr>
          <w:p>
            <w:pPr>
              <w:spacing w:after="0"/>
              <w:rPr>
                <w:sz w:val="14"/>
                <w:szCs w:val="14"/>
                <w:color w:val="auto"/>
              </w:rPr>
            </w:pPr>
          </w:p>
        </w:tc>
        <w:tc>
          <w:tcPr>
            <w:tcW w:w="6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1540" w:type="dxa"/>
            <w:vAlign w:val="bottom"/>
            <w:gridSpan w:val="5"/>
            <w:shd w:val="clear" w:color="auto" w:fill="E5E5E5"/>
          </w:tcPr>
          <w:p>
            <w:pPr>
              <w:jc w:val="right"/>
              <w:ind w:right="4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03"/>
        </w:trPr>
        <w:tc>
          <w:tcPr>
            <w:tcW w:w="20" w:type="dxa"/>
            <w:vAlign w:val="bottom"/>
            <w:shd w:val="clear" w:color="auto" w:fill="E5E5E5"/>
          </w:tcPr>
          <w:p>
            <w:pPr>
              <w:spacing w:after="0"/>
              <w:rPr>
                <w:sz w:val="17"/>
                <w:szCs w:val="17"/>
                <w:color w:val="auto"/>
              </w:rPr>
            </w:pPr>
          </w:p>
        </w:tc>
        <w:tc>
          <w:tcPr>
            <w:tcW w:w="3200" w:type="dxa"/>
            <w:vAlign w:val="bottom"/>
            <w:shd w:val="clear" w:color="auto" w:fill="E5E5E5"/>
          </w:tcPr>
          <w:p>
            <w:pPr>
              <w:spacing w:after="0"/>
              <w:rPr>
                <w:sz w:val="17"/>
                <w:szCs w:val="17"/>
                <w:color w:val="auto"/>
              </w:rPr>
            </w:pPr>
          </w:p>
        </w:tc>
        <w:tc>
          <w:tcPr>
            <w:tcW w:w="6320" w:type="dxa"/>
            <w:vAlign w:val="bottom"/>
            <w:shd w:val="clear" w:color="auto" w:fill="E5E5E5"/>
          </w:tcPr>
          <w:p>
            <w:pPr>
              <w:spacing w:after="0"/>
              <w:rPr>
                <w:sz w:val="17"/>
                <w:szCs w:val="17"/>
                <w:color w:val="auto"/>
              </w:rPr>
            </w:pPr>
          </w:p>
        </w:tc>
        <w:tc>
          <w:tcPr>
            <w:tcW w:w="1020" w:type="dxa"/>
            <w:vAlign w:val="bottom"/>
            <w:gridSpan w:val="4"/>
            <w:shd w:val="clear" w:color="auto" w:fill="E5E5E5"/>
          </w:tcPr>
          <w:p>
            <w:pPr>
              <w:jc w:val="right"/>
              <w:ind w:right="256"/>
              <w:spacing w:after="0" w:line="202" w:lineRule="exact"/>
              <w:rPr>
                <w:sz w:val="20"/>
                <w:szCs w:val="20"/>
                <w:color w:val="auto"/>
              </w:rPr>
            </w:pPr>
            <w:r>
              <w:rPr>
                <w:rFonts w:ascii="Arial" w:cs="Arial" w:eastAsia="Arial" w:hAnsi="Arial"/>
                <w:sz w:val="18"/>
                <w:szCs w:val="18"/>
                <w:b w:val="1"/>
                <w:bCs w:val="1"/>
                <w:color w:val="auto"/>
              </w:rPr>
              <w:t>2007</w:t>
            </w:r>
          </w:p>
        </w:tc>
        <w:tc>
          <w:tcPr>
            <w:tcW w:w="800" w:type="dxa"/>
            <w:vAlign w:val="bottom"/>
            <w:gridSpan w:val="2"/>
            <w:shd w:val="clear" w:color="auto" w:fill="E5E5E5"/>
          </w:tcPr>
          <w:p>
            <w:pPr>
              <w:jc w:val="right"/>
              <w:ind w:right="132"/>
              <w:spacing w:after="0" w:line="202" w:lineRule="exact"/>
              <w:rPr>
                <w:sz w:val="20"/>
                <w:szCs w:val="20"/>
                <w:color w:val="auto"/>
              </w:rPr>
            </w:pPr>
            <w:r>
              <w:rPr>
                <w:rFonts w:ascii="Arial" w:cs="Arial" w:eastAsia="Arial" w:hAnsi="Arial"/>
                <w:sz w:val="18"/>
                <w:szCs w:val="18"/>
                <w:b w:val="1"/>
                <w:bCs w:val="1"/>
                <w:color w:val="auto"/>
              </w:rPr>
              <w:t>2006</w:t>
            </w:r>
          </w:p>
        </w:tc>
        <w:tc>
          <w:tcPr>
            <w:tcW w:w="20" w:type="dxa"/>
            <w:vAlign w:val="bottom"/>
            <w:shd w:val="clear" w:color="auto" w:fill="E5E5E5"/>
          </w:tcPr>
          <w:p>
            <w:pPr>
              <w:spacing w:after="0"/>
              <w:rPr>
                <w:sz w:val="17"/>
                <w:szCs w:val="17"/>
                <w:color w:val="auto"/>
              </w:rPr>
            </w:pPr>
          </w:p>
        </w:tc>
        <w:tc>
          <w:tcPr>
            <w:tcW w:w="4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540" w:type="dxa"/>
            <w:vAlign w:val="bottom"/>
            <w:gridSpan w:val="3"/>
          </w:tcPr>
          <w:p>
            <w:pPr>
              <w:spacing w:after="0" w:line="202" w:lineRule="exact"/>
              <w:rPr>
                <w:sz w:val="20"/>
                <w:szCs w:val="20"/>
                <w:color w:val="auto"/>
              </w:rPr>
            </w:pPr>
            <w:r>
              <w:rPr>
                <w:rFonts w:ascii="Arial" w:cs="Arial" w:eastAsia="Arial" w:hAnsi="Arial"/>
                <w:sz w:val="18"/>
                <w:szCs w:val="18"/>
                <w:color w:val="auto"/>
              </w:rPr>
              <w:t>Accrued salaries, wages and vacation pay</w:t>
            </w:r>
          </w:p>
        </w:tc>
        <w:tc>
          <w:tcPr>
            <w:tcW w:w="340" w:type="dxa"/>
            <w:vAlign w:val="bottom"/>
            <w:gridSpan w:val="3"/>
          </w:tcPr>
          <w:p>
            <w:pPr>
              <w:ind w:left="220"/>
              <w:spacing w:after="0" w:line="202" w:lineRule="exact"/>
              <w:rPr>
                <w:sz w:val="20"/>
                <w:szCs w:val="20"/>
                <w:color w:val="auto"/>
              </w:rPr>
            </w:pPr>
            <w:r>
              <w:rPr>
                <w:rFonts w:ascii="Arial" w:cs="Arial" w:eastAsia="Arial" w:hAnsi="Arial"/>
                <w:sz w:val="18"/>
                <w:szCs w:val="18"/>
                <w:b w:val="1"/>
                <w:bCs w:val="1"/>
                <w:color w:val="auto"/>
                <w:w w:val="99"/>
              </w:rPr>
              <w:t>$</w:t>
            </w:r>
          </w:p>
        </w:tc>
        <w:tc>
          <w:tcPr>
            <w:tcW w:w="680" w:type="dxa"/>
            <w:vAlign w:val="bottom"/>
          </w:tcPr>
          <w:p>
            <w:pPr>
              <w:jc w:val="right"/>
              <w:ind w:right="76"/>
              <w:spacing w:after="0" w:line="202" w:lineRule="exact"/>
              <w:rPr>
                <w:sz w:val="20"/>
                <w:szCs w:val="20"/>
                <w:color w:val="auto"/>
              </w:rPr>
            </w:pPr>
            <w:r>
              <w:rPr>
                <w:rFonts w:ascii="Arial" w:cs="Arial" w:eastAsia="Arial" w:hAnsi="Arial"/>
                <w:sz w:val="18"/>
                <w:szCs w:val="18"/>
                <w:b w:val="1"/>
                <w:bCs w:val="1"/>
                <w:color w:val="auto"/>
              </w:rPr>
              <w:t>406</w:t>
            </w: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368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540" w:type="dxa"/>
            <w:vAlign w:val="bottom"/>
            <w:gridSpan w:val="3"/>
            <w:shd w:val="clear" w:color="auto" w:fill="E5E5E5"/>
          </w:tcPr>
          <w:p>
            <w:pPr>
              <w:spacing w:after="0" w:line="202" w:lineRule="exact"/>
              <w:rPr>
                <w:sz w:val="20"/>
                <w:szCs w:val="20"/>
                <w:color w:val="auto"/>
              </w:rPr>
            </w:pPr>
            <w:r>
              <w:rPr>
                <w:rFonts w:ascii="Arial" w:cs="Arial" w:eastAsia="Arial" w:hAnsi="Arial"/>
                <w:sz w:val="18"/>
                <w:szCs w:val="18"/>
                <w:color w:val="auto"/>
              </w:rPr>
              <w:t>Customer incentive programs and allowances</w:t>
            </w:r>
          </w:p>
        </w:tc>
        <w:tc>
          <w:tcPr>
            <w:tcW w:w="16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680" w:type="dxa"/>
            <w:vAlign w:val="bottom"/>
            <w:shd w:val="clear" w:color="auto" w:fill="E5E5E5"/>
          </w:tcPr>
          <w:p>
            <w:pPr>
              <w:jc w:val="right"/>
              <w:ind w:right="76"/>
              <w:spacing w:after="0" w:line="202" w:lineRule="exact"/>
              <w:rPr>
                <w:sz w:val="20"/>
                <w:szCs w:val="20"/>
                <w:color w:val="auto"/>
              </w:rPr>
            </w:pPr>
            <w:r>
              <w:rPr>
                <w:rFonts w:ascii="Arial" w:cs="Arial" w:eastAsia="Arial" w:hAnsi="Arial"/>
                <w:sz w:val="18"/>
                <w:szCs w:val="18"/>
                <w:b w:val="1"/>
                <w:bCs w:val="1"/>
                <w:color w:val="auto"/>
              </w:rPr>
              <w:t>206</w:t>
            </w:r>
          </w:p>
        </w:tc>
        <w:tc>
          <w:tcPr>
            <w:tcW w:w="340" w:type="dxa"/>
            <w:vAlign w:val="bottom"/>
            <w:shd w:val="clear" w:color="auto" w:fill="E5E5E5"/>
          </w:tcPr>
          <w:p>
            <w:pPr>
              <w:spacing w:after="0"/>
              <w:rPr>
                <w:sz w:val="17"/>
                <w:szCs w:val="17"/>
                <w:color w:val="auto"/>
              </w:rPr>
            </w:pPr>
          </w:p>
        </w:tc>
        <w:tc>
          <w:tcPr>
            <w:tcW w:w="480" w:type="dxa"/>
            <w:vAlign w:val="bottom"/>
            <w:gridSpan w:val="2"/>
            <w:shd w:val="clear" w:color="auto" w:fill="E5E5E5"/>
          </w:tcPr>
          <w:p>
            <w:pPr>
              <w:jc w:val="right"/>
              <w:ind w:right="20"/>
              <w:spacing w:after="0" w:line="202" w:lineRule="exact"/>
              <w:rPr>
                <w:sz w:val="20"/>
                <w:szCs w:val="20"/>
                <w:color w:val="auto"/>
              </w:rPr>
            </w:pPr>
            <w:r>
              <w:rPr>
                <w:rFonts w:ascii="Arial" w:cs="Arial" w:eastAsia="Arial" w:hAnsi="Arial"/>
                <w:sz w:val="18"/>
                <w:szCs w:val="18"/>
                <w:color w:val="auto"/>
              </w:rPr>
              <w:t>188</w:t>
            </w:r>
          </w:p>
        </w:tc>
        <w:tc>
          <w:tcPr>
            <w:tcW w:w="4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540" w:type="dxa"/>
            <w:vAlign w:val="bottom"/>
            <w:gridSpan w:val="3"/>
          </w:tcPr>
          <w:p>
            <w:pPr>
              <w:spacing w:after="0" w:line="202" w:lineRule="exact"/>
              <w:rPr>
                <w:sz w:val="20"/>
                <w:szCs w:val="20"/>
                <w:color w:val="auto"/>
              </w:rPr>
            </w:pPr>
            <w:r>
              <w:rPr>
                <w:rFonts w:ascii="Arial" w:cs="Arial" w:eastAsia="Arial" w:hAnsi="Arial"/>
                <w:sz w:val="18"/>
                <w:szCs w:val="18"/>
                <w:color w:val="auto"/>
              </w:rPr>
              <w:t>Property and other non-income taxes</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ind w:right="76"/>
              <w:spacing w:after="0" w:line="202" w:lineRule="exact"/>
              <w:rPr>
                <w:sz w:val="20"/>
                <w:szCs w:val="20"/>
                <w:color w:val="auto"/>
              </w:rPr>
            </w:pPr>
            <w:r>
              <w:rPr>
                <w:rFonts w:ascii="Arial" w:cs="Arial" w:eastAsia="Arial" w:hAnsi="Arial"/>
                <w:sz w:val="18"/>
                <w:szCs w:val="18"/>
                <w:b w:val="1"/>
                <w:bCs w:val="1"/>
                <w:color w:val="auto"/>
              </w:rPr>
              <w:t>113</w:t>
            </w:r>
          </w:p>
        </w:tc>
        <w:tc>
          <w:tcPr>
            <w:tcW w:w="340" w:type="dxa"/>
            <w:vAlign w:val="bottom"/>
          </w:tcPr>
          <w:p>
            <w:pPr>
              <w:spacing w:after="0"/>
              <w:rPr>
                <w:sz w:val="17"/>
                <w:szCs w:val="17"/>
                <w:color w:val="auto"/>
              </w:rPr>
            </w:pPr>
          </w:p>
        </w:tc>
        <w:tc>
          <w:tcPr>
            <w:tcW w:w="4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126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540" w:type="dxa"/>
            <w:vAlign w:val="bottom"/>
            <w:gridSpan w:val="3"/>
            <w:shd w:val="clear" w:color="auto" w:fill="E5E5E5"/>
          </w:tcPr>
          <w:p>
            <w:pPr>
              <w:spacing w:after="0" w:line="202" w:lineRule="exact"/>
              <w:rPr>
                <w:sz w:val="20"/>
                <w:szCs w:val="20"/>
                <w:color w:val="auto"/>
              </w:rPr>
            </w:pPr>
            <w:r>
              <w:rPr>
                <w:rFonts w:ascii="Arial" w:cs="Arial" w:eastAsia="Arial" w:hAnsi="Arial"/>
                <w:sz w:val="18"/>
                <w:szCs w:val="18"/>
                <w:color w:val="auto"/>
              </w:rPr>
              <w:t>Other</w:t>
            </w:r>
          </w:p>
        </w:tc>
        <w:tc>
          <w:tcPr>
            <w:tcW w:w="16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c>
          <w:tcPr>
            <w:tcW w:w="120" w:type="dxa"/>
            <w:vAlign w:val="bottom"/>
            <w:tcBorders>
              <w:bottom w:val="single" w:sz="8" w:color="auto"/>
            </w:tcBorders>
            <w:shd w:val="clear" w:color="auto" w:fill="E5E5E5"/>
          </w:tcPr>
          <w:p>
            <w:pPr>
              <w:spacing w:after="0"/>
              <w:rPr>
                <w:sz w:val="17"/>
                <w:szCs w:val="17"/>
                <w:color w:val="auto"/>
              </w:rPr>
            </w:pPr>
          </w:p>
        </w:tc>
        <w:tc>
          <w:tcPr>
            <w:tcW w:w="680" w:type="dxa"/>
            <w:vAlign w:val="bottom"/>
            <w:tcBorders>
              <w:bottom w:val="single" w:sz="8" w:color="auto"/>
            </w:tcBorders>
            <w:shd w:val="clear" w:color="auto" w:fill="E5E5E5"/>
          </w:tcPr>
          <w:p>
            <w:pPr>
              <w:jc w:val="right"/>
              <w:ind w:right="76"/>
              <w:spacing w:after="0" w:line="202" w:lineRule="exact"/>
              <w:rPr>
                <w:sz w:val="20"/>
                <w:szCs w:val="20"/>
                <w:color w:val="auto"/>
              </w:rPr>
            </w:pPr>
            <w:r>
              <w:rPr>
                <w:rFonts w:ascii="Arial" w:cs="Arial" w:eastAsia="Arial" w:hAnsi="Arial"/>
                <w:sz w:val="18"/>
                <w:szCs w:val="18"/>
                <w:b w:val="1"/>
                <w:bCs w:val="1"/>
                <w:color w:val="auto"/>
              </w:rPr>
              <w:t>392</w:t>
            </w:r>
          </w:p>
        </w:tc>
        <w:tc>
          <w:tcPr>
            <w:tcW w:w="340" w:type="dxa"/>
            <w:vAlign w:val="bottom"/>
            <w:tcBorders>
              <w:bottom w:val="single" w:sz="8" w:color="auto"/>
            </w:tcBorders>
            <w:shd w:val="clear" w:color="auto" w:fill="E5E5E5"/>
          </w:tcPr>
          <w:p>
            <w:pPr>
              <w:spacing w:after="0"/>
              <w:rPr>
                <w:sz w:val="17"/>
                <w:szCs w:val="17"/>
                <w:color w:val="auto"/>
              </w:rPr>
            </w:pPr>
          </w:p>
        </w:tc>
        <w:tc>
          <w:tcPr>
            <w:tcW w:w="480" w:type="dxa"/>
            <w:vAlign w:val="bottom"/>
            <w:tcBorders>
              <w:bottom w:val="single" w:sz="8" w:color="auto"/>
            </w:tcBorders>
            <w:gridSpan w:val="2"/>
            <w:shd w:val="clear" w:color="auto" w:fill="E5E5E5"/>
          </w:tcPr>
          <w:p>
            <w:pPr>
              <w:jc w:val="right"/>
              <w:ind w:right="20"/>
              <w:spacing w:after="0" w:line="202" w:lineRule="exact"/>
              <w:rPr>
                <w:sz w:val="20"/>
                <w:szCs w:val="20"/>
                <w:color w:val="auto"/>
              </w:rPr>
            </w:pPr>
            <w:r>
              <w:rPr>
                <w:rFonts w:ascii="Arial" w:cs="Arial" w:eastAsia="Arial" w:hAnsi="Arial"/>
                <w:sz w:val="18"/>
                <w:szCs w:val="18"/>
                <w:color w:val="auto"/>
              </w:rPr>
              <w:t>347</w:t>
            </w:r>
          </w:p>
        </w:tc>
        <w:tc>
          <w:tcPr>
            <w:tcW w:w="4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540" w:type="dxa"/>
            <w:vAlign w:val="bottom"/>
            <w:gridSpan w:val="3"/>
          </w:tcPr>
          <w:p>
            <w:pPr>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680" w:type="dxa"/>
            <w:vAlign w:val="bottom"/>
          </w:tcPr>
          <w:p>
            <w:pPr>
              <w:jc w:val="right"/>
              <w:ind w:right="76"/>
              <w:spacing w:after="0"/>
              <w:rPr>
                <w:sz w:val="20"/>
                <w:szCs w:val="20"/>
                <w:color w:val="auto"/>
              </w:rPr>
            </w:pPr>
            <w:r>
              <w:rPr>
                <w:rFonts w:ascii="Arial" w:cs="Arial" w:eastAsia="Arial" w:hAnsi="Arial"/>
                <w:sz w:val="18"/>
                <w:szCs w:val="18"/>
                <w:b w:val="1"/>
                <w:bCs w:val="1"/>
                <w:color w:val="auto"/>
              </w:rPr>
              <w:t>1,117</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3"/>
          </w:tcPr>
          <w:p>
            <w:pPr>
              <w:jc w:val="right"/>
              <w:ind w:right="60"/>
              <w:spacing w:after="0"/>
              <w:rPr>
                <w:sz w:val="20"/>
                <w:szCs w:val="20"/>
                <w:color w:val="auto"/>
              </w:rPr>
            </w:pPr>
            <w:r>
              <w:rPr>
                <w:rFonts w:ascii="Arial" w:cs="Arial" w:eastAsia="Arial" w:hAnsi="Arial"/>
                <w:sz w:val="18"/>
                <w:szCs w:val="18"/>
                <w:color w:val="auto"/>
                <w:w w:val="97"/>
              </w:rPr>
              <w:t>1,029</w:t>
            </w:r>
          </w:p>
        </w:tc>
        <w:tc>
          <w:tcPr>
            <w:tcW w:w="0" w:type="dxa"/>
            <w:vAlign w:val="bottom"/>
          </w:tcPr>
          <w:p>
            <w:pPr>
              <w:spacing w:after="0"/>
              <w:rPr>
                <w:sz w:val="1"/>
                <w:szCs w:val="1"/>
                <w:color w:val="auto"/>
              </w:rPr>
            </w:pPr>
          </w:p>
        </w:tc>
      </w:tr>
      <w:tr>
        <w:trPr>
          <w:trHeight w:val="20"/>
        </w:trPr>
        <w:tc>
          <w:tcPr>
            <w:tcW w:w="9540" w:type="dxa"/>
            <w:vAlign w:val="bottom"/>
            <w:gridSpan w:val="3"/>
            <w:vMerge w:val="restart"/>
          </w:tcPr>
          <w:p>
            <w:pPr>
              <w:ind w:left="2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954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0" w:type="dxa"/>
            <w:vAlign w:val="bottom"/>
            <w:tcBorders>
              <w:top w:val="single" w:sz="8" w:color="auto"/>
            </w:tcBorders>
          </w:tcPr>
          <w:p>
            <w:pPr>
              <w:spacing w:after="0"/>
              <w:rPr>
                <w:sz w:val="18"/>
                <w:szCs w:val="18"/>
                <w:color w:val="auto"/>
              </w:rPr>
            </w:pPr>
          </w:p>
        </w:tc>
        <w:tc>
          <w:tcPr>
            <w:tcW w:w="6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E5E5E5"/>
          </w:tcPr>
          <w:p>
            <w:pPr>
              <w:spacing w:after="0"/>
              <w:rPr>
                <w:sz w:val="12"/>
                <w:szCs w:val="12"/>
                <w:color w:val="auto"/>
              </w:rPr>
            </w:pPr>
          </w:p>
        </w:tc>
        <w:tc>
          <w:tcPr>
            <w:tcW w:w="3200" w:type="dxa"/>
            <w:vAlign w:val="bottom"/>
            <w:shd w:val="clear" w:color="auto" w:fill="E5E5E5"/>
          </w:tcPr>
          <w:p>
            <w:pPr>
              <w:spacing w:after="0"/>
              <w:rPr>
                <w:sz w:val="12"/>
                <w:szCs w:val="12"/>
                <w:color w:val="auto"/>
              </w:rPr>
            </w:pPr>
          </w:p>
        </w:tc>
        <w:tc>
          <w:tcPr>
            <w:tcW w:w="632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60" w:type="dxa"/>
            <w:vAlign w:val="bottom"/>
            <w:shd w:val="clear" w:color="auto" w:fill="E5E5E5"/>
          </w:tcPr>
          <w:p>
            <w:pPr>
              <w:spacing w:after="0"/>
              <w:rPr>
                <w:sz w:val="12"/>
                <w:szCs w:val="12"/>
                <w:color w:val="auto"/>
              </w:rPr>
            </w:pPr>
          </w:p>
        </w:tc>
        <w:tc>
          <w:tcPr>
            <w:tcW w:w="120" w:type="dxa"/>
            <w:vAlign w:val="bottom"/>
            <w:shd w:val="clear" w:color="auto" w:fill="E5E5E5"/>
          </w:tcPr>
          <w:p>
            <w:pPr>
              <w:spacing w:after="0"/>
              <w:rPr>
                <w:sz w:val="12"/>
                <w:szCs w:val="12"/>
                <w:color w:val="auto"/>
              </w:rPr>
            </w:pPr>
          </w:p>
        </w:tc>
        <w:tc>
          <w:tcPr>
            <w:tcW w:w="1540" w:type="dxa"/>
            <w:vAlign w:val="bottom"/>
            <w:gridSpan w:val="5"/>
            <w:shd w:val="clear" w:color="auto" w:fill="E5E5E5"/>
          </w:tcPr>
          <w:p>
            <w:pPr>
              <w:jc w:val="right"/>
              <w:ind w:right="460"/>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03"/>
        </w:trPr>
        <w:tc>
          <w:tcPr>
            <w:tcW w:w="20" w:type="dxa"/>
            <w:vAlign w:val="bottom"/>
            <w:shd w:val="clear" w:color="auto" w:fill="E5E5E5"/>
          </w:tcPr>
          <w:p>
            <w:pPr>
              <w:spacing w:after="0"/>
              <w:rPr>
                <w:sz w:val="17"/>
                <w:szCs w:val="17"/>
                <w:color w:val="auto"/>
              </w:rPr>
            </w:pPr>
          </w:p>
        </w:tc>
        <w:tc>
          <w:tcPr>
            <w:tcW w:w="3200" w:type="dxa"/>
            <w:vAlign w:val="bottom"/>
            <w:shd w:val="clear" w:color="auto" w:fill="E5E5E5"/>
          </w:tcPr>
          <w:p>
            <w:pPr>
              <w:spacing w:after="0"/>
              <w:rPr>
                <w:sz w:val="17"/>
                <w:szCs w:val="17"/>
                <w:color w:val="auto"/>
              </w:rPr>
            </w:pPr>
          </w:p>
        </w:tc>
        <w:tc>
          <w:tcPr>
            <w:tcW w:w="6320" w:type="dxa"/>
            <w:vAlign w:val="bottom"/>
            <w:shd w:val="clear" w:color="auto" w:fill="E5E5E5"/>
          </w:tcPr>
          <w:p>
            <w:pPr>
              <w:spacing w:after="0"/>
              <w:rPr>
                <w:sz w:val="17"/>
                <w:szCs w:val="17"/>
                <w:color w:val="auto"/>
              </w:rPr>
            </w:pPr>
          </w:p>
        </w:tc>
        <w:tc>
          <w:tcPr>
            <w:tcW w:w="1020" w:type="dxa"/>
            <w:vAlign w:val="bottom"/>
            <w:gridSpan w:val="4"/>
            <w:shd w:val="clear" w:color="auto" w:fill="E5E5E5"/>
          </w:tcPr>
          <w:p>
            <w:pPr>
              <w:ind w:left="220"/>
              <w:spacing w:after="0" w:line="202" w:lineRule="exact"/>
              <w:rPr>
                <w:sz w:val="20"/>
                <w:szCs w:val="20"/>
                <w:color w:val="auto"/>
              </w:rPr>
            </w:pPr>
            <w:r>
              <w:rPr>
                <w:rFonts w:ascii="Arial" w:cs="Arial" w:eastAsia="Arial" w:hAnsi="Arial"/>
                <w:sz w:val="18"/>
                <w:szCs w:val="18"/>
                <w:b w:val="1"/>
                <w:bCs w:val="1"/>
                <w:color w:val="auto"/>
              </w:rPr>
              <w:t>2007</w:t>
            </w:r>
          </w:p>
        </w:tc>
        <w:tc>
          <w:tcPr>
            <w:tcW w:w="800" w:type="dxa"/>
            <w:vAlign w:val="bottom"/>
            <w:gridSpan w:val="2"/>
            <w:shd w:val="clear" w:color="auto" w:fill="E5E5E5"/>
          </w:tcPr>
          <w:p>
            <w:pPr>
              <w:ind w:left="200"/>
              <w:spacing w:after="0" w:line="202" w:lineRule="exact"/>
              <w:rPr>
                <w:sz w:val="20"/>
                <w:szCs w:val="20"/>
                <w:color w:val="auto"/>
              </w:rPr>
            </w:pPr>
            <w:r>
              <w:rPr>
                <w:rFonts w:ascii="Arial" w:cs="Arial" w:eastAsia="Arial" w:hAnsi="Arial"/>
                <w:sz w:val="18"/>
                <w:szCs w:val="18"/>
                <w:b w:val="1"/>
                <w:bCs w:val="1"/>
                <w:color w:val="auto"/>
              </w:rPr>
              <w:t>2006</w:t>
            </w:r>
          </w:p>
        </w:tc>
        <w:tc>
          <w:tcPr>
            <w:tcW w:w="20" w:type="dxa"/>
            <w:vAlign w:val="bottom"/>
            <w:shd w:val="clear" w:color="auto" w:fill="E5E5E5"/>
          </w:tcPr>
          <w:p>
            <w:pPr>
              <w:spacing w:after="0"/>
              <w:rPr>
                <w:sz w:val="17"/>
                <w:szCs w:val="17"/>
                <w:color w:val="auto"/>
              </w:rPr>
            </w:pPr>
          </w:p>
        </w:tc>
        <w:tc>
          <w:tcPr>
            <w:tcW w:w="4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9540" w:type="dxa"/>
            <w:vAlign w:val="bottom"/>
            <w:gridSpan w:val="3"/>
          </w:tcPr>
          <w:p>
            <w:pPr>
              <w:spacing w:after="0"/>
              <w:rPr>
                <w:sz w:val="20"/>
                <w:szCs w:val="20"/>
                <w:color w:val="auto"/>
              </w:rPr>
            </w:pPr>
            <w:r>
              <w:rPr>
                <w:rFonts w:ascii="Arial" w:cs="Arial" w:eastAsia="Arial" w:hAnsi="Arial"/>
                <w:sz w:val="18"/>
                <w:szCs w:val="18"/>
                <w:color w:val="auto"/>
              </w:rPr>
              <w:t>Unrealized losses on available-for-sale investments</w:t>
            </w:r>
          </w:p>
        </w:tc>
        <w:tc>
          <w:tcPr>
            <w:tcW w:w="34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56"/>
              <w:spacing w:after="0"/>
              <w:rPr>
                <w:sz w:val="20"/>
                <w:szCs w:val="20"/>
                <w:color w:val="auto"/>
              </w:rPr>
            </w:pPr>
            <w:r>
              <w:rPr>
                <w:rFonts w:ascii="Arial" w:cs="Arial" w:eastAsia="Arial" w:hAnsi="Arial"/>
                <w:sz w:val="18"/>
                <w:szCs w:val="18"/>
                <w:b w:val="1"/>
                <w:bCs w:val="1"/>
                <w:color w:val="auto"/>
              </w:rPr>
              <w:t>(5)</w:t>
            </w:r>
          </w:p>
        </w:tc>
        <w:tc>
          <w:tcPr>
            <w:tcW w:w="340" w:type="dxa"/>
            <w:vAlign w:val="bottom"/>
          </w:tcPr>
          <w:p>
            <w:pPr>
              <w:ind w:left="200"/>
              <w:spacing w:after="0"/>
              <w:rPr>
                <w:sz w:val="20"/>
                <w:szCs w:val="20"/>
                <w:color w:val="auto"/>
              </w:rPr>
            </w:pPr>
            <w:r>
              <w:rPr>
                <w:rFonts w:ascii="Arial" w:cs="Arial" w:eastAsia="Arial" w:hAnsi="Arial"/>
                <w:sz w:val="18"/>
                <w:szCs w:val="18"/>
                <w:color w:val="auto"/>
              </w:rPr>
              <w:t>$</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3"/>
        </w:trPr>
        <w:tc>
          <w:tcPr>
            <w:tcW w:w="9540" w:type="dxa"/>
            <w:vAlign w:val="bottom"/>
            <w:gridSpan w:val="3"/>
            <w:shd w:val="clear" w:color="auto" w:fill="E5E5E5"/>
          </w:tcPr>
          <w:p>
            <w:pPr>
              <w:spacing w:after="0" w:line="202" w:lineRule="exact"/>
              <w:rPr>
                <w:sz w:val="20"/>
                <w:szCs w:val="20"/>
                <w:color w:val="auto"/>
              </w:rPr>
            </w:pPr>
            <w:r>
              <w:rPr>
                <w:rFonts w:ascii="Arial" w:cs="Arial" w:eastAsia="Arial" w:hAnsi="Arial"/>
                <w:sz w:val="18"/>
                <w:szCs w:val="18"/>
                <w:color w:val="auto"/>
              </w:rPr>
              <w:t>Postretirement benefit plans:</w:t>
            </w:r>
          </w:p>
        </w:tc>
        <w:tc>
          <w:tcPr>
            <w:tcW w:w="16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68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4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52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Prior service cost</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ind w:right="196"/>
              <w:spacing w:after="0" w:line="202" w:lineRule="exact"/>
              <w:rPr>
                <w:sz w:val="20"/>
                <w:szCs w:val="20"/>
                <w:color w:val="auto"/>
              </w:rPr>
            </w:pPr>
            <w:r>
              <w:rPr>
                <w:rFonts w:ascii="Arial" w:cs="Arial" w:eastAsia="Arial" w:hAnsi="Arial"/>
                <w:sz w:val="18"/>
                <w:szCs w:val="18"/>
                <w:b w:val="1"/>
                <w:bCs w:val="1"/>
                <w:color w:val="auto"/>
              </w:rPr>
              <w:t>5</w:t>
            </w:r>
          </w:p>
        </w:tc>
        <w:tc>
          <w:tcPr>
            <w:tcW w:w="340" w:type="dxa"/>
            <w:vAlign w:val="bottom"/>
          </w:tcPr>
          <w:p>
            <w:pPr>
              <w:spacing w:after="0"/>
              <w:rPr>
                <w:sz w:val="17"/>
                <w:szCs w:val="17"/>
                <w:color w:val="auto"/>
              </w:rPr>
            </w:pPr>
          </w:p>
        </w:tc>
        <w:tc>
          <w:tcPr>
            <w:tcW w:w="4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E5E5E5"/>
          </w:tcPr>
          <w:p>
            <w:pPr>
              <w:spacing w:after="0"/>
              <w:rPr>
                <w:sz w:val="17"/>
                <w:szCs w:val="17"/>
                <w:color w:val="auto"/>
              </w:rPr>
            </w:pPr>
          </w:p>
        </w:tc>
        <w:tc>
          <w:tcPr>
            <w:tcW w:w="9520" w:type="dxa"/>
            <w:vAlign w:val="bottom"/>
            <w:gridSpan w:val="2"/>
            <w:shd w:val="clear" w:color="auto" w:fill="E5E5E5"/>
          </w:tcPr>
          <w:p>
            <w:pPr>
              <w:ind w:left="200"/>
              <w:spacing w:after="0" w:line="202" w:lineRule="exact"/>
              <w:rPr>
                <w:sz w:val="20"/>
                <w:szCs w:val="20"/>
                <w:color w:val="auto"/>
              </w:rPr>
            </w:pPr>
            <w:r>
              <w:rPr>
                <w:rFonts w:ascii="Arial" w:cs="Arial" w:eastAsia="Arial" w:hAnsi="Arial"/>
                <w:sz w:val="18"/>
                <w:szCs w:val="18"/>
                <w:color w:val="auto"/>
              </w:rPr>
              <w:t>Net actuarial loss</w:t>
            </w:r>
          </w:p>
        </w:tc>
        <w:tc>
          <w:tcPr>
            <w:tcW w:w="16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680" w:type="dxa"/>
            <w:vAlign w:val="bottom"/>
            <w:shd w:val="clear" w:color="auto" w:fill="E5E5E5"/>
          </w:tcPr>
          <w:p>
            <w:pPr>
              <w:jc w:val="right"/>
              <w:ind w:right="156"/>
              <w:spacing w:after="0" w:line="202" w:lineRule="exact"/>
              <w:rPr>
                <w:sz w:val="20"/>
                <w:szCs w:val="20"/>
                <w:color w:val="auto"/>
              </w:rPr>
            </w:pPr>
            <w:r>
              <w:rPr>
                <w:rFonts w:ascii="Arial" w:cs="Arial" w:eastAsia="Arial" w:hAnsi="Arial"/>
                <w:sz w:val="18"/>
                <w:szCs w:val="18"/>
                <w:b w:val="1"/>
                <w:bCs w:val="1"/>
                <w:color w:val="auto"/>
                <w:w w:val="99"/>
              </w:rPr>
              <w:t>(324)</w:t>
            </w:r>
          </w:p>
        </w:tc>
        <w:tc>
          <w:tcPr>
            <w:tcW w:w="340" w:type="dxa"/>
            <w:vAlign w:val="bottom"/>
            <w:shd w:val="clear" w:color="auto" w:fill="E5E5E5"/>
          </w:tcPr>
          <w:p>
            <w:pPr>
              <w:spacing w:after="0"/>
              <w:rPr>
                <w:sz w:val="17"/>
                <w:szCs w:val="17"/>
                <w:color w:val="auto"/>
              </w:rPr>
            </w:pPr>
          </w:p>
        </w:tc>
        <w:tc>
          <w:tcPr>
            <w:tcW w:w="520" w:type="dxa"/>
            <w:vAlign w:val="bottom"/>
            <w:gridSpan w:val="3"/>
            <w:shd w:val="clear" w:color="auto" w:fill="E5E5E5"/>
          </w:tcPr>
          <w:p>
            <w:pPr>
              <w:jc w:val="right"/>
              <w:spacing w:after="0" w:line="202" w:lineRule="exact"/>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540" w:type="dxa"/>
            <w:vAlign w:val="bottom"/>
            <w:gridSpan w:val="3"/>
          </w:tcPr>
          <w:p>
            <w:pPr>
              <w:spacing w:after="0"/>
              <w:rPr>
                <w:sz w:val="20"/>
                <w:szCs w:val="20"/>
                <w:color w:val="auto"/>
              </w:rPr>
            </w:pPr>
            <w:r>
              <w:rPr>
                <w:rFonts w:ascii="Arial" w:cs="Arial" w:eastAsia="Arial" w:hAnsi="Arial"/>
                <w:sz w:val="18"/>
                <w:szCs w:val="18"/>
                <w:color w:val="auto"/>
              </w:rPr>
              <w:t>Total</w:t>
            </w:r>
          </w:p>
        </w:tc>
        <w:tc>
          <w:tcPr>
            <w:tcW w:w="160" w:type="dxa"/>
            <w:vAlign w:val="bottom"/>
            <w:vMerge w:val="continue"/>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tcPr>
          <w:p>
            <w:pPr>
              <w:jc w:val="right"/>
              <w:ind w:right="156"/>
              <w:spacing w:after="0"/>
              <w:rPr>
                <w:sz w:val="20"/>
                <w:szCs w:val="20"/>
                <w:color w:val="auto"/>
              </w:rPr>
            </w:pPr>
            <w:r>
              <w:rPr>
                <w:rFonts w:ascii="Arial" w:cs="Arial" w:eastAsia="Arial" w:hAnsi="Arial"/>
                <w:sz w:val="18"/>
                <w:szCs w:val="18"/>
                <w:b w:val="1"/>
                <w:bCs w:val="1"/>
                <w:color w:val="auto"/>
                <w:w w:val="99"/>
              </w:rPr>
              <w:t>(324)</w:t>
            </w:r>
          </w:p>
        </w:tc>
        <w:tc>
          <w:tcPr>
            <w:tcW w:w="340" w:type="dxa"/>
            <w:vAlign w:val="bottom"/>
          </w:tcPr>
          <w:p>
            <w:pPr>
              <w:ind w:left="200"/>
              <w:spacing w:after="0"/>
              <w:rPr>
                <w:sz w:val="20"/>
                <w:szCs w:val="20"/>
                <w:color w:val="auto"/>
              </w:rPr>
            </w:pPr>
            <w:r>
              <w:rPr>
                <w:rFonts w:ascii="Arial" w:cs="Arial" w:eastAsia="Arial" w:hAnsi="Arial"/>
                <w:sz w:val="18"/>
                <w:szCs w:val="18"/>
                <w:color w:val="auto"/>
              </w:rPr>
              <w:t>$</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Activities</w:t>
      </w:r>
    </w:p>
    <w:p>
      <w:pPr>
        <w:spacing w:after="0" w:line="180"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On January 22, 2007, we announced plans to change how we develop advanced digital manufacturing process technology. Instead of separately creating our own core process technology, we work collaboratively with our foundry partners to specify and drive the next generations of digital process technology. Additionally, we have stopped production at an older digital factory and are moving most of its manufacturing equipment into several of our analog factories to support greater analog output.</w:t>
      </w:r>
    </w:p>
    <w:p>
      <w:pPr>
        <w:spacing w:after="0" w:line="155"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These actions are substantially complete and are expected to reduce R&amp;D costs by about $150 million and cost of revenue by about $50 million annually. As a result of these changes, about 300 jobs were eliminated by year-end 2007.</w:t>
      </w:r>
    </w:p>
    <w:p>
      <w:pPr>
        <w:spacing w:after="0" w:line="155" w:lineRule="exact"/>
        <w:rPr>
          <w:sz w:val="20"/>
          <w:szCs w:val="20"/>
          <w:color w:val="auto"/>
        </w:rPr>
      </w:pPr>
    </w:p>
    <w:p>
      <w:pPr>
        <w:ind w:right="420"/>
        <w:spacing w:after="0" w:line="239" w:lineRule="auto"/>
        <w:rPr>
          <w:sz w:val="20"/>
          <w:szCs w:val="20"/>
          <w:color w:val="auto"/>
        </w:rPr>
      </w:pPr>
      <w:r>
        <w:rPr>
          <w:rFonts w:ascii="Arial" w:cs="Arial" w:eastAsia="Arial" w:hAnsi="Arial"/>
          <w:sz w:val="18"/>
          <w:szCs w:val="18"/>
          <w:color w:val="auto"/>
        </w:rPr>
        <w:t>Profit from operations for 2007 includes a charge of $52 million related to these actions, due to severance and benefit costs of $31 million and acceleration of depreciation on the facilities’ assets over the remaining service lives of $21 million.</w:t>
      </w:r>
    </w:p>
    <w:p>
      <w:pPr>
        <w:spacing w:after="0" w:line="155"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Of the total restructuring charges for the period, $37 million is included in cost of revenue, $14 million is included in R&amp;D expense and $1 million is included in SG&amp;A. All amounts are reflected in Corporate.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2007, $10 million has been paid to terminated employees for severance and benefits.</w:t>
      </w:r>
    </w:p>
    <w:p>
      <w:pPr>
        <w:spacing w:after="0" w:line="257"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Segment and Geographic Area Data</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We have two reportable operating segments: Semiconductor and Education Technology.</w:t>
      </w:r>
    </w:p>
    <w:p>
      <w:pPr>
        <w:spacing w:after="0" w:line="158" w:lineRule="exact"/>
        <w:rPr>
          <w:sz w:val="20"/>
          <w:szCs w:val="20"/>
          <w:color w:val="auto"/>
        </w:rPr>
      </w:pPr>
    </w:p>
    <w:p>
      <w:pPr>
        <w:jc w:val="both"/>
        <w:ind w:right="140"/>
        <w:spacing w:after="0" w:line="238" w:lineRule="auto"/>
        <w:rPr>
          <w:sz w:val="20"/>
          <w:szCs w:val="20"/>
          <w:color w:val="auto"/>
        </w:rPr>
      </w:pPr>
      <w:r>
        <w:rPr>
          <w:rFonts w:ascii="Arial" w:cs="Arial" w:eastAsia="Arial" w:hAnsi="Arial"/>
          <w:sz w:val="18"/>
          <w:szCs w:val="18"/>
          <w:color w:val="auto"/>
        </w:rPr>
        <w:t>Our Semiconductor segment designs, manufactures and sells semiconductors, commonly called “chips.” Over the past decade, we have focused most of the resources of our Semiconductor segment on two areas – analog semiconductors and digital signal processors (DSPs). In 2007, about 80 percent of the segment’s revenue came from the combination of these two broad types of</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120" w:type="dxa"/>
            <w:vAlign w:val="bottom"/>
          </w:tcPr>
          <w:p>
            <w:pPr>
              <w:spacing w:after="0"/>
              <w:rPr>
                <w:sz w:val="20"/>
                <w:szCs w:val="20"/>
                <w:color w:val="auto"/>
              </w:rPr>
            </w:pPr>
            <w:r>
              <w:rPr>
                <w:rFonts w:ascii="Arial" w:cs="Arial" w:eastAsia="Arial" w:hAnsi="Arial"/>
                <w:sz w:val="14"/>
                <w:szCs w:val="14"/>
                <w:color w:val="auto"/>
              </w:rPr>
              <w:t>TEXAS INSTRUMENTS 2007 ANNUAL REPORT</w:t>
            </w:r>
          </w:p>
        </w:tc>
        <w:tc>
          <w:tcPr>
            <w:tcW w:w="4300" w:type="dxa"/>
            <w:vAlign w:val="bottom"/>
          </w:tcPr>
          <w:p>
            <w:pPr>
              <w:jc w:val="right"/>
              <w:spacing w:after="0"/>
              <w:rPr>
                <w:sz w:val="20"/>
                <w:szCs w:val="20"/>
                <w:color w:val="auto"/>
              </w:rPr>
            </w:pPr>
            <w:r>
              <w:rPr>
                <w:rFonts w:ascii="Arial" w:cs="Arial" w:eastAsia="Arial" w:hAnsi="Arial"/>
                <w:sz w:val="14"/>
                <w:szCs w:val="14"/>
                <w:color w:val="auto"/>
              </w:rPr>
              <w:t>39</w:t>
            </w:r>
          </w:p>
        </w:tc>
      </w:tr>
    </w:tbl>
    <w:p>
      <w:pPr>
        <w:sectPr>
          <w:pgSz w:w="11900" w:h="16838" w:orient="portrait"/>
          <w:cols w:equalWidth="0" w:num="1">
            <w:col w:w="11420"/>
          </w:cols>
          <w:pgMar w:left="240" w:top="291" w:right="239" w:bottom="1440" w:gutter="0" w:footer="0" w:header="0"/>
        </w:sectPr>
      </w:pPr>
    </w:p>
    <w:bookmarkStart w:id="59" w:name="page60"/>
    <w:bookmarkEnd w:id="59"/>
    <w:p>
      <w:pPr>
        <w:ind w:right="20"/>
        <w:spacing w:after="0" w:line="23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semiconductors. In general, analog semiconductors and DSPs convert and process signals very quickly. Products in our semiconductor portfolio are central to almost all electronic equipment including cell phones, computer equipment, communications infrastructure equipment, motor controls, automotive equipment and digital imaging systems such as front projectors and high-definition digital televisions. Semiconductor products are sold to original-equipment manufacturers (OEMs), original-design manufacturers (ODMs), contract manufacturers and distributors. An OEM designs and sells products under its own brand that it manufactures in-house or has contracted to other manufacturers. An ODM designs and manufactures products for other companies to sell under their respective brands. Distributors sell TI products directly to a wide range of customers. The semiconductor market is intensely competitive and is subject to rapid technological change, pricing pressures, and the requirement of high rates of investment for R&amp;D and for the manufacturing factories and equipment needed to produce semiconductors. This segment represented 96 percent of our 2007 revenue.</w:t>
      </w:r>
    </w:p>
    <w:p>
      <w:pPr>
        <w:spacing w:after="0" w:line="161"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Our Education Technology segment is the world’s leading supplier of handheld graphing calculators. This segment also provides customers with business and scientific calculators and a wide range of advanced classroom tools that help students and teachers explore math and science interactively. Education Technology relies on third-party manufacturers to build its products. The principal competitive factors are an understanding of the education market, technology expertise and price. Education Technology sells products primarily through retailers and instructional dealers. This segment represented 4 percent of our 2007 revenue.</w:t>
      </w:r>
    </w:p>
    <w:p>
      <w:pPr>
        <w:spacing w:after="0" w:line="157"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Operating profits of these businesses exclude the effects of stock-based compensation, special charges and gains, and acquisition-related amortization, which are included in Corporate. The results for Semiconductor include the effects of all royalty revenue from semiconductor-related license agreements. Business assets are the owned or allocated assets used by each business.</w:t>
      </w:r>
    </w:p>
    <w:p>
      <w:pPr>
        <w:spacing w:after="0" w:line="154" w:lineRule="exact"/>
        <w:rPr>
          <w:sz w:val="20"/>
          <w:szCs w:val="20"/>
          <w:color w:val="auto"/>
        </w:rPr>
      </w:pPr>
    </w:p>
    <w:p>
      <w:pPr>
        <w:ind w:right="260"/>
        <w:spacing w:after="0" w:line="238" w:lineRule="auto"/>
        <w:rPr>
          <w:sz w:val="20"/>
          <w:szCs w:val="20"/>
          <w:color w:val="auto"/>
        </w:rPr>
      </w:pPr>
      <w:r>
        <w:rPr>
          <w:rFonts w:ascii="Arial" w:cs="Arial" w:eastAsia="Arial" w:hAnsi="Arial"/>
          <w:sz w:val="18"/>
          <w:szCs w:val="18"/>
          <w:color w:val="auto"/>
        </w:rPr>
        <w:t>Also included in Corporate are general corporate expenses and elimination of intersegment transactions (which are generally intended to approximate market prices). Assets of Corporate include unallocated cash; short-term investments; non-current investments; property, plant and equipment; and deferred income taxes.</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Segment Information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shd w:val="clear" w:color="auto" w:fill="E5E5E5"/>
          </w:tcPr>
          <w:p>
            <w:pPr>
              <w:spacing w:after="0"/>
              <w:rPr>
                <w:sz w:val="14"/>
                <w:szCs w:val="14"/>
                <w:color w:val="auto"/>
              </w:rPr>
            </w:pPr>
          </w:p>
        </w:tc>
        <w:tc>
          <w:tcPr>
            <w:tcW w:w="3020" w:type="dxa"/>
            <w:vAlign w:val="bottom"/>
            <w:shd w:val="clear" w:color="auto" w:fill="E5E5E5"/>
          </w:tcPr>
          <w:p>
            <w:pPr>
              <w:spacing w:after="0"/>
              <w:rPr>
                <w:sz w:val="14"/>
                <w:szCs w:val="14"/>
                <w:color w:val="auto"/>
              </w:rPr>
            </w:pPr>
          </w:p>
        </w:tc>
        <w:tc>
          <w:tcPr>
            <w:tcW w:w="1140" w:type="dxa"/>
            <w:vAlign w:val="bottom"/>
            <w:shd w:val="clear" w:color="auto" w:fill="E5E5E5"/>
          </w:tcPr>
          <w:p>
            <w:pPr>
              <w:jc w:val="right"/>
              <w:ind w:right="116"/>
              <w:spacing w:after="0"/>
              <w:rPr>
                <w:sz w:val="20"/>
                <w:szCs w:val="20"/>
                <w:color w:val="auto"/>
              </w:rPr>
            </w:pPr>
            <w:r>
              <w:rPr>
                <w:rFonts w:ascii="Arial" w:cs="Arial" w:eastAsia="Arial" w:hAnsi="Arial"/>
                <w:sz w:val="14"/>
                <w:szCs w:val="14"/>
                <w:b w:val="1"/>
                <w:bCs w:val="1"/>
                <w:color w:val="auto"/>
              </w:rPr>
              <w:t>Education</w:t>
            </w:r>
          </w:p>
        </w:tc>
        <w:tc>
          <w:tcPr>
            <w:tcW w:w="320" w:type="dxa"/>
            <w:vAlign w:val="bottom"/>
            <w:shd w:val="clear" w:color="auto" w:fill="E5E5E5"/>
          </w:tcPr>
          <w:p>
            <w:pPr>
              <w:spacing w:after="0"/>
              <w:rPr>
                <w:sz w:val="14"/>
                <w:szCs w:val="14"/>
                <w:color w:val="auto"/>
              </w:rPr>
            </w:pPr>
          </w:p>
        </w:tc>
        <w:tc>
          <w:tcPr>
            <w:tcW w:w="700" w:type="dxa"/>
            <w:vAlign w:val="bottom"/>
            <w:shd w:val="clear" w:color="auto" w:fill="E5E5E5"/>
          </w:tcPr>
          <w:p>
            <w:pPr>
              <w:spacing w:after="0"/>
              <w:rPr>
                <w:sz w:val="14"/>
                <w:szCs w:val="14"/>
                <w:color w:val="auto"/>
              </w:rPr>
            </w:pPr>
          </w:p>
        </w:tc>
        <w:tc>
          <w:tcPr>
            <w:tcW w:w="900" w:type="dxa"/>
            <w:vAlign w:val="bottom"/>
            <w:shd w:val="clear" w:color="auto" w:fill="E5E5E5"/>
          </w:tcPr>
          <w:p>
            <w:pPr>
              <w:spacing w:after="0"/>
              <w:rPr>
                <w:sz w:val="14"/>
                <w:szCs w:val="14"/>
                <w:color w:val="auto"/>
              </w:rPr>
            </w:pPr>
          </w:p>
        </w:tc>
      </w:tr>
      <w:tr>
        <w:trPr>
          <w:trHeight w:val="165"/>
        </w:trPr>
        <w:tc>
          <w:tcPr>
            <w:tcW w:w="5340" w:type="dxa"/>
            <w:vAlign w:val="bottom"/>
            <w:shd w:val="clear" w:color="auto" w:fill="E5E5E5"/>
          </w:tcPr>
          <w:p>
            <w:pPr>
              <w:spacing w:after="0"/>
              <w:rPr>
                <w:sz w:val="14"/>
                <w:szCs w:val="14"/>
                <w:color w:val="auto"/>
              </w:rPr>
            </w:pPr>
          </w:p>
        </w:tc>
        <w:tc>
          <w:tcPr>
            <w:tcW w:w="3020" w:type="dxa"/>
            <w:vAlign w:val="bottom"/>
            <w:shd w:val="clear" w:color="auto" w:fill="E5E5E5"/>
          </w:tcPr>
          <w:p>
            <w:pPr>
              <w:jc w:val="right"/>
              <w:spacing w:after="0"/>
              <w:rPr>
                <w:sz w:val="20"/>
                <w:szCs w:val="20"/>
                <w:color w:val="auto"/>
              </w:rPr>
            </w:pPr>
            <w:r>
              <w:rPr>
                <w:rFonts w:ascii="Arial" w:cs="Arial" w:eastAsia="Arial" w:hAnsi="Arial"/>
                <w:sz w:val="14"/>
                <w:szCs w:val="14"/>
                <w:b w:val="1"/>
                <w:bCs w:val="1"/>
                <w:color w:val="auto"/>
              </w:rPr>
              <w:t>Semiconductor</w:t>
            </w:r>
          </w:p>
        </w:tc>
        <w:tc>
          <w:tcPr>
            <w:tcW w:w="1140" w:type="dxa"/>
            <w:vAlign w:val="bottom"/>
            <w:shd w:val="clear" w:color="auto" w:fill="E5E5E5"/>
          </w:tcPr>
          <w:p>
            <w:pPr>
              <w:jc w:val="right"/>
              <w:ind w:right="76"/>
              <w:spacing w:after="0"/>
              <w:rPr>
                <w:sz w:val="20"/>
                <w:szCs w:val="20"/>
                <w:color w:val="auto"/>
              </w:rPr>
            </w:pPr>
            <w:r>
              <w:rPr>
                <w:rFonts w:ascii="Arial" w:cs="Arial" w:eastAsia="Arial" w:hAnsi="Arial"/>
                <w:sz w:val="14"/>
                <w:szCs w:val="14"/>
                <w:b w:val="1"/>
                <w:bCs w:val="1"/>
                <w:color w:val="auto"/>
              </w:rPr>
              <w:t>Technology</w:t>
            </w:r>
          </w:p>
        </w:tc>
        <w:tc>
          <w:tcPr>
            <w:tcW w:w="1020" w:type="dxa"/>
            <w:vAlign w:val="bottom"/>
            <w:gridSpan w:val="2"/>
            <w:shd w:val="clear" w:color="auto" w:fill="E5E5E5"/>
          </w:tcPr>
          <w:p>
            <w:pPr>
              <w:ind w:left="160"/>
              <w:spacing w:after="0"/>
              <w:rPr>
                <w:sz w:val="20"/>
                <w:szCs w:val="20"/>
                <w:color w:val="auto"/>
              </w:rPr>
            </w:pPr>
            <w:r>
              <w:rPr>
                <w:rFonts w:ascii="Arial" w:cs="Arial" w:eastAsia="Arial" w:hAnsi="Arial"/>
                <w:sz w:val="14"/>
                <w:szCs w:val="14"/>
                <w:b w:val="1"/>
                <w:bCs w:val="1"/>
                <w:color w:val="auto"/>
              </w:rPr>
              <w:t>Corporate</w:t>
            </w:r>
          </w:p>
        </w:tc>
        <w:tc>
          <w:tcPr>
            <w:tcW w:w="900" w:type="dxa"/>
            <w:vAlign w:val="bottom"/>
            <w:shd w:val="clear" w:color="auto" w:fill="E5E5E5"/>
          </w:tcPr>
          <w:p>
            <w:pPr>
              <w:jc w:val="right"/>
              <w:ind w:right="133"/>
              <w:spacing w:after="0"/>
              <w:rPr>
                <w:sz w:val="20"/>
                <w:szCs w:val="20"/>
                <w:color w:val="auto"/>
              </w:rPr>
            </w:pPr>
            <w:r>
              <w:rPr>
                <w:rFonts w:ascii="Arial" w:cs="Arial" w:eastAsia="Arial" w:hAnsi="Arial"/>
                <w:sz w:val="14"/>
                <w:szCs w:val="14"/>
                <w:b w:val="1"/>
                <w:bCs w:val="1"/>
                <w:color w:val="auto"/>
              </w:rPr>
              <w:t>Total</w:t>
            </w:r>
          </w:p>
        </w:tc>
      </w:tr>
      <w:tr>
        <w:trPr>
          <w:trHeight w:val="203"/>
        </w:trPr>
        <w:tc>
          <w:tcPr>
            <w:tcW w:w="5340" w:type="dxa"/>
            <w:vAlign w:val="bottom"/>
          </w:tcPr>
          <w:p>
            <w:pPr>
              <w:spacing w:after="0" w:line="202" w:lineRule="exact"/>
              <w:rPr>
                <w:sz w:val="20"/>
                <w:szCs w:val="20"/>
                <w:color w:val="auto"/>
              </w:rPr>
            </w:pPr>
            <w:r>
              <w:rPr>
                <w:rFonts w:ascii="Arial" w:cs="Arial" w:eastAsia="Arial" w:hAnsi="Arial"/>
                <w:sz w:val="18"/>
                <w:szCs w:val="18"/>
                <w:b w:val="1"/>
                <w:bCs w:val="1"/>
                <w:color w:val="auto"/>
              </w:rPr>
              <w:t>Net revenue</w:t>
            </w:r>
          </w:p>
        </w:tc>
        <w:tc>
          <w:tcPr>
            <w:tcW w:w="30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5340" w:type="dxa"/>
            <w:vAlign w:val="bottom"/>
            <w:shd w:val="clear" w:color="auto" w:fill="E5E5E5"/>
          </w:tcPr>
          <w:p>
            <w:pPr>
              <w:jc w:val="right"/>
              <w:ind w:right="4633"/>
              <w:spacing w:after="0" w:line="202" w:lineRule="exact"/>
              <w:rPr>
                <w:sz w:val="20"/>
                <w:szCs w:val="20"/>
                <w:color w:val="auto"/>
              </w:rPr>
            </w:pPr>
            <w:r>
              <w:rPr>
                <w:rFonts w:ascii="Arial" w:cs="Arial" w:eastAsia="Arial" w:hAnsi="Arial"/>
                <w:sz w:val="18"/>
                <w:szCs w:val="18"/>
                <w:b w:val="1"/>
                <w:bCs w:val="1"/>
                <w:color w:val="auto"/>
              </w:rPr>
              <w:t>2007</w:t>
            </w:r>
          </w:p>
        </w:tc>
        <w:tc>
          <w:tcPr>
            <w:tcW w:w="3020" w:type="dxa"/>
            <w:vAlign w:val="bottom"/>
            <w:shd w:val="clear" w:color="auto" w:fill="E5E5E5"/>
          </w:tcPr>
          <w:p>
            <w:pPr>
              <w:jc w:val="right"/>
              <w:ind w:right="93"/>
              <w:spacing w:after="0" w:line="202" w:lineRule="exact"/>
              <w:rPr>
                <w:sz w:val="20"/>
                <w:szCs w:val="20"/>
                <w:color w:val="auto"/>
              </w:rPr>
            </w:pPr>
            <w:r>
              <w:rPr>
                <w:rFonts w:ascii="Arial" w:cs="Arial" w:eastAsia="Arial" w:hAnsi="Arial"/>
                <w:sz w:val="18"/>
                <w:szCs w:val="18"/>
                <w:b w:val="1"/>
                <w:bCs w:val="1"/>
                <w:color w:val="auto"/>
              </w:rPr>
              <w:t>$   13,309</w:t>
            </w:r>
          </w:p>
        </w:tc>
        <w:tc>
          <w:tcPr>
            <w:tcW w:w="1140" w:type="dxa"/>
            <w:vAlign w:val="bottom"/>
            <w:shd w:val="clear" w:color="auto" w:fill="E5E5E5"/>
          </w:tcPr>
          <w:p>
            <w:pPr>
              <w:jc w:val="right"/>
              <w:ind w:right="156"/>
              <w:spacing w:after="0" w:line="202" w:lineRule="exact"/>
              <w:rPr>
                <w:sz w:val="20"/>
                <w:szCs w:val="20"/>
                <w:color w:val="auto"/>
              </w:rPr>
            </w:pPr>
            <w:r>
              <w:rPr>
                <w:rFonts w:ascii="Arial" w:cs="Arial" w:eastAsia="Arial" w:hAnsi="Arial"/>
                <w:sz w:val="18"/>
                <w:szCs w:val="18"/>
                <w:b w:val="1"/>
                <w:bCs w:val="1"/>
                <w:color w:val="auto"/>
              </w:rPr>
              <w:t>$   526</w:t>
            </w:r>
          </w:p>
        </w:tc>
        <w:tc>
          <w:tcPr>
            <w:tcW w:w="320" w:type="dxa"/>
            <w:vAlign w:val="bottom"/>
            <w:shd w:val="clear" w:color="auto" w:fill="E5E5E5"/>
          </w:tcPr>
          <w:p>
            <w:pPr>
              <w:ind w:left="160"/>
              <w:spacing w:after="0" w:line="202" w:lineRule="exact"/>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E5E5E5"/>
          </w:tcPr>
          <w:p>
            <w:pPr>
              <w:jc w:val="right"/>
              <w:ind w:right="112"/>
              <w:spacing w:after="0" w:line="202" w:lineRule="exact"/>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$ 13,835</w:t>
            </w:r>
          </w:p>
        </w:tc>
      </w:tr>
      <w:tr>
        <w:trPr>
          <w:trHeight w:val="203"/>
        </w:trPr>
        <w:tc>
          <w:tcPr>
            <w:tcW w:w="5340" w:type="dxa"/>
            <w:vAlign w:val="bottom"/>
          </w:tcPr>
          <w:p>
            <w:pPr>
              <w:jc w:val="right"/>
              <w:ind w:right="4633"/>
              <w:spacing w:after="0" w:line="202" w:lineRule="exact"/>
              <w:rPr>
                <w:sz w:val="20"/>
                <w:szCs w:val="20"/>
                <w:color w:val="auto"/>
              </w:rPr>
            </w:pPr>
            <w:r>
              <w:rPr>
                <w:rFonts w:ascii="Arial" w:cs="Arial" w:eastAsia="Arial" w:hAnsi="Arial"/>
                <w:sz w:val="18"/>
                <w:szCs w:val="18"/>
                <w:color w:val="auto"/>
              </w:rPr>
              <w:t>2006</w:t>
            </w:r>
          </w:p>
        </w:tc>
        <w:tc>
          <w:tcPr>
            <w:tcW w:w="3020" w:type="dxa"/>
            <w:vAlign w:val="bottom"/>
          </w:tcPr>
          <w:p>
            <w:pPr>
              <w:jc w:val="right"/>
              <w:ind w:right="93"/>
              <w:spacing w:after="0" w:line="202" w:lineRule="exact"/>
              <w:rPr>
                <w:sz w:val="20"/>
                <w:szCs w:val="20"/>
                <w:color w:val="auto"/>
              </w:rPr>
            </w:pPr>
            <w:r>
              <w:rPr>
                <w:rFonts w:ascii="Arial" w:cs="Arial" w:eastAsia="Arial" w:hAnsi="Arial"/>
                <w:sz w:val="18"/>
                <w:szCs w:val="18"/>
                <w:color w:val="auto"/>
              </w:rPr>
              <w:t>13,730</w:t>
            </w:r>
          </w:p>
        </w:tc>
        <w:tc>
          <w:tcPr>
            <w:tcW w:w="1140" w:type="dxa"/>
            <w:vAlign w:val="bottom"/>
          </w:tcPr>
          <w:p>
            <w:pPr>
              <w:jc w:val="right"/>
              <w:ind w:right="156"/>
              <w:spacing w:after="0" w:line="202" w:lineRule="exact"/>
              <w:rPr>
                <w:sz w:val="20"/>
                <w:szCs w:val="20"/>
                <w:color w:val="auto"/>
              </w:rPr>
            </w:pPr>
            <w:r>
              <w:rPr>
                <w:rFonts w:ascii="Arial" w:cs="Arial" w:eastAsia="Arial" w:hAnsi="Arial"/>
                <w:sz w:val="18"/>
                <w:szCs w:val="18"/>
                <w:color w:val="auto"/>
              </w:rPr>
              <w:t>525</w:t>
            </w:r>
          </w:p>
        </w:tc>
        <w:tc>
          <w:tcPr>
            <w:tcW w:w="320" w:type="dxa"/>
            <w:vAlign w:val="bottom"/>
          </w:tcPr>
          <w:p>
            <w:pPr>
              <w:spacing w:after="0"/>
              <w:rPr>
                <w:sz w:val="17"/>
                <w:szCs w:val="17"/>
                <w:color w:val="auto"/>
              </w:rPr>
            </w:pPr>
          </w:p>
        </w:tc>
        <w:tc>
          <w:tcPr>
            <w:tcW w:w="70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14,255</w:t>
            </w:r>
          </w:p>
        </w:tc>
      </w:tr>
      <w:tr>
        <w:trPr>
          <w:trHeight w:val="203"/>
        </w:trPr>
        <w:tc>
          <w:tcPr>
            <w:tcW w:w="5340" w:type="dxa"/>
            <w:vAlign w:val="bottom"/>
            <w:shd w:val="clear" w:color="auto" w:fill="E5E5E5"/>
          </w:tcPr>
          <w:p>
            <w:pPr>
              <w:jc w:val="right"/>
              <w:ind w:right="4633"/>
              <w:spacing w:after="0" w:line="202" w:lineRule="exact"/>
              <w:rPr>
                <w:sz w:val="20"/>
                <w:szCs w:val="20"/>
                <w:color w:val="auto"/>
              </w:rPr>
            </w:pPr>
            <w:r>
              <w:rPr>
                <w:rFonts w:ascii="Arial" w:cs="Arial" w:eastAsia="Arial" w:hAnsi="Arial"/>
                <w:sz w:val="18"/>
                <w:szCs w:val="18"/>
                <w:color w:val="auto"/>
              </w:rPr>
              <w:t>2005</w:t>
            </w:r>
          </w:p>
        </w:tc>
        <w:tc>
          <w:tcPr>
            <w:tcW w:w="3020" w:type="dxa"/>
            <w:vAlign w:val="bottom"/>
            <w:shd w:val="clear" w:color="auto" w:fill="E5E5E5"/>
          </w:tcPr>
          <w:p>
            <w:pPr>
              <w:jc w:val="right"/>
              <w:ind w:right="93"/>
              <w:spacing w:after="0" w:line="202" w:lineRule="exact"/>
              <w:rPr>
                <w:sz w:val="20"/>
                <w:szCs w:val="20"/>
                <w:color w:val="auto"/>
              </w:rPr>
            </w:pPr>
            <w:r>
              <w:rPr>
                <w:rFonts w:ascii="Arial" w:cs="Arial" w:eastAsia="Arial" w:hAnsi="Arial"/>
                <w:sz w:val="18"/>
                <w:szCs w:val="18"/>
                <w:color w:val="auto"/>
              </w:rPr>
              <w:t>11,829</w:t>
            </w:r>
          </w:p>
        </w:tc>
        <w:tc>
          <w:tcPr>
            <w:tcW w:w="1140" w:type="dxa"/>
            <w:vAlign w:val="bottom"/>
            <w:shd w:val="clear" w:color="auto" w:fill="E5E5E5"/>
          </w:tcPr>
          <w:p>
            <w:pPr>
              <w:jc w:val="right"/>
              <w:ind w:right="156"/>
              <w:spacing w:after="0" w:line="202" w:lineRule="exact"/>
              <w:rPr>
                <w:sz w:val="20"/>
                <w:szCs w:val="20"/>
                <w:color w:val="auto"/>
              </w:rPr>
            </w:pPr>
            <w:r>
              <w:rPr>
                <w:rFonts w:ascii="Arial" w:cs="Arial" w:eastAsia="Arial" w:hAnsi="Arial"/>
                <w:sz w:val="18"/>
                <w:szCs w:val="18"/>
                <w:color w:val="auto"/>
              </w:rPr>
              <w:t>506</w:t>
            </w:r>
          </w:p>
        </w:tc>
        <w:tc>
          <w:tcPr>
            <w:tcW w:w="320" w:type="dxa"/>
            <w:vAlign w:val="bottom"/>
            <w:shd w:val="clear" w:color="auto" w:fill="E5E5E5"/>
          </w:tcPr>
          <w:p>
            <w:pPr>
              <w:spacing w:after="0"/>
              <w:rPr>
                <w:sz w:val="17"/>
                <w:szCs w:val="17"/>
                <w:color w:val="auto"/>
              </w:rPr>
            </w:pPr>
          </w:p>
        </w:tc>
        <w:tc>
          <w:tcPr>
            <w:tcW w:w="700" w:type="dxa"/>
            <w:vAlign w:val="bottom"/>
            <w:shd w:val="clear" w:color="auto" w:fill="E5E5E5"/>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12,335</w:t>
            </w:r>
          </w:p>
        </w:tc>
      </w:tr>
      <w:tr>
        <w:trPr>
          <w:trHeight w:val="203"/>
        </w:trPr>
        <w:tc>
          <w:tcPr>
            <w:tcW w:w="5340" w:type="dxa"/>
            <w:vAlign w:val="bottom"/>
          </w:tcPr>
          <w:p>
            <w:pPr>
              <w:spacing w:after="0" w:line="202" w:lineRule="exact"/>
              <w:rPr>
                <w:sz w:val="20"/>
                <w:szCs w:val="20"/>
                <w:color w:val="auto"/>
              </w:rPr>
            </w:pPr>
            <w:r>
              <w:rPr>
                <w:rFonts w:ascii="Arial" w:cs="Arial" w:eastAsia="Arial" w:hAnsi="Arial"/>
                <w:sz w:val="18"/>
                <w:szCs w:val="18"/>
                <w:b w:val="1"/>
                <w:bCs w:val="1"/>
                <w:color w:val="auto"/>
              </w:rPr>
              <w:t>Profit (loss) from operations</w:t>
            </w:r>
          </w:p>
        </w:tc>
        <w:tc>
          <w:tcPr>
            <w:tcW w:w="30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5340" w:type="dxa"/>
            <w:vAlign w:val="bottom"/>
            <w:shd w:val="clear" w:color="auto" w:fill="E5E5E5"/>
          </w:tcPr>
          <w:p>
            <w:pPr>
              <w:jc w:val="right"/>
              <w:ind w:right="4633"/>
              <w:spacing w:after="0" w:line="202" w:lineRule="exact"/>
              <w:rPr>
                <w:sz w:val="20"/>
                <w:szCs w:val="20"/>
                <w:color w:val="auto"/>
              </w:rPr>
            </w:pPr>
            <w:r>
              <w:rPr>
                <w:rFonts w:ascii="Arial" w:cs="Arial" w:eastAsia="Arial" w:hAnsi="Arial"/>
                <w:sz w:val="18"/>
                <w:szCs w:val="18"/>
                <w:b w:val="1"/>
                <w:bCs w:val="1"/>
                <w:color w:val="auto"/>
              </w:rPr>
              <w:t>2007</w:t>
            </w:r>
          </w:p>
        </w:tc>
        <w:tc>
          <w:tcPr>
            <w:tcW w:w="3020" w:type="dxa"/>
            <w:vAlign w:val="bottom"/>
            <w:shd w:val="clear" w:color="auto" w:fill="E5E5E5"/>
          </w:tcPr>
          <w:p>
            <w:pPr>
              <w:jc w:val="right"/>
              <w:ind w:right="93"/>
              <w:spacing w:after="0" w:line="202" w:lineRule="exact"/>
              <w:rPr>
                <w:sz w:val="20"/>
                <w:szCs w:val="20"/>
                <w:color w:val="auto"/>
              </w:rPr>
            </w:pPr>
            <w:r>
              <w:rPr>
                <w:rFonts w:ascii="Arial" w:cs="Arial" w:eastAsia="Arial" w:hAnsi="Arial"/>
                <w:sz w:val="18"/>
                <w:szCs w:val="18"/>
                <w:b w:val="1"/>
                <w:bCs w:val="1"/>
                <w:color w:val="auto"/>
              </w:rPr>
              <w:t>3,883</w:t>
            </w:r>
          </w:p>
        </w:tc>
        <w:tc>
          <w:tcPr>
            <w:tcW w:w="1140" w:type="dxa"/>
            <w:vAlign w:val="bottom"/>
            <w:shd w:val="clear" w:color="auto" w:fill="E5E5E5"/>
          </w:tcPr>
          <w:p>
            <w:pPr>
              <w:jc w:val="right"/>
              <w:ind w:right="156"/>
              <w:spacing w:after="0" w:line="202" w:lineRule="exact"/>
              <w:rPr>
                <w:sz w:val="20"/>
                <w:szCs w:val="20"/>
                <w:color w:val="auto"/>
              </w:rPr>
            </w:pPr>
            <w:r>
              <w:rPr>
                <w:rFonts w:ascii="Arial" w:cs="Arial" w:eastAsia="Arial" w:hAnsi="Arial"/>
                <w:sz w:val="18"/>
                <w:szCs w:val="18"/>
                <w:b w:val="1"/>
                <w:bCs w:val="1"/>
                <w:color w:val="auto"/>
              </w:rPr>
              <w:t>208</w:t>
            </w:r>
          </w:p>
        </w:tc>
        <w:tc>
          <w:tcPr>
            <w:tcW w:w="320" w:type="dxa"/>
            <w:vAlign w:val="bottom"/>
            <w:shd w:val="clear" w:color="auto" w:fill="E5E5E5"/>
          </w:tcPr>
          <w:p>
            <w:pPr>
              <w:spacing w:after="0"/>
              <w:rPr>
                <w:sz w:val="17"/>
                <w:szCs w:val="17"/>
                <w:color w:val="auto"/>
              </w:rPr>
            </w:pPr>
          </w:p>
        </w:tc>
        <w:tc>
          <w:tcPr>
            <w:tcW w:w="700" w:type="dxa"/>
            <w:vAlign w:val="bottom"/>
            <w:shd w:val="clear" w:color="auto" w:fill="E5E5E5"/>
          </w:tcPr>
          <w:p>
            <w:pPr>
              <w:jc w:val="right"/>
              <w:ind w:right="52"/>
              <w:spacing w:after="0" w:line="202" w:lineRule="exact"/>
              <w:rPr>
                <w:sz w:val="20"/>
                <w:szCs w:val="20"/>
                <w:color w:val="auto"/>
              </w:rPr>
            </w:pPr>
            <w:r>
              <w:rPr>
                <w:rFonts w:ascii="Arial" w:cs="Arial" w:eastAsia="Arial" w:hAnsi="Arial"/>
                <w:sz w:val="18"/>
                <w:szCs w:val="18"/>
                <w:b w:val="1"/>
                <w:bCs w:val="1"/>
                <w:color w:val="auto"/>
              </w:rPr>
              <w:t>(594)</w:t>
            </w:r>
          </w:p>
        </w:tc>
        <w:tc>
          <w:tcPr>
            <w:tcW w:w="9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3,497</w:t>
            </w:r>
          </w:p>
        </w:tc>
      </w:tr>
      <w:tr>
        <w:trPr>
          <w:trHeight w:val="203"/>
        </w:trPr>
        <w:tc>
          <w:tcPr>
            <w:tcW w:w="5340" w:type="dxa"/>
            <w:vAlign w:val="bottom"/>
          </w:tcPr>
          <w:p>
            <w:pPr>
              <w:jc w:val="right"/>
              <w:ind w:right="4633"/>
              <w:spacing w:after="0" w:line="202" w:lineRule="exact"/>
              <w:rPr>
                <w:sz w:val="20"/>
                <w:szCs w:val="20"/>
                <w:color w:val="auto"/>
              </w:rPr>
            </w:pPr>
            <w:r>
              <w:rPr>
                <w:rFonts w:ascii="Arial" w:cs="Arial" w:eastAsia="Arial" w:hAnsi="Arial"/>
                <w:sz w:val="18"/>
                <w:szCs w:val="18"/>
                <w:color w:val="auto"/>
              </w:rPr>
              <w:t>2006</w:t>
            </w:r>
          </w:p>
        </w:tc>
        <w:tc>
          <w:tcPr>
            <w:tcW w:w="3020" w:type="dxa"/>
            <w:vAlign w:val="bottom"/>
          </w:tcPr>
          <w:p>
            <w:pPr>
              <w:jc w:val="right"/>
              <w:ind w:right="93"/>
              <w:spacing w:after="0" w:line="202" w:lineRule="exact"/>
              <w:rPr>
                <w:sz w:val="20"/>
                <w:szCs w:val="20"/>
                <w:color w:val="auto"/>
              </w:rPr>
            </w:pPr>
            <w:r>
              <w:rPr>
                <w:rFonts w:ascii="Arial" w:cs="Arial" w:eastAsia="Arial" w:hAnsi="Arial"/>
                <w:sz w:val="18"/>
                <w:szCs w:val="18"/>
                <w:color w:val="auto"/>
              </w:rPr>
              <w:t>3,831</w:t>
            </w:r>
          </w:p>
        </w:tc>
        <w:tc>
          <w:tcPr>
            <w:tcW w:w="1140" w:type="dxa"/>
            <w:vAlign w:val="bottom"/>
          </w:tcPr>
          <w:p>
            <w:pPr>
              <w:jc w:val="right"/>
              <w:ind w:right="156"/>
              <w:spacing w:after="0" w:line="202" w:lineRule="exact"/>
              <w:rPr>
                <w:sz w:val="20"/>
                <w:szCs w:val="20"/>
                <w:color w:val="auto"/>
              </w:rPr>
            </w:pPr>
            <w:r>
              <w:rPr>
                <w:rFonts w:ascii="Arial" w:cs="Arial" w:eastAsia="Arial" w:hAnsi="Arial"/>
                <w:sz w:val="18"/>
                <w:szCs w:val="18"/>
                <w:color w:val="auto"/>
              </w:rPr>
              <w:t>200</w:t>
            </w:r>
          </w:p>
        </w:tc>
        <w:tc>
          <w:tcPr>
            <w:tcW w:w="320" w:type="dxa"/>
            <w:vAlign w:val="bottom"/>
          </w:tcPr>
          <w:p>
            <w:pPr>
              <w:spacing w:after="0"/>
              <w:rPr>
                <w:sz w:val="17"/>
                <w:szCs w:val="17"/>
                <w:color w:val="auto"/>
              </w:rPr>
            </w:pPr>
          </w:p>
        </w:tc>
        <w:tc>
          <w:tcPr>
            <w:tcW w:w="7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(664)</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3,367</w:t>
            </w:r>
          </w:p>
        </w:tc>
      </w:tr>
      <w:tr>
        <w:trPr>
          <w:trHeight w:val="203"/>
        </w:trPr>
        <w:tc>
          <w:tcPr>
            <w:tcW w:w="5340" w:type="dxa"/>
            <w:vAlign w:val="bottom"/>
            <w:shd w:val="clear" w:color="auto" w:fill="E5E5E5"/>
          </w:tcPr>
          <w:p>
            <w:pPr>
              <w:jc w:val="right"/>
              <w:ind w:right="4633"/>
              <w:spacing w:after="0" w:line="202" w:lineRule="exact"/>
              <w:rPr>
                <w:sz w:val="20"/>
                <w:szCs w:val="20"/>
                <w:color w:val="auto"/>
              </w:rPr>
            </w:pPr>
            <w:r>
              <w:rPr>
                <w:rFonts w:ascii="Arial" w:cs="Arial" w:eastAsia="Arial" w:hAnsi="Arial"/>
                <w:sz w:val="18"/>
                <w:szCs w:val="18"/>
                <w:color w:val="auto"/>
              </w:rPr>
              <w:t>2005</w:t>
            </w:r>
          </w:p>
        </w:tc>
        <w:tc>
          <w:tcPr>
            <w:tcW w:w="3020" w:type="dxa"/>
            <w:vAlign w:val="bottom"/>
            <w:shd w:val="clear" w:color="auto" w:fill="E5E5E5"/>
          </w:tcPr>
          <w:p>
            <w:pPr>
              <w:jc w:val="right"/>
              <w:ind w:right="93"/>
              <w:spacing w:after="0" w:line="202" w:lineRule="exact"/>
              <w:rPr>
                <w:sz w:val="20"/>
                <w:szCs w:val="20"/>
                <w:color w:val="auto"/>
              </w:rPr>
            </w:pPr>
            <w:r>
              <w:rPr>
                <w:rFonts w:ascii="Arial" w:cs="Arial" w:eastAsia="Arial" w:hAnsi="Arial"/>
                <w:sz w:val="18"/>
                <w:szCs w:val="18"/>
                <w:color w:val="auto"/>
              </w:rPr>
              <w:t>2,808</w:t>
            </w:r>
          </w:p>
        </w:tc>
        <w:tc>
          <w:tcPr>
            <w:tcW w:w="1140" w:type="dxa"/>
            <w:vAlign w:val="bottom"/>
            <w:shd w:val="clear" w:color="auto" w:fill="E5E5E5"/>
          </w:tcPr>
          <w:p>
            <w:pPr>
              <w:jc w:val="right"/>
              <w:ind w:right="156"/>
              <w:spacing w:after="0" w:line="202" w:lineRule="exact"/>
              <w:rPr>
                <w:sz w:val="20"/>
                <w:szCs w:val="20"/>
                <w:color w:val="auto"/>
              </w:rPr>
            </w:pPr>
            <w:r>
              <w:rPr>
                <w:rFonts w:ascii="Arial" w:cs="Arial" w:eastAsia="Arial" w:hAnsi="Arial"/>
                <w:sz w:val="18"/>
                <w:szCs w:val="18"/>
                <w:color w:val="auto"/>
              </w:rPr>
              <w:t>188</w:t>
            </w:r>
          </w:p>
        </w:tc>
        <w:tc>
          <w:tcPr>
            <w:tcW w:w="320" w:type="dxa"/>
            <w:vAlign w:val="bottom"/>
            <w:shd w:val="clear" w:color="auto" w:fill="E5E5E5"/>
          </w:tcPr>
          <w:p>
            <w:pPr>
              <w:spacing w:after="0"/>
              <w:rPr>
                <w:sz w:val="17"/>
                <w:szCs w:val="17"/>
                <w:color w:val="auto"/>
              </w:rPr>
            </w:pPr>
          </w:p>
        </w:tc>
        <w:tc>
          <w:tcPr>
            <w:tcW w:w="700" w:type="dxa"/>
            <w:vAlign w:val="bottom"/>
            <w:shd w:val="clear" w:color="auto" w:fill="E5E5E5"/>
          </w:tcPr>
          <w:p>
            <w:pPr>
              <w:jc w:val="right"/>
              <w:ind w:right="52"/>
              <w:spacing w:after="0" w:line="202" w:lineRule="exact"/>
              <w:rPr>
                <w:sz w:val="20"/>
                <w:szCs w:val="20"/>
                <w:color w:val="auto"/>
              </w:rPr>
            </w:pPr>
            <w:r>
              <w:rPr>
                <w:rFonts w:ascii="Arial" w:cs="Arial" w:eastAsia="Arial" w:hAnsi="Arial"/>
                <w:sz w:val="18"/>
                <w:szCs w:val="18"/>
                <w:color w:val="auto"/>
              </w:rPr>
              <w:t>(437)</w:t>
            </w:r>
          </w:p>
        </w:tc>
        <w:tc>
          <w:tcPr>
            <w:tcW w:w="9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2,559</w:t>
            </w:r>
          </w:p>
        </w:tc>
      </w:tr>
      <w:tr>
        <w:trPr>
          <w:trHeight w:val="203"/>
        </w:trPr>
        <w:tc>
          <w:tcPr>
            <w:tcW w:w="5340" w:type="dxa"/>
            <w:vAlign w:val="bottom"/>
          </w:tcPr>
          <w:p>
            <w:pPr>
              <w:spacing w:after="0" w:line="202" w:lineRule="exact"/>
              <w:rPr>
                <w:sz w:val="20"/>
                <w:szCs w:val="20"/>
                <w:color w:val="auto"/>
              </w:rPr>
            </w:pPr>
            <w:r>
              <w:rPr>
                <w:rFonts w:ascii="Arial" w:cs="Arial" w:eastAsia="Arial" w:hAnsi="Arial"/>
                <w:sz w:val="18"/>
                <w:szCs w:val="18"/>
                <w:b w:val="1"/>
                <w:bCs w:val="1"/>
                <w:color w:val="auto"/>
              </w:rPr>
              <w:t>Assets of continuing operations</w:t>
            </w:r>
          </w:p>
        </w:tc>
        <w:tc>
          <w:tcPr>
            <w:tcW w:w="30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5340" w:type="dxa"/>
            <w:vAlign w:val="bottom"/>
            <w:shd w:val="clear" w:color="auto" w:fill="E5E5E5"/>
          </w:tcPr>
          <w:p>
            <w:pPr>
              <w:jc w:val="right"/>
              <w:ind w:right="4633"/>
              <w:spacing w:after="0" w:line="202" w:lineRule="exact"/>
              <w:rPr>
                <w:sz w:val="20"/>
                <w:szCs w:val="20"/>
                <w:color w:val="auto"/>
              </w:rPr>
            </w:pPr>
            <w:r>
              <w:rPr>
                <w:rFonts w:ascii="Arial" w:cs="Arial" w:eastAsia="Arial" w:hAnsi="Arial"/>
                <w:sz w:val="18"/>
                <w:szCs w:val="18"/>
                <w:b w:val="1"/>
                <w:bCs w:val="1"/>
                <w:color w:val="auto"/>
              </w:rPr>
              <w:t>2007</w:t>
            </w:r>
          </w:p>
        </w:tc>
        <w:tc>
          <w:tcPr>
            <w:tcW w:w="3020" w:type="dxa"/>
            <w:vAlign w:val="bottom"/>
            <w:shd w:val="clear" w:color="auto" w:fill="E5E5E5"/>
          </w:tcPr>
          <w:p>
            <w:pPr>
              <w:jc w:val="right"/>
              <w:ind w:right="93"/>
              <w:spacing w:after="0" w:line="202" w:lineRule="exact"/>
              <w:rPr>
                <w:sz w:val="20"/>
                <w:szCs w:val="20"/>
                <w:color w:val="auto"/>
              </w:rPr>
            </w:pPr>
            <w:r>
              <w:rPr>
                <w:rFonts w:ascii="Arial" w:cs="Arial" w:eastAsia="Arial" w:hAnsi="Arial"/>
                <w:sz w:val="18"/>
                <w:szCs w:val="18"/>
                <w:b w:val="1"/>
                <w:bCs w:val="1"/>
                <w:color w:val="auto"/>
              </w:rPr>
              <w:t>6,757</w:t>
            </w:r>
          </w:p>
        </w:tc>
        <w:tc>
          <w:tcPr>
            <w:tcW w:w="1140" w:type="dxa"/>
            <w:vAlign w:val="bottom"/>
            <w:shd w:val="clear" w:color="auto" w:fill="E5E5E5"/>
          </w:tcPr>
          <w:p>
            <w:pPr>
              <w:jc w:val="right"/>
              <w:ind w:right="156"/>
              <w:spacing w:after="0" w:line="202" w:lineRule="exact"/>
              <w:rPr>
                <w:sz w:val="20"/>
                <w:szCs w:val="20"/>
                <w:color w:val="auto"/>
              </w:rPr>
            </w:pPr>
            <w:r>
              <w:rPr>
                <w:rFonts w:ascii="Arial" w:cs="Arial" w:eastAsia="Arial" w:hAnsi="Arial"/>
                <w:sz w:val="18"/>
                <w:szCs w:val="18"/>
                <w:b w:val="1"/>
                <w:bCs w:val="1"/>
                <w:color w:val="auto"/>
              </w:rPr>
              <w:t>108</w:t>
            </w:r>
          </w:p>
        </w:tc>
        <w:tc>
          <w:tcPr>
            <w:tcW w:w="320" w:type="dxa"/>
            <w:vAlign w:val="bottom"/>
            <w:shd w:val="clear" w:color="auto" w:fill="E5E5E5"/>
          </w:tcPr>
          <w:p>
            <w:pPr>
              <w:spacing w:after="0"/>
              <w:rPr>
                <w:sz w:val="17"/>
                <w:szCs w:val="17"/>
                <w:color w:val="auto"/>
              </w:rPr>
            </w:pPr>
          </w:p>
        </w:tc>
        <w:tc>
          <w:tcPr>
            <w:tcW w:w="700" w:type="dxa"/>
            <w:vAlign w:val="bottom"/>
            <w:shd w:val="clear" w:color="auto" w:fill="E5E5E5"/>
          </w:tcPr>
          <w:p>
            <w:pPr>
              <w:jc w:val="right"/>
              <w:ind w:right="112"/>
              <w:spacing w:after="0" w:line="202" w:lineRule="exact"/>
              <w:rPr>
                <w:sz w:val="20"/>
                <w:szCs w:val="20"/>
                <w:color w:val="auto"/>
              </w:rPr>
            </w:pPr>
            <w:r>
              <w:rPr>
                <w:rFonts w:ascii="Arial" w:cs="Arial" w:eastAsia="Arial" w:hAnsi="Arial"/>
                <w:sz w:val="18"/>
                <w:szCs w:val="18"/>
                <w:b w:val="1"/>
                <w:bCs w:val="1"/>
                <w:color w:val="auto"/>
              </w:rPr>
              <w:t>5,802</w:t>
            </w:r>
          </w:p>
        </w:tc>
        <w:tc>
          <w:tcPr>
            <w:tcW w:w="9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12,667</w:t>
            </w:r>
          </w:p>
        </w:tc>
      </w:tr>
      <w:tr>
        <w:trPr>
          <w:trHeight w:val="203"/>
        </w:trPr>
        <w:tc>
          <w:tcPr>
            <w:tcW w:w="5340" w:type="dxa"/>
            <w:vAlign w:val="bottom"/>
          </w:tcPr>
          <w:p>
            <w:pPr>
              <w:jc w:val="right"/>
              <w:ind w:right="4633"/>
              <w:spacing w:after="0" w:line="202" w:lineRule="exact"/>
              <w:rPr>
                <w:sz w:val="20"/>
                <w:szCs w:val="20"/>
                <w:color w:val="auto"/>
              </w:rPr>
            </w:pPr>
            <w:r>
              <w:rPr>
                <w:rFonts w:ascii="Arial" w:cs="Arial" w:eastAsia="Arial" w:hAnsi="Arial"/>
                <w:sz w:val="18"/>
                <w:szCs w:val="18"/>
                <w:color w:val="auto"/>
              </w:rPr>
              <w:t>2006</w:t>
            </w:r>
          </w:p>
        </w:tc>
        <w:tc>
          <w:tcPr>
            <w:tcW w:w="3020" w:type="dxa"/>
            <w:vAlign w:val="bottom"/>
          </w:tcPr>
          <w:p>
            <w:pPr>
              <w:jc w:val="right"/>
              <w:ind w:right="93"/>
              <w:spacing w:after="0" w:line="202" w:lineRule="exact"/>
              <w:rPr>
                <w:sz w:val="20"/>
                <w:szCs w:val="20"/>
                <w:color w:val="auto"/>
              </w:rPr>
            </w:pPr>
            <w:r>
              <w:rPr>
                <w:rFonts w:ascii="Arial" w:cs="Arial" w:eastAsia="Arial" w:hAnsi="Arial"/>
                <w:sz w:val="18"/>
                <w:szCs w:val="18"/>
                <w:color w:val="auto"/>
              </w:rPr>
              <w:t>7,115</w:t>
            </w:r>
          </w:p>
        </w:tc>
        <w:tc>
          <w:tcPr>
            <w:tcW w:w="1140" w:type="dxa"/>
            <w:vAlign w:val="bottom"/>
          </w:tcPr>
          <w:p>
            <w:pPr>
              <w:jc w:val="right"/>
              <w:ind w:right="156"/>
              <w:spacing w:after="0" w:line="202" w:lineRule="exact"/>
              <w:rPr>
                <w:sz w:val="20"/>
                <w:szCs w:val="20"/>
                <w:color w:val="auto"/>
              </w:rPr>
            </w:pPr>
            <w:r>
              <w:rPr>
                <w:rFonts w:ascii="Arial" w:cs="Arial" w:eastAsia="Arial" w:hAnsi="Arial"/>
                <w:sz w:val="18"/>
                <w:szCs w:val="18"/>
                <w:color w:val="auto"/>
              </w:rPr>
              <w:t>103</w:t>
            </w:r>
          </w:p>
        </w:tc>
        <w:tc>
          <w:tcPr>
            <w:tcW w:w="320" w:type="dxa"/>
            <w:vAlign w:val="bottom"/>
          </w:tcPr>
          <w:p>
            <w:pPr>
              <w:spacing w:after="0"/>
              <w:rPr>
                <w:sz w:val="17"/>
                <w:szCs w:val="17"/>
                <w:color w:val="auto"/>
              </w:rPr>
            </w:pPr>
          </w:p>
        </w:tc>
        <w:tc>
          <w:tcPr>
            <w:tcW w:w="70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6,708</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13,926</w:t>
            </w:r>
          </w:p>
        </w:tc>
      </w:tr>
      <w:tr>
        <w:trPr>
          <w:trHeight w:val="203"/>
        </w:trPr>
        <w:tc>
          <w:tcPr>
            <w:tcW w:w="5340" w:type="dxa"/>
            <w:vAlign w:val="bottom"/>
            <w:shd w:val="clear" w:color="auto" w:fill="E5E5E5"/>
          </w:tcPr>
          <w:p>
            <w:pPr>
              <w:jc w:val="right"/>
              <w:ind w:right="4633"/>
              <w:spacing w:after="0" w:line="202" w:lineRule="exact"/>
              <w:rPr>
                <w:sz w:val="20"/>
                <w:szCs w:val="20"/>
                <w:color w:val="auto"/>
              </w:rPr>
            </w:pPr>
            <w:r>
              <w:rPr>
                <w:rFonts w:ascii="Arial" w:cs="Arial" w:eastAsia="Arial" w:hAnsi="Arial"/>
                <w:sz w:val="18"/>
                <w:szCs w:val="18"/>
                <w:color w:val="auto"/>
              </w:rPr>
              <w:t>2005</w:t>
            </w:r>
          </w:p>
        </w:tc>
        <w:tc>
          <w:tcPr>
            <w:tcW w:w="3020" w:type="dxa"/>
            <w:vAlign w:val="bottom"/>
            <w:shd w:val="clear" w:color="auto" w:fill="E5E5E5"/>
          </w:tcPr>
          <w:p>
            <w:pPr>
              <w:jc w:val="right"/>
              <w:ind w:right="93"/>
              <w:spacing w:after="0" w:line="202" w:lineRule="exact"/>
              <w:rPr>
                <w:sz w:val="20"/>
                <w:szCs w:val="20"/>
                <w:color w:val="auto"/>
              </w:rPr>
            </w:pPr>
            <w:r>
              <w:rPr>
                <w:rFonts w:ascii="Arial" w:cs="Arial" w:eastAsia="Arial" w:hAnsi="Arial"/>
                <w:sz w:val="18"/>
                <w:szCs w:val="18"/>
                <w:color w:val="auto"/>
              </w:rPr>
              <w:t>6,518</w:t>
            </w:r>
          </w:p>
        </w:tc>
        <w:tc>
          <w:tcPr>
            <w:tcW w:w="1140" w:type="dxa"/>
            <w:vAlign w:val="bottom"/>
            <w:shd w:val="clear" w:color="auto" w:fill="E5E5E5"/>
          </w:tcPr>
          <w:p>
            <w:pPr>
              <w:jc w:val="right"/>
              <w:ind w:right="156"/>
              <w:spacing w:after="0" w:line="202" w:lineRule="exact"/>
              <w:rPr>
                <w:sz w:val="20"/>
                <w:szCs w:val="20"/>
                <w:color w:val="auto"/>
              </w:rPr>
            </w:pPr>
            <w:r>
              <w:rPr>
                <w:rFonts w:ascii="Arial" w:cs="Arial" w:eastAsia="Arial" w:hAnsi="Arial"/>
                <w:sz w:val="18"/>
                <w:szCs w:val="18"/>
                <w:color w:val="auto"/>
              </w:rPr>
              <w:t>90</w:t>
            </w:r>
          </w:p>
        </w:tc>
        <w:tc>
          <w:tcPr>
            <w:tcW w:w="320" w:type="dxa"/>
            <w:vAlign w:val="bottom"/>
            <w:shd w:val="clear" w:color="auto" w:fill="E5E5E5"/>
          </w:tcPr>
          <w:p>
            <w:pPr>
              <w:spacing w:after="0"/>
              <w:rPr>
                <w:sz w:val="17"/>
                <w:szCs w:val="17"/>
                <w:color w:val="auto"/>
              </w:rPr>
            </w:pPr>
          </w:p>
        </w:tc>
        <w:tc>
          <w:tcPr>
            <w:tcW w:w="700" w:type="dxa"/>
            <w:vAlign w:val="bottom"/>
            <w:shd w:val="clear" w:color="auto" w:fill="E5E5E5"/>
          </w:tcPr>
          <w:p>
            <w:pPr>
              <w:jc w:val="right"/>
              <w:ind w:right="112"/>
              <w:spacing w:after="0" w:line="202" w:lineRule="exact"/>
              <w:rPr>
                <w:sz w:val="20"/>
                <w:szCs w:val="20"/>
                <w:color w:val="auto"/>
              </w:rPr>
            </w:pPr>
            <w:r>
              <w:rPr>
                <w:rFonts w:ascii="Arial" w:cs="Arial" w:eastAsia="Arial" w:hAnsi="Arial"/>
                <w:sz w:val="18"/>
                <w:szCs w:val="18"/>
                <w:color w:val="auto"/>
              </w:rPr>
              <w:t>7,960</w:t>
            </w:r>
          </w:p>
        </w:tc>
        <w:tc>
          <w:tcPr>
            <w:tcW w:w="9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14,568</w:t>
            </w:r>
          </w:p>
        </w:tc>
      </w:tr>
      <w:tr>
        <w:trPr>
          <w:trHeight w:val="203"/>
        </w:trPr>
        <w:tc>
          <w:tcPr>
            <w:tcW w:w="5340" w:type="dxa"/>
            <w:vAlign w:val="bottom"/>
          </w:tcPr>
          <w:p>
            <w:pPr>
              <w:spacing w:after="0" w:line="202" w:lineRule="exact"/>
              <w:rPr>
                <w:sz w:val="20"/>
                <w:szCs w:val="20"/>
                <w:color w:val="auto"/>
              </w:rPr>
            </w:pPr>
            <w:r>
              <w:rPr>
                <w:rFonts w:ascii="Arial" w:cs="Arial" w:eastAsia="Arial" w:hAnsi="Arial"/>
                <w:sz w:val="18"/>
                <w:szCs w:val="18"/>
                <w:b w:val="1"/>
                <w:bCs w:val="1"/>
                <w:color w:val="auto"/>
              </w:rPr>
              <w:t>Property, plant and equipment additions</w:t>
            </w:r>
          </w:p>
        </w:tc>
        <w:tc>
          <w:tcPr>
            <w:tcW w:w="30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5340" w:type="dxa"/>
            <w:vAlign w:val="bottom"/>
            <w:shd w:val="clear" w:color="auto" w:fill="E5E5E5"/>
          </w:tcPr>
          <w:p>
            <w:pPr>
              <w:jc w:val="right"/>
              <w:ind w:right="4633"/>
              <w:spacing w:after="0" w:line="202" w:lineRule="exact"/>
              <w:rPr>
                <w:sz w:val="20"/>
                <w:szCs w:val="20"/>
                <w:color w:val="auto"/>
              </w:rPr>
            </w:pPr>
            <w:r>
              <w:rPr>
                <w:rFonts w:ascii="Arial" w:cs="Arial" w:eastAsia="Arial" w:hAnsi="Arial"/>
                <w:sz w:val="18"/>
                <w:szCs w:val="18"/>
                <w:b w:val="1"/>
                <w:bCs w:val="1"/>
                <w:color w:val="auto"/>
              </w:rPr>
              <w:t>2007</w:t>
            </w:r>
          </w:p>
        </w:tc>
        <w:tc>
          <w:tcPr>
            <w:tcW w:w="3020" w:type="dxa"/>
            <w:vAlign w:val="bottom"/>
            <w:shd w:val="clear" w:color="auto" w:fill="E5E5E5"/>
          </w:tcPr>
          <w:p>
            <w:pPr>
              <w:jc w:val="right"/>
              <w:ind w:right="93"/>
              <w:spacing w:after="0" w:line="202" w:lineRule="exact"/>
              <w:rPr>
                <w:sz w:val="20"/>
                <w:szCs w:val="20"/>
                <w:color w:val="auto"/>
              </w:rPr>
            </w:pPr>
            <w:r>
              <w:rPr>
                <w:rFonts w:ascii="Arial" w:cs="Arial" w:eastAsia="Arial" w:hAnsi="Arial"/>
                <w:sz w:val="18"/>
                <w:szCs w:val="18"/>
                <w:b w:val="1"/>
                <w:bCs w:val="1"/>
                <w:color w:val="auto"/>
              </w:rPr>
              <w:t>646</w:t>
            </w:r>
          </w:p>
        </w:tc>
        <w:tc>
          <w:tcPr>
            <w:tcW w:w="1140" w:type="dxa"/>
            <w:vAlign w:val="bottom"/>
            <w:shd w:val="clear" w:color="auto" w:fill="E5E5E5"/>
          </w:tcPr>
          <w:p>
            <w:pPr>
              <w:jc w:val="right"/>
              <w:ind w:right="156"/>
              <w:spacing w:after="0" w:line="202" w:lineRule="exact"/>
              <w:rPr>
                <w:sz w:val="20"/>
                <w:szCs w:val="20"/>
                <w:color w:val="auto"/>
              </w:rPr>
            </w:pPr>
            <w:r>
              <w:rPr>
                <w:rFonts w:ascii="Arial" w:cs="Arial" w:eastAsia="Arial" w:hAnsi="Arial"/>
                <w:sz w:val="18"/>
                <w:szCs w:val="18"/>
                <w:b w:val="1"/>
                <w:bCs w:val="1"/>
                <w:color w:val="auto"/>
              </w:rPr>
              <w:t>1</w:t>
            </w:r>
          </w:p>
        </w:tc>
        <w:tc>
          <w:tcPr>
            <w:tcW w:w="320" w:type="dxa"/>
            <w:vAlign w:val="bottom"/>
            <w:shd w:val="clear" w:color="auto" w:fill="E5E5E5"/>
          </w:tcPr>
          <w:p>
            <w:pPr>
              <w:spacing w:after="0"/>
              <w:rPr>
                <w:sz w:val="17"/>
                <w:szCs w:val="17"/>
                <w:color w:val="auto"/>
              </w:rPr>
            </w:pPr>
          </w:p>
        </w:tc>
        <w:tc>
          <w:tcPr>
            <w:tcW w:w="700" w:type="dxa"/>
            <w:vAlign w:val="bottom"/>
            <w:shd w:val="clear" w:color="auto" w:fill="E5E5E5"/>
          </w:tcPr>
          <w:p>
            <w:pPr>
              <w:jc w:val="right"/>
              <w:ind w:right="112"/>
              <w:spacing w:after="0" w:line="202" w:lineRule="exact"/>
              <w:rPr>
                <w:sz w:val="20"/>
                <w:szCs w:val="20"/>
                <w:color w:val="auto"/>
              </w:rPr>
            </w:pPr>
            <w:r>
              <w:rPr>
                <w:rFonts w:ascii="Arial" w:cs="Arial" w:eastAsia="Arial" w:hAnsi="Arial"/>
                <w:sz w:val="18"/>
                <w:szCs w:val="18"/>
                <w:b w:val="1"/>
                <w:bCs w:val="1"/>
                <w:color w:val="auto"/>
              </w:rPr>
              <w:t>39</w:t>
            </w:r>
          </w:p>
        </w:tc>
        <w:tc>
          <w:tcPr>
            <w:tcW w:w="9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686</w:t>
            </w:r>
          </w:p>
        </w:tc>
      </w:tr>
      <w:tr>
        <w:trPr>
          <w:trHeight w:val="203"/>
        </w:trPr>
        <w:tc>
          <w:tcPr>
            <w:tcW w:w="5340" w:type="dxa"/>
            <w:vAlign w:val="bottom"/>
          </w:tcPr>
          <w:p>
            <w:pPr>
              <w:jc w:val="right"/>
              <w:ind w:right="4633"/>
              <w:spacing w:after="0" w:line="202" w:lineRule="exact"/>
              <w:rPr>
                <w:sz w:val="20"/>
                <w:szCs w:val="20"/>
                <w:color w:val="auto"/>
              </w:rPr>
            </w:pPr>
            <w:r>
              <w:rPr>
                <w:rFonts w:ascii="Arial" w:cs="Arial" w:eastAsia="Arial" w:hAnsi="Arial"/>
                <w:sz w:val="18"/>
                <w:szCs w:val="18"/>
                <w:color w:val="auto"/>
              </w:rPr>
              <w:t>2006</w:t>
            </w:r>
          </w:p>
        </w:tc>
        <w:tc>
          <w:tcPr>
            <w:tcW w:w="3020" w:type="dxa"/>
            <w:vAlign w:val="bottom"/>
          </w:tcPr>
          <w:p>
            <w:pPr>
              <w:jc w:val="right"/>
              <w:ind w:right="93"/>
              <w:spacing w:after="0" w:line="202" w:lineRule="exact"/>
              <w:rPr>
                <w:sz w:val="20"/>
                <w:szCs w:val="20"/>
                <w:color w:val="auto"/>
              </w:rPr>
            </w:pPr>
            <w:r>
              <w:rPr>
                <w:rFonts w:ascii="Arial" w:cs="Arial" w:eastAsia="Arial" w:hAnsi="Arial"/>
                <w:sz w:val="18"/>
                <w:szCs w:val="18"/>
                <w:color w:val="auto"/>
              </w:rPr>
              <w:t>1,221</w:t>
            </w:r>
          </w:p>
        </w:tc>
        <w:tc>
          <w:tcPr>
            <w:tcW w:w="1140" w:type="dxa"/>
            <w:vAlign w:val="bottom"/>
          </w:tcPr>
          <w:p>
            <w:pPr>
              <w:jc w:val="right"/>
              <w:ind w:right="156"/>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0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51</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1,272</w:t>
            </w:r>
          </w:p>
        </w:tc>
      </w:tr>
      <w:tr>
        <w:trPr>
          <w:trHeight w:val="203"/>
        </w:trPr>
        <w:tc>
          <w:tcPr>
            <w:tcW w:w="5340" w:type="dxa"/>
            <w:vAlign w:val="bottom"/>
            <w:shd w:val="clear" w:color="auto" w:fill="E5E5E5"/>
          </w:tcPr>
          <w:p>
            <w:pPr>
              <w:jc w:val="right"/>
              <w:ind w:right="4633"/>
              <w:spacing w:after="0" w:line="202" w:lineRule="exact"/>
              <w:rPr>
                <w:sz w:val="20"/>
                <w:szCs w:val="20"/>
                <w:color w:val="auto"/>
              </w:rPr>
            </w:pPr>
            <w:r>
              <w:rPr>
                <w:rFonts w:ascii="Arial" w:cs="Arial" w:eastAsia="Arial" w:hAnsi="Arial"/>
                <w:sz w:val="18"/>
                <w:szCs w:val="18"/>
                <w:color w:val="auto"/>
              </w:rPr>
              <w:t>2005</w:t>
            </w:r>
          </w:p>
        </w:tc>
        <w:tc>
          <w:tcPr>
            <w:tcW w:w="3020" w:type="dxa"/>
            <w:vAlign w:val="bottom"/>
            <w:shd w:val="clear" w:color="auto" w:fill="E5E5E5"/>
          </w:tcPr>
          <w:p>
            <w:pPr>
              <w:jc w:val="right"/>
              <w:ind w:right="93"/>
              <w:spacing w:after="0" w:line="202" w:lineRule="exact"/>
              <w:rPr>
                <w:sz w:val="20"/>
                <w:szCs w:val="20"/>
                <w:color w:val="auto"/>
              </w:rPr>
            </w:pPr>
            <w:r>
              <w:rPr>
                <w:rFonts w:ascii="Arial" w:cs="Arial" w:eastAsia="Arial" w:hAnsi="Arial"/>
                <w:sz w:val="18"/>
                <w:szCs w:val="18"/>
                <w:color w:val="auto"/>
              </w:rPr>
              <w:t>1,250</w:t>
            </w:r>
          </w:p>
        </w:tc>
        <w:tc>
          <w:tcPr>
            <w:tcW w:w="1140" w:type="dxa"/>
            <w:vAlign w:val="bottom"/>
            <w:shd w:val="clear" w:color="auto" w:fill="E5E5E5"/>
          </w:tcPr>
          <w:p>
            <w:pPr>
              <w:jc w:val="right"/>
              <w:ind w:right="156"/>
              <w:spacing w:after="0" w:line="202" w:lineRule="exact"/>
              <w:rPr>
                <w:sz w:val="20"/>
                <w:szCs w:val="20"/>
                <w:color w:val="auto"/>
              </w:rPr>
            </w:pPr>
            <w:r>
              <w:rPr>
                <w:rFonts w:ascii="Arial" w:cs="Arial" w:eastAsia="Arial" w:hAnsi="Arial"/>
                <w:sz w:val="18"/>
                <w:szCs w:val="18"/>
                <w:color w:val="auto"/>
              </w:rPr>
              <w:t>1</w:t>
            </w:r>
          </w:p>
        </w:tc>
        <w:tc>
          <w:tcPr>
            <w:tcW w:w="320" w:type="dxa"/>
            <w:vAlign w:val="bottom"/>
            <w:shd w:val="clear" w:color="auto" w:fill="E5E5E5"/>
          </w:tcPr>
          <w:p>
            <w:pPr>
              <w:spacing w:after="0"/>
              <w:rPr>
                <w:sz w:val="17"/>
                <w:szCs w:val="17"/>
                <w:color w:val="auto"/>
              </w:rPr>
            </w:pPr>
          </w:p>
        </w:tc>
        <w:tc>
          <w:tcPr>
            <w:tcW w:w="700" w:type="dxa"/>
            <w:vAlign w:val="bottom"/>
            <w:shd w:val="clear" w:color="auto" w:fill="E5E5E5"/>
          </w:tcPr>
          <w:p>
            <w:pPr>
              <w:jc w:val="right"/>
              <w:ind w:right="112"/>
              <w:spacing w:after="0" w:line="202" w:lineRule="exact"/>
              <w:rPr>
                <w:sz w:val="20"/>
                <w:szCs w:val="20"/>
                <w:color w:val="auto"/>
              </w:rPr>
            </w:pPr>
            <w:r>
              <w:rPr>
                <w:rFonts w:ascii="Arial" w:cs="Arial" w:eastAsia="Arial" w:hAnsi="Arial"/>
                <w:sz w:val="18"/>
                <w:szCs w:val="18"/>
                <w:color w:val="auto"/>
              </w:rPr>
              <w:t>37</w:t>
            </w:r>
          </w:p>
        </w:tc>
        <w:tc>
          <w:tcPr>
            <w:tcW w:w="9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1,288</w:t>
            </w:r>
          </w:p>
        </w:tc>
      </w:tr>
      <w:tr>
        <w:trPr>
          <w:trHeight w:val="203"/>
        </w:trPr>
        <w:tc>
          <w:tcPr>
            <w:tcW w:w="5340" w:type="dxa"/>
            <w:vAlign w:val="bottom"/>
          </w:tcPr>
          <w:p>
            <w:pPr>
              <w:spacing w:after="0" w:line="202" w:lineRule="exact"/>
              <w:rPr>
                <w:sz w:val="20"/>
                <w:szCs w:val="20"/>
                <w:color w:val="auto"/>
              </w:rPr>
            </w:pPr>
            <w:r>
              <w:rPr>
                <w:rFonts w:ascii="Arial" w:cs="Arial" w:eastAsia="Arial" w:hAnsi="Arial"/>
                <w:sz w:val="18"/>
                <w:szCs w:val="18"/>
                <w:b w:val="1"/>
                <w:bCs w:val="1"/>
                <w:color w:val="auto"/>
              </w:rPr>
              <w:t>Depreciation</w:t>
            </w:r>
          </w:p>
        </w:tc>
        <w:tc>
          <w:tcPr>
            <w:tcW w:w="30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5340" w:type="dxa"/>
            <w:vAlign w:val="bottom"/>
            <w:shd w:val="clear" w:color="auto" w:fill="E5E5E5"/>
          </w:tcPr>
          <w:p>
            <w:pPr>
              <w:jc w:val="right"/>
              <w:ind w:right="4633"/>
              <w:spacing w:after="0" w:line="202" w:lineRule="exact"/>
              <w:rPr>
                <w:sz w:val="20"/>
                <w:szCs w:val="20"/>
                <w:color w:val="auto"/>
              </w:rPr>
            </w:pPr>
            <w:r>
              <w:rPr>
                <w:rFonts w:ascii="Arial" w:cs="Arial" w:eastAsia="Arial" w:hAnsi="Arial"/>
                <w:sz w:val="18"/>
                <w:szCs w:val="18"/>
                <w:b w:val="1"/>
                <w:bCs w:val="1"/>
                <w:color w:val="auto"/>
              </w:rPr>
              <w:t>2007</w:t>
            </w:r>
          </w:p>
        </w:tc>
        <w:tc>
          <w:tcPr>
            <w:tcW w:w="3020" w:type="dxa"/>
            <w:vAlign w:val="bottom"/>
            <w:shd w:val="clear" w:color="auto" w:fill="E5E5E5"/>
          </w:tcPr>
          <w:p>
            <w:pPr>
              <w:jc w:val="right"/>
              <w:ind w:right="93"/>
              <w:spacing w:after="0" w:line="202" w:lineRule="exact"/>
              <w:rPr>
                <w:sz w:val="20"/>
                <w:szCs w:val="20"/>
                <w:color w:val="auto"/>
              </w:rPr>
            </w:pPr>
            <w:r>
              <w:rPr>
                <w:rFonts w:ascii="Arial" w:cs="Arial" w:eastAsia="Arial" w:hAnsi="Arial"/>
                <w:sz w:val="18"/>
                <w:szCs w:val="18"/>
                <w:b w:val="1"/>
                <w:bCs w:val="1"/>
                <w:color w:val="auto"/>
              </w:rPr>
              <w:t>961</w:t>
            </w:r>
          </w:p>
        </w:tc>
        <w:tc>
          <w:tcPr>
            <w:tcW w:w="1140" w:type="dxa"/>
            <w:vAlign w:val="bottom"/>
            <w:shd w:val="clear" w:color="auto" w:fill="E5E5E5"/>
          </w:tcPr>
          <w:p>
            <w:pPr>
              <w:jc w:val="right"/>
              <w:ind w:right="156"/>
              <w:spacing w:after="0" w:line="202" w:lineRule="exact"/>
              <w:rPr>
                <w:sz w:val="20"/>
                <w:szCs w:val="20"/>
                <w:color w:val="auto"/>
              </w:rPr>
            </w:pPr>
            <w:r>
              <w:rPr>
                <w:rFonts w:ascii="Arial" w:cs="Arial" w:eastAsia="Arial" w:hAnsi="Arial"/>
                <w:sz w:val="18"/>
                <w:szCs w:val="18"/>
                <w:b w:val="1"/>
                <w:bCs w:val="1"/>
                <w:color w:val="auto"/>
              </w:rPr>
              <w:t>1</w:t>
            </w:r>
          </w:p>
        </w:tc>
        <w:tc>
          <w:tcPr>
            <w:tcW w:w="320" w:type="dxa"/>
            <w:vAlign w:val="bottom"/>
            <w:shd w:val="clear" w:color="auto" w:fill="E5E5E5"/>
          </w:tcPr>
          <w:p>
            <w:pPr>
              <w:spacing w:after="0"/>
              <w:rPr>
                <w:sz w:val="17"/>
                <w:szCs w:val="17"/>
                <w:color w:val="auto"/>
              </w:rPr>
            </w:pPr>
          </w:p>
        </w:tc>
        <w:tc>
          <w:tcPr>
            <w:tcW w:w="700" w:type="dxa"/>
            <w:vAlign w:val="bottom"/>
            <w:shd w:val="clear" w:color="auto" w:fill="E5E5E5"/>
          </w:tcPr>
          <w:p>
            <w:pPr>
              <w:jc w:val="right"/>
              <w:ind w:right="112"/>
              <w:spacing w:after="0" w:line="202" w:lineRule="exact"/>
              <w:rPr>
                <w:sz w:val="20"/>
                <w:szCs w:val="20"/>
                <w:color w:val="auto"/>
              </w:rPr>
            </w:pPr>
            <w:r>
              <w:rPr>
                <w:rFonts w:ascii="Arial" w:cs="Arial" w:eastAsia="Arial" w:hAnsi="Arial"/>
                <w:sz w:val="18"/>
                <w:szCs w:val="18"/>
                <w:b w:val="1"/>
                <w:bCs w:val="1"/>
                <w:color w:val="auto"/>
              </w:rPr>
              <w:t>60</w:t>
            </w:r>
          </w:p>
        </w:tc>
        <w:tc>
          <w:tcPr>
            <w:tcW w:w="9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1,022</w:t>
            </w:r>
          </w:p>
        </w:tc>
      </w:tr>
      <w:tr>
        <w:trPr>
          <w:trHeight w:val="203"/>
        </w:trPr>
        <w:tc>
          <w:tcPr>
            <w:tcW w:w="5340" w:type="dxa"/>
            <w:vAlign w:val="bottom"/>
          </w:tcPr>
          <w:p>
            <w:pPr>
              <w:jc w:val="right"/>
              <w:ind w:right="4633"/>
              <w:spacing w:after="0" w:line="202" w:lineRule="exact"/>
              <w:rPr>
                <w:sz w:val="20"/>
                <w:szCs w:val="20"/>
                <w:color w:val="auto"/>
              </w:rPr>
            </w:pPr>
            <w:r>
              <w:rPr>
                <w:rFonts w:ascii="Arial" w:cs="Arial" w:eastAsia="Arial" w:hAnsi="Arial"/>
                <w:sz w:val="18"/>
                <w:szCs w:val="18"/>
                <w:color w:val="auto"/>
              </w:rPr>
              <w:t>2006</w:t>
            </w:r>
          </w:p>
        </w:tc>
        <w:tc>
          <w:tcPr>
            <w:tcW w:w="3020" w:type="dxa"/>
            <w:vAlign w:val="bottom"/>
          </w:tcPr>
          <w:p>
            <w:pPr>
              <w:jc w:val="right"/>
              <w:ind w:right="93"/>
              <w:spacing w:after="0" w:line="202" w:lineRule="exact"/>
              <w:rPr>
                <w:sz w:val="20"/>
                <w:szCs w:val="20"/>
                <w:color w:val="auto"/>
              </w:rPr>
            </w:pPr>
            <w:r>
              <w:rPr>
                <w:rFonts w:ascii="Arial" w:cs="Arial" w:eastAsia="Arial" w:hAnsi="Arial"/>
                <w:sz w:val="18"/>
                <w:szCs w:val="18"/>
                <w:color w:val="auto"/>
              </w:rPr>
              <w:t>1,011</w:t>
            </w:r>
          </w:p>
        </w:tc>
        <w:tc>
          <w:tcPr>
            <w:tcW w:w="1140" w:type="dxa"/>
            <w:vAlign w:val="bottom"/>
          </w:tcPr>
          <w:p>
            <w:pPr>
              <w:jc w:val="right"/>
              <w:ind w:right="156"/>
              <w:spacing w:after="0" w:line="202" w:lineRule="exact"/>
              <w:rPr>
                <w:sz w:val="20"/>
                <w:szCs w:val="20"/>
                <w:color w:val="auto"/>
              </w:rPr>
            </w:pPr>
            <w:r>
              <w:rPr>
                <w:rFonts w:ascii="Arial" w:cs="Arial" w:eastAsia="Arial" w:hAnsi="Arial"/>
                <w:sz w:val="18"/>
                <w:szCs w:val="18"/>
                <w:color w:val="auto"/>
              </w:rPr>
              <w:t>1</w:t>
            </w:r>
          </w:p>
        </w:tc>
        <w:tc>
          <w:tcPr>
            <w:tcW w:w="320" w:type="dxa"/>
            <w:vAlign w:val="bottom"/>
          </w:tcPr>
          <w:p>
            <w:pPr>
              <w:spacing w:after="0"/>
              <w:rPr>
                <w:sz w:val="17"/>
                <w:szCs w:val="17"/>
                <w:color w:val="auto"/>
              </w:rPr>
            </w:pPr>
          </w:p>
        </w:tc>
        <w:tc>
          <w:tcPr>
            <w:tcW w:w="70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40</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1,052</w:t>
            </w:r>
          </w:p>
        </w:tc>
      </w:tr>
      <w:tr>
        <w:trPr>
          <w:trHeight w:val="203"/>
        </w:trPr>
        <w:tc>
          <w:tcPr>
            <w:tcW w:w="5340" w:type="dxa"/>
            <w:vAlign w:val="bottom"/>
            <w:shd w:val="clear" w:color="auto" w:fill="E5E5E5"/>
          </w:tcPr>
          <w:p>
            <w:pPr>
              <w:jc w:val="right"/>
              <w:ind w:right="4633"/>
              <w:spacing w:after="0" w:line="202" w:lineRule="exact"/>
              <w:rPr>
                <w:sz w:val="20"/>
                <w:szCs w:val="20"/>
                <w:color w:val="auto"/>
              </w:rPr>
            </w:pPr>
            <w:r>
              <w:rPr>
                <w:rFonts w:ascii="Arial" w:cs="Arial" w:eastAsia="Arial" w:hAnsi="Arial"/>
                <w:sz w:val="18"/>
                <w:szCs w:val="18"/>
                <w:color w:val="auto"/>
              </w:rPr>
              <w:t>2005</w:t>
            </w:r>
          </w:p>
        </w:tc>
        <w:tc>
          <w:tcPr>
            <w:tcW w:w="3020" w:type="dxa"/>
            <w:vAlign w:val="bottom"/>
            <w:shd w:val="clear" w:color="auto" w:fill="E5E5E5"/>
          </w:tcPr>
          <w:p>
            <w:pPr>
              <w:jc w:val="right"/>
              <w:ind w:right="93"/>
              <w:spacing w:after="0" w:line="202" w:lineRule="exact"/>
              <w:rPr>
                <w:sz w:val="20"/>
                <w:szCs w:val="20"/>
                <w:color w:val="auto"/>
              </w:rPr>
            </w:pPr>
            <w:r>
              <w:rPr>
                <w:rFonts w:ascii="Arial" w:cs="Arial" w:eastAsia="Arial" w:hAnsi="Arial"/>
                <w:sz w:val="18"/>
                <w:szCs w:val="18"/>
                <w:color w:val="auto"/>
              </w:rPr>
              <w:t>1,294</w:t>
            </w:r>
          </w:p>
        </w:tc>
        <w:tc>
          <w:tcPr>
            <w:tcW w:w="1140" w:type="dxa"/>
            <w:vAlign w:val="bottom"/>
            <w:shd w:val="clear" w:color="auto" w:fill="E5E5E5"/>
          </w:tcPr>
          <w:p>
            <w:pPr>
              <w:jc w:val="right"/>
              <w:ind w:right="156"/>
              <w:spacing w:after="0" w:line="202" w:lineRule="exact"/>
              <w:rPr>
                <w:sz w:val="20"/>
                <w:szCs w:val="20"/>
                <w:color w:val="auto"/>
              </w:rPr>
            </w:pPr>
            <w:r>
              <w:rPr>
                <w:rFonts w:ascii="Arial" w:cs="Arial" w:eastAsia="Arial" w:hAnsi="Arial"/>
                <w:sz w:val="18"/>
                <w:szCs w:val="18"/>
                <w:color w:val="auto"/>
              </w:rPr>
              <w:t>1</w:t>
            </w:r>
          </w:p>
        </w:tc>
        <w:tc>
          <w:tcPr>
            <w:tcW w:w="320" w:type="dxa"/>
            <w:vAlign w:val="bottom"/>
            <w:shd w:val="clear" w:color="auto" w:fill="E5E5E5"/>
          </w:tcPr>
          <w:p>
            <w:pPr>
              <w:spacing w:after="0"/>
              <w:rPr>
                <w:sz w:val="17"/>
                <w:szCs w:val="17"/>
                <w:color w:val="auto"/>
              </w:rPr>
            </w:pPr>
          </w:p>
        </w:tc>
        <w:tc>
          <w:tcPr>
            <w:tcW w:w="700" w:type="dxa"/>
            <w:vAlign w:val="bottom"/>
            <w:shd w:val="clear" w:color="auto" w:fill="E5E5E5"/>
          </w:tcPr>
          <w:p>
            <w:pPr>
              <w:jc w:val="right"/>
              <w:ind w:right="112"/>
              <w:spacing w:after="0" w:line="202" w:lineRule="exact"/>
              <w:rPr>
                <w:sz w:val="20"/>
                <w:szCs w:val="20"/>
                <w:color w:val="auto"/>
              </w:rPr>
            </w:pPr>
            <w:r>
              <w:rPr>
                <w:rFonts w:ascii="Arial" w:cs="Arial" w:eastAsia="Arial" w:hAnsi="Arial"/>
                <w:sz w:val="18"/>
                <w:szCs w:val="18"/>
                <w:color w:val="auto"/>
              </w:rPr>
              <w:t>51</w:t>
            </w:r>
          </w:p>
        </w:tc>
        <w:tc>
          <w:tcPr>
            <w:tcW w:w="9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1,346</w:t>
            </w:r>
          </w:p>
        </w:tc>
      </w:tr>
      <w:tr>
        <w:trPr>
          <w:trHeight w:val="310"/>
        </w:trPr>
        <w:tc>
          <w:tcPr>
            <w:tcW w:w="5340" w:type="dxa"/>
            <w:vAlign w:val="bottom"/>
          </w:tcPr>
          <w:p>
            <w:pPr>
              <w:spacing w:after="0"/>
              <w:rPr>
                <w:sz w:val="20"/>
                <w:szCs w:val="20"/>
                <w:color w:val="auto"/>
              </w:rPr>
            </w:pPr>
            <w:r>
              <w:rPr>
                <w:rFonts w:ascii="Arial" w:cs="Arial" w:eastAsia="Arial" w:hAnsi="Arial"/>
                <w:sz w:val="14"/>
                <w:szCs w:val="14"/>
                <w:color w:val="auto"/>
              </w:rPr>
              <w:t>40</w:t>
            </w:r>
          </w:p>
        </w:tc>
        <w:tc>
          <w:tcPr>
            <w:tcW w:w="3020" w:type="dxa"/>
            <w:vAlign w:val="bottom"/>
          </w:tcPr>
          <w:p>
            <w:pPr>
              <w:spacing w:after="0"/>
              <w:rPr>
                <w:sz w:val="24"/>
                <w:szCs w:val="24"/>
                <w:color w:val="auto"/>
              </w:rPr>
            </w:pPr>
          </w:p>
        </w:tc>
        <w:tc>
          <w:tcPr>
            <w:tcW w:w="3060" w:type="dxa"/>
            <w:vAlign w:val="bottom"/>
            <w:gridSpan w:val="4"/>
          </w:tcPr>
          <w:p>
            <w:pPr>
              <w:jc w:val="right"/>
              <w:spacing w:after="0"/>
              <w:rPr>
                <w:sz w:val="20"/>
                <w:szCs w:val="20"/>
                <w:color w:val="auto"/>
              </w:rPr>
            </w:pPr>
            <w:r>
              <w:rPr>
                <w:rFonts w:ascii="Arial" w:cs="Arial" w:eastAsia="Arial" w:hAnsi="Arial"/>
                <w:sz w:val="14"/>
                <w:szCs w:val="14"/>
                <w:color w:val="auto"/>
                <w:w w:val="98"/>
              </w:rPr>
              <w:t>TEXAS INSTRUMENTS 2007 ANNUAL REPORT</w:t>
            </w:r>
          </w:p>
        </w:tc>
      </w:tr>
    </w:tbl>
    <w:p>
      <w:pPr>
        <w:sectPr>
          <w:pgSz w:w="11900" w:h="16838" w:orient="portrait"/>
          <w:cols w:equalWidth="0" w:num="1">
            <w:col w:w="11420"/>
          </w:cols>
          <w:pgMar w:left="240" w:top="291" w:right="239" w:bottom="1440" w:gutter="0" w:footer="0" w:header="0"/>
        </w:sectPr>
      </w:pPr>
    </w:p>
    <w:bookmarkStart w:id="60" w:name="page61"/>
    <w:bookmarkEnd w:id="60"/>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There was no significant intersegment revenue.</w:t>
      </w:r>
    </w:p>
    <w:p>
      <w:pPr>
        <w:spacing w:after="0" w:line="158"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color w:val="auto"/>
        </w:rPr>
        <w:t>The following geographic area data includes net revenue, based on product shipment destination and royalty payor location, and property, plant and equipment based on physical location:</w:t>
      </w:r>
    </w:p>
    <w:p>
      <w:pPr>
        <w:spacing w:after="0" w:line="155"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Geographic Area Information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shd w:val="clear" w:color="auto" w:fill="E5E5E5"/>
          </w:tcPr>
          <w:p>
            <w:pPr>
              <w:spacing w:after="0"/>
              <w:rPr>
                <w:sz w:val="14"/>
                <w:szCs w:val="14"/>
                <w:color w:val="auto"/>
              </w:rPr>
            </w:pPr>
          </w:p>
        </w:tc>
        <w:tc>
          <w:tcPr>
            <w:tcW w:w="1700" w:type="dxa"/>
            <w:vAlign w:val="bottom"/>
            <w:shd w:val="clear" w:color="auto" w:fill="E5E5E5"/>
          </w:tcPr>
          <w:p>
            <w:pPr>
              <w:spacing w:after="0"/>
              <w:rPr>
                <w:sz w:val="14"/>
                <w:szCs w:val="14"/>
                <w:color w:val="auto"/>
              </w:rPr>
            </w:pPr>
          </w:p>
        </w:tc>
        <w:tc>
          <w:tcPr>
            <w:tcW w:w="660" w:type="dxa"/>
            <w:vAlign w:val="bottom"/>
            <w:shd w:val="clear" w:color="auto" w:fill="E5E5E5"/>
          </w:tcPr>
          <w:p>
            <w:pPr>
              <w:spacing w:after="0"/>
              <w:rPr>
                <w:sz w:val="14"/>
                <w:szCs w:val="14"/>
                <w:color w:val="auto"/>
              </w:rPr>
            </w:pPr>
          </w:p>
        </w:tc>
        <w:tc>
          <w:tcPr>
            <w:tcW w:w="300" w:type="dxa"/>
            <w:vAlign w:val="bottom"/>
            <w:shd w:val="clear" w:color="auto" w:fill="E5E5E5"/>
          </w:tcPr>
          <w:p>
            <w:pPr>
              <w:spacing w:after="0"/>
              <w:rPr>
                <w:sz w:val="14"/>
                <w:szCs w:val="14"/>
                <w:color w:val="auto"/>
              </w:rPr>
            </w:pPr>
          </w:p>
        </w:tc>
        <w:tc>
          <w:tcPr>
            <w:tcW w:w="660" w:type="dxa"/>
            <w:vAlign w:val="bottom"/>
            <w:shd w:val="clear" w:color="auto" w:fill="E5E5E5"/>
          </w:tcPr>
          <w:p>
            <w:pPr>
              <w:spacing w:after="0"/>
              <w:rPr>
                <w:sz w:val="14"/>
                <w:szCs w:val="14"/>
                <w:color w:val="auto"/>
              </w:rPr>
            </w:pPr>
          </w:p>
        </w:tc>
        <w:tc>
          <w:tcPr>
            <w:tcW w:w="280" w:type="dxa"/>
            <w:vAlign w:val="bottom"/>
            <w:shd w:val="clear" w:color="auto" w:fill="E5E5E5"/>
          </w:tcPr>
          <w:p>
            <w:pPr>
              <w:spacing w:after="0"/>
              <w:rPr>
                <w:sz w:val="14"/>
                <w:szCs w:val="14"/>
                <w:color w:val="auto"/>
              </w:rPr>
            </w:pPr>
          </w:p>
        </w:tc>
        <w:tc>
          <w:tcPr>
            <w:tcW w:w="680" w:type="dxa"/>
            <w:vAlign w:val="bottom"/>
            <w:shd w:val="clear" w:color="auto" w:fill="E5E5E5"/>
          </w:tcPr>
          <w:p>
            <w:pPr>
              <w:spacing w:after="0"/>
              <w:rPr>
                <w:sz w:val="14"/>
                <w:szCs w:val="14"/>
                <w:color w:val="auto"/>
              </w:rPr>
            </w:pPr>
          </w:p>
        </w:tc>
        <w:tc>
          <w:tcPr>
            <w:tcW w:w="300" w:type="dxa"/>
            <w:vAlign w:val="bottom"/>
            <w:shd w:val="clear" w:color="auto" w:fill="E5E5E5"/>
          </w:tcPr>
          <w:p>
            <w:pPr>
              <w:spacing w:after="0"/>
              <w:rPr>
                <w:sz w:val="14"/>
                <w:szCs w:val="14"/>
                <w:color w:val="auto"/>
              </w:rPr>
            </w:pPr>
          </w:p>
        </w:tc>
        <w:tc>
          <w:tcPr>
            <w:tcW w:w="660" w:type="dxa"/>
            <w:vAlign w:val="bottom"/>
            <w:shd w:val="clear" w:color="auto" w:fill="E5E5E5"/>
          </w:tcPr>
          <w:p>
            <w:pPr>
              <w:spacing w:after="0"/>
              <w:rPr>
                <w:sz w:val="14"/>
                <w:szCs w:val="14"/>
                <w:color w:val="auto"/>
              </w:rPr>
            </w:pPr>
          </w:p>
        </w:tc>
        <w:tc>
          <w:tcPr>
            <w:tcW w:w="840" w:type="dxa"/>
            <w:vAlign w:val="bottom"/>
            <w:gridSpan w:val="2"/>
            <w:shd w:val="clear" w:color="auto" w:fill="E5E5E5"/>
          </w:tcPr>
          <w:p>
            <w:pPr>
              <w:jc w:val="right"/>
              <w:ind w:right="75"/>
              <w:spacing w:after="0"/>
              <w:rPr>
                <w:sz w:val="20"/>
                <w:szCs w:val="20"/>
                <w:color w:val="auto"/>
              </w:rPr>
            </w:pPr>
            <w:r>
              <w:rPr>
                <w:rFonts w:ascii="Arial" w:cs="Arial" w:eastAsia="Arial" w:hAnsi="Arial"/>
                <w:sz w:val="14"/>
                <w:szCs w:val="14"/>
                <w:b w:val="1"/>
                <w:bCs w:val="1"/>
                <w:color w:val="auto"/>
              </w:rPr>
              <w:t>Rest of</w:t>
            </w:r>
          </w:p>
        </w:tc>
        <w:tc>
          <w:tcPr>
            <w:tcW w:w="280" w:type="dxa"/>
            <w:vAlign w:val="bottom"/>
            <w:shd w:val="clear" w:color="auto" w:fill="E5E5E5"/>
          </w:tcPr>
          <w:p>
            <w:pPr>
              <w:spacing w:after="0"/>
              <w:rPr>
                <w:sz w:val="14"/>
                <w:szCs w:val="14"/>
                <w:color w:val="auto"/>
              </w:rPr>
            </w:pPr>
          </w:p>
        </w:tc>
        <w:tc>
          <w:tcPr>
            <w:tcW w:w="600" w:type="dxa"/>
            <w:vAlign w:val="bottom"/>
            <w:shd w:val="clear" w:color="auto" w:fill="E5E5E5"/>
          </w:tcPr>
          <w:p>
            <w:pPr>
              <w:spacing w:after="0"/>
              <w:rPr>
                <w:sz w:val="14"/>
                <w:szCs w:val="14"/>
                <w:color w:val="auto"/>
              </w:rPr>
            </w:pPr>
          </w:p>
        </w:tc>
      </w:tr>
      <w:tr>
        <w:trPr>
          <w:trHeight w:val="165"/>
        </w:trPr>
        <w:tc>
          <w:tcPr>
            <w:tcW w:w="4460" w:type="dxa"/>
            <w:vAlign w:val="bottom"/>
            <w:shd w:val="clear" w:color="auto" w:fill="E5E5E5"/>
          </w:tcPr>
          <w:p>
            <w:pPr>
              <w:spacing w:after="0"/>
              <w:rPr>
                <w:sz w:val="14"/>
                <w:szCs w:val="14"/>
                <w:color w:val="auto"/>
              </w:rPr>
            </w:pPr>
          </w:p>
        </w:tc>
        <w:tc>
          <w:tcPr>
            <w:tcW w:w="1700" w:type="dxa"/>
            <w:vAlign w:val="bottom"/>
            <w:shd w:val="clear" w:color="auto" w:fill="E5E5E5"/>
          </w:tcPr>
          <w:p>
            <w:pPr>
              <w:spacing w:after="0"/>
              <w:rPr>
                <w:sz w:val="14"/>
                <w:szCs w:val="14"/>
                <w:color w:val="auto"/>
              </w:rPr>
            </w:pPr>
          </w:p>
        </w:tc>
        <w:tc>
          <w:tcPr>
            <w:tcW w:w="660" w:type="dxa"/>
            <w:vAlign w:val="bottom"/>
            <w:shd w:val="clear" w:color="auto" w:fill="E5E5E5"/>
          </w:tcPr>
          <w:p>
            <w:pPr>
              <w:jc w:val="right"/>
              <w:ind w:right="215"/>
              <w:spacing w:after="0"/>
              <w:rPr>
                <w:sz w:val="20"/>
                <w:szCs w:val="20"/>
                <w:color w:val="auto"/>
              </w:rPr>
            </w:pPr>
            <w:r>
              <w:rPr>
                <w:rFonts w:ascii="Arial" w:cs="Arial" w:eastAsia="Arial" w:hAnsi="Arial"/>
                <w:sz w:val="14"/>
                <w:szCs w:val="14"/>
                <w:b w:val="1"/>
                <w:bCs w:val="1"/>
                <w:color w:val="auto"/>
              </w:rPr>
              <w:t>U.S.</w:t>
            </w:r>
          </w:p>
        </w:tc>
        <w:tc>
          <w:tcPr>
            <w:tcW w:w="300" w:type="dxa"/>
            <w:vAlign w:val="bottom"/>
            <w:shd w:val="clear" w:color="auto" w:fill="E5E5E5"/>
          </w:tcPr>
          <w:p>
            <w:pPr>
              <w:spacing w:after="0"/>
              <w:rPr>
                <w:sz w:val="14"/>
                <w:szCs w:val="14"/>
                <w:color w:val="auto"/>
              </w:rPr>
            </w:pPr>
          </w:p>
        </w:tc>
        <w:tc>
          <w:tcPr>
            <w:tcW w:w="660" w:type="dxa"/>
            <w:vAlign w:val="bottom"/>
            <w:shd w:val="clear" w:color="auto" w:fill="E5E5E5"/>
          </w:tcPr>
          <w:p>
            <w:pPr>
              <w:jc w:val="right"/>
              <w:ind w:right="195"/>
              <w:spacing w:after="0"/>
              <w:rPr>
                <w:sz w:val="20"/>
                <w:szCs w:val="20"/>
                <w:color w:val="auto"/>
              </w:rPr>
            </w:pPr>
            <w:r>
              <w:rPr>
                <w:rFonts w:ascii="Arial" w:cs="Arial" w:eastAsia="Arial" w:hAnsi="Arial"/>
                <w:sz w:val="14"/>
                <w:szCs w:val="14"/>
                <w:b w:val="1"/>
                <w:bCs w:val="1"/>
                <w:color w:val="auto"/>
              </w:rPr>
              <w:t>Asia</w:t>
            </w:r>
          </w:p>
        </w:tc>
        <w:tc>
          <w:tcPr>
            <w:tcW w:w="280" w:type="dxa"/>
            <w:vAlign w:val="bottom"/>
            <w:shd w:val="clear" w:color="auto" w:fill="E5E5E5"/>
          </w:tcPr>
          <w:p>
            <w:pPr>
              <w:spacing w:after="0"/>
              <w:rPr>
                <w:sz w:val="14"/>
                <w:szCs w:val="14"/>
                <w:color w:val="auto"/>
              </w:rPr>
            </w:pPr>
          </w:p>
        </w:tc>
        <w:tc>
          <w:tcPr>
            <w:tcW w:w="680" w:type="dxa"/>
            <w:vAlign w:val="bottom"/>
            <w:shd w:val="clear" w:color="auto" w:fill="E5E5E5"/>
          </w:tcPr>
          <w:p>
            <w:pPr>
              <w:jc w:val="right"/>
              <w:ind w:right="115"/>
              <w:spacing w:after="0"/>
              <w:rPr>
                <w:sz w:val="20"/>
                <w:szCs w:val="20"/>
                <w:color w:val="auto"/>
              </w:rPr>
            </w:pPr>
            <w:r>
              <w:rPr>
                <w:rFonts w:ascii="Arial" w:cs="Arial" w:eastAsia="Arial" w:hAnsi="Arial"/>
                <w:sz w:val="14"/>
                <w:szCs w:val="14"/>
                <w:b w:val="1"/>
                <w:bCs w:val="1"/>
                <w:color w:val="auto"/>
                <w:w w:val="95"/>
              </w:rPr>
              <w:t>Europe</w:t>
            </w:r>
          </w:p>
        </w:tc>
        <w:tc>
          <w:tcPr>
            <w:tcW w:w="300" w:type="dxa"/>
            <w:vAlign w:val="bottom"/>
            <w:shd w:val="clear" w:color="auto" w:fill="E5E5E5"/>
          </w:tcPr>
          <w:p>
            <w:pPr>
              <w:spacing w:after="0"/>
              <w:rPr>
                <w:sz w:val="14"/>
                <w:szCs w:val="14"/>
                <w:color w:val="auto"/>
              </w:rPr>
            </w:pPr>
          </w:p>
        </w:tc>
        <w:tc>
          <w:tcPr>
            <w:tcW w:w="660" w:type="dxa"/>
            <w:vAlign w:val="bottom"/>
            <w:shd w:val="clear" w:color="auto" w:fill="E5E5E5"/>
          </w:tcPr>
          <w:p>
            <w:pPr>
              <w:jc w:val="right"/>
              <w:ind w:right="155"/>
              <w:spacing w:after="0"/>
              <w:rPr>
                <w:sz w:val="20"/>
                <w:szCs w:val="20"/>
                <w:color w:val="auto"/>
              </w:rPr>
            </w:pPr>
            <w:r>
              <w:rPr>
                <w:rFonts w:ascii="Arial" w:cs="Arial" w:eastAsia="Arial" w:hAnsi="Arial"/>
                <w:sz w:val="14"/>
                <w:szCs w:val="14"/>
                <w:b w:val="1"/>
                <w:bCs w:val="1"/>
                <w:color w:val="auto"/>
                <w:w w:val="98"/>
              </w:rPr>
              <w:t>Japan</w:t>
            </w:r>
          </w:p>
        </w:tc>
        <w:tc>
          <w:tcPr>
            <w:tcW w:w="260" w:type="dxa"/>
            <w:vAlign w:val="bottom"/>
            <w:shd w:val="clear" w:color="auto" w:fill="E5E5E5"/>
          </w:tcPr>
          <w:p>
            <w:pPr>
              <w:spacing w:after="0"/>
              <w:rPr>
                <w:sz w:val="14"/>
                <w:szCs w:val="14"/>
                <w:color w:val="auto"/>
              </w:rPr>
            </w:pPr>
          </w:p>
        </w:tc>
        <w:tc>
          <w:tcPr>
            <w:tcW w:w="580" w:type="dxa"/>
            <w:vAlign w:val="bottom"/>
            <w:shd w:val="clear" w:color="auto" w:fill="E5E5E5"/>
          </w:tcPr>
          <w:p>
            <w:pPr>
              <w:jc w:val="right"/>
              <w:ind w:right="115"/>
              <w:spacing w:after="0"/>
              <w:rPr>
                <w:sz w:val="20"/>
                <w:szCs w:val="20"/>
                <w:color w:val="auto"/>
              </w:rPr>
            </w:pPr>
            <w:r>
              <w:rPr>
                <w:rFonts w:ascii="Arial" w:cs="Arial" w:eastAsia="Arial" w:hAnsi="Arial"/>
                <w:sz w:val="14"/>
                <w:szCs w:val="14"/>
                <w:b w:val="1"/>
                <w:bCs w:val="1"/>
                <w:color w:val="auto"/>
                <w:w w:val="90"/>
              </w:rPr>
              <w:t>World</w:t>
            </w:r>
          </w:p>
        </w:tc>
        <w:tc>
          <w:tcPr>
            <w:tcW w:w="280" w:type="dxa"/>
            <w:vAlign w:val="bottom"/>
            <w:shd w:val="clear" w:color="auto" w:fill="E5E5E5"/>
          </w:tcPr>
          <w:p>
            <w:pPr>
              <w:spacing w:after="0"/>
              <w:rPr>
                <w:sz w:val="14"/>
                <w:szCs w:val="14"/>
                <w:color w:val="auto"/>
              </w:rPr>
            </w:pPr>
          </w:p>
        </w:tc>
        <w:tc>
          <w:tcPr>
            <w:tcW w:w="600" w:type="dxa"/>
            <w:vAlign w:val="bottom"/>
            <w:shd w:val="clear" w:color="auto" w:fill="E5E5E5"/>
          </w:tcPr>
          <w:p>
            <w:pPr>
              <w:jc w:val="right"/>
              <w:ind w:right="135"/>
              <w:spacing w:after="0"/>
              <w:rPr>
                <w:sz w:val="20"/>
                <w:szCs w:val="20"/>
                <w:color w:val="auto"/>
              </w:rPr>
            </w:pPr>
            <w:r>
              <w:rPr>
                <w:rFonts w:ascii="Arial" w:cs="Arial" w:eastAsia="Arial" w:hAnsi="Arial"/>
                <w:sz w:val="14"/>
                <w:szCs w:val="14"/>
                <w:b w:val="1"/>
                <w:bCs w:val="1"/>
                <w:color w:val="auto"/>
              </w:rPr>
              <w:t>Total</w:t>
            </w:r>
          </w:p>
        </w:tc>
      </w:tr>
      <w:tr>
        <w:trPr>
          <w:trHeight w:val="203"/>
        </w:trPr>
        <w:tc>
          <w:tcPr>
            <w:tcW w:w="4460" w:type="dxa"/>
            <w:vAlign w:val="bottom"/>
          </w:tcPr>
          <w:p>
            <w:pPr>
              <w:spacing w:after="0" w:line="202" w:lineRule="exact"/>
              <w:rPr>
                <w:sz w:val="20"/>
                <w:szCs w:val="20"/>
                <w:color w:val="auto"/>
              </w:rPr>
            </w:pPr>
            <w:r>
              <w:rPr>
                <w:rFonts w:ascii="Arial" w:cs="Arial" w:eastAsia="Arial" w:hAnsi="Arial"/>
                <w:sz w:val="18"/>
                <w:szCs w:val="18"/>
                <w:b w:val="1"/>
                <w:bCs w:val="1"/>
                <w:color w:val="auto"/>
              </w:rPr>
              <w:t>Net revenue</w:t>
            </w:r>
          </w:p>
        </w:tc>
        <w:tc>
          <w:tcPr>
            <w:tcW w:w="1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03"/>
        </w:trPr>
        <w:tc>
          <w:tcPr>
            <w:tcW w:w="4460" w:type="dxa"/>
            <w:vAlign w:val="bottom"/>
            <w:shd w:val="clear" w:color="auto" w:fill="E5E5E5"/>
          </w:tcPr>
          <w:p>
            <w:pPr>
              <w:jc w:val="right"/>
              <w:ind w:right="3532"/>
              <w:spacing w:after="0" w:line="202" w:lineRule="exact"/>
              <w:rPr>
                <w:sz w:val="20"/>
                <w:szCs w:val="20"/>
                <w:color w:val="auto"/>
              </w:rPr>
            </w:pPr>
            <w:r>
              <w:rPr>
                <w:rFonts w:ascii="Arial" w:cs="Arial" w:eastAsia="Arial" w:hAnsi="Arial"/>
                <w:sz w:val="18"/>
                <w:szCs w:val="18"/>
                <w:b w:val="1"/>
                <w:bCs w:val="1"/>
                <w:color w:val="auto"/>
              </w:rPr>
              <w:t>2007</w:t>
            </w:r>
          </w:p>
        </w:tc>
        <w:tc>
          <w:tcPr>
            <w:tcW w:w="17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E5E5E5"/>
          </w:tcPr>
          <w:p>
            <w:pPr>
              <w:jc w:val="right"/>
              <w:ind w:right="75"/>
              <w:spacing w:after="0" w:line="202" w:lineRule="exact"/>
              <w:rPr>
                <w:sz w:val="20"/>
                <w:szCs w:val="20"/>
                <w:color w:val="auto"/>
              </w:rPr>
            </w:pPr>
            <w:r>
              <w:rPr>
                <w:rFonts w:ascii="Arial" w:cs="Arial" w:eastAsia="Arial" w:hAnsi="Arial"/>
                <w:sz w:val="18"/>
                <w:szCs w:val="18"/>
                <w:b w:val="1"/>
                <w:bCs w:val="1"/>
                <w:color w:val="auto"/>
              </w:rPr>
              <w:t>1,758</w:t>
            </w:r>
          </w:p>
        </w:tc>
        <w:tc>
          <w:tcPr>
            <w:tcW w:w="3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E5E5E5"/>
          </w:tcPr>
          <w:p>
            <w:pPr>
              <w:jc w:val="right"/>
              <w:ind w:right="75"/>
              <w:spacing w:after="0" w:line="202" w:lineRule="exact"/>
              <w:rPr>
                <w:sz w:val="20"/>
                <w:szCs w:val="20"/>
                <w:color w:val="auto"/>
              </w:rPr>
            </w:pPr>
            <w:r>
              <w:rPr>
                <w:rFonts w:ascii="Arial" w:cs="Arial" w:eastAsia="Arial" w:hAnsi="Arial"/>
                <w:sz w:val="18"/>
                <w:szCs w:val="18"/>
                <w:b w:val="1"/>
                <w:bCs w:val="1"/>
                <w:color w:val="auto"/>
              </w:rPr>
              <w:t>8,013</w:t>
            </w:r>
          </w:p>
        </w:tc>
        <w:tc>
          <w:tcPr>
            <w:tcW w:w="2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E5E5E5"/>
          </w:tcPr>
          <w:p>
            <w:pPr>
              <w:jc w:val="right"/>
              <w:ind w:right="75"/>
              <w:spacing w:after="0" w:line="202" w:lineRule="exact"/>
              <w:rPr>
                <w:sz w:val="20"/>
                <w:szCs w:val="20"/>
                <w:color w:val="auto"/>
              </w:rPr>
            </w:pPr>
            <w:r>
              <w:rPr>
                <w:rFonts w:ascii="Arial" w:cs="Arial" w:eastAsia="Arial" w:hAnsi="Arial"/>
                <w:sz w:val="18"/>
                <w:szCs w:val="18"/>
                <w:b w:val="1"/>
                <w:bCs w:val="1"/>
                <w:color w:val="auto"/>
              </w:rPr>
              <w:t>2,258</w:t>
            </w:r>
          </w:p>
        </w:tc>
        <w:tc>
          <w:tcPr>
            <w:tcW w:w="3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E5E5E5"/>
          </w:tcPr>
          <w:p>
            <w:pPr>
              <w:jc w:val="right"/>
              <w:ind w:right="75"/>
              <w:spacing w:after="0" w:line="202" w:lineRule="exact"/>
              <w:rPr>
                <w:sz w:val="20"/>
                <w:szCs w:val="20"/>
                <w:color w:val="auto"/>
              </w:rPr>
            </w:pPr>
            <w:r>
              <w:rPr>
                <w:rFonts w:ascii="Arial" w:cs="Arial" w:eastAsia="Arial" w:hAnsi="Arial"/>
                <w:sz w:val="18"/>
                <w:szCs w:val="18"/>
                <w:b w:val="1"/>
                <w:bCs w:val="1"/>
                <w:color w:val="auto"/>
              </w:rPr>
              <w:t>1,423</w:t>
            </w:r>
          </w:p>
        </w:tc>
        <w:tc>
          <w:tcPr>
            <w:tcW w:w="2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E5E5E5"/>
          </w:tcPr>
          <w:p>
            <w:pPr>
              <w:jc w:val="right"/>
              <w:ind w:right="95"/>
              <w:spacing w:after="0" w:line="202" w:lineRule="exact"/>
              <w:rPr>
                <w:sz w:val="20"/>
                <w:szCs w:val="20"/>
                <w:color w:val="auto"/>
              </w:rPr>
            </w:pPr>
            <w:r>
              <w:rPr>
                <w:rFonts w:ascii="Arial" w:cs="Arial" w:eastAsia="Arial" w:hAnsi="Arial"/>
                <w:sz w:val="18"/>
                <w:szCs w:val="18"/>
                <w:b w:val="1"/>
                <w:bCs w:val="1"/>
                <w:color w:val="auto"/>
              </w:rPr>
              <w:t>383</w:t>
            </w:r>
          </w:p>
        </w:tc>
        <w:tc>
          <w:tcPr>
            <w:tcW w:w="2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13,835</w:t>
            </w:r>
          </w:p>
        </w:tc>
      </w:tr>
      <w:tr>
        <w:trPr>
          <w:trHeight w:val="203"/>
        </w:trPr>
        <w:tc>
          <w:tcPr>
            <w:tcW w:w="4460" w:type="dxa"/>
            <w:vAlign w:val="bottom"/>
          </w:tcPr>
          <w:p>
            <w:pPr>
              <w:jc w:val="right"/>
              <w:ind w:right="3532"/>
              <w:spacing w:after="0" w:line="202" w:lineRule="exact"/>
              <w:rPr>
                <w:sz w:val="20"/>
                <w:szCs w:val="20"/>
                <w:color w:val="auto"/>
              </w:rPr>
            </w:pPr>
            <w:r>
              <w:rPr>
                <w:rFonts w:ascii="Arial" w:cs="Arial" w:eastAsia="Arial" w:hAnsi="Arial"/>
                <w:sz w:val="18"/>
                <w:szCs w:val="18"/>
                <w:color w:val="auto"/>
              </w:rPr>
              <w:t>2006</w:t>
            </w:r>
          </w:p>
        </w:tc>
        <w:tc>
          <w:tcPr>
            <w:tcW w:w="1700" w:type="dxa"/>
            <w:vAlign w:val="bottom"/>
          </w:tcPr>
          <w:p>
            <w:pPr>
              <w:spacing w:after="0"/>
              <w:rPr>
                <w:sz w:val="17"/>
                <w:szCs w:val="17"/>
                <w:color w:val="auto"/>
              </w:rPr>
            </w:pPr>
          </w:p>
        </w:tc>
        <w:tc>
          <w:tcPr>
            <w:tcW w:w="660" w:type="dxa"/>
            <w:vAlign w:val="bottom"/>
          </w:tcPr>
          <w:p>
            <w:pPr>
              <w:jc w:val="right"/>
              <w:ind w:right="75"/>
              <w:spacing w:after="0" w:line="202" w:lineRule="exact"/>
              <w:rPr>
                <w:sz w:val="20"/>
                <w:szCs w:val="20"/>
                <w:color w:val="auto"/>
              </w:rPr>
            </w:pPr>
            <w:r>
              <w:rPr>
                <w:rFonts w:ascii="Arial" w:cs="Arial" w:eastAsia="Arial" w:hAnsi="Arial"/>
                <w:sz w:val="18"/>
                <w:szCs w:val="18"/>
                <w:color w:val="auto"/>
              </w:rPr>
              <w:t>1,868</w:t>
            </w:r>
          </w:p>
        </w:tc>
        <w:tc>
          <w:tcPr>
            <w:tcW w:w="300" w:type="dxa"/>
            <w:vAlign w:val="bottom"/>
          </w:tcPr>
          <w:p>
            <w:pPr>
              <w:spacing w:after="0"/>
              <w:rPr>
                <w:sz w:val="17"/>
                <w:szCs w:val="17"/>
                <w:color w:val="auto"/>
              </w:rPr>
            </w:pPr>
          </w:p>
        </w:tc>
        <w:tc>
          <w:tcPr>
            <w:tcW w:w="660" w:type="dxa"/>
            <w:vAlign w:val="bottom"/>
          </w:tcPr>
          <w:p>
            <w:pPr>
              <w:jc w:val="right"/>
              <w:ind w:right="75"/>
              <w:spacing w:after="0" w:line="202" w:lineRule="exact"/>
              <w:rPr>
                <w:sz w:val="20"/>
                <w:szCs w:val="20"/>
                <w:color w:val="auto"/>
              </w:rPr>
            </w:pPr>
            <w:r>
              <w:rPr>
                <w:rFonts w:ascii="Arial" w:cs="Arial" w:eastAsia="Arial" w:hAnsi="Arial"/>
                <w:sz w:val="18"/>
                <w:szCs w:val="18"/>
                <w:color w:val="auto"/>
              </w:rPr>
              <w:t>7,568</w:t>
            </w:r>
          </w:p>
        </w:tc>
        <w:tc>
          <w:tcPr>
            <w:tcW w:w="280" w:type="dxa"/>
            <w:vAlign w:val="bottom"/>
          </w:tcPr>
          <w:p>
            <w:pPr>
              <w:spacing w:after="0"/>
              <w:rPr>
                <w:sz w:val="17"/>
                <w:szCs w:val="17"/>
                <w:color w:val="auto"/>
              </w:rPr>
            </w:pPr>
          </w:p>
        </w:tc>
        <w:tc>
          <w:tcPr>
            <w:tcW w:w="680" w:type="dxa"/>
            <w:vAlign w:val="bottom"/>
          </w:tcPr>
          <w:p>
            <w:pPr>
              <w:jc w:val="right"/>
              <w:ind w:right="75"/>
              <w:spacing w:after="0" w:line="202" w:lineRule="exact"/>
              <w:rPr>
                <w:sz w:val="20"/>
                <w:szCs w:val="20"/>
                <w:color w:val="auto"/>
              </w:rPr>
            </w:pPr>
            <w:r>
              <w:rPr>
                <w:rFonts w:ascii="Arial" w:cs="Arial" w:eastAsia="Arial" w:hAnsi="Arial"/>
                <w:sz w:val="18"/>
                <w:szCs w:val="18"/>
                <w:color w:val="auto"/>
              </w:rPr>
              <w:t>2,286</w:t>
            </w:r>
          </w:p>
        </w:tc>
        <w:tc>
          <w:tcPr>
            <w:tcW w:w="300" w:type="dxa"/>
            <w:vAlign w:val="bottom"/>
          </w:tcPr>
          <w:p>
            <w:pPr>
              <w:spacing w:after="0"/>
              <w:rPr>
                <w:sz w:val="17"/>
                <w:szCs w:val="17"/>
                <w:color w:val="auto"/>
              </w:rPr>
            </w:pPr>
          </w:p>
        </w:tc>
        <w:tc>
          <w:tcPr>
            <w:tcW w:w="660" w:type="dxa"/>
            <w:vAlign w:val="bottom"/>
          </w:tcPr>
          <w:p>
            <w:pPr>
              <w:jc w:val="right"/>
              <w:ind w:right="75"/>
              <w:spacing w:after="0" w:line="202" w:lineRule="exact"/>
              <w:rPr>
                <w:sz w:val="20"/>
                <w:szCs w:val="20"/>
                <w:color w:val="auto"/>
              </w:rPr>
            </w:pPr>
            <w:r>
              <w:rPr>
                <w:rFonts w:ascii="Arial" w:cs="Arial" w:eastAsia="Arial" w:hAnsi="Arial"/>
                <w:sz w:val="18"/>
                <w:szCs w:val="18"/>
                <w:color w:val="auto"/>
              </w:rPr>
              <w:t>2,008</w:t>
            </w:r>
          </w:p>
        </w:tc>
        <w:tc>
          <w:tcPr>
            <w:tcW w:w="260" w:type="dxa"/>
            <w:vAlign w:val="bottom"/>
          </w:tcPr>
          <w:p>
            <w:pPr>
              <w:spacing w:after="0"/>
              <w:rPr>
                <w:sz w:val="17"/>
                <w:szCs w:val="17"/>
                <w:color w:val="auto"/>
              </w:rPr>
            </w:pPr>
          </w:p>
        </w:tc>
        <w:tc>
          <w:tcPr>
            <w:tcW w:w="580" w:type="dxa"/>
            <w:vAlign w:val="bottom"/>
          </w:tcPr>
          <w:p>
            <w:pPr>
              <w:jc w:val="right"/>
              <w:ind w:right="95"/>
              <w:spacing w:after="0" w:line="202" w:lineRule="exact"/>
              <w:rPr>
                <w:sz w:val="20"/>
                <w:szCs w:val="20"/>
                <w:color w:val="auto"/>
              </w:rPr>
            </w:pPr>
            <w:r>
              <w:rPr>
                <w:rFonts w:ascii="Arial" w:cs="Arial" w:eastAsia="Arial" w:hAnsi="Arial"/>
                <w:sz w:val="18"/>
                <w:szCs w:val="18"/>
                <w:color w:val="auto"/>
              </w:rPr>
              <w:t>525</w:t>
            </w:r>
          </w:p>
        </w:tc>
        <w:tc>
          <w:tcPr>
            <w:tcW w:w="2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14,255</w:t>
            </w:r>
          </w:p>
        </w:tc>
      </w:tr>
      <w:tr>
        <w:trPr>
          <w:trHeight w:val="203"/>
        </w:trPr>
        <w:tc>
          <w:tcPr>
            <w:tcW w:w="4460" w:type="dxa"/>
            <w:vAlign w:val="bottom"/>
            <w:shd w:val="clear" w:color="auto" w:fill="E5E5E5"/>
          </w:tcPr>
          <w:p>
            <w:pPr>
              <w:jc w:val="right"/>
              <w:ind w:right="3532"/>
              <w:spacing w:after="0" w:line="202" w:lineRule="exact"/>
              <w:rPr>
                <w:sz w:val="20"/>
                <w:szCs w:val="20"/>
                <w:color w:val="auto"/>
              </w:rPr>
            </w:pPr>
            <w:r>
              <w:rPr>
                <w:rFonts w:ascii="Arial" w:cs="Arial" w:eastAsia="Arial" w:hAnsi="Arial"/>
                <w:sz w:val="18"/>
                <w:szCs w:val="18"/>
                <w:color w:val="auto"/>
              </w:rPr>
              <w:t>2005</w:t>
            </w:r>
          </w:p>
        </w:tc>
        <w:tc>
          <w:tcPr>
            <w:tcW w:w="1700" w:type="dxa"/>
            <w:vAlign w:val="bottom"/>
            <w:shd w:val="clear" w:color="auto" w:fill="E5E5E5"/>
          </w:tcPr>
          <w:p>
            <w:pPr>
              <w:spacing w:after="0"/>
              <w:rPr>
                <w:sz w:val="17"/>
                <w:szCs w:val="17"/>
                <w:color w:val="auto"/>
              </w:rPr>
            </w:pPr>
          </w:p>
        </w:tc>
        <w:tc>
          <w:tcPr>
            <w:tcW w:w="660" w:type="dxa"/>
            <w:vAlign w:val="bottom"/>
            <w:shd w:val="clear" w:color="auto" w:fill="E5E5E5"/>
          </w:tcPr>
          <w:p>
            <w:pPr>
              <w:jc w:val="right"/>
              <w:ind w:right="75"/>
              <w:spacing w:after="0" w:line="202" w:lineRule="exact"/>
              <w:rPr>
                <w:sz w:val="20"/>
                <w:szCs w:val="20"/>
                <w:color w:val="auto"/>
              </w:rPr>
            </w:pPr>
            <w:r>
              <w:rPr>
                <w:rFonts w:ascii="Arial" w:cs="Arial" w:eastAsia="Arial" w:hAnsi="Arial"/>
                <w:sz w:val="18"/>
                <w:szCs w:val="18"/>
                <w:color w:val="auto"/>
              </w:rPr>
              <w:t>1,679</w:t>
            </w:r>
          </w:p>
        </w:tc>
        <w:tc>
          <w:tcPr>
            <w:tcW w:w="300" w:type="dxa"/>
            <w:vAlign w:val="bottom"/>
            <w:shd w:val="clear" w:color="auto" w:fill="E5E5E5"/>
          </w:tcPr>
          <w:p>
            <w:pPr>
              <w:spacing w:after="0"/>
              <w:rPr>
                <w:sz w:val="17"/>
                <w:szCs w:val="17"/>
                <w:color w:val="auto"/>
              </w:rPr>
            </w:pPr>
          </w:p>
        </w:tc>
        <w:tc>
          <w:tcPr>
            <w:tcW w:w="660" w:type="dxa"/>
            <w:vAlign w:val="bottom"/>
            <w:shd w:val="clear" w:color="auto" w:fill="E5E5E5"/>
          </w:tcPr>
          <w:p>
            <w:pPr>
              <w:jc w:val="right"/>
              <w:ind w:right="75"/>
              <w:spacing w:after="0" w:line="202" w:lineRule="exact"/>
              <w:rPr>
                <w:sz w:val="20"/>
                <w:szCs w:val="20"/>
                <w:color w:val="auto"/>
              </w:rPr>
            </w:pPr>
            <w:r>
              <w:rPr>
                <w:rFonts w:ascii="Arial" w:cs="Arial" w:eastAsia="Arial" w:hAnsi="Arial"/>
                <w:sz w:val="18"/>
                <w:szCs w:val="18"/>
                <w:color w:val="auto"/>
              </w:rPr>
              <w:t>6,277</w:t>
            </w:r>
          </w:p>
        </w:tc>
        <w:tc>
          <w:tcPr>
            <w:tcW w:w="280" w:type="dxa"/>
            <w:vAlign w:val="bottom"/>
            <w:shd w:val="clear" w:color="auto" w:fill="E5E5E5"/>
          </w:tcPr>
          <w:p>
            <w:pPr>
              <w:spacing w:after="0"/>
              <w:rPr>
                <w:sz w:val="17"/>
                <w:szCs w:val="17"/>
                <w:color w:val="auto"/>
              </w:rPr>
            </w:pPr>
          </w:p>
        </w:tc>
        <w:tc>
          <w:tcPr>
            <w:tcW w:w="680" w:type="dxa"/>
            <w:vAlign w:val="bottom"/>
            <w:shd w:val="clear" w:color="auto" w:fill="E5E5E5"/>
          </w:tcPr>
          <w:p>
            <w:pPr>
              <w:jc w:val="right"/>
              <w:ind w:right="75"/>
              <w:spacing w:after="0" w:line="202" w:lineRule="exact"/>
              <w:rPr>
                <w:sz w:val="20"/>
                <w:szCs w:val="20"/>
                <w:color w:val="auto"/>
              </w:rPr>
            </w:pPr>
            <w:r>
              <w:rPr>
                <w:rFonts w:ascii="Arial" w:cs="Arial" w:eastAsia="Arial" w:hAnsi="Arial"/>
                <w:sz w:val="18"/>
                <w:szCs w:val="18"/>
                <w:color w:val="auto"/>
              </w:rPr>
              <w:t>2,060</w:t>
            </w:r>
          </w:p>
        </w:tc>
        <w:tc>
          <w:tcPr>
            <w:tcW w:w="300" w:type="dxa"/>
            <w:vAlign w:val="bottom"/>
            <w:shd w:val="clear" w:color="auto" w:fill="E5E5E5"/>
          </w:tcPr>
          <w:p>
            <w:pPr>
              <w:spacing w:after="0"/>
              <w:rPr>
                <w:sz w:val="17"/>
                <w:szCs w:val="17"/>
                <w:color w:val="auto"/>
              </w:rPr>
            </w:pPr>
          </w:p>
        </w:tc>
        <w:tc>
          <w:tcPr>
            <w:tcW w:w="660" w:type="dxa"/>
            <w:vAlign w:val="bottom"/>
            <w:shd w:val="clear" w:color="auto" w:fill="E5E5E5"/>
          </w:tcPr>
          <w:p>
            <w:pPr>
              <w:jc w:val="right"/>
              <w:ind w:right="75"/>
              <w:spacing w:after="0" w:line="202" w:lineRule="exact"/>
              <w:rPr>
                <w:sz w:val="20"/>
                <w:szCs w:val="20"/>
                <w:color w:val="auto"/>
              </w:rPr>
            </w:pPr>
            <w:r>
              <w:rPr>
                <w:rFonts w:ascii="Arial" w:cs="Arial" w:eastAsia="Arial" w:hAnsi="Arial"/>
                <w:sz w:val="18"/>
                <w:szCs w:val="18"/>
                <w:color w:val="auto"/>
              </w:rPr>
              <w:t>1,821</w:t>
            </w:r>
          </w:p>
        </w:tc>
        <w:tc>
          <w:tcPr>
            <w:tcW w:w="260" w:type="dxa"/>
            <w:vAlign w:val="bottom"/>
            <w:shd w:val="clear" w:color="auto" w:fill="E5E5E5"/>
          </w:tcPr>
          <w:p>
            <w:pPr>
              <w:spacing w:after="0"/>
              <w:rPr>
                <w:sz w:val="17"/>
                <w:szCs w:val="17"/>
                <w:color w:val="auto"/>
              </w:rPr>
            </w:pPr>
          </w:p>
        </w:tc>
        <w:tc>
          <w:tcPr>
            <w:tcW w:w="580" w:type="dxa"/>
            <w:vAlign w:val="bottom"/>
            <w:shd w:val="clear" w:color="auto" w:fill="E5E5E5"/>
          </w:tcPr>
          <w:p>
            <w:pPr>
              <w:jc w:val="right"/>
              <w:ind w:right="95"/>
              <w:spacing w:after="0" w:line="202" w:lineRule="exact"/>
              <w:rPr>
                <w:sz w:val="20"/>
                <w:szCs w:val="20"/>
                <w:color w:val="auto"/>
              </w:rPr>
            </w:pPr>
            <w:r>
              <w:rPr>
                <w:rFonts w:ascii="Arial" w:cs="Arial" w:eastAsia="Arial" w:hAnsi="Arial"/>
                <w:sz w:val="18"/>
                <w:szCs w:val="18"/>
                <w:color w:val="auto"/>
              </w:rPr>
              <w:t>498</w:t>
            </w:r>
          </w:p>
        </w:tc>
        <w:tc>
          <w:tcPr>
            <w:tcW w:w="280" w:type="dxa"/>
            <w:vAlign w:val="bottom"/>
            <w:shd w:val="clear" w:color="auto" w:fill="E5E5E5"/>
          </w:tcPr>
          <w:p>
            <w:pPr>
              <w:spacing w:after="0"/>
              <w:rPr>
                <w:sz w:val="17"/>
                <w:szCs w:val="17"/>
                <w:color w:val="auto"/>
              </w:rPr>
            </w:pPr>
          </w:p>
        </w:tc>
        <w:tc>
          <w:tcPr>
            <w:tcW w:w="6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12,335</w:t>
            </w:r>
          </w:p>
        </w:tc>
      </w:tr>
      <w:tr>
        <w:trPr>
          <w:trHeight w:val="203"/>
        </w:trPr>
        <w:tc>
          <w:tcPr>
            <w:tcW w:w="4460" w:type="dxa"/>
            <w:vAlign w:val="bottom"/>
          </w:tcPr>
          <w:p>
            <w:pPr>
              <w:spacing w:after="0" w:line="202" w:lineRule="exact"/>
              <w:rPr>
                <w:sz w:val="20"/>
                <w:szCs w:val="20"/>
                <w:color w:val="auto"/>
              </w:rPr>
            </w:pPr>
            <w:r>
              <w:rPr>
                <w:rFonts w:ascii="Arial" w:cs="Arial" w:eastAsia="Arial" w:hAnsi="Arial"/>
                <w:sz w:val="18"/>
                <w:szCs w:val="18"/>
                <w:b w:val="1"/>
                <w:bCs w:val="1"/>
                <w:color w:val="auto"/>
              </w:rPr>
              <w:t>Property, plant and equipment, net</w:t>
            </w:r>
          </w:p>
        </w:tc>
        <w:tc>
          <w:tcPr>
            <w:tcW w:w="1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03"/>
        </w:trPr>
        <w:tc>
          <w:tcPr>
            <w:tcW w:w="4460" w:type="dxa"/>
            <w:vAlign w:val="bottom"/>
            <w:shd w:val="clear" w:color="auto" w:fill="E5E5E5"/>
          </w:tcPr>
          <w:p>
            <w:pPr>
              <w:jc w:val="right"/>
              <w:ind w:right="3532"/>
              <w:spacing w:after="0" w:line="202" w:lineRule="exact"/>
              <w:rPr>
                <w:sz w:val="20"/>
                <w:szCs w:val="20"/>
                <w:color w:val="auto"/>
              </w:rPr>
            </w:pPr>
            <w:r>
              <w:rPr>
                <w:rFonts w:ascii="Arial" w:cs="Arial" w:eastAsia="Arial" w:hAnsi="Arial"/>
                <w:sz w:val="18"/>
                <w:szCs w:val="18"/>
                <w:b w:val="1"/>
                <w:bCs w:val="1"/>
                <w:color w:val="auto"/>
              </w:rPr>
              <w:t>2007</w:t>
            </w:r>
          </w:p>
        </w:tc>
        <w:tc>
          <w:tcPr>
            <w:tcW w:w="17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E5E5E5"/>
          </w:tcPr>
          <w:p>
            <w:pPr>
              <w:jc w:val="right"/>
              <w:ind w:right="75"/>
              <w:spacing w:after="0" w:line="202" w:lineRule="exact"/>
              <w:rPr>
                <w:sz w:val="20"/>
                <w:szCs w:val="20"/>
                <w:color w:val="auto"/>
              </w:rPr>
            </w:pPr>
            <w:r>
              <w:rPr>
                <w:rFonts w:ascii="Arial" w:cs="Arial" w:eastAsia="Arial" w:hAnsi="Arial"/>
                <w:sz w:val="18"/>
                <w:szCs w:val="18"/>
                <w:b w:val="1"/>
                <w:bCs w:val="1"/>
                <w:color w:val="auto"/>
              </w:rPr>
              <w:t>2,188</w:t>
            </w:r>
          </w:p>
        </w:tc>
        <w:tc>
          <w:tcPr>
            <w:tcW w:w="3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E5E5E5"/>
          </w:tcPr>
          <w:p>
            <w:pPr>
              <w:jc w:val="right"/>
              <w:ind w:right="75"/>
              <w:spacing w:after="0" w:line="202" w:lineRule="exact"/>
              <w:rPr>
                <w:sz w:val="20"/>
                <w:szCs w:val="20"/>
                <w:color w:val="auto"/>
              </w:rPr>
            </w:pPr>
            <w:r>
              <w:rPr>
                <w:rFonts w:ascii="Arial" w:cs="Arial" w:eastAsia="Arial" w:hAnsi="Arial"/>
                <w:sz w:val="18"/>
                <w:szCs w:val="18"/>
                <w:b w:val="1"/>
                <w:bCs w:val="1"/>
                <w:color w:val="auto"/>
              </w:rPr>
              <w:t>965</w:t>
            </w:r>
          </w:p>
        </w:tc>
        <w:tc>
          <w:tcPr>
            <w:tcW w:w="2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E5E5E5"/>
          </w:tcPr>
          <w:p>
            <w:pPr>
              <w:jc w:val="right"/>
              <w:ind w:right="75"/>
              <w:spacing w:after="0" w:line="202" w:lineRule="exact"/>
              <w:rPr>
                <w:sz w:val="20"/>
                <w:szCs w:val="20"/>
                <w:color w:val="auto"/>
              </w:rPr>
            </w:pPr>
            <w:r>
              <w:rPr>
                <w:rFonts w:ascii="Arial" w:cs="Arial" w:eastAsia="Arial" w:hAnsi="Arial"/>
                <w:sz w:val="18"/>
                <w:szCs w:val="18"/>
                <w:b w:val="1"/>
                <w:bCs w:val="1"/>
                <w:color w:val="auto"/>
              </w:rPr>
              <w:t>190</w:t>
            </w:r>
          </w:p>
        </w:tc>
        <w:tc>
          <w:tcPr>
            <w:tcW w:w="3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E5E5E5"/>
          </w:tcPr>
          <w:p>
            <w:pPr>
              <w:jc w:val="right"/>
              <w:ind w:right="75"/>
              <w:spacing w:after="0" w:line="202" w:lineRule="exact"/>
              <w:rPr>
                <w:sz w:val="20"/>
                <w:szCs w:val="20"/>
                <w:color w:val="auto"/>
              </w:rPr>
            </w:pPr>
            <w:r>
              <w:rPr>
                <w:rFonts w:ascii="Arial" w:cs="Arial" w:eastAsia="Arial" w:hAnsi="Arial"/>
                <w:sz w:val="18"/>
                <w:szCs w:val="18"/>
                <w:b w:val="1"/>
                <w:bCs w:val="1"/>
                <w:color w:val="auto"/>
              </w:rPr>
              <w:t>252</w:t>
            </w:r>
          </w:p>
        </w:tc>
        <w:tc>
          <w:tcPr>
            <w:tcW w:w="2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E5E5E5"/>
          </w:tcPr>
          <w:p>
            <w:pPr>
              <w:jc w:val="right"/>
              <w:ind w:right="95"/>
              <w:spacing w:after="0" w:line="202" w:lineRule="exact"/>
              <w:rPr>
                <w:sz w:val="20"/>
                <w:szCs w:val="20"/>
                <w:color w:val="auto"/>
              </w:rPr>
            </w:pPr>
            <w:r>
              <w:rPr>
                <w:rFonts w:ascii="Arial" w:cs="Arial" w:eastAsia="Arial" w:hAnsi="Arial"/>
                <w:sz w:val="18"/>
                <w:szCs w:val="18"/>
                <w:b w:val="1"/>
                <w:bCs w:val="1"/>
                <w:color w:val="auto"/>
              </w:rPr>
              <w:t>14</w:t>
            </w:r>
          </w:p>
        </w:tc>
        <w:tc>
          <w:tcPr>
            <w:tcW w:w="2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3,609</w:t>
            </w:r>
          </w:p>
        </w:tc>
      </w:tr>
      <w:tr>
        <w:trPr>
          <w:trHeight w:val="203"/>
        </w:trPr>
        <w:tc>
          <w:tcPr>
            <w:tcW w:w="4460" w:type="dxa"/>
            <w:vAlign w:val="bottom"/>
          </w:tcPr>
          <w:p>
            <w:pPr>
              <w:jc w:val="right"/>
              <w:ind w:right="3532"/>
              <w:spacing w:after="0" w:line="202" w:lineRule="exact"/>
              <w:rPr>
                <w:sz w:val="20"/>
                <w:szCs w:val="20"/>
                <w:color w:val="auto"/>
              </w:rPr>
            </w:pPr>
            <w:r>
              <w:rPr>
                <w:rFonts w:ascii="Arial" w:cs="Arial" w:eastAsia="Arial" w:hAnsi="Arial"/>
                <w:sz w:val="18"/>
                <w:szCs w:val="18"/>
                <w:color w:val="auto"/>
              </w:rPr>
              <w:t>2006</w:t>
            </w:r>
          </w:p>
        </w:tc>
        <w:tc>
          <w:tcPr>
            <w:tcW w:w="1700" w:type="dxa"/>
            <w:vAlign w:val="bottom"/>
          </w:tcPr>
          <w:p>
            <w:pPr>
              <w:spacing w:after="0"/>
              <w:rPr>
                <w:sz w:val="17"/>
                <w:szCs w:val="17"/>
                <w:color w:val="auto"/>
              </w:rPr>
            </w:pPr>
          </w:p>
        </w:tc>
        <w:tc>
          <w:tcPr>
            <w:tcW w:w="660" w:type="dxa"/>
            <w:vAlign w:val="bottom"/>
          </w:tcPr>
          <w:p>
            <w:pPr>
              <w:jc w:val="right"/>
              <w:ind w:right="75"/>
              <w:spacing w:after="0" w:line="202" w:lineRule="exact"/>
              <w:rPr>
                <w:sz w:val="20"/>
                <w:szCs w:val="20"/>
                <w:color w:val="auto"/>
              </w:rPr>
            </w:pPr>
            <w:r>
              <w:rPr>
                <w:rFonts w:ascii="Arial" w:cs="Arial" w:eastAsia="Arial" w:hAnsi="Arial"/>
                <w:sz w:val="18"/>
                <w:szCs w:val="18"/>
                <w:color w:val="auto"/>
              </w:rPr>
              <w:t>2,517</w:t>
            </w:r>
          </w:p>
        </w:tc>
        <w:tc>
          <w:tcPr>
            <w:tcW w:w="300" w:type="dxa"/>
            <w:vAlign w:val="bottom"/>
          </w:tcPr>
          <w:p>
            <w:pPr>
              <w:spacing w:after="0"/>
              <w:rPr>
                <w:sz w:val="17"/>
                <w:szCs w:val="17"/>
                <w:color w:val="auto"/>
              </w:rPr>
            </w:pPr>
          </w:p>
        </w:tc>
        <w:tc>
          <w:tcPr>
            <w:tcW w:w="660" w:type="dxa"/>
            <w:vAlign w:val="bottom"/>
          </w:tcPr>
          <w:p>
            <w:pPr>
              <w:jc w:val="right"/>
              <w:ind w:right="75"/>
              <w:spacing w:after="0" w:line="202" w:lineRule="exact"/>
              <w:rPr>
                <w:sz w:val="20"/>
                <w:szCs w:val="20"/>
                <w:color w:val="auto"/>
              </w:rPr>
            </w:pPr>
            <w:r>
              <w:rPr>
                <w:rFonts w:ascii="Arial" w:cs="Arial" w:eastAsia="Arial" w:hAnsi="Arial"/>
                <w:sz w:val="18"/>
                <w:szCs w:val="18"/>
                <w:color w:val="auto"/>
              </w:rPr>
              <w:t>944</w:t>
            </w:r>
          </w:p>
        </w:tc>
        <w:tc>
          <w:tcPr>
            <w:tcW w:w="280" w:type="dxa"/>
            <w:vAlign w:val="bottom"/>
          </w:tcPr>
          <w:p>
            <w:pPr>
              <w:spacing w:after="0"/>
              <w:rPr>
                <w:sz w:val="17"/>
                <w:szCs w:val="17"/>
                <w:color w:val="auto"/>
              </w:rPr>
            </w:pPr>
          </w:p>
        </w:tc>
        <w:tc>
          <w:tcPr>
            <w:tcW w:w="680" w:type="dxa"/>
            <w:vAlign w:val="bottom"/>
          </w:tcPr>
          <w:p>
            <w:pPr>
              <w:jc w:val="right"/>
              <w:ind w:right="75"/>
              <w:spacing w:after="0" w:line="202" w:lineRule="exact"/>
              <w:rPr>
                <w:sz w:val="20"/>
                <w:szCs w:val="20"/>
                <w:color w:val="auto"/>
              </w:rPr>
            </w:pPr>
            <w:r>
              <w:rPr>
                <w:rFonts w:ascii="Arial" w:cs="Arial" w:eastAsia="Arial" w:hAnsi="Arial"/>
                <w:sz w:val="18"/>
                <w:szCs w:val="18"/>
                <w:color w:val="auto"/>
              </w:rPr>
              <w:t>205</w:t>
            </w:r>
          </w:p>
        </w:tc>
        <w:tc>
          <w:tcPr>
            <w:tcW w:w="300" w:type="dxa"/>
            <w:vAlign w:val="bottom"/>
          </w:tcPr>
          <w:p>
            <w:pPr>
              <w:spacing w:after="0"/>
              <w:rPr>
                <w:sz w:val="17"/>
                <w:szCs w:val="17"/>
                <w:color w:val="auto"/>
              </w:rPr>
            </w:pPr>
          </w:p>
        </w:tc>
        <w:tc>
          <w:tcPr>
            <w:tcW w:w="660" w:type="dxa"/>
            <w:vAlign w:val="bottom"/>
          </w:tcPr>
          <w:p>
            <w:pPr>
              <w:jc w:val="right"/>
              <w:ind w:right="75"/>
              <w:spacing w:after="0" w:line="202" w:lineRule="exact"/>
              <w:rPr>
                <w:sz w:val="20"/>
                <w:szCs w:val="20"/>
                <w:color w:val="auto"/>
              </w:rPr>
            </w:pPr>
            <w:r>
              <w:rPr>
                <w:rFonts w:ascii="Arial" w:cs="Arial" w:eastAsia="Arial" w:hAnsi="Arial"/>
                <w:sz w:val="18"/>
                <w:szCs w:val="18"/>
                <w:color w:val="auto"/>
              </w:rPr>
              <w:t>271</w:t>
            </w:r>
          </w:p>
        </w:tc>
        <w:tc>
          <w:tcPr>
            <w:tcW w:w="260" w:type="dxa"/>
            <w:vAlign w:val="bottom"/>
          </w:tcPr>
          <w:p>
            <w:pPr>
              <w:spacing w:after="0"/>
              <w:rPr>
                <w:sz w:val="17"/>
                <w:szCs w:val="17"/>
                <w:color w:val="auto"/>
              </w:rPr>
            </w:pPr>
          </w:p>
        </w:tc>
        <w:tc>
          <w:tcPr>
            <w:tcW w:w="580" w:type="dxa"/>
            <w:vAlign w:val="bottom"/>
          </w:tcPr>
          <w:p>
            <w:pPr>
              <w:jc w:val="right"/>
              <w:ind w:right="95"/>
              <w:spacing w:after="0" w:line="202" w:lineRule="exact"/>
              <w:rPr>
                <w:sz w:val="20"/>
                <w:szCs w:val="20"/>
                <w:color w:val="auto"/>
              </w:rPr>
            </w:pPr>
            <w:r>
              <w:rPr>
                <w:rFonts w:ascii="Arial" w:cs="Arial" w:eastAsia="Arial" w:hAnsi="Arial"/>
                <w:sz w:val="18"/>
                <w:szCs w:val="18"/>
                <w:color w:val="auto"/>
              </w:rPr>
              <w:t>13</w:t>
            </w:r>
          </w:p>
        </w:tc>
        <w:tc>
          <w:tcPr>
            <w:tcW w:w="2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3,950</w:t>
            </w:r>
          </w:p>
        </w:tc>
      </w:tr>
      <w:tr>
        <w:trPr>
          <w:trHeight w:val="203"/>
        </w:trPr>
        <w:tc>
          <w:tcPr>
            <w:tcW w:w="4460" w:type="dxa"/>
            <w:vAlign w:val="bottom"/>
            <w:shd w:val="clear" w:color="auto" w:fill="E5E5E5"/>
          </w:tcPr>
          <w:p>
            <w:pPr>
              <w:jc w:val="right"/>
              <w:ind w:right="3532"/>
              <w:spacing w:after="0" w:line="202" w:lineRule="exact"/>
              <w:rPr>
                <w:sz w:val="20"/>
                <w:szCs w:val="20"/>
                <w:color w:val="auto"/>
              </w:rPr>
            </w:pPr>
            <w:r>
              <w:rPr>
                <w:rFonts w:ascii="Arial" w:cs="Arial" w:eastAsia="Arial" w:hAnsi="Arial"/>
                <w:sz w:val="18"/>
                <w:szCs w:val="18"/>
                <w:color w:val="auto"/>
              </w:rPr>
              <w:t>2005</w:t>
            </w:r>
          </w:p>
        </w:tc>
        <w:tc>
          <w:tcPr>
            <w:tcW w:w="1700" w:type="dxa"/>
            <w:vAlign w:val="bottom"/>
            <w:shd w:val="clear" w:color="auto" w:fill="E5E5E5"/>
          </w:tcPr>
          <w:p>
            <w:pPr>
              <w:spacing w:after="0"/>
              <w:rPr>
                <w:sz w:val="17"/>
                <w:szCs w:val="17"/>
                <w:color w:val="auto"/>
              </w:rPr>
            </w:pPr>
          </w:p>
        </w:tc>
        <w:tc>
          <w:tcPr>
            <w:tcW w:w="660" w:type="dxa"/>
            <w:vAlign w:val="bottom"/>
            <w:shd w:val="clear" w:color="auto" w:fill="E5E5E5"/>
          </w:tcPr>
          <w:p>
            <w:pPr>
              <w:jc w:val="right"/>
              <w:ind w:right="75"/>
              <w:spacing w:after="0" w:line="202" w:lineRule="exact"/>
              <w:rPr>
                <w:sz w:val="20"/>
                <w:szCs w:val="20"/>
                <w:color w:val="auto"/>
              </w:rPr>
            </w:pPr>
            <w:r>
              <w:rPr>
                <w:rFonts w:ascii="Arial" w:cs="Arial" w:eastAsia="Arial" w:hAnsi="Arial"/>
                <w:sz w:val="18"/>
                <w:szCs w:val="18"/>
                <w:color w:val="auto"/>
              </w:rPr>
              <w:t>2,544</w:t>
            </w:r>
          </w:p>
        </w:tc>
        <w:tc>
          <w:tcPr>
            <w:tcW w:w="300" w:type="dxa"/>
            <w:vAlign w:val="bottom"/>
            <w:shd w:val="clear" w:color="auto" w:fill="E5E5E5"/>
          </w:tcPr>
          <w:p>
            <w:pPr>
              <w:spacing w:after="0"/>
              <w:rPr>
                <w:sz w:val="17"/>
                <w:szCs w:val="17"/>
                <w:color w:val="auto"/>
              </w:rPr>
            </w:pPr>
          </w:p>
        </w:tc>
        <w:tc>
          <w:tcPr>
            <w:tcW w:w="660" w:type="dxa"/>
            <w:vAlign w:val="bottom"/>
            <w:shd w:val="clear" w:color="auto" w:fill="E5E5E5"/>
          </w:tcPr>
          <w:p>
            <w:pPr>
              <w:jc w:val="right"/>
              <w:ind w:right="75"/>
              <w:spacing w:after="0" w:line="202" w:lineRule="exact"/>
              <w:rPr>
                <w:sz w:val="20"/>
                <w:szCs w:val="20"/>
                <w:color w:val="auto"/>
              </w:rPr>
            </w:pPr>
            <w:r>
              <w:rPr>
                <w:rFonts w:ascii="Arial" w:cs="Arial" w:eastAsia="Arial" w:hAnsi="Arial"/>
                <w:sz w:val="18"/>
                <w:szCs w:val="18"/>
                <w:color w:val="auto"/>
              </w:rPr>
              <w:t>705</w:t>
            </w:r>
          </w:p>
        </w:tc>
        <w:tc>
          <w:tcPr>
            <w:tcW w:w="280" w:type="dxa"/>
            <w:vAlign w:val="bottom"/>
            <w:shd w:val="clear" w:color="auto" w:fill="E5E5E5"/>
          </w:tcPr>
          <w:p>
            <w:pPr>
              <w:spacing w:after="0"/>
              <w:rPr>
                <w:sz w:val="17"/>
                <w:szCs w:val="17"/>
                <w:color w:val="auto"/>
              </w:rPr>
            </w:pPr>
          </w:p>
        </w:tc>
        <w:tc>
          <w:tcPr>
            <w:tcW w:w="680" w:type="dxa"/>
            <w:vAlign w:val="bottom"/>
            <w:shd w:val="clear" w:color="auto" w:fill="E5E5E5"/>
          </w:tcPr>
          <w:p>
            <w:pPr>
              <w:jc w:val="right"/>
              <w:ind w:right="75"/>
              <w:spacing w:after="0" w:line="202" w:lineRule="exact"/>
              <w:rPr>
                <w:sz w:val="20"/>
                <w:szCs w:val="20"/>
                <w:color w:val="auto"/>
              </w:rPr>
            </w:pPr>
            <w:r>
              <w:rPr>
                <w:rFonts w:ascii="Arial" w:cs="Arial" w:eastAsia="Arial" w:hAnsi="Arial"/>
                <w:sz w:val="18"/>
                <w:szCs w:val="18"/>
                <w:color w:val="auto"/>
              </w:rPr>
              <w:t>208</w:t>
            </w:r>
          </w:p>
        </w:tc>
        <w:tc>
          <w:tcPr>
            <w:tcW w:w="300" w:type="dxa"/>
            <w:vAlign w:val="bottom"/>
            <w:shd w:val="clear" w:color="auto" w:fill="E5E5E5"/>
          </w:tcPr>
          <w:p>
            <w:pPr>
              <w:spacing w:after="0"/>
              <w:rPr>
                <w:sz w:val="17"/>
                <w:szCs w:val="17"/>
                <w:color w:val="auto"/>
              </w:rPr>
            </w:pPr>
          </w:p>
        </w:tc>
        <w:tc>
          <w:tcPr>
            <w:tcW w:w="660" w:type="dxa"/>
            <w:vAlign w:val="bottom"/>
            <w:shd w:val="clear" w:color="auto" w:fill="E5E5E5"/>
          </w:tcPr>
          <w:p>
            <w:pPr>
              <w:jc w:val="right"/>
              <w:ind w:right="75"/>
              <w:spacing w:after="0" w:line="202" w:lineRule="exact"/>
              <w:rPr>
                <w:sz w:val="20"/>
                <w:szCs w:val="20"/>
                <w:color w:val="auto"/>
              </w:rPr>
            </w:pPr>
            <w:r>
              <w:rPr>
                <w:rFonts w:ascii="Arial" w:cs="Arial" w:eastAsia="Arial" w:hAnsi="Arial"/>
                <w:sz w:val="18"/>
                <w:szCs w:val="18"/>
                <w:color w:val="auto"/>
              </w:rPr>
              <w:t>259</w:t>
            </w:r>
          </w:p>
        </w:tc>
        <w:tc>
          <w:tcPr>
            <w:tcW w:w="260" w:type="dxa"/>
            <w:vAlign w:val="bottom"/>
            <w:shd w:val="clear" w:color="auto" w:fill="E5E5E5"/>
          </w:tcPr>
          <w:p>
            <w:pPr>
              <w:spacing w:after="0"/>
              <w:rPr>
                <w:sz w:val="17"/>
                <w:szCs w:val="17"/>
                <w:color w:val="auto"/>
              </w:rPr>
            </w:pPr>
          </w:p>
        </w:tc>
        <w:tc>
          <w:tcPr>
            <w:tcW w:w="580" w:type="dxa"/>
            <w:vAlign w:val="bottom"/>
            <w:shd w:val="clear" w:color="auto" w:fill="E5E5E5"/>
          </w:tcPr>
          <w:p>
            <w:pPr>
              <w:jc w:val="right"/>
              <w:ind w:right="95"/>
              <w:spacing w:after="0" w:line="202" w:lineRule="exact"/>
              <w:rPr>
                <w:sz w:val="20"/>
                <w:szCs w:val="20"/>
                <w:color w:val="auto"/>
              </w:rPr>
            </w:pPr>
            <w:r>
              <w:rPr>
                <w:rFonts w:ascii="Arial" w:cs="Arial" w:eastAsia="Arial" w:hAnsi="Arial"/>
                <w:sz w:val="18"/>
                <w:szCs w:val="18"/>
                <w:color w:val="auto"/>
              </w:rPr>
              <w:t>14</w:t>
            </w:r>
          </w:p>
        </w:tc>
        <w:tc>
          <w:tcPr>
            <w:tcW w:w="280" w:type="dxa"/>
            <w:vAlign w:val="bottom"/>
            <w:shd w:val="clear" w:color="auto" w:fill="E5E5E5"/>
          </w:tcPr>
          <w:p>
            <w:pPr>
              <w:spacing w:after="0"/>
              <w:rPr>
                <w:sz w:val="17"/>
                <w:szCs w:val="17"/>
                <w:color w:val="auto"/>
              </w:rPr>
            </w:pPr>
          </w:p>
        </w:tc>
        <w:tc>
          <w:tcPr>
            <w:tcW w:w="6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3,730</w:t>
            </w:r>
          </w:p>
        </w:tc>
      </w:tr>
    </w:tbl>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Major Customer</w:t>
      </w:r>
    </w:p>
    <w:p>
      <w:pPr>
        <w:spacing w:after="0" w:line="158"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Direct sales to the Nokia group of companies were 16 percent of our revenue in 2007 and 11 percent of our revenue in 2006 and 2005; if indirect sales such as to contract manufacturers are included, Nokia accounted for 19 percent, 15 percent and 16 percent of our 2007, 2006 and 2005 revenue.</w:t>
      </w:r>
    </w:p>
    <w:p>
      <w:pPr>
        <w:spacing w:after="0" w:line="254"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180"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As discussed in Note 3, our short-term investments include auction-rate securities, the interest rates of which are reset through an auction process, most commonly at intervals of 7, 28 and 35 days. The same auction process is designed to provide a means by which these securities can be sold, and historically has provided a liquid market for them.</w:t>
      </w:r>
    </w:p>
    <w:p>
      <w:pPr>
        <w:spacing w:after="0" w:line="154" w:lineRule="exact"/>
        <w:rPr>
          <w:sz w:val="20"/>
          <w:szCs w:val="20"/>
          <w:color w:val="auto"/>
        </w:rPr>
      </w:pPr>
    </w:p>
    <w:p>
      <w:pPr>
        <w:ind w:right="380"/>
        <w:spacing w:after="0" w:line="239" w:lineRule="auto"/>
        <w:rPr>
          <w:sz w:val="20"/>
          <w:szCs w:val="20"/>
          <w:color w:val="auto"/>
        </w:rPr>
      </w:pPr>
      <w:r>
        <w:rPr>
          <w:rFonts w:ascii="Arial" w:cs="Arial" w:eastAsia="Arial" w:hAnsi="Arial"/>
          <w:sz w:val="18"/>
          <w:szCs w:val="18"/>
          <w:color w:val="auto"/>
        </w:rPr>
        <w:t>As of December 31, 2007, we had $1.04 billion invested in auction-rate securities. As of mid-February 2008, we had sold down our holdings of these auction-rate securities to less than $575 million through the normal auction process.</w:t>
      </w:r>
    </w:p>
    <w:p>
      <w:pPr>
        <w:spacing w:after="0" w:line="155"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In mid-February 2008, liquidity issues in the global credit markets resulted in the failure of auctions representing substantially all of the auction-rate securities we hold, as the amount of securities submitted for sale in those auctions exceeded the amount of bids.</w:t>
      </w:r>
    </w:p>
    <w:p>
      <w:pPr>
        <w:spacing w:after="0" w:line="155"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Substantially all of our auction-rate investments are backed by pools of student loans guaranteed by the U.S. Department of Education and we continue to believe that the credit quality of these securities is high based on this guarantee. To date we have collected all interest payable on all of our auction-rate securities when due and expect to continue to do so in the future. For each unsuccessful auction, the interest rate moves to a maximum rate defined for each security, generally reset periodically at a level higher than defined short-term interest benchmarks. The principal associated with failed auctions will not be accessible until successful auctions occur, a buyer is found outside of the auction process, the issuers establish a different form of financing to replace these securities, or final payments come due according to contractual maturities ranging from 15 to 40 years. We understand that issuers and financial markets are working on alternatives that may improve liquidity, although it is not yet clear when or if such efforts will be successful. We expect that we will receive the principal associated with these auction-rate securities through one of the means described above.</w:t>
      </w:r>
    </w:p>
    <w:p>
      <w:pPr>
        <w:spacing w:after="0" w:line="161" w:lineRule="exact"/>
        <w:rPr>
          <w:sz w:val="20"/>
          <w:szCs w:val="20"/>
          <w:color w:val="auto"/>
        </w:rPr>
      </w:pPr>
    </w:p>
    <w:p>
      <w:pPr>
        <w:ind w:right="260"/>
        <w:spacing w:after="0" w:line="299" w:lineRule="auto"/>
        <w:rPr>
          <w:sz w:val="20"/>
          <w:szCs w:val="20"/>
          <w:color w:val="auto"/>
        </w:rPr>
      </w:pPr>
      <w:r>
        <w:rPr>
          <w:rFonts w:ascii="Arial" w:cs="Arial" w:eastAsia="Arial" w:hAnsi="Arial"/>
          <w:sz w:val="16"/>
          <w:szCs w:val="16"/>
          <w:color w:val="auto"/>
        </w:rPr>
        <w:t>While the recent auction failures will limit our ability to liquidate these investments for some period of time, we do not believe the auction failures will materially impact our ability to fund our working capital needs, capital expenditures, dividend payments or other business requirements.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120" w:type="dxa"/>
            <w:vAlign w:val="bottom"/>
          </w:tcPr>
          <w:p>
            <w:pPr>
              <w:spacing w:after="0"/>
              <w:rPr>
                <w:sz w:val="20"/>
                <w:szCs w:val="20"/>
                <w:color w:val="auto"/>
              </w:rPr>
            </w:pPr>
            <w:r>
              <w:rPr>
                <w:rFonts w:ascii="Arial" w:cs="Arial" w:eastAsia="Arial" w:hAnsi="Arial"/>
                <w:sz w:val="14"/>
                <w:szCs w:val="14"/>
                <w:color w:val="auto"/>
              </w:rPr>
              <w:t>TEXAS INSTRUMENTS 2007 ANNUAL REPORT</w:t>
            </w:r>
          </w:p>
        </w:tc>
        <w:tc>
          <w:tcPr>
            <w:tcW w:w="4300" w:type="dxa"/>
            <w:vAlign w:val="bottom"/>
          </w:tcPr>
          <w:p>
            <w:pPr>
              <w:jc w:val="right"/>
              <w:spacing w:after="0"/>
              <w:rPr>
                <w:sz w:val="20"/>
                <w:szCs w:val="20"/>
                <w:color w:val="auto"/>
              </w:rPr>
            </w:pPr>
            <w:r>
              <w:rPr>
                <w:rFonts w:ascii="Arial" w:cs="Arial" w:eastAsia="Arial" w:hAnsi="Arial"/>
                <w:sz w:val="14"/>
                <w:szCs w:val="14"/>
                <w:color w:val="auto"/>
              </w:rPr>
              <w:t>41</w:t>
            </w:r>
          </w:p>
        </w:tc>
      </w:tr>
    </w:tbl>
    <w:p>
      <w:pPr>
        <w:sectPr>
          <w:pgSz w:w="11900" w:h="16838" w:orient="portrait"/>
          <w:cols w:equalWidth="0" w:num="1">
            <w:col w:w="11420"/>
          </w:cols>
          <w:pgMar w:left="240" w:top="291"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REPORT OF INDEPENDENT REGISTERED PUBLIC ACCOUNTING FIRM</w:t>
      </w:r>
    </w:p>
    <w:p>
      <w:pPr>
        <w:spacing w:after="0" w:line="33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Board of Directors</w:t>
      </w:r>
    </w:p>
    <w:p>
      <w:pPr>
        <w:ind w:left="20"/>
        <w:spacing w:after="0"/>
        <w:rPr>
          <w:sz w:val="20"/>
          <w:szCs w:val="20"/>
          <w:color w:val="auto"/>
        </w:rPr>
      </w:pPr>
      <w:r>
        <w:rPr>
          <w:rFonts w:ascii="Arial" w:cs="Arial" w:eastAsia="Arial" w:hAnsi="Arial"/>
          <w:sz w:val="18"/>
          <w:szCs w:val="18"/>
          <w:color w:val="auto"/>
        </w:rPr>
        <w:t>Texas Instruments Incorporated</w:t>
      </w:r>
    </w:p>
    <w:p>
      <w:pPr>
        <w:spacing w:after="0" w:line="158"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We have audited the accompanying consolidated balance sheets of Texas Instruments Incorporated and subsidiaries (the Company) as of December 31, 2007 and 2006, and the related consolidated statements of income, comprehensive income, stockholders’ equity, and cash flows for each of the three years in the period ended December 31, 2007. These financial statements are the responsibility of the Company’s management. Our responsibility is to express an opinion on these financial statements based on our audits.</w:t>
      </w:r>
    </w:p>
    <w:p>
      <w:pPr>
        <w:spacing w:after="0" w:line="155"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57"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Texas Instruments Incorporated and subsidiaries at December 31, 2007 and 2006, and the consolidated results of their operations and their cash flows for each of the three years in the period ended December 31, 2007, in conformity with U.S. generally accepted accounting principles.</w:t>
      </w:r>
    </w:p>
    <w:p>
      <w:pPr>
        <w:spacing w:after="0" w:line="154" w:lineRule="exact"/>
        <w:rPr>
          <w:sz w:val="20"/>
          <w:szCs w:val="20"/>
          <w:color w:val="auto"/>
        </w:rPr>
      </w:pPr>
    </w:p>
    <w:p>
      <w:pPr>
        <w:jc w:val="both"/>
        <w:ind w:right="240"/>
        <w:spacing w:after="0" w:line="238" w:lineRule="auto"/>
        <w:rPr>
          <w:sz w:val="20"/>
          <w:szCs w:val="20"/>
          <w:color w:val="auto"/>
        </w:rPr>
      </w:pPr>
      <w:r>
        <w:rPr>
          <w:rFonts w:ascii="Arial" w:cs="Arial" w:eastAsia="Arial" w:hAnsi="Arial"/>
          <w:sz w:val="18"/>
          <w:szCs w:val="18"/>
          <w:color w:val="auto"/>
        </w:rPr>
        <w:t>As discussed in Note 1 to the consolidated financial statements, the Company changed its method of accounting for stock-based compensation, depreciation, postretirement benefits, and income tax uncertainties effective July 1, 2005; January 1, 2006; December 31, 2006 and January 1, 2007, respectively.</w:t>
      </w:r>
    </w:p>
    <w:p>
      <w:pPr>
        <w:spacing w:after="0" w:line="154"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the Company’s internal control over financial reporting as of December 31, 2007,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and our report dated February 22, 2008 expressed an unqualified opinion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4781550</wp:posOffset>
            </wp:positionH>
            <wp:positionV relativeFrom="paragraph">
              <wp:posOffset>96520</wp:posOffset>
            </wp:positionV>
            <wp:extent cx="1749425" cy="5060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74942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Dallas, Texas</w:t>
      </w:r>
    </w:p>
    <w:p>
      <w:pPr>
        <w:ind w:left="20"/>
        <w:spacing w:after="0"/>
        <w:rPr>
          <w:sz w:val="20"/>
          <w:szCs w:val="20"/>
          <w:color w:val="auto"/>
        </w:rPr>
      </w:pPr>
      <w:r>
        <w:rPr>
          <w:rFonts w:ascii="Arial" w:cs="Arial" w:eastAsia="Arial" w:hAnsi="Arial"/>
          <w:sz w:val="18"/>
          <w:szCs w:val="18"/>
          <w:color w:val="auto"/>
        </w:rPr>
        <w:t>February 22, 2008</w:t>
      </w:r>
    </w:p>
    <w:p>
      <w:pPr>
        <w:spacing w:after="0" w:line="140" w:lineRule="exact"/>
        <w:rPr>
          <w:sz w:val="20"/>
          <w:szCs w:val="20"/>
          <w:color w:val="auto"/>
        </w:rPr>
      </w:pPr>
    </w:p>
    <w:p>
      <w:pPr>
        <w:spacing w:after="0"/>
        <w:tabs>
          <w:tab w:leader="none" w:pos="8420" w:val="left"/>
        </w:tabs>
        <w:rPr>
          <w:sz w:val="20"/>
          <w:szCs w:val="20"/>
          <w:color w:val="auto"/>
        </w:rPr>
      </w:pPr>
      <w:r>
        <w:rPr>
          <w:rFonts w:ascii="Arial" w:cs="Arial" w:eastAsia="Arial" w:hAnsi="Arial"/>
          <w:sz w:val="12"/>
          <w:szCs w:val="12"/>
          <w:color w:val="auto"/>
        </w:rPr>
        <w:t>42</w:t>
      </w:r>
      <w:r>
        <w:rPr>
          <w:sz w:val="20"/>
          <w:szCs w:val="20"/>
          <w:color w:val="auto"/>
        </w:rPr>
        <w:tab/>
      </w:r>
      <w:r>
        <w:rPr>
          <w:rFonts w:ascii="Arial" w:cs="Arial" w:eastAsia="Arial" w:hAnsi="Arial"/>
          <w:sz w:val="12"/>
          <w:szCs w:val="12"/>
          <w:color w:val="auto"/>
        </w:rPr>
        <w:t>TEXAS INSTRUMENTS 2007 ANNUAL REPORT</w:t>
      </w:r>
    </w:p>
    <w:p>
      <w:pPr>
        <w:sectPr>
          <w:pgSz w:w="11900" w:h="16838" w:orient="portrait"/>
          <w:cols w:equalWidth="0" w:num="1">
            <w:col w:w="11420"/>
          </w:cols>
          <w:pgMar w:left="240" w:top="269"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REPORT BY MANAGEMENT ON INTERNAL CONTROL OVER FINANCIAL REPORTING</w:t>
      </w:r>
    </w:p>
    <w:p>
      <w:pPr>
        <w:spacing w:after="0" w:line="34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management of TI is responsible for establishing and maintaining adequate internal control over financial reporting. TI’s internal control system was designed to provide reasonable assurance regarding the reliability of financial reporting and the preparation and fair presentation of financial statements issued for external purposes in accordance with generally accepted accounting principles.</w:t>
      </w:r>
    </w:p>
    <w:p>
      <w:pPr>
        <w:spacing w:after="0" w:line="154"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All internal control systems, no matter how well designed, have inherent limitations and may not prevent or detect misstatements. Also, projections of any evaluation of effectiveness to future time periods are subject to the risk that controls may become inadequate because of changes in conditions, or that the degree of compliance with the policies or procedures may deteriorate.</w:t>
      </w:r>
    </w:p>
    <w:p>
      <w:pPr>
        <w:spacing w:after="0" w:line="15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 xml:space="preserve">TI management assessed the effectiveness of internal control over financial reporting as of December 31, 2007. In making this assessment, we used the criteria set forth by the Committee of Sponsoring Organizations of the Treadway Commission (the COSO criteria) in </w:t>
      </w:r>
      <w:r>
        <w:rPr>
          <w:rFonts w:ascii="Arial" w:cs="Arial" w:eastAsia="Arial" w:hAnsi="Arial"/>
          <w:sz w:val="18"/>
          <w:szCs w:val="18"/>
          <w:i w:val="1"/>
          <w:iCs w:val="1"/>
          <w:color w:val="auto"/>
        </w:rPr>
        <w:t>Internal Control –</w:t>
      </w:r>
      <w:r>
        <w:rPr>
          <w:rFonts w:ascii="Arial" w:cs="Arial" w:eastAsia="Arial" w:hAnsi="Arial"/>
          <w:sz w:val="18"/>
          <w:szCs w:val="18"/>
          <w:color w:val="auto"/>
        </w:rPr>
        <w:t xml:space="preserve"> </w:t>
      </w:r>
      <w:r>
        <w:rPr>
          <w:rFonts w:ascii="Arial" w:cs="Arial" w:eastAsia="Arial" w:hAnsi="Arial"/>
          <w:sz w:val="18"/>
          <w:szCs w:val="18"/>
          <w:i w:val="1"/>
          <w:iCs w:val="1"/>
          <w:color w:val="auto"/>
        </w:rPr>
        <w:t>Integrated Framework</w:t>
      </w:r>
      <w:r>
        <w:rPr>
          <w:rFonts w:ascii="Arial" w:cs="Arial" w:eastAsia="Arial" w:hAnsi="Arial"/>
          <w:sz w:val="18"/>
          <w:szCs w:val="18"/>
          <w:color w:val="auto"/>
        </w:rPr>
        <w:t>. Based on our assessment we believe that, as of December 31, 2007, our internal control over financial reporting is 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the COSO criteria.</w:t>
      </w:r>
    </w:p>
    <w:p>
      <w:pPr>
        <w:spacing w:after="0" w:line="155"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TI’s independent registered public accounting firm, Ernst &amp; Young LLP, has issued an audit report on the effectiveness of our internal control over financial reporting, which immediately follows this report.</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120" w:type="dxa"/>
            <w:vAlign w:val="bottom"/>
          </w:tcPr>
          <w:p>
            <w:pPr>
              <w:spacing w:after="0"/>
              <w:rPr>
                <w:sz w:val="20"/>
                <w:szCs w:val="20"/>
                <w:color w:val="auto"/>
              </w:rPr>
            </w:pPr>
            <w:r>
              <w:rPr>
                <w:rFonts w:ascii="Arial" w:cs="Arial" w:eastAsia="Arial" w:hAnsi="Arial"/>
                <w:sz w:val="14"/>
                <w:szCs w:val="14"/>
                <w:color w:val="auto"/>
              </w:rPr>
              <w:t>TEXAS INSTRUMENTS 2007 ANNUAL REPORT</w:t>
            </w:r>
          </w:p>
        </w:tc>
        <w:tc>
          <w:tcPr>
            <w:tcW w:w="4300" w:type="dxa"/>
            <w:vAlign w:val="bottom"/>
          </w:tcPr>
          <w:p>
            <w:pPr>
              <w:jc w:val="right"/>
              <w:spacing w:after="0"/>
              <w:rPr>
                <w:sz w:val="20"/>
                <w:szCs w:val="20"/>
                <w:color w:val="auto"/>
              </w:rPr>
            </w:pPr>
            <w:r>
              <w:rPr>
                <w:rFonts w:ascii="Arial" w:cs="Arial" w:eastAsia="Arial" w:hAnsi="Arial"/>
                <w:sz w:val="14"/>
                <w:szCs w:val="14"/>
                <w:color w:val="auto"/>
              </w:rPr>
              <w:t>43</w:t>
            </w:r>
          </w:p>
        </w:tc>
      </w:tr>
    </w:tbl>
    <w:p>
      <w:pPr>
        <w:sectPr>
          <w:pgSz w:w="11900" w:h="16838" w:orient="portrait"/>
          <w:cols w:equalWidth="0" w:num="1">
            <w:col w:w="11420"/>
          </w:cols>
          <w:pgMar w:left="240" w:top="269"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REPORT OF INDEPENDENT REGISTERED PUBLIC ACCOUNTING FIRM ON INTERNAL CONTROL OVER FINANCIAL REPORTING</w:t>
      </w:r>
    </w:p>
    <w:p>
      <w:pPr>
        <w:spacing w:after="0" w:line="33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Board of Directors</w:t>
      </w:r>
    </w:p>
    <w:p>
      <w:pPr>
        <w:ind w:left="20"/>
        <w:spacing w:after="0"/>
        <w:rPr>
          <w:sz w:val="20"/>
          <w:szCs w:val="20"/>
          <w:color w:val="auto"/>
        </w:rPr>
      </w:pPr>
      <w:r>
        <w:rPr>
          <w:rFonts w:ascii="Arial" w:cs="Arial" w:eastAsia="Arial" w:hAnsi="Arial"/>
          <w:sz w:val="18"/>
          <w:szCs w:val="18"/>
          <w:color w:val="auto"/>
        </w:rPr>
        <w:t>Texas Instruments Incorporated</w:t>
      </w:r>
    </w:p>
    <w:p>
      <w:pPr>
        <w:spacing w:after="0" w:line="158"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 xml:space="preserve">We have audited Texas Instruments Incorporated’s internal control over financial reporting as of December 31, 2007,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(the COSO criteria). Texas Instruments Incorporated’s management is responsible for maintaining effective internal control over financial reporting, and for its assessment of the effectiveness of internal control over financial reporting included in the accompanying Report By Management On Internal Control Over Financial Reporting. Our responsibility is to express an opinion on the company’s internal control over financial reporting based on our audit.</w:t>
      </w:r>
    </w:p>
    <w:p>
      <w:pPr>
        <w:spacing w:after="0" w:line="156"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56"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54"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4" w:lineRule="exact"/>
        <w:rPr>
          <w:sz w:val="20"/>
          <w:szCs w:val="20"/>
          <w:color w:val="auto"/>
        </w:rPr>
      </w:pPr>
    </w:p>
    <w:p>
      <w:pPr>
        <w:ind w:right="840"/>
        <w:spacing w:after="0" w:line="239" w:lineRule="auto"/>
        <w:rPr>
          <w:sz w:val="20"/>
          <w:szCs w:val="20"/>
          <w:color w:val="auto"/>
        </w:rPr>
      </w:pPr>
      <w:r>
        <w:rPr>
          <w:rFonts w:ascii="Arial" w:cs="Arial" w:eastAsia="Arial" w:hAnsi="Arial"/>
          <w:sz w:val="18"/>
          <w:szCs w:val="18"/>
          <w:color w:val="auto"/>
        </w:rPr>
        <w:t>In our opinion, Texas Instruments Incorporated maintained, in all material respects, effective internal control over financial reporting as of December 31, 2007, based on the COSO criteria.</w:t>
      </w:r>
    </w:p>
    <w:p>
      <w:pPr>
        <w:spacing w:after="0" w:line="155"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Texas Instruments Incorporated and subsidiaries as of December 31, 2007 and 2006, and the related consolidated statements of income, comprehensive income, stockholders’ equity, and cash flows for each of the three years in the period ended December 31, 2007 and our report dated February 22, 2008 expressed an unqualified opinion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4781550</wp:posOffset>
            </wp:positionH>
            <wp:positionV relativeFrom="paragraph">
              <wp:posOffset>96520</wp:posOffset>
            </wp:positionV>
            <wp:extent cx="1749425" cy="5060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74942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Dallas, Texas</w:t>
      </w:r>
    </w:p>
    <w:p>
      <w:pPr>
        <w:ind w:left="20"/>
        <w:spacing w:after="0"/>
        <w:rPr>
          <w:sz w:val="20"/>
          <w:szCs w:val="20"/>
          <w:color w:val="auto"/>
        </w:rPr>
      </w:pPr>
      <w:r>
        <w:rPr>
          <w:rFonts w:ascii="Arial" w:cs="Arial" w:eastAsia="Arial" w:hAnsi="Arial"/>
          <w:sz w:val="18"/>
          <w:szCs w:val="18"/>
          <w:color w:val="auto"/>
        </w:rPr>
        <w:t>February 22, 2008</w:t>
      </w:r>
    </w:p>
    <w:p>
      <w:pPr>
        <w:spacing w:after="0" w:line="140" w:lineRule="exact"/>
        <w:rPr>
          <w:sz w:val="20"/>
          <w:szCs w:val="20"/>
          <w:color w:val="auto"/>
        </w:rPr>
      </w:pPr>
    </w:p>
    <w:p>
      <w:pPr>
        <w:spacing w:after="0"/>
        <w:tabs>
          <w:tab w:leader="none" w:pos="8420" w:val="left"/>
        </w:tabs>
        <w:rPr>
          <w:sz w:val="20"/>
          <w:szCs w:val="20"/>
          <w:color w:val="auto"/>
        </w:rPr>
      </w:pPr>
      <w:r>
        <w:rPr>
          <w:rFonts w:ascii="Arial" w:cs="Arial" w:eastAsia="Arial" w:hAnsi="Arial"/>
          <w:sz w:val="12"/>
          <w:szCs w:val="12"/>
          <w:color w:val="auto"/>
        </w:rPr>
        <w:t>44</w:t>
      </w:r>
      <w:r>
        <w:rPr>
          <w:sz w:val="20"/>
          <w:szCs w:val="20"/>
          <w:color w:val="auto"/>
        </w:rPr>
        <w:tab/>
      </w:r>
      <w:r>
        <w:rPr>
          <w:rFonts w:ascii="Arial" w:cs="Arial" w:eastAsia="Arial" w:hAnsi="Arial"/>
          <w:sz w:val="12"/>
          <w:szCs w:val="12"/>
          <w:color w:val="auto"/>
        </w:rPr>
        <w:t>TEXAS INSTRUMENTS 2007 ANNUAL REPORT</w:t>
      </w:r>
    </w:p>
    <w:p>
      <w:pPr>
        <w:sectPr>
          <w:pgSz w:w="11900" w:h="16838" w:orient="portrait"/>
          <w:cols w:equalWidth="0" w:num="1">
            <w:col w:w="11420"/>
          </w:cols>
          <w:pgMar w:left="240" w:top="269"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SUMMARY OF SELECTED FINANCIAL DATA</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(Millions of dollars, except share and per-share amounts)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shd w:val="clear" w:color="auto" w:fill="E5E5E5"/>
          </w:tcPr>
          <w:p>
            <w:pPr>
              <w:spacing w:after="0"/>
              <w:rPr>
                <w:sz w:val="14"/>
                <w:szCs w:val="14"/>
                <w:color w:val="auto"/>
              </w:rPr>
            </w:pPr>
          </w:p>
        </w:tc>
        <w:tc>
          <w:tcPr>
            <w:tcW w:w="340" w:type="dxa"/>
            <w:vAlign w:val="bottom"/>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1020" w:type="dxa"/>
            <w:vAlign w:val="bottom"/>
            <w:shd w:val="clear" w:color="auto" w:fill="E5E5E5"/>
          </w:tcPr>
          <w:p>
            <w:pPr>
              <w:spacing w:after="0"/>
              <w:rPr>
                <w:sz w:val="14"/>
                <w:szCs w:val="14"/>
                <w:color w:val="auto"/>
              </w:rPr>
            </w:pPr>
          </w:p>
        </w:tc>
        <w:tc>
          <w:tcPr>
            <w:tcW w:w="320" w:type="dxa"/>
            <w:vAlign w:val="bottom"/>
            <w:shd w:val="clear" w:color="auto" w:fill="E5E5E5"/>
          </w:tcPr>
          <w:p>
            <w:pPr>
              <w:spacing w:after="0"/>
              <w:rPr>
                <w:sz w:val="14"/>
                <w:szCs w:val="14"/>
                <w:color w:val="auto"/>
              </w:rPr>
            </w:pPr>
          </w:p>
        </w:tc>
        <w:tc>
          <w:tcPr>
            <w:tcW w:w="2460" w:type="dxa"/>
            <w:vAlign w:val="bottom"/>
            <w:gridSpan w:val="4"/>
            <w:shd w:val="clear" w:color="auto" w:fill="E5E5E5"/>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940" w:type="dxa"/>
            <w:vAlign w:val="bottom"/>
            <w:shd w:val="clear" w:color="auto" w:fill="E5E5E5"/>
          </w:tcPr>
          <w:p>
            <w:pPr>
              <w:spacing w:after="0"/>
              <w:rPr>
                <w:sz w:val="14"/>
                <w:szCs w:val="14"/>
                <w:color w:val="auto"/>
              </w:rPr>
            </w:pPr>
          </w:p>
        </w:tc>
        <w:tc>
          <w:tcPr>
            <w:tcW w:w="280" w:type="dxa"/>
            <w:vAlign w:val="bottom"/>
            <w:shd w:val="clear" w:color="auto" w:fill="E5E5E5"/>
          </w:tcPr>
          <w:p>
            <w:pPr>
              <w:spacing w:after="0"/>
              <w:rPr>
                <w:sz w:val="14"/>
                <w:szCs w:val="14"/>
                <w:color w:val="auto"/>
              </w:rPr>
            </w:pPr>
          </w:p>
        </w:tc>
        <w:tc>
          <w:tcPr>
            <w:tcW w:w="780" w:type="dxa"/>
            <w:vAlign w:val="bottom"/>
            <w:shd w:val="clear" w:color="auto" w:fill="E5E5E5"/>
          </w:tcPr>
          <w:p>
            <w:pPr>
              <w:spacing w:after="0"/>
              <w:rPr>
                <w:sz w:val="14"/>
                <w:szCs w:val="14"/>
                <w:color w:val="auto"/>
              </w:rPr>
            </w:pPr>
          </w:p>
        </w:tc>
        <w:tc>
          <w:tcPr>
            <w:tcW w:w="44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74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020" w:type="dxa"/>
            <w:vAlign w:val="bottom"/>
            <w:shd w:val="clear" w:color="auto" w:fill="E5E5E5"/>
          </w:tcPr>
          <w:p>
            <w:pPr>
              <w:jc w:val="right"/>
              <w:ind w:right="352"/>
              <w:spacing w:after="0" w:line="202" w:lineRule="exact"/>
              <w:rPr>
                <w:sz w:val="20"/>
                <w:szCs w:val="20"/>
                <w:color w:val="auto"/>
              </w:rPr>
            </w:pPr>
            <w:r>
              <w:rPr>
                <w:rFonts w:ascii="Arial" w:cs="Arial" w:eastAsia="Arial" w:hAnsi="Arial"/>
                <w:sz w:val="18"/>
                <w:szCs w:val="18"/>
                <w:b w:val="1"/>
                <w:bCs w:val="1"/>
                <w:color w:val="auto"/>
              </w:rPr>
              <w:t>2007</w:t>
            </w:r>
          </w:p>
        </w:tc>
        <w:tc>
          <w:tcPr>
            <w:tcW w:w="320" w:type="dxa"/>
            <w:vAlign w:val="bottom"/>
            <w:shd w:val="clear" w:color="auto" w:fill="E5E5E5"/>
          </w:tcPr>
          <w:p>
            <w:pPr>
              <w:spacing w:after="0"/>
              <w:rPr>
                <w:sz w:val="17"/>
                <w:szCs w:val="17"/>
                <w:color w:val="auto"/>
              </w:rPr>
            </w:pPr>
          </w:p>
        </w:tc>
        <w:tc>
          <w:tcPr>
            <w:tcW w:w="940" w:type="dxa"/>
            <w:vAlign w:val="bottom"/>
            <w:shd w:val="clear" w:color="auto" w:fill="E5E5E5"/>
          </w:tcPr>
          <w:p>
            <w:pPr>
              <w:jc w:val="right"/>
              <w:ind w:right="214"/>
              <w:spacing w:after="0" w:line="202" w:lineRule="exact"/>
              <w:rPr>
                <w:sz w:val="20"/>
                <w:szCs w:val="20"/>
                <w:color w:val="auto"/>
              </w:rPr>
            </w:pPr>
            <w:r>
              <w:rPr>
                <w:rFonts w:ascii="Arial" w:cs="Arial" w:eastAsia="Arial" w:hAnsi="Arial"/>
                <w:sz w:val="18"/>
                <w:szCs w:val="18"/>
                <w:b w:val="1"/>
                <w:bCs w:val="1"/>
                <w:color w:val="auto"/>
                <w:w w:val="99"/>
              </w:rPr>
              <w:t>2006(a)</w:t>
            </w:r>
          </w:p>
        </w:tc>
        <w:tc>
          <w:tcPr>
            <w:tcW w:w="280" w:type="dxa"/>
            <w:vAlign w:val="bottom"/>
            <w:shd w:val="clear" w:color="auto" w:fill="E5E5E5"/>
          </w:tcPr>
          <w:p>
            <w:pPr>
              <w:spacing w:after="0"/>
              <w:rPr>
                <w:sz w:val="17"/>
                <w:szCs w:val="17"/>
                <w:color w:val="auto"/>
              </w:rPr>
            </w:pPr>
          </w:p>
        </w:tc>
        <w:tc>
          <w:tcPr>
            <w:tcW w:w="960" w:type="dxa"/>
            <w:vAlign w:val="bottom"/>
            <w:shd w:val="clear" w:color="auto" w:fill="E5E5E5"/>
          </w:tcPr>
          <w:p>
            <w:pPr>
              <w:jc w:val="right"/>
              <w:ind w:right="212"/>
              <w:spacing w:after="0" w:line="202" w:lineRule="exact"/>
              <w:rPr>
                <w:sz w:val="20"/>
                <w:szCs w:val="20"/>
                <w:color w:val="auto"/>
              </w:rPr>
            </w:pPr>
            <w:r>
              <w:rPr>
                <w:rFonts w:ascii="Arial" w:cs="Arial" w:eastAsia="Arial" w:hAnsi="Arial"/>
                <w:sz w:val="18"/>
                <w:szCs w:val="18"/>
                <w:b w:val="1"/>
                <w:bCs w:val="1"/>
                <w:color w:val="auto"/>
              </w:rPr>
              <w:t>2005(b)</w:t>
            </w:r>
          </w:p>
        </w:tc>
        <w:tc>
          <w:tcPr>
            <w:tcW w:w="280" w:type="dxa"/>
            <w:vAlign w:val="bottom"/>
            <w:shd w:val="clear" w:color="auto" w:fill="E5E5E5"/>
          </w:tcPr>
          <w:p>
            <w:pPr>
              <w:spacing w:after="0"/>
              <w:rPr>
                <w:sz w:val="17"/>
                <w:szCs w:val="17"/>
                <w:color w:val="auto"/>
              </w:rPr>
            </w:pPr>
          </w:p>
        </w:tc>
        <w:tc>
          <w:tcPr>
            <w:tcW w:w="940" w:type="dxa"/>
            <w:vAlign w:val="bottom"/>
            <w:shd w:val="clear" w:color="auto" w:fill="E5E5E5"/>
          </w:tcPr>
          <w:p>
            <w:pPr>
              <w:jc w:val="right"/>
              <w:ind w:right="332"/>
              <w:spacing w:after="0" w:line="202" w:lineRule="exact"/>
              <w:rPr>
                <w:sz w:val="20"/>
                <w:szCs w:val="20"/>
                <w:color w:val="auto"/>
              </w:rPr>
            </w:pPr>
            <w:r>
              <w:rPr>
                <w:rFonts w:ascii="Arial" w:cs="Arial" w:eastAsia="Arial" w:hAnsi="Arial"/>
                <w:sz w:val="18"/>
                <w:szCs w:val="18"/>
                <w:b w:val="1"/>
                <w:bCs w:val="1"/>
                <w:color w:val="auto"/>
              </w:rPr>
              <w:t>2004</w:t>
            </w:r>
          </w:p>
        </w:tc>
        <w:tc>
          <w:tcPr>
            <w:tcW w:w="280" w:type="dxa"/>
            <w:vAlign w:val="bottom"/>
            <w:shd w:val="clear" w:color="auto" w:fill="E5E5E5"/>
          </w:tcPr>
          <w:p>
            <w:pPr>
              <w:spacing w:after="0"/>
              <w:rPr>
                <w:sz w:val="17"/>
                <w:szCs w:val="17"/>
                <w:color w:val="auto"/>
              </w:rPr>
            </w:pPr>
          </w:p>
        </w:tc>
        <w:tc>
          <w:tcPr>
            <w:tcW w:w="780" w:type="dxa"/>
            <w:vAlign w:val="bottom"/>
            <w:shd w:val="clear" w:color="auto" w:fill="E5E5E5"/>
          </w:tcPr>
          <w:p>
            <w:pPr>
              <w:jc w:val="right"/>
              <w:ind w:right="152"/>
              <w:spacing w:after="0" w:line="202" w:lineRule="exact"/>
              <w:rPr>
                <w:sz w:val="20"/>
                <w:szCs w:val="20"/>
                <w:color w:val="auto"/>
              </w:rPr>
            </w:pPr>
            <w:r>
              <w:rPr>
                <w:rFonts w:ascii="Arial" w:cs="Arial" w:eastAsia="Arial" w:hAnsi="Arial"/>
                <w:sz w:val="18"/>
                <w:szCs w:val="18"/>
                <w:b w:val="1"/>
                <w:bCs w:val="1"/>
                <w:color w:val="auto"/>
              </w:rPr>
              <w:t>2003</w:t>
            </w:r>
          </w:p>
        </w:tc>
        <w:tc>
          <w:tcPr>
            <w:tcW w:w="44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tcPr>
          <w:p>
            <w:pPr>
              <w:spacing w:after="0" w:line="202" w:lineRule="exact"/>
              <w:rPr>
                <w:sz w:val="20"/>
                <w:szCs w:val="20"/>
                <w:color w:val="auto"/>
              </w:rPr>
            </w:pPr>
            <w:r>
              <w:rPr>
                <w:rFonts w:ascii="Arial" w:cs="Arial" w:eastAsia="Arial" w:hAnsi="Arial"/>
                <w:sz w:val="18"/>
                <w:szCs w:val="18"/>
                <w:color w:val="auto"/>
              </w:rPr>
              <w:t>Net revenue</w:t>
            </w:r>
          </w:p>
        </w:tc>
        <w:tc>
          <w:tcPr>
            <w:tcW w:w="44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32"/>
              <w:spacing w:after="0" w:line="202" w:lineRule="exact"/>
              <w:rPr>
                <w:sz w:val="20"/>
                <w:szCs w:val="20"/>
                <w:color w:val="auto"/>
              </w:rPr>
            </w:pPr>
            <w:r>
              <w:rPr>
                <w:rFonts w:ascii="Arial" w:cs="Arial" w:eastAsia="Arial" w:hAnsi="Arial"/>
                <w:sz w:val="18"/>
                <w:szCs w:val="18"/>
                <w:b w:val="1"/>
                <w:bCs w:val="1"/>
                <w:color w:val="auto"/>
              </w:rPr>
              <w:t>13,835</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74"/>
              <w:spacing w:after="0" w:line="202" w:lineRule="exact"/>
              <w:rPr>
                <w:sz w:val="20"/>
                <w:szCs w:val="20"/>
                <w:color w:val="auto"/>
              </w:rPr>
            </w:pPr>
            <w:r>
              <w:rPr>
                <w:rFonts w:ascii="Arial" w:cs="Arial" w:eastAsia="Arial" w:hAnsi="Arial"/>
                <w:sz w:val="18"/>
                <w:szCs w:val="18"/>
                <w:color w:val="auto"/>
              </w:rPr>
              <w:t>14,255</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92"/>
              <w:spacing w:after="0" w:line="202" w:lineRule="exact"/>
              <w:rPr>
                <w:sz w:val="20"/>
                <w:szCs w:val="20"/>
                <w:color w:val="auto"/>
              </w:rPr>
            </w:pPr>
            <w:r>
              <w:rPr>
                <w:rFonts w:ascii="Arial" w:cs="Arial" w:eastAsia="Arial" w:hAnsi="Arial"/>
                <w:sz w:val="18"/>
                <w:szCs w:val="18"/>
                <w:color w:val="auto"/>
              </w:rPr>
              <w:t>12,335</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72"/>
              <w:spacing w:after="0" w:line="202" w:lineRule="exact"/>
              <w:rPr>
                <w:sz w:val="20"/>
                <w:szCs w:val="20"/>
                <w:color w:val="auto"/>
              </w:rPr>
            </w:pPr>
            <w:r>
              <w:rPr>
                <w:rFonts w:ascii="Arial" w:cs="Arial" w:eastAsia="Arial" w:hAnsi="Arial"/>
                <w:sz w:val="18"/>
                <w:szCs w:val="18"/>
                <w:color w:val="auto"/>
              </w:rPr>
              <w:t>11,552</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8,911</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Operating costs and expenses</w:t>
            </w:r>
          </w:p>
        </w:tc>
        <w:tc>
          <w:tcPr>
            <w:tcW w:w="340" w:type="dxa"/>
            <w:vAlign w:val="bottom"/>
            <w:shd w:val="clear" w:color="auto" w:fill="E5E5E5"/>
          </w:tcPr>
          <w:p>
            <w:pPr>
              <w:spacing w:after="0"/>
              <w:rPr>
                <w:sz w:val="17"/>
                <w:szCs w:val="17"/>
                <w:color w:val="auto"/>
              </w:rPr>
            </w:pPr>
          </w:p>
        </w:tc>
        <w:tc>
          <w:tcPr>
            <w:tcW w:w="100" w:type="dxa"/>
            <w:vAlign w:val="bottom"/>
            <w:tcBorders>
              <w:bottom w:val="single" w:sz="8" w:color="auto"/>
            </w:tcBorders>
            <w:shd w:val="clear" w:color="auto" w:fill="E5E5E5"/>
          </w:tcPr>
          <w:p>
            <w:pPr>
              <w:spacing w:after="0"/>
              <w:rPr>
                <w:sz w:val="17"/>
                <w:szCs w:val="17"/>
                <w:color w:val="auto"/>
              </w:rPr>
            </w:pPr>
          </w:p>
        </w:tc>
        <w:tc>
          <w:tcPr>
            <w:tcW w:w="1020" w:type="dxa"/>
            <w:vAlign w:val="bottom"/>
            <w:tcBorders>
              <w:bottom w:val="single" w:sz="8" w:color="auto"/>
            </w:tcBorders>
            <w:shd w:val="clear" w:color="auto" w:fill="E5E5E5"/>
          </w:tcPr>
          <w:p>
            <w:pPr>
              <w:jc w:val="right"/>
              <w:ind w:right="132"/>
              <w:spacing w:after="0" w:line="202" w:lineRule="exact"/>
              <w:rPr>
                <w:sz w:val="20"/>
                <w:szCs w:val="20"/>
                <w:color w:val="auto"/>
              </w:rPr>
            </w:pPr>
            <w:r>
              <w:rPr>
                <w:rFonts w:ascii="Arial" w:cs="Arial" w:eastAsia="Arial" w:hAnsi="Arial"/>
                <w:sz w:val="18"/>
                <w:szCs w:val="18"/>
                <w:b w:val="1"/>
                <w:bCs w:val="1"/>
                <w:color w:val="auto"/>
              </w:rPr>
              <w:t>10,338</w:t>
            </w:r>
          </w:p>
        </w:tc>
        <w:tc>
          <w:tcPr>
            <w:tcW w:w="320" w:type="dxa"/>
            <w:vAlign w:val="bottom"/>
            <w:tcBorders>
              <w:bottom w:val="single" w:sz="8" w:color="auto"/>
            </w:tcBorders>
            <w:shd w:val="clear" w:color="auto" w:fill="E5E5E5"/>
          </w:tcPr>
          <w:p>
            <w:pPr>
              <w:spacing w:after="0"/>
              <w:rPr>
                <w:sz w:val="17"/>
                <w:szCs w:val="17"/>
                <w:color w:val="auto"/>
              </w:rPr>
            </w:pPr>
          </w:p>
        </w:tc>
        <w:tc>
          <w:tcPr>
            <w:tcW w:w="940" w:type="dxa"/>
            <w:vAlign w:val="bottom"/>
            <w:tcBorders>
              <w:bottom w:val="single" w:sz="8" w:color="auto"/>
            </w:tcBorders>
            <w:shd w:val="clear" w:color="auto" w:fill="E5E5E5"/>
          </w:tcPr>
          <w:p>
            <w:pPr>
              <w:jc w:val="right"/>
              <w:ind w:right="74"/>
              <w:spacing w:after="0" w:line="202" w:lineRule="exact"/>
              <w:rPr>
                <w:sz w:val="20"/>
                <w:szCs w:val="20"/>
                <w:color w:val="auto"/>
              </w:rPr>
            </w:pPr>
            <w:r>
              <w:rPr>
                <w:rFonts w:ascii="Arial" w:cs="Arial" w:eastAsia="Arial" w:hAnsi="Arial"/>
                <w:sz w:val="18"/>
                <w:szCs w:val="18"/>
                <w:color w:val="auto"/>
              </w:rPr>
              <w:t>10,888</w:t>
            </w:r>
          </w:p>
        </w:tc>
        <w:tc>
          <w:tcPr>
            <w:tcW w:w="280" w:type="dxa"/>
            <w:vAlign w:val="bottom"/>
            <w:tcBorders>
              <w:bottom w:val="single" w:sz="8" w:color="auto"/>
            </w:tcBorders>
            <w:shd w:val="clear" w:color="auto" w:fill="E5E5E5"/>
          </w:tcPr>
          <w:p>
            <w:pPr>
              <w:spacing w:after="0"/>
              <w:rPr>
                <w:sz w:val="17"/>
                <w:szCs w:val="17"/>
                <w:color w:val="auto"/>
              </w:rPr>
            </w:pPr>
          </w:p>
        </w:tc>
        <w:tc>
          <w:tcPr>
            <w:tcW w:w="960" w:type="dxa"/>
            <w:vAlign w:val="bottom"/>
            <w:tcBorders>
              <w:bottom w:val="single" w:sz="8" w:color="auto"/>
            </w:tcBorders>
            <w:shd w:val="clear" w:color="auto" w:fill="E5E5E5"/>
          </w:tcPr>
          <w:p>
            <w:pPr>
              <w:jc w:val="right"/>
              <w:ind w:right="92"/>
              <w:spacing w:after="0" w:line="202" w:lineRule="exact"/>
              <w:rPr>
                <w:sz w:val="20"/>
                <w:szCs w:val="20"/>
                <w:color w:val="auto"/>
              </w:rPr>
            </w:pPr>
            <w:r>
              <w:rPr>
                <w:rFonts w:ascii="Arial" w:cs="Arial" w:eastAsia="Arial" w:hAnsi="Arial"/>
                <w:sz w:val="18"/>
                <w:szCs w:val="18"/>
                <w:color w:val="auto"/>
              </w:rPr>
              <w:t>9,776</w:t>
            </w:r>
          </w:p>
        </w:tc>
        <w:tc>
          <w:tcPr>
            <w:tcW w:w="280" w:type="dxa"/>
            <w:vAlign w:val="bottom"/>
            <w:tcBorders>
              <w:bottom w:val="single" w:sz="8" w:color="auto"/>
            </w:tcBorders>
            <w:shd w:val="clear" w:color="auto" w:fill="E5E5E5"/>
          </w:tcPr>
          <w:p>
            <w:pPr>
              <w:spacing w:after="0"/>
              <w:rPr>
                <w:sz w:val="17"/>
                <w:szCs w:val="17"/>
                <w:color w:val="auto"/>
              </w:rPr>
            </w:pPr>
          </w:p>
        </w:tc>
        <w:tc>
          <w:tcPr>
            <w:tcW w:w="940" w:type="dxa"/>
            <w:vAlign w:val="bottom"/>
            <w:tcBorders>
              <w:bottom w:val="single" w:sz="8" w:color="auto"/>
            </w:tcBorders>
            <w:shd w:val="clear" w:color="auto" w:fill="E5E5E5"/>
          </w:tcPr>
          <w:p>
            <w:pPr>
              <w:jc w:val="right"/>
              <w:ind w:right="72"/>
              <w:spacing w:after="0" w:line="202" w:lineRule="exact"/>
              <w:rPr>
                <w:sz w:val="20"/>
                <w:szCs w:val="20"/>
                <w:color w:val="auto"/>
              </w:rPr>
            </w:pPr>
            <w:r>
              <w:rPr>
                <w:rFonts w:ascii="Arial" w:cs="Arial" w:eastAsia="Arial" w:hAnsi="Arial"/>
                <w:sz w:val="18"/>
                <w:szCs w:val="18"/>
                <w:color w:val="auto"/>
              </w:rPr>
              <w:t>9,592</w:t>
            </w:r>
          </w:p>
        </w:tc>
        <w:tc>
          <w:tcPr>
            <w:tcW w:w="280" w:type="dxa"/>
            <w:vAlign w:val="bottom"/>
            <w:tcBorders>
              <w:bottom w:val="single" w:sz="8" w:color="auto"/>
            </w:tcBorders>
            <w:shd w:val="clear" w:color="auto" w:fill="E5E5E5"/>
          </w:tcPr>
          <w:p>
            <w:pPr>
              <w:spacing w:after="0"/>
              <w:rPr>
                <w:sz w:val="17"/>
                <w:szCs w:val="17"/>
                <w:color w:val="auto"/>
              </w:rPr>
            </w:pPr>
          </w:p>
        </w:tc>
        <w:tc>
          <w:tcPr>
            <w:tcW w:w="780" w:type="dxa"/>
            <w:vAlign w:val="bottom"/>
            <w:tcBorders>
              <w:bottom w:val="single" w:sz="8" w:color="auto"/>
            </w:tcBorders>
            <w:shd w:val="clear" w:color="auto" w:fill="E5E5E5"/>
          </w:tcPr>
          <w:p>
            <w:pPr>
              <w:jc w:val="right"/>
              <w:spacing w:after="0" w:line="202" w:lineRule="exact"/>
              <w:rPr>
                <w:sz w:val="20"/>
                <w:szCs w:val="20"/>
                <w:color w:val="auto"/>
              </w:rPr>
            </w:pPr>
            <w:r>
              <w:rPr>
                <w:rFonts w:ascii="Arial" w:cs="Arial" w:eastAsia="Arial" w:hAnsi="Arial"/>
                <w:sz w:val="18"/>
                <w:szCs w:val="18"/>
                <w:color w:val="auto"/>
              </w:rPr>
              <w:t>8,146</w:t>
            </w:r>
          </w:p>
        </w:tc>
        <w:tc>
          <w:tcPr>
            <w:tcW w:w="44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740" w:type="dxa"/>
            <w:vAlign w:val="bottom"/>
          </w:tcPr>
          <w:p>
            <w:pPr>
              <w:spacing w:after="0"/>
              <w:rPr>
                <w:sz w:val="20"/>
                <w:szCs w:val="20"/>
                <w:color w:val="auto"/>
              </w:rPr>
            </w:pPr>
            <w:r>
              <w:rPr>
                <w:rFonts w:ascii="Arial" w:cs="Arial" w:eastAsia="Arial" w:hAnsi="Arial"/>
                <w:sz w:val="18"/>
                <w:szCs w:val="18"/>
                <w:color w:val="auto"/>
              </w:rPr>
              <w:t>Profit from operations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32"/>
              <w:spacing w:after="0"/>
              <w:rPr>
                <w:sz w:val="20"/>
                <w:szCs w:val="20"/>
                <w:color w:val="auto"/>
              </w:rPr>
            </w:pPr>
            <w:r>
              <w:rPr>
                <w:rFonts w:ascii="Arial" w:cs="Arial" w:eastAsia="Arial" w:hAnsi="Arial"/>
                <w:sz w:val="18"/>
                <w:szCs w:val="18"/>
                <w:b w:val="1"/>
                <w:bCs w:val="1"/>
                <w:color w:val="auto"/>
              </w:rPr>
              <w:t>3,497</w:t>
            </w:r>
          </w:p>
        </w:tc>
        <w:tc>
          <w:tcPr>
            <w:tcW w:w="320" w:type="dxa"/>
            <w:vAlign w:val="bottom"/>
          </w:tcPr>
          <w:p>
            <w:pPr>
              <w:spacing w:after="0"/>
              <w:rPr>
                <w:sz w:val="18"/>
                <w:szCs w:val="18"/>
                <w:color w:val="auto"/>
              </w:rPr>
            </w:pPr>
          </w:p>
        </w:tc>
        <w:tc>
          <w:tcPr>
            <w:tcW w:w="940" w:type="dxa"/>
            <w:vAlign w:val="bottom"/>
          </w:tcPr>
          <w:p>
            <w:pPr>
              <w:jc w:val="right"/>
              <w:ind w:right="74"/>
              <w:spacing w:after="0"/>
              <w:rPr>
                <w:sz w:val="20"/>
                <w:szCs w:val="20"/>
                <w:color w:val="auto"/>
              </w:rPr>
            </w:pPr>
            <w:r>
              <w:rPr>
                <w:rFonts w:ascii="Arial" w:cs="Arial" w:eastAsia="Arial" w:hAnsi="Arial"/>
                <w:sz w:val="18"/>
                <w:szCs w:val="18"/>
                <w:color w:val="auto"/>
              </w:rPr>
              <w:t>3,367</w:t>
            </w:r>
          </w:p>
        </w:tc>
        <w:tc>
          <w:tcPr>
            <w:tcW w:w="280" w:type="dxa"/>
            <w:vAlign w:val="bottom"/>
          </w:tcPr>
          <w:p>
            <w:pPr>
              <w:spacing w:after="0"/>
              <w:rPr>
                <w:sz w:val="18"/>
                <w:szCs w:val="18"/>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2,559</w:t>
            </w:r>
          </w:p>
        </w:tc>
        <w:tc>
          <w:tcPr>
            <w:tcW w:w="280" w:type="dxa"/>
            <w:vAlign w:val="bottom"/>
          </w:tcPr>
          <w:p>
            <w:pPr>
              <w:spacing w:after="0"/>
              <w:rPr>
                <w:sz w:val="18"/>
                <w:szCs w:val="18"/>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1,960</w:t>
            </w: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765</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7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Other income (expense) net</w:t>
            </w:r>
          </w:p>
        </w:tc>
        <w:tc>
          <w:tcPr>
            <w:tcW w:w="340" w:type="dxa"/>
            <w:vAlign w:val="bottom"/>
            <w:shd w:val="clear" w:color="auto" w:fill="E5E5E5"/>
          </w:tcPr>
          <w:p>
            <w:pPr>
              <w:spacing w:after="0"/>
              <w:rPr>
                <w:sz w:val="17"/>
                <w:szCs w:val="17"/>
                <w:color w:val="auto"/>
              </w:rPr>
            </w:pPr>
          </w:p>
        </w:tc>
        <w:tc>
          <w:tcPr>
            <w:tcW w:w="100" w:type="dxa"/>
            <w:vAlign w:val="bottom"/>
            <w:tcBorders>
              <w:bottom w:val="single" w:sz="8" w:color="auto"/>
            </w:tcBorders>
            <w:shd w:val="clear" w:color="auto" w:fill="E5E5E5"/>
          </w:tcPr>
          <w:p>
            <w:pPr>
              <w:spacing w:after="0"/>
              <w:rPr>
                <w:sz w:val="17"/>
                <w:szCs w:val="17"/>
                <w:color w:val="auto"/>
              </w:rPr>
            </w:pPr>
          </w:p>
        </w:tc>
        <w:tc>
          <w:tcPr>
            <w:tcW w:w="1020" w:type="dxa"/>
            <w:vAlign w:val="bottom"/>
            <w:tcBorders>
              <w:bottom w:val="single" w:sz="8" w:color="auto"/>
            </w:tcBorders>
            <w:shd w:val="clear" w:color="auto" w:fill="E5E5E5"/>
          </w:tcPr>
          <w:p>
            <w:pPr>
              <w:jc w:val="right"/>
              <w:ind w:right="132"/>
              <w:spacing w:after="0" w:line="202" w:lineRule="exact"/>
              <w:rPr>
                <w:sz w:val="20"/>
                <w:szCs w:val="20"/>
                <w:color w:val="auto"/>
              </w:rPr>
            </w:pPr>
            <w:r>
              <w:rPr>
                <w:rFonts w:ascii="Arial" w:cs="Arial" w:eastAsia="Arial" w:hAnsi="Arial"/>
                <w:sz w:val="18"/>
                <w:szCs w:val="18"/>
                <w:b w:val="1"/>
                <w:bCs w:val="1"/>
                <w:color w:val="auto"/>
              </w:rPr>
              <w:t>195</w:t>
            </w:r>
          </w:p>
        </w:tc>
        <w:tc>
          <w:tcPr>
            <w:tcW w:w="320" w:type="dxa"/>
            <w:vAlign w:val="bottom"/>
            <w:tcBorders>
              <w:bottom w:val="single" w:sz="8" w:color="auto"/>
            </w:tcBorders>
            <w:shd w:val="clear" w:color="auto" w:fill="E5E5E5"/>
          </w:tcPr>
          <w:p>
            <w:pPr>
              <w:spacing w:after="0"/>
              <w:rPr>
                <w:sz w:val="17"/>
                <w:szCs w:val="17"/>
                <w:color w:val="auto"/>
              </w:rPr>
            </w:pPr>
          </w:p>
        </w:tc>
        <w:tc>
          <w:tcPr>
            <w:tcW w:w="940" w:type="dxa"/>
            <w:vAlign w:val="bottom"/>
            <w:tcBorders>
              <w:bottom w:val="single" w:sz="8" w:color="auto"/>
            </w:tcBorders>
            <w:shd w:val="clear" w:color="auto" w:fill="E5E5E5"/>
          </w:tcPr>
          <w:p>
            <w:pPr>
              <w:jc w:val="right"/>
              <w:ind w:right="74"/>
              <w:spacing w:after="0" w:line="202" w:lineRule="exact"/>
              <w:rPr>
                <w:sz w:val="20"/>
                <w:szCs w:val="20"/>
                <w:color w:val="auto"/>
              </w:rPr>
            </w:pPr>
            <w:r>
              <w:rPr>
                <w:rFonts w:ascii="Arial" w:cs="Arial" w:eastAsia="Arial" w:hAnsi="Arial"/>
                <w:sz w:val="18"/>
                <w:szCs w:val="18"/>
                <w:color w:val="auto"/>
              </w:rPr>
              <w:t>258</w:t>
            </w:r>
          </w:p>
        </w:tc>
        <w:tc>
          <w:tcPr>
            <w:tcW w:w="280" w:type="dxa"/>
            <w:vAlign w:val="bottom"/>
            <w:tcBorders>
              <w:bottom w:val="single" w:sz="8" w:color="auto"/>
            </w:tcBorders>
            <w:shd w:val="clear" w:color="auto" w:fill="E5E5E5"/>
          </w:tcPr>
          <w:p>
            <w:pPr>
              <w:spacing w:after="0"/>
              <w:rPr>
                <w:sz w:val="17"/>
                <w:szCs w:val="17"/>
                <w:color w:val="auto"/>
              </w:rPr>
            </w:pPr>
          </w:p>
        </w:tc>
        <w:tc>
          <w:tcPr>
            <w:tcW w:w="960" w:type="dxa"/>
            <w:vAlign w:val="bottom"/>
            <w:tcBorders>
              <w:bottom w:val="single" w:sz="8" w:color="auto"/>
            </w:tcBorders>
            <w:shd w:val="clear" w:color="auto" w:fill="E5E5E5"/>
          </w:tcPr>
          <w:p>
            <w:pPr>
              <w:jc w:val="right"/>
              <w:ind w:right="92"/>
              <w:spacing w:after="0" w:line="202" w:lineRule="exact"/>
              <w:rPr>
                <w:sz w:val="20"/>
                <w:szCs w:val="20"/>
                <w:color w:val="auto"/>
              </w:rPr>
            </w:pPr>
            <w:r>
              <w:rPr>
                <w:rFonts w:ascii="Arial" w:cs="Arial" w:eastAsia="Arial" w:hAnsi="Arial"/>
                <w:sz w:val="18"/>
                <w:szCs w:val="18"/>
                <w:color w:val="auto"/>
              </w:rPr>
              <w:t>196</w:t>
            </w:r>
          </w:p>
        </w:tc>
        <w:tc>
          <w:tcPr>
            <w:tcW w:w="280" w:type="dxa"/>
            <w:vAlign w:val="bottom"/>
            <w:tcBorders>
              <w:bottom w:val="single" w:sz="8" w:color="auto"/>
            </w:tcBorders>
            <w:shd w:val="clear" w:color="auto" w:fill="E5E5E5"/>
          </w:tcPr>
          <w:p>
            <w:pPr>
              <w:spacing w:after="0"/>
              <w:rPr>
                <w:sz w:val="17"/>
                <w:szCs w:val="17"/>
                <w:color w:val="auto"/>
              </w:rPr>
            </w:pPr>
          </w:p>
        </w:tc>
        <w:tc>
          <w:tcPr>
            <w:tcW w:w="940" w:type="dxa"/>
            <w:vAlign w:val="bottom"/>
            <w:tcBorders>
              <w:bottom w:val="single" w:sz="8" w:color="auto"/>
            </w:tcBorders>
            <w:shd w:val="clear" w:color="auto" w:fill="E5E5E5"/>
          </w:tcPr>
          <w:p>
            <w:pPr>
              <w:jc w:val="right"/>
              <w:ind w:right="72"/>
              <w:spacing w:after="0" w:line="202" w:lineRule="exact"/>
              <w:rPr>
                <w:sz w:val="20"/>
                <w:szCs w:val="20"/>
                <w:color w:val="auto"/>
              </w:rPr>
            </w:pPr>
            <w:r>
              <w:rPr>
                <w:rFonts w:ascii="Arial" w:cs="Arial" w:eastAsia="Arial" w:hAnsi="Arial"/>
                <w:sz w:val="18"/>
                <w:szCs w:val="18"/>
                <w:color w:val="auto"/>
              </w:rPr>
              <w:t>212</w:t>
            </w:r>
          </w:p>
        </w:tc>
        <w:tc>
          <w:tcPr>
            <w:tcW w:w="280" w:type="dxa"/>
            <w:vAlign w:val="bottom"/>
            <w:tcBorders>
              <w:bottom w:val="single" w:sz="8" w:color="auto"/>
            </w:tcBorders>
            <w:shd w:val="clear" w:color="auto" w:fill="E5E5E5"/>
          </w:tcPr>
          <w:p>
            <w:pPr>
              <w:spacing w:after="0"/>
              <w:rPr>
                <w:sz w:val="17"/>
                <w:szCs w:val="17"/>
                <w:color w:val="auto"/>
              </w:rPr>
            </w:pPr>
          </w:p>
        </w:tc>
        <w:tc>
          <w:tcPr>
            <w:tcW w:w="780" w:type="dxa"/>
            <w:vAlign w:val="bottom"/>
            <w:tcBorders>
              <w:bottom w:val="single" w:sz="8" w:color="auto"/>
            </w:tcBorders>
            <w:shd w:val="clear" w:color="auto" w:fill="E5E5E5"/>
          </w:tcPr>
          <w:p>
            <w:pPr>
              <w:jc w:val="right"/>
              <w:spacing w:after="0" w:line="202" w:lineRule="exact"/>
              <w:rPr>
                <w:sz w:val="20"/>
                <w:szCs w:val="20"/>
                <w:color w:val="auto"/>
              </w:rPr>
            </w:pPr>
            <w:r>
              <w:rPr>
                <w:rFonts w:ascii="Arial" w:cs="Arial" w:eastAsia="Arial" w:hAnsi="Arial"/>
                <w:sz w:val="18"/>
                <w:szCs w:val="18"/>
                <w:color w:val="auto"/>
              </w:rPr>
              <w:t>285</w:t>
            </w:r>
          </w:p>
        </w:tc>
        <w:tc>
          <w:tcPr>
            <w:tcW w:w="44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740" w:type="dxa"/>
            <w:vAlign w:val="bottom"/>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32"/>
              <w:spacing w:after="0"/>
              <w:rPr>
                <w:sz w:val="20"/>
                <w:szCs w:val="20"/>
                <w:color w:val="auto"/>
              </w:rPr>
            </w:pPr>
            <w:r>
              <w:rPr>
                <w:rFonts w:ascii="Arial" w:cs="Arial" w:eastAsia="Arial" w:hAnsi="Arial"/>
                <w:sz w:val="18"/>
                <w:szCs w:val="18"/>
                <w:b w:val="1"/>
                <w:bCs w:val="1"/>
                <w:color w:val="auto"/>
              </w:rPr>
              <w:t>3,692</w:t>
            </w:r>
          </w:p>
        </w:tc>
        <w:tc>
          <w:tcPr>
            <w:tcW w:w="320" w:type="dxa"/>
            <w:vAlign w:val="bottom"/>
          </w:tcPr>
          <w:p>
            <w:pPr>
              <w:spacing w:after="0"/>
              <w:rPr>
                <w:sz w:val="18"/>
                <w:szCs w:val="18"/>
                <w:color w:val="auto"/>
              </w:rPr>
            </w:pPr>
          </w:p>
        </w:tc>
        <w:tc>
          <w:tcPr>
            <w:tcW w:w="940" w:type="dxa"/>
            <w:vAlign w:val="bottom"/>
          </w:tcPr>
          <w:p>
            <w:pPr>
              <w:jc w:val="right"/>
              <w:ind w:right="74"/>
              <w:spacing w:after="0"/>
              <w:rPr>
                <w:sz w:val="20"/>
                <w:szCs w:val="20"/>
                <w:color w:val="auto"/>
              </w:rPr>
            </w:pPr>
            <w:r>
              <w:rPr>
                <w:rFonts w:ascii="Arial" w:cs="Arial" w:eastAsia="Arial" w:hAnsi="Arial"/>
                <w:sz w:val="18"/>
                <w:szCs w:val="18"/>
                <w:color w:val="auto"/>
              </w:rPr>
              <w:t>3,625</w:t>
            </w:r>
          </w:p>
        </w:tc>
        <w:tc>
          <w:tcPr>
            <w:tcW w:w="280" w:type="dxa"/>
            <w:vAlign w:val="bottom"/>
          </w:tcPr>
          <w:p>
            <w:pPr>
              <w:spacing w:after="0"/>
              <w:rPr>
                <w:sz w:val="18"/>
                <w:szCs w:val="18"/>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2,755</w:t>
            </w:r>
          </w:p>
        </w:tc>
        <w:tc>
          <w:tcPr>
            <w:tcW w:w="280" w:type="dxa"/>
            <w:vAlign w:val="bottom"/>
          </w:tcPr>
          <w:p>
            <w:pPr>
              <w:spacing w:after="0"/>
              <w:rPr>
                <w:sz w:val="18"/>
                <w:szCs w:val="18"/>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2,172</w:t>
            </w: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1,050</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7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Provision (benefit) for income taxes</w:t>
            </w:r>
          </w:p>
        </w:tc>
        <w:tc>
          <w:tcPr>
            <w:tcW w:w="34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020" w:type="dxa"/>
            <w:vAlign w:val="bottom"/>
            <w:shd w:val="clear" w:color="auto" w:fill="E5E5E5"/>
          </w:tcPr>
          <w:p>
            <w:pPr>
              <w:jc w:val="right"/>
              <w:ind w:right="132"/>
              <w:spacing w:after="0" w:line="202" w:lineRule="exact"/>
              <w:rPr>
                <w:sz w:val="20"/>
                <w:szCs w:val="20"/>
                <w:color w:val="auto"/>
              </w:rPr>
            </w:pPr>
            <w:r>
              <w:rPr>
                <w:rFonts w:ascii="Arial" w:cs="Arial" w:eastAsia="Arial" w:hAnsi="Arial"/>
                <w:sz w:val="18"/>
                <w:szCs w:val="18"/>
                <w:b w:val="1"/>
                <w:bCs w:val="1"/>
                <w:color w:val="auto"/>
              </w:rPr>
              <w:t>1,051</w:t>
            </w:r>
          </w:p>
        </w:tc>
        <w:tc>
          <w:tcPr>
            <w:tcW w:w="320" w:type="dxa"/>
            <w:vAlign w:val="bottom"/>
            <w:shd w:val="clear" w:color="auto" w:fill="E5E5E5"/>
          </w:tcPr>
          <w:p>
            <w:pPr>
              <w:spacing w:after="0"/>
              <w:rPr>
                <w:sz w:val="17"/>
                <w:szCs w:val="17"/>
                <w:color w:val="auto"/>
              </w:rPr>
            </w:pPr>
          </w:p>
        </w:tc>
        <w:tc>
          <w:tcPr>
            <w:tcW w:w="940" w:type="dxa"/>
            <w:vAlign w:val="bottom"/>
            <w:shd w:val="clear" w:color="auto" w:fill="E5E5E5"/>
          </w:tcPr>
          <w:p>
            <w:pPr>
              <w:jc w:val="right"/>
              <w:ind w:right="74"/>
              <w:spacing w:after="0" w:line="202" w:lineRule="exact"/>
              <w:rPr>
                <w:sz w:val="20"/>
                <w:szCs w:val="20"/>
                <w:color w:val="auto"/>
              </w:rPr>
            </w:pPr>
            <w:r>
              <w:rPr>
                <w:rFonts w:ascii="Arial" w:cs="Arial" w:eastAsia="Arial" w:hAnsi="Arial"/>
                <w:sz w:val="18"/>
                <w:szCs w:val="18"/>
                <w:color w:val="auto"/>
              </w:rPr>
              <w:t>987</w:t>
            </w:r>
          </w:p>
        </w:tc>
        <w:tc>
          <w:tcPr>
            <w:tcW w:w="280" w:type="dxa"/>
            <w:vAlign w:val="bottom"/>
            <w:shd w:val="clear" w:color="auto" w:fill="E5E5E5"/>
          </w:tcPr>
          <w:p>
            <w:pPr>
              <w:spacing w:after="0"/>
              <w:rPr>
                <w:sz w:val="17"/>
                <w:szCs w:val="17"/>
                <w:color w:val="auto"/>
              </w:rPr>
            </w:pPr>
          </w:p>
        </w:tc>
        <w:tc>
          <w:tcPr>
            <w:tcW w:w="960" w:type="dxa"/>
            <w:vAlign w:val="bottom"/>
            <w:shd w:val="clear" w:color="auto" w:fill="E5E5E5"/>
          </w:tcPr>
          <w:p>
            <w:pPr>
              <w:jc w:val="right"/>
              <w:ind w:right="92"/>
              <w:spacing w:after="0" w:line="202" w:lineRule="exact"/>
              <w:rPr>
                <w:sz w:val="20"/>
                <w:szCs w:val="20"/>
                <w:color w:val="auto"/>
              </w:rPr>
            </w:pPr>
            <w:r>
              <w:rPr>
                <w:rFonts w:ascii="Arial" w:cs="Arial" w:eastAsia="Arial" w:hAnsi="Arial"/>
                <w:sz w:val="18"/>
                <w:szCs w:val="18"/>
                <w:color w:val="auto"/>
              </w:rPr>
              <w:t>582</w:t>
            </w:r>
          </w:p>
        </w:tc>
        <w:tc>
          <w:tcPr>
            <w:tcW w:w="280" w:type="dxa"/>
            <w:vAlign w:val="bottom"/>
            <w:shd w:val="clear" w:color="auto" w:fill="E5E5E5"/>
          </w:tcPr>
          <w:p>
            <w:pPr>
              <w:spacing w:after="0"/>
              <w:rPr>
                <w:sz w:val="17"/>
                <w:szCs w:val="17"/>
                <w:color w:val="auto"/>
              </w:rPr>
            </w:pPr>
          </w:p>
        </w:tc>
        <w:tc>
          <w:tcPr>
            <w:tcW w:w="940" w:type="dxa"/>
            <w:vAlign w:val="bottom"/>
            <w:shd w:val="clear" w:color="auto" w:fill="E5E5E5"/>
          </w:tcPr>
          <w:p>
            <w:pPr>
              <w:jc w:val="right"/>
              <w:ind w:right="72"/>
              <w:spacing w:after="0" w:line="202" w:lineRule="exact"/>
              <w:rPr>
                <w:sz w:val="20"/>
                <w:szCs w:val="20"/>
                <w:color w:val="auto"/>
              </w:rPr>
            </w:pPr>
            <w:r>
              <w:rPr>
                <w:rFonts w:ascii="Arial" w:cs="Arial" w:eastAsia="Arial" w:hAnsi="Arial"/>
                <w:sz w:val="18"/>
                <w:szCs w:val="18"/>
                <w:color w:val="auto"/>
              </w:rPr>
              <w:t>481</w:t>
            </w:r>
          </w:p>
        </w:tc>
        <w:tc>
          <w:tcPr>
            <w:tcW w:w="280" w:type="dxa"/>
            <w:vAlign w:val="bottom"/>
            <w:shd w:val="clear" w:color="auto" w:fill="E5E5E5"/>
          </w:tcPr>
          <w:p>
            <w:pPr>
              <w:spacing w:after="0"/>
              <w:rPr>
                <w:sz w:val="17"/>
                <w:szCs w:val="17"/>
                <w:color w:val="auto"/>
              </w:rPr>
            </w:pPr>
          </w:p>
        </w:tc>
        <w:tc>
          <w:tcPr>
            <w:tcW w:w="1220" w:type="dxa"/>
            <w:vAlign w:val="bottom"/>
            <w:gridSpan w:val="2"/>
            <w:shd w:val="clear" w:color="auto" w:fill="E5E5E5"/>
          </w:tcPr>
          <w:p>
            <w:pPr>
              <w:jc w:val="right"/>
              <w:ind w:right="380"/>
              <w:spacing w:after="0" w:line="202"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7"/>
        </w:trPr>
        <w:tc>
          <w:tcPr>
            <w:tcW w:w="474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3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2,641</w:t>
            </w:r>
          </w:p>
        </w:tc>
        <w:tc>
          <w:tcPr>
            <w:tcW w:w="3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2,638</w:t>
            </w: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rPr>
              <w:t>2,173</w:t>
            </w: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1,691</w:t>
            </w:r>
          </w:p>
        </w:tc>
        <w:tc>
          <w:tcPr>
            <w:tcW w:w="2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1,065</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7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Income from discontinued operations, net of income taxes</w:t>
            </w:r>
          </w:p>
        </w:tc>
        <w:tc>
          <w:tcPr>
            <w:tcW w:w="340" w:type="dxa"/>
            <w:vAlign w:val="bottom"/>
            <w:shd w:val="clear" w:color="auto" w:fill="E5E5E5"/>
          </w:tcPr>
          <w:p>
            <w:pPr>
              <w:spacing w:after="0"/>
              <w:rPr>
                <w:sz w:val="17"/>
                <w:szCs w:val="17"/>
                <w:color w:val="auto"/>
              </w:rPr>
            </w:pPr>
          </w:p>
        </w:tc>
        <w:tc>
          <w:tcPr>
            <w:tcW w:w="100" w:type="dxa"/>
            <w:vAlign w:val="bottom"/>
            <w:tcBorders>
              <w:bottom w:val="single" w:sz="8" w:color="auto"/>
            </w:tcBorders>
            <w:shd w:val="clear" w:color="auto" w:fill="E5E5E5"/>
          </w:tcPr>
          <w:p>
            <w:pPr>
              <w:spacing w:after="0"/>
              <w:rPr>
                <w:sz w:val="17"/>
                <w:szCs w:val="17"/>
                <w:color w:val="auto"/>
              </w:rPr>
            </w:pPr>
          </w:p>
        </w:tc>
        <w:tc>
          <w:tcPr>
            <w:tcW w:w="1020" w:type="dxa"/>
            <w:vAlign w:val="bottom"/>
            <w:tcBorders>
              <w:bottom w:val="single" w:sz="8" w:color="auto"/>
            </w:tcBorders>
            <w:shd w:val="clear" w:color="auto" w:fill="E5E5E5"/>
          </w:tcPr>
          <w:p>
            <w:pPr>
              <w:jc w:val="right"/>
              <w:ind w:right="132"/>
              <w:spacing w:after="0" w:line="202" w:lineRule="exact"/>
              <w:rPr>
                <w:sz w:val="20"/>
                <w:szCs w:val="20"/>
                <w:color w:val="auto"/>
              </w:rPr>
            </w:pPr>
            <w:r>
              <w:rPr>
                <w:rFonts w:ascii="Arial" w:cs="Arial" w:eastAsia="Arial" w:hAnsi="Arial"/>
                <w:sz w:val="18"/>
                <w:szCs w:val="18"/>
                <w:b w:val="1"/>
                <w:bCs w:val="1"/>
                <w:color w:val="auto"/>
              </w:rPr>
              <w:t>16</w:t>
            </w:r>
          </w:p>
        </w:tc>
        <w:tc>
          <w:tcPr>
            <w:tcW w:w="320" w:type="dxa"/>
            <w:vAlign w:val="bottom"/>
            <w:tcBorders>
              <w:bottom w:val="single" w:sz="8" w:color="auto"/>
            </w:tcBorders>
            <w:shd w:val="clear" w:color="auto" w:fill="E5E5E5"/>
          </w:tcPr>
          <w:p>
            <w:pPr>
              <w:spacing w:after="0"/>
              <w:rPr>
                <w:sz w:val="17"/>
                <w:szCs w:val="17"/>
                <w:color w:val="auto"/>
              </w:rPr>
            </w:pPr>
          </w:p>
        </w:tc>
        <w:tc>
          <w:tcPr>
            <w:tcW w:w="940" w:type="dxa"/>
            <w:vAlign w:val="bottom"/>
            <w:tcBorders>
              <w:bottom w:val="single" w:sz="8" w:color="auto"/>
            </w:tcBorders>
            <w:shd w:val="clear" w:color="auto" w:fill="E5E5E5"/>
          </w:tcPr>
          <w:p>
            <w:pPr>
              <w:jc w:val="right"/>
              <w:ind w:right="74"/>
              <w:spacing w:after="0" w:line="202" w:lineRule="exact"/>
              <w:rPr>
                <w:sz w:val="20"/>
                <w:szCs w:val="20"/>
                <w:color w:val="auto"/>
              </w:rPr>
            </w:pPr>
            <w:r>
              <w:rPr>
                <w:rFonts w:ascii="Arial" w:cs="Arial" w:eastAsia="Arial" w:hAnsi="Arial"/>
                <w:sz w:val="18"/>
                <w:szCs w:val="18"/>
                <w:color w:val="auto"/>
              </w:rPr>
              <w:t>1,703</w:t>
            </w:r>
          </w:p>
        </w:tc>
        <w:tc>
          <w:tcPr>
            <w:tcW w:w="280" w:type="dxa"/>
            <w:vAlign w:val="bottom"/>
            <w:tcBorders>
              <w:bottom w:val="single" w:sz="8" w:color="auto"/>
            </w:tcBorders>
            <w:shd w:val="clear" w:color="auto" w:fill="E5E5E5"/>
          </w:tcPr>
          <w:p>
            <w:pPr>
              <w:spacing w:after="0"/>
              <w:rPr>
                <w:sz w:val="17"/>
                <w:szCs w:val="17"/>
                <w:color w:val="auto"/>
              </w:rPr>
            </w:pPr>
          </w:p>
        </w:tc>
        <w:tc>
          <w:tcPr>
            <w:tcW w:w="960" w:type="dxa"/>
            <w:vAlign w:val="bottom"/>
            <w:tcBorders>
              <w:bottom w:val="single" w:sz="8" w:color="auto"/>
            </w:tcBorders>
            <w:shd w:val="clear" w:color="auto" w:fill="E5E5E5"/>
          </w:tcPr>
          <w:p>
            <w:pPr>
              <w:jc w:val="right"/>
              <w:ind w:right="92"/>
              <w:spacing w:after="0" w:line="202" w:lineRule="exact"/>
              <w:rPr>
                <w:sz w:val="20"/>
                <w:szCs w:val="20"/>
                <w:color w:val="auto"/>
              </w:rPr>
            </w:pPr>
            <w:r>
              <w:rPr>
                <w:rFonts w:ascii="Arial" w:cs="Arial" w:eastAsia="Arial" w:hAnsi="Arial"/>
                <w:sz w:val="18"/>
                <w:szCs w:val="18"/>
                <w:color w:val="auto"/>
              </w:rPr>
              <w:t>151</w:t>
            </w:r>
          </w:p>
        </w:tc>
        <w:tc>
          <w:tcPr>
            <w:tcW w:w="280" w:type="dxa"/>
            <w:vAlign w:val="bottom"/>
            <w:tcBorders>
              <w:bottom w:val="single" w:sz="8" w:color="auto"/>
            </w:tcBorders>
            <w:shd w:val="clear" w:color="auto" w:fill="E5E5E5"/>
          </w:tcPr>
          <w:p>
            <w:pPr>
              <w:spacing w:after="0"/>
              <w:rPr>
                <w:sz w:val="17"/>
                <w:szCs w:val="17"/>
                <w:color w:val="auto"/>
              </w:rPr>
            </w:pPr>
          </w:p>
        </w:tc>
        <w:tc>
          <w:tcPr>
            <w:tcW w:w="940" w:type="dxa"/>
            <w:vAlign w:val="bottom"/>
            <w:tcBorders>
              <w:bottom w:val="single" w:sz="8" w:color="auto"/>
            </w:tcBorders>
            <w:shd w:val="clear" w:color="auto" w:fill="E5E5E5"/>
          </w:tcPr>
          <w:p>
            <w:pPr>
              <w:jc w:val="right"/>
              <w:ind w:right="72"/>
              <w:spacing w:after="0" w:line="202" w:lineRule="exact"/>
              <w:rPr>
                <w:sz w:val="20"/>
                <w:szCs w:val="20"/>
                <w:color w:val="auto"/>
              </w:rPr>
            </w:pPr>
            <w:r>
              <w:rPr>
                <w:rFonts w:ascii="Arial" w:cs="Arial" w:eastAsia="Arial" w:hAnsi="Arial"/>
                <w:sz w:val="18"/>
                <w:szCs w:val="18"/>
                <w:color w:val="auto"/>
              </w:rPr>
              <w:t>170</w:t>
            </w:r>
          </w:p>
        </w:tc>
        <w:tc>
          <w:tcPr>
            <w:tcW w:w="280" w:type="dxa"/>
            <w:vAlign w:val="bottom"/>
            <w:tcBorders>
              <w:bottom w:val="single" w:sz="8" w:color="auto"/>
            </w:tcBorders>
            <w:shd w:val="clear" w:color="auto" w:fill="E5E5E5"/>
          </w:tcPr>
          <w:p>
            <w:pPr>
              <w:spacing w:after="0"/>
              <w:rPr>
                <w:sz w:val="17"/>
                <w:szCs w:val="17"/>
                <w:color w:val="auto"/>
              </w:rPr>
            </w:pPr>
          </w:p>
        </w:tc>
        <w:tc>
          <w:tcPr>
            <w:tcW w:w="780" w:type="dxa"/>
            <w:vAlign w:val="bottom"/>
            <w:tcBorders>
              <w:bottom w:val="single" w:sz="8" w:color="auto"/>
            </w:tcBorders>
            <w:shd w:val="clear" w:color="auto" w:fill="E5E5E5"/>
          </w:tcPr>
          <w:p>
            <w:pPr>
              <w:jc w:val="right"/>
              <w:spacing w:after="0" w:line="202" w:lineRule="exact"/>
              <w:rPr>
                <w:sz w:val="20"/>
                <w:szCs w:val="20"/>
                <w:color w:val="auto"/>
              </w:rPr>
            </w:pPr>
            <w:r>
              <w:rPr>
                <w:rFonts w:ascii="Arial" w:cs="Arial" w:eastAsia="Arial" w:hAnsi="Arial"/>
                <w:sz w:val="18"/>
                <w:szCs w:val="18"/>
                <w:color w:val="auto"/>
              </w:rPr>
              <w:t>133</w:t>
            </w:r>
          </w:p>
        </w:tc>
        <w:tc>
          <w:tcPr>
            <w:tcW w:w="44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740" w:type="dxa"/>
            <w:vAlign w:val="bottom"/>
          </w:tcPr>
          <w:p>
            <w:pPr>
              <w:spacing w:after="0"/>
              <w:rPr>
                <w:sz w:val="20"/>
                <w:szCs w:val="20"/>
                <w:color w:val="auto"/>
              </w:rPr>
            </w:pPr>
            <w:r>
              <w:rPr>
                <w:rFonts w:ascii="Arial" w:cs="Arial" w:eastAsia="Arial" w:hAnsi="Arial"/>
                <w:sz w:val="18"/>
                <w:szCs w:val="18"/>
                <w:color w:val="auto"/>
              </w:rPr>
              <w:t>Net income</w:t>
            </w:r>
          </w:p>
        </w:tc>
        <w:tc>
          <w:tcPr>
            <w:tcW w:w="3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2,657</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4,341</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2,324</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1,861</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1,198</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40" w:type="dxa"/>
            <w:vAlign w:val="bottom"/>
            <w:shd w:val="clear" w:color="auto" w:fill="E5E5E5"/>
          </w:tcPr>
          <w:p>
            <w:pPr>
              <w:spacing w:after="0" w:line="196" w:lineRule="exact"/>
              <w:rPr>
                <w:sz w:val="20"/>
                <w:szCs w:val="20"/>
                <w:color w:val="auto"/>
              </w:rPr>
            </w:pPr>
            <w:r>
              <w:rPr>
                <w:rFonts w:ascii="Arial" w:cs="Arial" w:eastAsia="Arial" w:hAnsi="Arial"/>
                <w:sz w:val="18"/>
                <w:szCs w:val="18"/>
                <w:color w:val="auto"/>
                <w:w w:val="98"/>
              </w:rPr>
              <w:t>Basic income from continuing operations per common share</w:t>
            </w:r>
          </w:p>
        </w:tc>
        <w:tc>
          <w:tcPr>
            <w:tcW w:w="340" w:type="dxa"/>
            <w:vAlign w:val="bottom"/>
            <w:shd w:val="clear" w:color="auto" w:fill="E5E5E5"/>
          </w:tcPr>
          <w:p>
            <w:pPr>
              <w:spacing w:after="0"/>
              <w:rPr>
                <w:sz w:val="17"/>
                <w:szCs w:val="17"/>
                <w:color w:val="auto"/>
              </w:rPr>
            </w:pPr>
          </w:p>
        </w:tc>
        <w:tc>
          <w:tcPr>
            <w:tcW w:w="100" w:type="dxa"/>
            <w:vAlign w:val="bottom"/>
            <w:tcBorders>
              <w:top w:val="single" w:sz="8" w:color="auto"/>
              <w:bottom w:val="single" w:sz="8" w:color="auto"/>
            </w:tcBorders>
            <w:shd w:val="clear" w:color="auto" w:fill="E5E5E5"/>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shd w:val="clear" w:color="auto" w:fill="E5E5E5"/>
          </w:tcPr>
          <w:p>
            <w:pPr>
              <w:jc w:val="right"/>
              <w:ind w:right="132"/>
              <w:spacing w:after="0" w:line="196" w:lineRule="exact"/>
              <w:rPr>
                <w:sz w:val="20"/>
                <w:szCs w:val="20"/>
                <w:color w:val="auto"/>
              </w:rPr>
            </w:pPr>
            <w:r>
              <w:rPr>
                <w:rFonts w:ascii="Arial" w:cs="Arial" w:eastAsia="Arial" w:hAnsi="Arial"/>
                <w:sz w:val="18"/>
                <w:szCs w:val="18"/>
                <w:b w:val="1"/>
                <w:bCs w:val="1"/>
                <w:color w:val="auto"/>
              </w:rPr>
              <w:t>1.86</w:t>
            </w:r>
          </w:p>
        </w:tc>
        <w:tc>
          <w:tcPr>
            <w:tcW w:w="320" w:type="dxa"/>
            <w:vAlign w:val="bottom"/>
            <w:tcBorders>
              <w:top w:val="single" w:sz="8" w:color="auto"/>
              <w:bottom w:val="single" w:sz="8" w:color="auto"/>
            </w:tcBorders>
            <w:shd w:val="clear" w:color="auto" w:fill="E5E5E5"/>
          </w:tcPr>
          <w:p>
            <w:pPr>
              <w:jc w:val="right"/>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E5E5E5"/>
          </w:tcPr>
          <w:p>
            <w:pPr>
              <w:jc w:val="right"/>
              <w:ind w:right="74"/>
              <w:spacing w:after="0" w:line="196" w:lineRule="exact"/>
              <w:rPr>
                <w:sz w:val="20"/>
                <w:szCs w:val="20"/>
                <w:color w:val="auto"/>
              </w:rPr>
            </w:pPr>
            <w:r>
              <w:rPr>
                <w:rFonts w:ascii="Arial" w:cs="Arial" w:eastAsia="Arial" w:hAnsi="Arial"/>
                <w:sz w:val="18"/>
                <w:szCs w:val="18"/>
                <w:color w:val="auto"/>
              </w:rPr>
              <w:t>1.73</w:t>
            </w:r>
          </w:p>
        </w:tc>
        <w:tc>
          <w:tcPr>
            <w:tcW w:w="280" w:type="dxa"/>
            <w:vAlign w:val="bottom"/>
            <w:tcBorders>
              <w:top w:val="single" w:sz="8" w:color="auto"/>
              <w:bottom w:val="single" w:sz="8" w:color="auto"/>
            </w:tcBorders>
            <w:shd w:val="clear" w:color="auto" w:fill="E5E5E5"/>
          </w:tcPr>
          <w:p>
            <w:pPr>
              <w:jc w:val="right"/>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E5E5E5"/>
          </w:tcPr>
          <w:p>
            <w:pPr>
              <w:jc w:val="right"/>
              <w:ind w:right="92"/>
              <w:spacing w:after="0" w:line="196" w:lineRule="exact"/>
              <w:rPr>
                <w:sz w:val="20"/>
                <w:szCs w:val="20"/>
                <w:color w:val="auto"/>
              </w:rPr>
            </w:pPr>
            <w:r>
              <w:rPr>
                <w:rFonts w:ascii="Arial" w:cs="Arial" w:eastAsia="Arial" w:hAnsi="Arial"/>
                <w:sz w:val="18"/>
                <w:szCs w:val="18"/>
                <w:color w:val="auto"/>
              </w:rPr>
              <w:t>1.33</w:t>
            </w:r>
          </w:p>
        </w:tc>
        <w:tc>
          <w:tcPr>
            <w:tcW w:w="280" w:type="dxa"/>
            <w:vAlign w:val="bottom"/>
            <w:tcBorders>
              <w:top w:val="single" w:sz="8" w:color="auto"/>
              <w:bottom w:val="single" w:sz="8" w:color="auto"/>
            </w:tcBorders>
            <w:shd w:val="clear" w:color="auto" w:fill="E5E5E5"/>
          </w:tcPr>
          <w:p>
            <w:pPr>
              <w:jc w:val="right"/>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E5E5E5"/>
          </w:tcPr>
          <w:p>
            <w:pPr>
              <w:jc w:val="right"/>
              <w:ind w:right="72"/>
              <w:spacing w:after="0" w:line="196" w:lineRule="exact"/>
              <w:rPr>
                <w:sz w:val="20"/>
                <w:szCs w:val="20"/>
                <w:color w:val="auto"/>
              </w:rPr>
            </w:pPr>
            <w:r>
              <w:rPr>
                <w:rFonts w:ascii="Arial" w:cs="Arial" w:eastAsia="Arial" w:hAnsi="Arial"/>
                <w:sz w:val="18"/>
                <w:szCs w:val="18"/>
                <w:color w:val="auto"/>
              </w:rPr>
              <w:t>0.98</w:t>
            </w:r>
          </w:p>
        </w:tc>
        <w:tc>
          <w:tcPr>
            <w:tcW w:w="280" w:type="dxa"/>
            <w:vAlign w:val="bottom"/>
            <w:tcBorders>
              <w:top w:val="single" w:sz="8" w:color="auto"/>
              <w:bottom w:val="single" w:sz="8" w:color="auto"/>
            </w:tcBorders>
            <w:shd w:val="clear" w:color="auto" w:fill="E5E5E5"/>
          </w:tcPr>
          <w:p>
            <w:pPr>
              <w:jc w:val="right"/>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E5E5E5"/>
          </w:tcPr>
          <w:p>
            <w:pPr>
              <w:jc w:val="right"/>
              <w:spacing w:after="0" w:line="196" w:lineRule="exact"/>
              <w:rPr>
                <w:sz w:val="20"/>
                <w:szCs w:val="20"/>
                <w:color w:val="auto"/>
              </w:rPr>
            </w:pPr>
            <w:r>
              <w:rPr>
                <w:rFonts w:ascii="Arial" w:cs="Arial" w:eastAsia="Arial" w:hAnsi="Arial"/>
                <w:sz w:val="18"/>
                <w:szCs w:val="18"/>
                <w:color w:val="auto"/>
              </w:rPr>
              <w:t>0.62</w:t>
            </w:r>
          </w:p>
        </w:tc>
        <w:tc>
          <w:tcPr>
            <w:tcW w:w="44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Arial" w:cs="Arial" w:eastAsia="Arial" w:hAnsi="Arial"/>
                <w:sz w:val="18"/>
                <w:szCs w:val="18"/>
                <w:color w:val="auto"/>
              </w:rPr>
              <w:t>Diluted income from continuing operations per common</w:t>
            </w: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740" w:type="dxa"/>
            <w:vAlign w:val="bottom"/>
            <w:vMerge w:val="continue"/>
          </w:tcPr>
          <w:p>
            <w:pPr>
              <w:spacing w:after="0"/>
              <w:rPr>
                <w:sz w:val="17"/>
                <w:szCs w:val="17"/>
                <w:color w:val="auto"/>
              </w:rPr>
            </w:pPr>
          </w:p>
        </w:tc>
        <w:tc>
          <w:tcPr>
            <w:tcW w:w="44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vMerge w:val="restart"/>
          </w:tcPr>
          <w:p>
            <w:pPr>
              <w:jc w:val="right"/>
              <w:ind w:right="132"/>
              <w:spacing w:after="0"/>
              <w:rPr>
                <w:sz w:val="20"/>
                <w:szCs w:val="20"/>
                <w:color w:val="auto"/>
              </w:rPr>
            </w:pPr>
            <w:r>
              <w:rPr>
                <w:rFonts w:ascii="Arial" w:cs="Arial" w:eastAsia="Arial" w:hAnsi="Arial"/>
                <w:sz w:val="18"/>
                <w:szCs w:val="18"/>
                <w:b w:val="1"/>
                <w:bCs w:val="1"/>
                <w:color w:val="auto"/>
              </w:rPr>
              <w:t>1.83</w:t>
            </w: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740" w:type="dxa"/>
            <w:vAlign w:val="bottom"/>
          </w:tcPr>
          <w:p>
            <w:pPr>
              <w:ind w:left="220"/>
              <w:spacing w:after="0" w:line="200" w:lineRule="exact"/>
              <w:rPr>
                <w:sz w:val="20"/>
                <w:szCs w:val="20"/>
                <w:color w:val="auto"/>
              </w:rPr>
            </w:pPr>
            <w:r>
              <w:rPr>
                <w:rFonts w:ascii="Arial" w:cs="Arial" w:eastAsia="Arial" w:hAnsi="Arial"/>
                <w:sz w:val="18"/>
                <w:szCs w:val="18"/>
                <w:color w:val="auto"/>
              </w:rPr>
              <w:t>share</w:t>
            </w:r>
          </w:p>
        </w:tc>
        <w:tc>
          <w:tcPr>
            <w:tcW w:w="440" w:type="dxa"/>
            <w:vAlign w:val="bottom"/>
            <w:gridSpan w:val="2"/>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32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74"/>
              <w:spacing w:after="0" w:line="200" w:lineRule="exact"/>
              <w:rPr>
                <w:sz w:val="20"/>
                <w:szCs w:val="20"/>
                <w:color w:val="auto"/>
              </w:rPr>
            </w:pPr>
            <w:r>
              <w:rPr>
                <w:rFonts w:ascii="Arial" w:cs="Arial" w:eastAsia="Arial" w:hAnsi="Arial"/>
                <w:sz w:val="18"/>
                <w:szCs w:val="18"/>
                <w:color w:val="auto"/>
              </w:rPr>
              <w:t>1.69</w:t>
            </w:r>
          </w:p>
        </w:tc>
        <w:tc>
          <w:tcPr>
            <w:tcW w:w="28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92"/>
              <w:spacing w:after="0" w:line="200" w:lineRule="exact"/>
              <w:rPr>
                <w:sz w:val="20"/>
                <w:szCs w:val="20"/>
                <w:color w:val="auto"/>
              </w:rPr>
            </w:pPr>
            <w:r>
              <w:rPr>
                <w:rFonts w:ascii="Arial" w:cs="Arial" w:eastAsia="Arial" w:hAnsi="Arial"/>
                <w:sz w:val="18"/>
                <w:szCs w:val="18"/>
                <w:color w:val="auto"/>
              </w:rPr>
              <w:t>1.30</w:t>
            </w:r>
          </w:p>
        </w:tc>
        <w:tc>
          <w:tcPr>
            <w:tcW w:w="28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72"/>
              <w:spacing w:after="0" w:line="200" w:lineRule="exact"/>
              <w:rPr>
                <w:sz w:val="20"/>
                <w:szCs w:val="20"/>
                <w:color w:val="auto"/>
              </w:rPr>
            </w:pPr>
            <w:r>
              <w:rPr>
                <w:rFonts w:ascii="Arial" w:cs="Arial" w:eastAsia="Arial" w:hAnsi="Arial"/>
                <w:sz w:val="18"/>
                <w:szCs w:val="18"/>
                <w:color w:val="auto"/>
              </w:rPr>
              <w:t>0.96</w:t>
            </w:r>
          </w:p>
        </w:tc>
        <w:tc>
          <w:tcPr>
            <w:tcW w:w="28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0" w:lineRule="exact"/>
              <w:rPr>
                <w:sz w:val="20"/>
                <w:szCs w:val="20"/>
                <w:color w:val="auto"/>
              </w:rPr>
            </w:pPr>
            <w:r>
              <w:rPr>
                <w:rFonts w:ascii="Arial" w:cs="Arial" w:eastAsia="Arial" w:hAnsi="Arial"/>
                <w:sz w:val="18"/>
                <w:szCs w:val="18"/>
                <w:color w:val="auto"/>
              </w:rPr>
              <w:t>0.60</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40" w:type="dxa"/>
            <w:vAlign w:val="bottom"/>
            <w:shd w:val="clear" w:color="auto" w:fill="E5E5E5"/>
          </w:tcPr>
          <w:p>
            <w:pPr>
              <w:spacing w:after="0" w:line="196" w:lineRule="exact"/>
              <w:rPr>
                <w:sz w:val="20"/>
                <w:szCs w:val="20"/>
                <w:color w:val="auto"/>
              </w:rPr>
            </w:pPr>
            <w:r>
              <w:rPr>
                <w:rFonts w:ascii="Arial" w:cs="Arial" w:eastAsia="Arial" w:hAnsi="Arial"/>
                <w:sz w:val="18"/>
                <w:szCs w:val="18"/>
                <w:color w:val="auto"/>
              </w:rPr>
              <w:t>Dividends declared per common share</w:t>
            </w:r>
          </w:p>
        </w:tc>
        <w:tc>
          <w:tcPr>
            <w:tcW w:w="340" w:type="dxa"/>
            <w:vAlign w:val="bottom"/>
            <w:shd w:val="clear" w:color="auto" w:fill="E5E5E5"/>
          </w:tcPr>
          <w:p>
            <w:pPr>
              <w:spacing w:after="0"/>
              <w:rPr>
                <w:sz w:val="17"/>
                <w:szCs w:val="17"/>
                <w:color w:val="auto"/>
              </w:rPr>
            </w:pPr>
          </w:p>
        </w:tc>
        <w:tc>
          <w:tcPr>
            <w:tcW w:w="100" w:type="dxa"/>
            <w:vAlign w:val="bottom"/>
            <w:tcBorders>
              <w:bottom w:val="single" w:sz="8" w:color="auto"/>
            </w:tcBorders>
            <w:shd w:val="clear" w:color="auto" w:fill="E5E5E5"/>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E5E5E5"/>
          </w:tcPr>
          <w:p>
            <w:pPr>
              <w:jc w:val="right"/>
              <w:ind w:right="132"/>
              <w:spacing w:after="0" w:line="196" w:lineRule="exact"/>
              <w:rPr>
                <w:sz w:val="20"/>
                <w:szCs w:val="20"/>
                <w:color w:val="auto"/>
              </w:rPr>
            </w:pPr>
            <w:r>
              <w:rPr>
                <w:rFonts w:ascii="Arial" w:cs="Arial" w:eastAsia="Arial" w:hAnsi="Arial"/>
                <w:sz w:val="18"/>
                <w:szCs w:val="18"/>
                <w:b w:val="1"/>
                <w:bCs w:val="1"/>
                <w:color w:val="auto"/>
              </w:rPr>
              <w:t>0.300</w:t>
            </w:r>
          </w:p>
        </w:tc>
        <w:tc>
          <w:tcPr>
            <w:tcW w:w="320" w:type="dxa"/>
            <w:vAlign w:val="bottom"/>
            <w:tcBorders>
              <w:bottom w:val="single" w:sz="8" w:color="auto"/>
            </w:tcBorders>
            <w:shd w:val="clear" w:color="auto" w:fill="E5E5E5"/>
          </w:tcPr>
          <w:p>
            <w:pPr>
              <w:jc w:val="right"/>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E5E5E5"/>
          </w:tcPr>
          <w:p>
            <w:pPr>
              <w:jc w:val="right"/>
              <w:ind w:right="74"/>
              <w:spacing w:after="0" w:line="196" w:lineRule="exact"/>
              <w:rPr>
                <w:sz w:val="20"/>
                <w:szCs w:val="20"/>
                <w:color w:val="auto"/>
              </w:rPr>
            </w:pPr>
            <w:r>
              <w:rPr>
                <w:rFonts w:ascii="Arial" w:cs="Arial" w:eastAsia="Arial" w:hAnsi="Arial"/>
                <w:sz w:val="18"/>
                <w:szCs w:val="18"/>
                <w:color w:val="auto"/>
              </w:rPr>
              <w:t>0.130</w:t>
            </w:r>
          </w:p>
        </w:tc>
        <w:tc>
          <w:tcPr>
            <w:tcW w:w="280" w:type="dxa"/>
            <w:vAlign w:val="bottom"/>
            <w:tcBorders>
              <w:bottom w:val="single" w:sz="8" w:color="auto"/>
            </w:tcBorders>
            <w:shd w:val="clear" w:color="auto" w:fill="E5E5E5"/>
          </w:tcPr>
          <w:p>
            <w:pPr>
              <w:jc w:val="right"/>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E5E5E5"/>
          </w:tcPr>
          <w:p>
            <w:pPr>
              <w:jc w:val="right"/>
              <w:ind w:right="92"/>
              <w:spacing w:after="0" w:line="196" w:lineRule="exact"/>
              <w:rPr>
                <w:sz w:val="20"/>
                <w:szCs w:val="20"/>
                <w:color w:val="auto"/>
              </w:rPr>
            </w:pPr>
            <w:r>
              <w:rPr>
                <w:rFonts w:ascii="Arial" w:cs="Arial" w:eastAsia="Arial" w:hAnsi="Arial"/>
                <w:sz w:val="18"/>
                <w:szCs w:val="18"/>
                <w:color w:val="auto"/>
              </w:rPr>
              <w:t>0.105</w:t>
            </w:r>
          </w:p>
        </w:tc>
        <w:tc>
          <w:tcPr>
            <w:tcW w:w="280" w:type="dxa"/>
            <w:vAlign w:val="bottom"/>
            <w:tcBorders>
              <w:bottom w:val="single" w:sz="8" w:color="auto"/>
            </w:tcBorders>
            <w:shd w:val="clear" w:color="auto" w:fill="E5E5E5"/>
          </w:tcPr>
          <w:p>
            <w:pPr>
              <w:jc w:val="right"/>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E5E5E5"/>
          </w:tcPr>
          <w:p>
            <w:pPr>
              <w:jc w:val="right"/>
              <w:ind w:right="72"/>
              <w:spacing w:after="0" w:line="196" w:lineRule="exact"/>
              <w:rPr>
                <w:sz w:val="20"/>
                <w:szCs w:val="20"/>
                <w:color w:val="auto"/>
              </w:rPr>
            </w:pPr>
            <w:r>
              <w:rPr>
                <w:rFonts w:ascii="Arial" w:cs="Arial" w:eastAsia="Arial" w:hAnsi="Arial"/>
                <w:sz w:val="18"/>
                <w:szCs w:val="18"/>
                <w:color w:val="auto"/>
              </w:rPr>
              <w:t>0.089</w:t>
            </w:r>
          </w:p>
        </w:tc>
        <w:tc>
          <w:tcPr>
            <w:tcW w:w="280" w:type="dxa"/>
            <w:vAlign w:val="bottom"/>
            <w:tcBorders>
              <w:bottom w:val="single" w:sz="8" w:color="auto"/>
            </w:tcBorders>
            <w:shd w:val="clear" w:color="auto" w:fill="E5E5E5"/>
          </w:tcPr>
          <w:p>
            <w:pPr>
              <w:jc w:val="right"/>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E5E5E5"/>
          </w:tcPr>
          <w:p>
            <w:pPr>
              <w:jc w:val="right"/>
              <w:spacing w:after="0" w:line="196" w:lineRule="exact"/>
              <w:rPr>
                <w:sz w:val="20"/>
                <w:szCs w:val="20"/>
                <w:color w:val="auto"/>
              </w:rPr>
            </w:pPr>
            <w:r>
              <w:rPr>
                <w:rFonts w:ascii="Arial" w:cs="Arial" w:eastAsia="Arial" w:hAnsi="Arial"/>
                <w:sz w:val="18"/>
                <w:szCs w:val="18"/>
                <w:color w:val="auto"/>
              </w:rPr>
              <w:t>0.085</w:t>
            </w:r>
          </w:p>
        </w:tc>
        <w:tc>
          <w:tcPr>
            <w:tcW w:w="44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Arial" w:cs="Arial" w:eastAsia="Arial" w:hAnsi="Arial"/>
                <w:sz w:val="18"/>
                <w:szCs w:val="18"/>
                <w:color w:val="auto"/>
              </w:rPr>
              <w:t>Average common and dilutive potential common shares</w:t>
            </w: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74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vMerge w:val="restart"/>
          </w:tcPr>
          <w:p>
            <w:pPr>
              <w:jc w:val="right"/>
              <w:ind w:right="132"/>
              <w:spacing w:after="0"/>
              <w:rPr>
                <w:sz w:val="20"/>
                <w:szCs w:val="20"/>
                <w:color w:val="auto"/>
              </w:rPr>
            </w:pPr>
            <w:r>
              <w:rPr>
                <w:rFonts w:ascii="Arial" w:cs="Arial" w:eastAsia="Arial" w:hAnsi="Arial"/>
                <w:sz w:val="18"/>
                <w:szCs w:val="18"/>
                <w:b w:val="1"/>
                <w:bCs w:val="1"/>
                <w:color w:val="auto"/>
                <w:w w:val="97"/>
              </w:rPr>
              <w:t>1,446,350</w:t>
            </w: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740" w:type="dxa"/>
            <w:vAlign w:val="bottom"/>
          </w:tcPr>
          <w:p>
            <w:pPr>
              <w:ind w:left="220"/>
              <w:spacing w:after="0" w:line="200" w:lineRule="exact"/>
              <w:rPr>
                <w:sz w:val="20"/>
                <w:szCs w:val="20"/>
                <w:color w:val="auto"/>
              </w:rPr>
            </w:pPr>
            <w:r>
              <w:rPr>
                <w:rFonts w:ascii="Arial" w:cs="Arial" w:eastAsia="Arial" w:hAnsi="Arial"/>
                <w:sz w:val="18"/>
                <w:szCs w:val="18"/>
                <w:color w:val="auto"/>
              </w:rPr>
              <w:t>outstanding during year, in thousands</w:t>
            </w:r>
          </w:p>
        </w:tc>
        <w:tc>
          <w:tcPr>
            <w:tcW w:w="3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74"/>
              <w:spacing w:after="0" w:line="200" w:lineRule="exact"/>
              <w:rPr>
                <w:sz w:val="20"/>
                <w:szCs w:val="20"/>
                <w:color w:val="auto"/>
              </w:rPr>
            </w:pPr>
            <w:r>
              <w:rPr>
                <w:rFonts w:ascii="Arial" w:cs="Arial" w:eastAsia="Arial" w:hAnsi="Arial"/>
                <w:sz w:val="18"/>
                <w:szCs w:val="18"/>
                <w:color w:val="auto"/>
                <w:w w:val="94"/>
              </w:rPr>
              <w:t>1,559,772</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92"/>
              <w:spacing w:after="0" w:line="200" w:lineRule="exact"/>
              <w:rPr>
                <w:sz w:val="20"/>
                <w:szCs w:val="20"/>
                <w:color w:val="auto"/>
              </w:rPr>
            </w:pPr>
            <w:r>
              <w:rPr>
                <w:rFonts w:ascii="Arial" w:cs="Arial" w:eastAsia="Arial" w:hAnsi="Arial"/>
                <w:sz w:val="18"/>
                <w:szCs w:val="18"/>
                <w:color w:val="auto"/>
                <w:w w:val="94"/>
              </w:rPr>
              <w:t>1,670,916</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72"/>
              <w:spacing w:after="0" w:line="200" w:lineRule="exact"/>
              <w:rPr>
                <w:sz w:val="20"/>
                <w:szCs w:val="20"/>
                <w:color w:val="auto"/>
              </w:rPr>
            </w:pPr>
            <w:r>
              <w:rPr>
                <w:rFonts w:ascii="Arial" w:cs="Arial" w:eastAsia="Arial" w:hAnsi="Arial"/>
                <w:sz w:val="18"/>
                <w:szCs w:val="18"/>
                <w:color w:val="auto"/>
                <w:w w:val="94"/>
              </w:rPr>
              <w:t>1,768,073</w:t>
            </w: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w w:val="94"/>
              </w:rPr>
              <w:t>1,766,400</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320" w:hanging="312"/>
        <w:spacing w:after="0"/>
        <w:tabs>
          <w:tab w:leader="none" w:pos="3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Includes a change in depreciation method beginning January 1, 2006 (see description of Change in Depreciation Method in Note 1 of the consolidated financial statements).</w:t>
      </w:r>
    </w:p>
    <w:p>
      <w:pPr>
        <w:spacing w:after="0" w:line="54" w:lineRule="exact"/>
        <w:rPr>
          <w:rFonts w:ascii="Arial" w:cs="Arial" w:eastAsia="Arial" w:hAnsi="Arial"/>
          <w:sz w:val="14"/>
          <w:szCs w:val="14"/>
          <w:color w:val="auto"/>
        </w:rPr>
      </w:pPr>
    </w:p>
    <w:p>
      <w:pPr>
        <w:ind w:left="440" w:right="520" w:hanging="432"/>
        <w:spacing w:after="0" w:line="244" w:lineRule="auto"/>
        <w:tabs>
          <w:tab w:leader="none" w:pos="323" w:val="left"/>
        </w:tabs>
        <w:numPr>
          <w:ilvl w:val="0"/>
          <w:numId w:val="26"/>
        </w:numPr>
        <w:rPr>
          <w:rFonts w:ascii="Arial" w:cs="Arial" w:eastAsia="Arial" w:hAnsi="Arial"/>
          <w:sz w:val="14"/>
          <w:szCs w:val="14"/>
          <w:color w:val="auto"/>
        </w:rPr>
      </w:pPr>
      <w:r>
        <w:rPr>
          <w:rFonts w:ascii="Arial" w:cs="Arial" w:eastAsia="Arial" w:hAnsi="Arial"/>
          <w:sz w:val="14"/>
          <w:szCs w:val="14"/>
          <w:color w:val="auto"/>
        </w:rPr>
        <w:t xml:space="preserve">Includes the impact of adopting Statement of Financial Accounting Standard No. 123(R), </w:t>
      </w:r>
      <w:r>
        <w:rPr>
          <w:rFonts w:ascii="Arial" w:cs="Arial" w:eastAsia="Arial" w:hAnsi="Arial"/>
          <w:sz w:val="14"/>
          <w:szCs w:val="14"/>
          <w:i w:val="1"/>
          <w:iCs w:val="1"/>
          <w:color w:val="auto"/>
        </w:rPr>
        <w:t>“Share-Based Payments”</w:t>
      </w:r>
      <w:r>
        <w:rPr>
          <w:rFonts w:ascii="Arial" w:cs="Arial" w:eastAsia="Arial" w:hAnsi="Arial"/>
          <w:sz w:val="14"/>
          <w:szCs w:val="14"/>
          <w:color w:val="auto"/>
        </w:rPr>
        <w:t xml:space="preserve"> effective July 1, 2005 (see Note 9 to the consolidated financial statements).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shd w:val="clear" w:color="auto" w:fill="E5E5E5"/>
          </w:tcPr>
          <w:p>
            <w:pPr>
              <w:spacing w:after="0"/>
              <w:rPr>
                <w:sz w:val="14"/>
                <w:szCs w:val="14"/>
                <w:color w:val="auto"/>
              </w:rPr>
            </w:pPr>
          </w:p>
        </w:tc>
        <w:tc>
          <w:tcPr>
            <w:tcW w:w="540" w:type="dxa"/>
            <w:vAlign w:val="bottom"/>
            <w:shd w:val="clear" w:color="auto" w:fill="E5E5E5"/>
          </w:tcPr>
          <w:p>
            <w:pPr>
              <w:spacing w:after="0"/>
              <w:rPr>
                <w:sz w:val="14"/>
                <w:szCs w:val="14"/>
                <w:color w:val="auto"/>
              </w:rPr>
            </w:pPr>
          </w:p>
        </w:tc>
        <w:tc>
          <w:tcPr>
            <w:tcW w:w="920" w:type="dxa"/>
            <w:vAlign w:val="bottom"/>
            <w:shd w:val="clear" w:color="auto" w:fill="E5E5E5"/>
          </w:tcPr>
          <w:p>
            <w:pPr>
              <w:spacing w:after="0"/>
              <w:rPr>
                <w:sz w:val="14"/>
                <w:szCs w:val="14"/>
                <w:color w:val="auto"/>
              </w:rPr>
            </w:pPr>
          </w:p>
        </w:tc>
        <w:tc>
          <w:tcPr>
            <w:tcW w:w="380" w:type="dxa"/>
            <w:vAlign w:val="bottom"/>
            <w:shd w:val="clear" w:color="auto" w:fill="E5E5E5"/>
          </w:tcPr>
          <w:p>
            <w:pPr>
              <w:spacing w:after="0"/>
              <w:rPr>
                <w:sz w:val="14"/>
                <w:szCs w:val="14"/>
                <w:color w:val="auto"/>
              </w:rPr>
            </w:pPr>
          </w:p>
        </w:tc>
        <w:tc>
          <w:tcPr>
            <w:tcW w:w="860" w:type="dxa"/>
            <w:vAlign w:val="bottom"/>
            <w:shd w:val="clear" w:color="auto" w:fill="E5E5E5"/>
          </w:tcPr>
          <w:p>
            <w:pPr>
              <w:spacing w:after="0"/>
              <w:rPr>
                <w:sz w:val="14"/>
                <w:szCs w:val="14"/>
                <w:color w:val="auto"/>
              </w:rPr>
            </w:pPr>
          </w:p>
        </w:tc>
        <w:tc>
          <w:tcPr>
            <w:tcW w:w="1260" w:type="dxa"/>
            <w:vAlign w:val="bottom"/>
            <w:gridSpan w:val="2"/>
            <w:shd w:val="clear" w:color="auto" w:fill="E5E5E5"/>
          </w:tcPr>
          <w:p>
            <w:pPr>
              <w:jc w:val="right"/>
              <w:ind w:right="152"/>
              <w:spacing w:after="0"/>
              <w:rPr>
                <w:sz w:val="20"/>
                <w:szCs w:val="20"/>
                <w:color w:val="auto"/>
              </w:rPr>
            </w:pPr>
            <w:r>
              <w:rPr>
                <w:rFonts w:ascii="Arial" w:cs="Arial" w:eastAsia="Arial" w:hAnsi="Arial"/>
                <w:sz w:val="14"/>
                <w:szCs w:val="14"/>
                <w:b w:val="1"/>
                <w:bCs w:val="1"/>
                <w:color w:val="auto"/>
              </w:rPr>
              <w:t>December 31,</w:t>
            </w:r>
          </w:p>
        </w:tc>
        <w:tc>
          <w:tcPr>
            <w:tcW w:w="340" w:type="dxa"/>
            <w:vAlign w:val="bottom"/>
            <w:shd w:val="clear" w:color="auto" w:fill="E5E5E5"/>
          </w:tcPr>
          <w:p>
            <w:pPr>
              <w:spacing w:after="0"/>
              <w:rPr>
                <w:sz w:val="14"/>
                <w:szCs w:val="14"/>
                <w:color w:val="auto"/>
              </w:rPr>
            </w:pPr>
          </w:p>
        </w:tc>
        <w:tc>
          <w:tcPr>
            <w:tcW w:w="880" w:type="dxa"/>
            <w:vAlign w:val="bottom"/>
            <w:shd w:val="clear" w:color="auto" w:fill="E5E5E5"/>
          </w:tcPr>
          <w:p>
            <w:pPr>
              <w:spacing w:after="0"/>
              <w:rPr>
                <w:sz w:val="14"/>
                <w:szCs w:val="14"/>
                <w:color w:val="auto"/>
              </w:rPr>
            </w:pPr>
          </w:p>
        </w:tc>
        <w:tc>
          <w:tcPr>
            <w:tcW w:w="360" w:type="dxa"/>
            <w:vAlign w:val="bottom"/>
            <w:shd w:val="clear" w:color="auto" w:fill="E5E5E5"/>
          </w:tcPr>
          <w:p>
            <w:pPr>
              <w:spacing w:after="0"/>
              <w:rPr>
                <w:sz w:val="14"/>
                <w:szCs w:val="14"/>
                <w:color w:val="auto"/>
              </w:rPr>
            </w:pPr>
          </w:p>
        </w:tc>
        <w:tc>
          <w:tcPr>
            <w:tcW w:w="1140" w:type="dxa"/>
            <w:vAlign w:val="bottom"/>
            <w:shd w:val="clear" w:color="auto" w:fill="E5E5E5"/>
          </w:tcPr>
          <w:p>
            <w:pPr>
              <w:spacing w:after="0"/>
              <w:rPr>
                <w:sz w:val="14"/>
                <w:szCs w:val="14"/>
                <w:color w:val="auto"/>
              </w:rPr>
            </w:pPr>
          </w:p>
        </w:tc>
      </w:tr>
      <w:tr>
        <w:trPr>
          <w:trHeight w:val="203"/>
        </w:trPr>
        <w:tc>
          <w:tcPr>
            <w:tcW w:w="4740" w:type="dxa"/>
            <w:vAlign w:val="bottom"/>
            <w:shd w:val="clear" w:color="auto" w:fill="E5E5E5"/>
          </w:tcPr>
          <w:p>
            <w:pPr>
              <w:spacing w:after="0"/>
              <w:rPr>
                <w:sz w:val="17"/>
                <w:szCs w:val="17"/>
                <w:color w:val="auto"/>
              </w:rPr>
            </w:pPr>
          </w:p>
        </w:tc>
        <w:tc>
          <w:tcPr>
            <w:tcW w:w="540" w:type="dxa"/>
            <w:vAlign w:val="bottom"/>
            <w:shd w:val="clear" w:color="auto" w:fill="E5E5E5"/>
          </w:tcPr>
          <w:p>
            <w:pPr>
              <w:spacing w:after="0"/>
              <w:rPr>
                <w:sz w:val="17"/>
                <w:szCs w:val="17"/>
                <w:color w:val="auto"/>
              </w:rPr>
            </w:pPr>
          </w:p>
        </w:tc>
        <w:tc>
          <w:tcPr>
            <w:tcW w:w="920" w:type="dxa"/>
            <w:vAlign w:val="bottom"/>
            <w:shd w:val="clear" w:color="auto" w:fill="E5E5E5"/>
          </w:tcPr>
          <w:p>
            <w:pPr>
              <w:jc w:val="right"/>
              <w:ind w:right="352"/>
              <w:spacing w:after="0" w:line="202" w:lineRule="exact"/>
              <w:rPr>
                <w:sz w:val="20"/>
                <w:szCs w:val="20"/>
                <w:color w:val="auto"/>
              </w:rPr>
            </w:pPr>
            <w:r>
              <w:rPr>
                <w:rFonts w:ascii="Arial" w:cs="Arial" w:eastAsia="Arial" w:hAnsi="Arial"/>
                <w:sz w:val="18"/>
                <w:szCs w:val="18"/>
                <w:b w:val="1"/>
                <w:bCs w:val="1"/>
                <w:color w:val="auto"/>
              </w:rPr>
              <w:t>2007</w:t>
            </w:r>
          </w:p>
        </w:tc>
        <w:tc>
          <w:tcPr>
            <w:tcW w:w="380" w:type="dxa"/>
            <w:vAlign w:val="bottom"/>
            <w:shd w:val="clear" w:color="auto" w:fill="E5E5E5"/>
          </w:tcPr>
          <w:p>
            <w:pPr>
              <w:spacing w:after="0"/>
              <w:rPr>
                <w:sz w:val="17"/>
                <w:szCs w:val="17"/>
                <w:color w:val="auto"/>
              </w:rPr>
            </w:pPr>
          </w:p>
        </w:tc>
        <w:tc>
          <w:tcPr>
            <w:tcW w:w="860" w:type="dxa"/>
            <w:vAlign w:val="bottom"/>
            <w:shd w:val="clear" w:color="auto" w:fill="E5E5E5"/>
          </w:tcPr>
          <w:p>
            <w:pPr>
              <w:jc w:val="right"/>
              <w:ind w:right="294"/>
              <w:spacing w:after="0" w:line="202" w:lineRule="exact"/>
              <w:rPr>
                <w:sz w:val="20"/>
                <w:szCs w:val="20"/>
                <w:color w:val="auto"/>
              </w:rPr>
            </w:pPr>
            <w:r>
              <w:rPr>
                <w:rFonts w:ascii="Arial" w:cs="Arial" w:eastAsia="Arial" w:hAnsi="Arial"/>
                <w:sz w:val="18"/>
                <w:szCs w:val="18"/>
                <w:b w:val="1"/>
                <w:bCs w:val="1"/>
                <w:color w:val="auto"/>
              </w:rPr>
              <w:t>2006</w:t>
            </w:r>
          </w:p>
        </w:tc>
        <w:tc>
          <w:tcPr>
            <w:tcW w:w="380" w:type="dxa"/>
            <w:vAlign w:val="bottom"/>
            <w:shd w:val="clear" w:color="auto" w:fill="E5E5E5"/>
          </w:tcPr>
          <w:p>
            <w:pPr>
              <w:spacing w:after="0"/>
              <w:rPr>
                <w:sz w:val="17"/>
                <w:szCs w:val="17"/>
                <w:color w:val="auto"/>
              </w:rPr>
            </w:pPr>
          </w:p>
        </w:tc>
        <w:tc>
          <w:tcPr>
            <w:tcW w:w="880" w:type="dxa"/>
            <w:vAlign w:val="bottom"/>
            <w:shd w:val="clear" w:color="auto" w:fill="E5E5E5"/>
          </w:tcPr>
          <w:p>
            <w:pPr>
              <w:jc w:val="right"/>
              <w:ind w:right="332"/>
              <w:spacing w:after="0" w:line="202" w:lineRule="exact"/>
              <w:rPr>
                <w:sz w:val="20"/>
                <w:szCs w:val="20"/>
                <w:color w:val="auto"/>
              </w:rPr>
            </w:pPr>
            <w:r>
              <w:rPr>
                <w:rFonts w:ascii="Arial" w:cs="Arial" w:eastAsia="Arial" w:hAnsi="Arial"/>
                <w:sz w:val="18"/>
                <w:szCs w:val="18"/>
                <w:b w:val="1"/>
                <w:bCs w:val="1"/>
                <w:color w:val="auto"/>
              </w:rPr>
              <w:t>2005</w:t>
            </w:r>
          </w:p>
        </w:tc>
        <w:tc>
          <w:tcPr>
            <w:tcW w:w="340" w:type="dxa"/>
            <w:vAlign w:val="bottom"/>
            <w:shd w:val="clear" w:color="auto" w:fill="E5E5E5"/>
          </w:tcPr>
          <w:p>
            <w:pPr>
              <w:spacing w:after="0"/>
              <w:rPr>
                <w:sz w:val="17"/>
                <w:szCs w:val="17"/>
                <w:color w:val="auto"/>
              </w:rPr>
            </w:pPr>
          </w:p>
        </w:tc>
        <w:tc>
          <w:tcPr>
            <w:tcW w:w="880" w:type="dxa"/>
            <w:vAlign w:val="bottom"/>
            <w:shd w:val="clear" w:color="auto" w:fill="E5E5E5"/>
          </w:tcPr>
          <w:p>
            <w:pPr>
              <w:jc w:val="right"/>
              <w:ind w:right="332"/>
              <w:spacing w:after="0" w:line="202" w:lineRule="exact"/>
              <w:rPr>
                <w:sz w:val="20"/>
                <w:szCs w:val="20"/>
                <w:color w:val="auto"/>
              </w:rPr>
            </w:pPr>
            <w:r>
              <w:rPr>
                <w:rFonts w:ascii="Arial" w:cs="Arial" w:eastAsia="Arial" w:hAnsi="Arial"/>
                <w:sz w:val="18"/>
                <w:szCs w:val="18"/>
                <w:b w:val="1"/>
                <w:bCs w:val="1"/>
                <w:color w:val="auto"/>
              </w:rPr>
              <w:t>2004</w:t>
            </w:r>
          </w:p>
        </w:tc>
        <w:tc>
          <w:tcPr>
            <w:tcW w:w="360" w:type="dxa"/>
            <w:vAlign w:val="bottom"/>
            <w:shd w:val="clear" w:color="auto" w:fill="E5E5E5"/>
          </w:tcPr>
          <w:p>
            <w:pPr>
              <w:spacing w:after="0"/>
              <w:rPr>
                <w:sz w:val="17"/>
                <w:szCs w:val="17"/>
                <w:color w:val="auto"/>
              </w:rPr>
            </w:pPr>
          </w:p>
        </w:tc>
        <w:tc>
          <w:tcPr>
            <w:tcW w:w="1140" w:type="dxa"/>
            <w:vAlign w:val="bottom"/>
            <w:shd w:val="clear" w:color="auto" w:fill="E5E5E5"/>
          </w:tcPr>
          <w:p>
            <w:pPr>
              <w:jc w:val="right"/>
              <w:ind w:right="592"/>
              <w:spacing w:after="0" w:line="202" w:lineRule="exact"/>
              <w:rPr>
                <w:sz w:val="20"/>
                <w:szCs w:val="20"/>
                <w:color w:val="auto"/>
              </w:rPr>
            </w:pPr>
            <w:r>
              <w:rPr>
                <w:rFonts w:ascii="Arial" w:cs="Arial" w:eastAsia="Arial" w:hAnsi="Arial"/>
                <w:sz w:val="18"/>
                <w:szCs w:val="18"/>
                <w:b w:val="1"/>
                <w:bCs w:val="1"/>
                <w:color w:val="auto"/>
              </w:rPr>
              <w:t>2003</w:t>
            </w:r>
          </w:p>
        </w:tc>
      </w:tr>
      <w:tr>
        <w:trPr>
          <w:trHeight w:val="203"/>
        </w:trPr>
        <w:tc>
          <w:tcPr>
            <w:tcW w:w="4740" w:type="dxa"/>
            <w:vAlign w:val="bottom"/>
          </w:tcPr>
          <w:p>
            <w:pPr>
              <w:spacing w:after="0" w:line="202" w:lineRule="exact"/>
              <w:rPr>
                <w:sz w:val="20"/>
                <w:szCs w:val="20"/>
                <w:color w:val="auto"/>
              </w:rPr>
            </w:pPr>
            <w:r>
              <w:rPr>
                <w:rFonts w:ascii="Arial" w:cs="Arial" w:eastAsia="Arial" w:hAnsi="Arial"/>
                <w:sz w:val="18"/>
                <w:szCs w:val="18"/>
                <w:color w:val="auto"/>
              </w:rPr>
              <w:t>Working capital</w:t>
            </w:r>
          </w:p>
        </w:tc>
        <w:tc>
          <w:tcPr>
            <w:tcW w:w="54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32"/>
              <w:spacing w:after="0" w:line="202" w:lineRule="exact"/>
              <w:rPr>
                <w:sz w:val="20"/>
                <w:szCs w:val="20"/>
                <w:color w:val="auto"/>
              </w:rPr>
            </w:pPr>
            <w:r>
              <w:rPr>
                <w:rFonts w:ascii="Arial" w:cs="Arial" w:eastAsia="Arial" w:hAnsi="Arial"/>
                <w:sz w:val="18"/>
                <w:szCs w:val="18"/>
                <w:b w:val="1"/>
                <w:bCs w:val="1"/>
                <w:color w:val="auto"/>
              </w:rPr>
              <w:t>4,893</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5,776</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92"/>
              <w:spacing w:after="0" w:line="202" w:lineRule="exact"/>
              <w:rPr>
                <w:sz w:val="20"/>
                <w:szCs w:val="20"/>
                <w:color w:val="auto"/>
              </w:rPr>
            </w:pPr>
            <w:r>
              <w:rPr>
                <w:rFonts w:ascii="Arial" w:cs="Arial" w:eastAsia="Arial" w:hAnsi="Arial"/>
                <w:sz w:val="18"/>
                <w:szCs w:val="18"/>
                <w:color w:val="auto"/>
              </w:rPr>
              <w:t>7,035</w:t>
            </w: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72"/>
              <w:spacing w:after="0" w:line="202" w:lineRule="exact"/>
              <w:rPr>
                <w:sz w:val="20"/>
                <w:szCs w:val="20"/>
                <w:color w:val="auto"/>
              </w:rPr>
            </w:pPr>
            <w:r>
              <w:rPr>
                <w:rFonts w:ascii="Arial" w:cs="Arial" w:eastAsia="Arial" w:hAnsi="Arial"/>
                <w:sz w:val="18"/>
                <w:szCs w:val="18"/>
                <w:color w:val="auto"/>
              </w:rPr>
              <w:t>8,373</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352"/>
              <w:spacing w:after="0" w:line="202" w:lineRule="exact"/>
              <w:rPr>
                <w:sz w:val="20"/>
                <w:szCs w:val="20"/>
                <w:color w:val="auto"/>
              </w:rPr>
            </w:pPr>
            <w:r>
              <w:rPr>
                <w:rFonts w:ascii="Arial" w:cs="Arial" w:eastAsia="Arial" w:hAnsi="Arial"/>
                <w:sz w:val="18"/>
                <w:szCs w:val="18"/>
                <w:color w:val="auto"/>
              </w:rPr>
              <w:t>5,626</w:t>
            </w:r>
          </w:p>
        </w:tc>
      </w:tr>
      <w:tr>
        <w:trPr>
          <w:trHeight w:val="203"/>
        </w:trPr>
        <w:tc>
          <w:tcPr>
            <w:tcW w:w="47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Property, plant and equipment, net</w:t>
            </w:r>
          </w:p>
        </w:tc>
        <w:tc>
          <w:tcPr>
            <w:tcW w:w="540" w:type="dxa"/>
            <w:vAlign w:val="bottom"/>
            <w:shd w:val="clear" w:color="auto" w:fill="E5E5E5"/>
          </w:tcPr>
          <w:p>
            <w:pPr>
              <w:spacing w:after="0"/>
              <w:rPr>
                <w:sz w:val="17"/>
                <w:szCs w:val="17"/>
                <w:color w:val="auto"/>
              </w:rPr>
            </w:pPr>
          </w:p>
        </w:tc>
        <w:tc>
          <w:tcPr>
            <w:tcW w:w="920" w:type="dxa"/>
            <w:vAlign w:val="bottom"/>
            <w:shd w:val="clear" w:color="auto" w:fill="E5E5E5"/>
          </w:tcPr>
          <w:p>
            <w:pPr>
              <w:jc w:val="right"/>
              <w:ind w:right="132"/>
              <w:spacing w:after="0" w:line="202" w:lineRule="exact"/>
              <w:rPr>
                <w:sz w:val="20"/>
                <w:szCs w:val="20"/>
                <w:color w:val="auto"/>
              </w:rPr>
            </w:pPr>
            <w:r>
              <w:rPr>
                <w:rFonts w:ascii="Arial" w:cs="Arial" w:eastAsia="Arial" w:hAnsi="Arial"/>
                <w:sz w:val="18"/>
                <w:szCs w:val="18"/>
                <w:b w:val="1"/>
                <w:bCs w:val="1"/>
                <w:color w:val="auto"/>
              </w:rPr>
              <w:t>3,609</w:t>
            </w:r>
          </w:p>
        </w:tc>
        <w:tc>
          <w:tcPr>
            <w:tcW w:w="380" w:type="dxa"/>
            <w:vAlign w:val="bottom"/>
            <w:shd w:val="clear" w:color="auto" w:fill="E5E5E5"/>
          </w:tcPr>
          <w:p>
            <w:pPr>
              <w:spacing w:after="0"/>
              <w:rPr>
                <w:sz w:val="17"/>
                <w:szCs w:val="17"/>
                <w:color w:val="auto"/>
              </w:rPr>
            </w:pPr>
          </w:p>
        </w:tc>
        <w:tc>
          <w:tcPr>
            <w:tcW w:w="860" w:type="dxa"/>
            <w:vAlign w:val="bottom"/>
            <w:shd w:val="clear" w:color="auto" w:fill="E5E5E5"/>
          </w:tcPr>
          <w:p>
            <w:pPr>
              <w:jc w:val="right"/>
              <w:ind w:right="54"/>
              <w:spacing w:after="0" w:line="202" w:lineRule="exact"/>
              <w:rPr>
                <w:sz w:val="20"/>
                <w:szCs w:val="20"/>
                <w:color w:val="auto"/>
              </w:rPr>
            </w:pPr>
            <w:r>
              <w:rPr>
                <w:rFonts w:ascii="Arial" w:cs="Arial" w:eastAsia="Arial" w:hAnsi="Arial"/>
                <w:sz w:val="18"/>
                <w:szCs w:val="18"/>
                <w:color w:val="auto"/>
              </w:rPr>
              <w:t>3,950</w:t>
            </w:r>
          </w:p>
        </w:tc>
        <w:tc>
          <w:tcPr>
            <w:tcW w:w="380" w:type="dxa"/>
            <w:vAlign w:val="bottom"/>
            <w:shd w:val="clear" w:color="auto" w:fill="E5E5E5"/>
          </w:tcPr>
          <w:p>
            <w:pPr>
              <w:spacing w:after="0"/>
              <w:rPr>
                <w:sz w:val="17"/>
                <w:szCs w:val="17"/>
                <w:color w:val="auto"/>
              </w:rPr>
            </w:pPr>
          </w:p>
        </w:tc>
        <w:tc>
          <w:tcPr>
            <w:tcW w:w="880" w:type="dxa"/>
            <w:vAlign w:val="bottom"/>
            <w:shd w:val="clear" w:color="auto" w:fill="E5E5E5"/>
          </w:tcPr>
          <w:p>
            <w:pPr>
              <w:jc w:val="right"/>
              <w:ind w:right="92"/>
              <w:spacing w:after="0" w:line="202" w:lineRule="exact"/>
              <w:rPr>
                <w:sz w:val="20"/>
                <w:szCs w:val="20"/>
                <w:color w:val="auto"/>
              </w:rPr>
            </w:pPr>
            <w:r>
              <w:rPr>
                <w:rFonts w:ascii="Arial" w:cs="Arial" w:eastAsia="Arial" w:hAnsi="Arial"/>
                <w:sz w:val="18"/>
                <w:szCs w:val="18"/>
                <w:color w:val="auto"/>
              </w:rPr>
              <w:t>3,730</w:t>
            </w:r>
          </w:p>
        </w:tc>
        <w:tc>
          <w:tcPr>
            <w:tcW w:w="340" w:type="dxa"/>
            <w:vAlign w:val="bottom"/>
            <w:shd w:val="clear" w:color="auto" w:fill="E5E5E5"/>
          </w:tcPr>
          <w:p>
            <w:pPr>
              <w:spacing w:after="0"/>
              <w:rPr>
                <w:sz w:val="17"/>
                <w:szCs w:val="17"/>
                <w:color w:val="auto"/>
              </w:rPr>
            </w:pPr>
          </w:p>
        </w:tc>
        <w:tc>
          <w:tcPr>
            <w:tcW w:w="880" w:type="dxa"/>
            <w:vAlign w:val="bottom"/>
            <w:shd w:val="clear" w:color="auto" w:fill="E5E5E5"/>
          </w:tcPr>
          <w:p>
            <w:pPr>
              <w:jc w:val="right"/>
              <w:ind w:right="72"/>
              <w:spacing w:after="0" w:line="202" w:lineRule="exact"/>
              <w:rPr>
                <w:sz w:val="20"/>
                <w:szCs w:val="20"/>
                <w:color w:val="auto"/>
              </w:rPr>
            </w:pPr>
            <w:r>
              <w:rPr>
                <w:rFonts w:ascii="Arial" w:cs="Arial" w:eastAsia="Arial" w:hAnsi="Arial"/>
                <w:sz w:val="18"/>
                <w:szCs w:val="18"/>
                <w:color w:val="auto"/>
              </w:rPr>
              <w:t>3,794</w:t>
            </w:r>
          </w:p>
        </w:tc>
        <w:tc>
          <w:tcPr>
            <w:tcW w:w="360" w:type="dxa"/>
            <w:vAlign w:val="bottom"/>
            <w:shd w:val="clear" w:color="auto" w:fill="E5E5E5"/>
          </w:tcPr>
          <w:p>
            <w:pPr>
              <w:spacing w:after="0"/>
              <w:rPr>
                <w:sz w:val="17"/>
                <w:szCs w:val="17"/>
                <w:color w:val="auto"/>
              </w:rPr>
            </w:pPr>
          </w:p>
        </w:tc>
        <w:tc>
          <w:tcPr>
            <w:tcW w:w="1140" w:type="dxa"/>
            <w:vAlign w:val="bottom"/>
            <w:shd w:val="clear" w:color="auto" w:fill="E5E5E5"/>
          </w:tcPr>
          <w:p>
            <w:pPr>
              <w:jc w:val="right"/>
              <w:ind w:right="352"/>
              <w:spacing w:after="0" w:line="202" w:lineRule="exact"/>
              <w:rPr>
                <w:sz w:val="20"/>
                <w:szCs w:val="20"/>
                <w:color w:val="auto"/>
              </w:rPr>
            </w:pPr>
            <w:r>
              <w:rPr>
                <w:rFonts w:ascii="Arial" w:cs="Arial" w:eastAsia="Arial" w:hAnsi="Arial"/>
                <w:sz w:val="18"/>
                <w:szCs w:val="18"/>
                <w:color w:val="auto"/>
              </w:rPr>
              <w:t>3,998</w:t>
            </w:r>
          </w:p>
        </w:tc>
      </w:tr>
      <w:tr>
        <w:trPr>
          <w:trHeight w:val="203"/>
        </w:trPr>
        <w:tc>
          <w:tcPr>
            <w:tcW w:w="4740" w:type="dxa"/>
            <w:vAlign w:val="bottom"/>
          </w:tcPr>
          <w:p>
            <w:pPr>
              <w:spacing w:after="0" w:line="202" w:lineRule="exact"/>
              <w:rPr>
                <w:sz w:val="20"/>
                <w:szCs w:val="20"/>
                <w:color w:val="auto"/>
              </w:rPr>
            </w:pPr>
            <w:r>
              <w:rPr>
                <w:rFonts w:ascii="Arial" w:cs="Arial" w:eastAsia="Arial" w:hAnsi="Arial"/>
                <w:sz w:val="18"/>
                <w:szCs w:val="18"/>
                <w:color w:val="auto"/>
              </w:rPr>
              <w:t>Total assets</w:t>
            </w:r>
          </w:p>
        </w:tc>
        <w:tc>
          <w:tcPr>
            <w:tcW w:w="540" w:type="dxa"/>
            <w:vAlign w:val="bottom"/>
          </w:tcPr>
          <w:p>
            <w:pPr>
              <w:spacing w:after="0"/>
              <w:rPr>
                <w:sz w:val="17"/>
                <w:szCs w:val="17"/>
                <w:color w:val="auto"/>
              </w:rPr>
            </w:pPr>
          </w:p>
        </w:tc>
        <w:tc>
          <w:tcPr>
            <w:tcW w:w="920" w:type="dxa"/>
            <w:vAlign w:val="bottom"/>
          </w:tcPr>
          <w:p>
            <w:pPr>
              <w:jc w:val="right"/>
              <w:ind w:right="132"/>
              <w:spacing w:after="0" w:line="202" w:lineRule="exact"/>
              <w:rPr>
                <w:sz w:val="20"/>
                <w:szCs w:val="20"/>
                <w:color w:val="auto"/>
              </w:rPr>
            </w:pPr>
            <w:r>
              <w:rPr>
                <w:rFonts w:ascii="Arial" w:cs="Arial" w:eastAsia="Arial" w:hAnsi="Arial"/>
                <w:sz w:val="18"/>
                <w:szCs w:val="18"/>
                <w:b w:val="1"/>
                <w:bCs w:val="1"/>
                <w:color w:val="auto"/>
              </w:rPr>
              <w:t>12,667</w:t>
            </w:r>
          </w:p>
        </w:tc>
        <w:tc>
          <w:tcPr>
            <w:tcW w:w="380" w:type="dxa"/>
            <w:vAlign w:val="bottom"/>
          </w:tcPr>
          <w:p>
            <w:pPr>
              <w:spacing w:after="0"/>
              <w:rPr>
                <w:sz w:val="17"/>
                <w:szCs w:val="17"/>
                <w:color w:val="auto"/>
              </w:rPr>
            </w:pPr>
          </w:p>
        </w:tc>
        <w:tc>
          <w:tcPr>
            <w:tcW w:w="8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13,930</w:t>
            </w:r>
          </w:p>
        </w:tc>
        <w:tc>
          <w:tcPr>
            <w:tcW w:w="380" w:type="dxa"/>
            <w:vAlign w:val="bottom"/>
          </w:tcPr>
          <w:p>
            <w:pPr>
              <w:spacing w:after="0"/>
              <w:rPr>
                <w:sz w:val="17"/>
                <w:szCs w:val="17"/>
                <w:color w:val="auto"/>
              </w:rPr>
            </w:pPr>
          </w:p>
        </w:tc>
        <w:tc>
          <w:tcPr>
            <w:tcW w:w="880" w:type="dxa"/>
            <w:vAlign w:val="bottom"/>
          </w:tcPr>
          <w:p>
            <w:pPr>
              <w:jc w:val="right"/>
              <w:ind w:right="92"/>
              <w:spacing w:after="0" w:line="202" w:lineRule="exact"/>
              <w:rPr>
                <w:sz w:val="20"/>
                <w:szCs w:val="20"/>
                <w:color w:val="auto"/>
              </w:rPr>
            </w:pPr>
            <w:r>
              <w:rPr>
                <w:rFonts w:ascii="Arial" w:cs="Arial" w:eastAsia="Arial" w:hAnsi="Arial"/>
                <w:sz w:val="18"/>
                <w:szCs w:val="18"/>
                <w:color w:val="auto"/>
              </w:rPr>
              <w:t>15,063</w:t>
            </w:r>
          </w:p>
        </w:tc>
        <w:tc>
          <w:tcPr>
            <w:tcW w:w="340" w:type="dxa"/>
            <w:vAlign w:val="bottom"/>
          </w:tcPr>
          <w:p>
            <w:pPr>
              <w:spacing w:after="0"/>
              <w:rPr>
                <w:sz w:val="17"/>
                <w:szCs w:val="17"/>
                <w:color w:val="auto"/>
              </w:rPr>
            </w:pPr>
          </w:p>
        </w:tc>
        <w:tc>
          <w:tcPr>
            <w:tcW w:w="880" w:type="dxa"/>
            <w:vAlign w:val="bottom"/>
          </w:tcPr>
          <w:p>
            <w:pPr>
              <w:jc w:val="right"/>
              <w:ind w:right="72"/>
              <w:spacing w:after="0" w:line="202" w:lineRule="exact"/>
              <w:rPr>
                <w:sz w:val="20"/>
                <w:szCs w:val="20"/>
                <w:color w:val="auto"/>
              </w:rPr>
            </w:pPr>
            <w:r>
              <w:rPr>
                <w:rFonts w:ascii="Arial" w:cs="Arial" w:eastAsia="Arial" w:hAnsi="Arial"/>
                <w:sz w:val="18"/>
                <w:szCs w:val="18"/>
                <w:color w:val="auto"/>
              </w:rPr>
              <w:t>16,299</w:t>
            </w:r>
          </w:p>
        </w:tc>
        <w:tc>
          <w:tcPr>
            <w:tcW w:w="360" w:type="dxa"/>
            <w:vAlign w:val="bottom"/>
          </w:tcPr>
          <w:p>
            <w:pPr>
              <w:spacing w:after="0"/>
              <w:rPr>
                <w:sz w:val="17"/>
                <w:szCs w:val="17"/>
                <w:color w:val="auto"/>
              </w:rPr>
            </w:pPr>
          </w:p>
        </w:tc>
        <w:tc>
          <w:tcPr>
            <w:tcW w:w="1140" w:type="dxa"/>
            <w:vAlign w:val="bottom"/>
          </w:tcPr>
          <w:p>
            <w:pPr>
              <w:jc w:val="right"/>
              <w:ind w:right="352"/>
              <w:spacing w:after="0" w:line="202" w:lineRule="exact"/>
              <w:rPr>
                <w:sz w:val="20"/>
                <w:szCs w:val="20"/>
                <w:color w:val="auto"/>
              </w:rPr>
            </w:pPr>
            <w:r>
              <w:rPr>
                <w:rFonts w:ascii="Arial" w:cs="Arial" w:eastAsia="Arial" w:hAnsi="Arial"/>
                <w:sz w:val="18"/>
                <w:szCs w:val="18"/>
                <w:color w:val="auto"/>
              </w:rPr>
              <w:t>15,510</w:t>
            </w:r>
          </w:p>
        </w:tc>
      </w:tr>
      <w:tr>
        <w:trPr>
          <w:trHeight w:val="203"/>
        </w:trPr>
        <w:tc>
          <w:tcPr>
            <w:tcW w:w="47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Long-term debt</w:t>
            </w:r>
          </w:p>
        </w:tc>
        <w:tc>
          <w:tcPr>
            <w:tcW w:w="540" w:type="dxa"/>
            <w:vAlign w:val="bottom"/>
            <w:shd w:val="clear" w:color="auto" w:fill="E5E5E5"/>
          </w:tcPr>
          <w:p>
            <w:pPr>
              <w:spacing w:after="0"/>
              <w:rPr>
                <w:sz w:val="17"/>
                <w:szCs w:val="17"/>
                <w:color w:val="auto"/>
              </w:rPr>
            </w:pPr>
          </w:p>
        </w:tc>
        <w:tc>
          <w:tcPr>
            <w:tcW w:w="920" w:type="dxa"/>
            <w:vAlign w:val="bottom"/>
            <w:shd w:val="clear" w:color="auto" w:fill="E5E5E5"/>
          </w:tcPr>
          <w:p>
            <w:pPr>
              <w:jc w:val="right"/>
              <w:ind w:right="132"/>
              <w:spacing w:after="0" w:line="202" w:lineRule="exact"/>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E5E5E5"/>
          </w:tcPr>
          <w:p>
            <w:pPr>
              <w:spacing w:after="0"/>
              <w:rPr>
                <w:sz w:val="17"/>
                <w:szCs w:val="17"/>
                <w:color w:val="auto"/>
              </w:rPr>
            </w:pPr>
          </w:p>
        </w:tc>
        <w:tc>
          <w:tcPr>
            <w:tcW w:w="860" w:type="dxa"/>
            <w:vAlign w:val="bottom"/>
            <w:shd w:val="clear" w:color="auto" w:fill="E5E5E5"/>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7"/>
                <w:szCs w:val="17"/>
                <w:color w:val="auto"/>
              </w:rPr>
            </w:pPr>
          </w:p>
        </w:tc>
        <w:tc>
          <w:tcPr>
            <w:tcW w:w="880" w:type="dxa"/>
            <w:vAlign w:val="bottom"/>
            <w:shd w:val="clear" w:color="auto" w:fill="E5E5E5"/>
          </w:tcPr>
          <w:p>
            <w:pPr>
              <w:jc w:val="right"/>
              <w:ind w:right="92"/>
              <w:spacing w:after="0" w:line="202" w:lineRule="exact"/>
              <w:rPr>
                <w:sz w:val="20"/>
                <w:szCs w:val="20"/>
                <w:color w:val="auto"/>
              </w:rPr>
            </w:pPr>
            <w:r>
              <w:rPr>
                <w:rFonts w:ascii="Arial" w:cs="Arial" w:eastAsia="Arial" w:hAnsi="Arial"/>
                <w:sz w:val="18"/>
                <w:szCs w:val="18"/>
                <w:color w:val="auto"/>
              </w:rPr>
              <w:t>329</w:t>
            </w:r>
          </w:p>
        </w:tc>
        <w:tc>
          <w:tcPr>
            <w:tcW w:w="340" w:type="dxa"/>
            <w:vAlign w:val="bottom"/>
            <w:shd w:val="clear" w:color="auto" w:fill="E5E5E5"/>
          </w:tcPr>
          <w:p>
            <w:pPr>
              <w:spacing w:after="0"/>
              <w:rPr>
                <w:sz w:val="17"/>
                <w:szCs w:val="17"/>
                <w:color w:val="auto"/>
              </w:rPr>
            </w:pPr>
          </w:p>
        </w:tc>
        <w:tc>
          <w:tcPr>
            <w:tcW w:w="880" w:type="dxa"/>
            <w:vAlign w:val="bottom"/>
            <w:shd w:val="clear" w:color="auto" w:fill="E5E5E5"/>
          </w:tcPr>
          <w:p>
            <w:pPr>
              <w:jc w:val="right"/>
              <w:ind w:right="72"/>
              <w:spacing w:after="0" w:line="202" w:lineRule="exact"/>
              <w:rPr>
                <w:sz w:val="20"/>
                <w:szCs w:val="20"/>
                <w:color w:val="auto"/>
              </w:rPr>
            </w:pPr>
            <w:r>
              <w:rPr>
                <w:rFonts w:ascii="Arial" w:cs="Arial" w:eastAsia="Arial" w:hAnsi="Arial"/>
                <w:sz w:val="18"/>
                <w:szCs w:val="18"/>
                <w:color w:val="auto"/>
              </w:rPr>
              <w:t>368</w:t>
            </w:r>
          </w:p>
        </w:tc>
        <w:tc>
          <w:tcPr>
            <w:tcW w:w="360" w:type="dxa"/>
            <w:vAlign w:val="bottom"/>
            <w:shd w:val="clear" w:color="auto" w:fill="E5E5E5"/>
          </w:tcPr>
          <w:p>
            <w:pPr>
              <w:spacing w:after="0"/>
              <w:rPr>
                <w:sz w:val="17"/>
                <w:szCs w:val="17"/>
                <w:color w:val="auto"/>
              </w:rPr>
            </w:pPr>
          </w:p>
        </w:tc>
        <w:tc>
          <w:tcPr>
            <w:tcW w:w="1140" w:type="dxa"/>
            <w:vAlign w:val="bottom"/>
            <w:shd w:val="clear" w:color="auto" w:fill="E5E5E5"/>
          </w:tcPr>
          <w:p>
            <w:pPr>
              <w:jc w:val="right"/>
              <w:ind w:right="352"/>
              <w:spacing w:after="0" w:line="202" w:lineRule="exact"/>
              <w:rPr>
                <w:sz w:val="20"/>
                <w:szCs w:val="20"/>
                <w:color w:val="auto"/>
              </w:rPr>
            </w:pPr>
            <w:r>
              <w:rPr>
                <w:rFonts w:ascii="Arial" w:cs="Arial" w:eastAsia="Arial" w:hAnsi="Arial"/>
                <w:sz w:val="18"/>
                <w:szCs w:val="18"/>
                <w:color w:val="auto"/>
              </w:rPr>
              <w:t>395</w:t>
            </w:r>
          </w:p>
        </w:tc>
      </w:tr>
      <w:tr>
        <w:trPr>
          <w:trHeight w:val="203"/>
        </w:trPr>
        <w:tc>
          <w:tcPr>
            <w:tcW w:w="4740" w:type="dxa"/>
            <w:vAlign w:val="bottom"/>
          </w:tcPr>
          <w:p>
            <w:pPr>
              <w:spacing w:after="0" w:line="202" w:lineRule="exact"/>
              <w:rPr>
                <w:sz w:val="20"/>
                <w:szCs w:val="20"/>
                <w:color w:val="auto"/>
              </w:rPr>
            </w:pPr>
            <w:r>
              <w:rPr>
                <w:rFonts w:ascii="Arial" w:cs="Arial" w:eastAsia="Arial" w:hAnsi="Arial"/>
                <w:sz w:val="18"/>
                <w:szCs w:val="18"/>
                <w:color w:val="auto"/>
              </w:rPr>
              <w:t>Stockholders’ equity</w:t>
            </w:r>
          </w:p>
        </w:tc>
        <w:tc>
          <w:tcPr>
            <w:tcW w:w="540" w:type="dxa"/>
            <w:vAlign w:val="bottom"/>
          </w:tcPr>
          <w:p>
            <w:pPr>
              <w:spacing w:after="0"/>
              <w:rPr>
                <w:sz w:val="17"/>
                <w:szCs w:val="17"/>
                <w:color w:val="auto"/>
              </w:rPr>
            </w:pPr>
          </w:p>
        </w:tc>
        <w:tc>
          <w:tcPr>
            <w:tcW w:w="920" w:type="dxa"/>
            <w:vAlign w:val="bottom"/>
          </w:tcPr>
          <w:p>
            <w:pPr>
              <w:jc w:val="right"/>
              <w:ind w:right="132"/>
              <w:spacing w:after="0" w:line="202" w:lineRule="exact"/>
              <w:rPr>
                <w:sz w:val="20"/>
                <w:szCs w:val="20"/>
                <w:color w:val="auto"/>
              </w:rPr>
            </w:pPr>
            <w:r>
              <w:rPr>
                <w:rFonts w:ascii="Arial" w:cs="Arial" w:eastAsia="Arial" w:hAnsi="Arial"/>
                <w:sz w:val="18"/>
                <w:szCs w:val="18"/>
                <w:b w:val="1"/>
                <w:bCs w:val="1"/>
                <w:color w:val="auto"/>
              </w:rPr>
              <w:t>9,975</w:t>
            </w:r>
          </w:p>
        </w:tc>
        <w:tc>
          <w:tcPr>
            <w:tcW w:w="380" w:type="dxa"/>
            <w:vAlign w:val="bottom"/>
          </w:tcPr>
          <w:p>
            <w:pPr>
              <w:spacing w:after="0"/>
              <w:rPr>
                <w:sz w:val="17"/>
                <w:szCs w:val="17"/>
                <w:color w:val="auto"/>
              </w:rPr>
            </w:pPr>
          </w:p>
        </w:tc>
        <w:tc>
          <w:tcPr>
            <w:tcW w:w="8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11,360</w:t>
            </w:r>
          </w:p>
        </w:tc>
        <w:tc>
          <w:tcPr>
            <w:tcW w:w="380" w:type="dxa"/>
            <w:vAlign w:val="bottom"/>
          </w:tcPr>
          <w:p>
            <w:pPr>
              <w:spacing w:after="0"/>
              <w:rPr>
                <w:sz w:val="17"/>
                <w:szCs w:val="17"/>
                <w:color w:val="auto"/>
              </w:rPr>
            </w:pPr>
          </w:p>
        </w:tc>
        <w:tc>
          <w:tcPr>
            <w:tcW w:w="880" w:type="dxa"/>
            <w:vAlign w:val="bottom"/>
          </w:tcPr>
          <w:p>
            <w:pPr>
              <w:jc w:val="right"/>
              <w:ind w:right="92"/>
              <w:spacing w:after="0" w:line="202" w:lineRule="exact"/>
              <w:rPr>
                <w:sz w:val="20"/>
                <w:szCs w:val="20"/>
                <w:color w:val="auto"/>
              </w:rPr>
            </w:pPr>
            <w:r>
              <w:rPr>
                <w:rFonts w:ascii="Arial" w:cs="Arial" w:eastAsia="Arial" w:hAnsi="Arial"/>
                <w:sz w:val="18"/>
                <w:szCs w:val="18"/>
                <w:color w:val="auto"/>
              </w:rPr>
              <w:t>11,937</w:t>
            </w:r>
          </w:p>
        </w:tc>
        <w:tc>
          <w:tcPr>
            <w:tcW w:w="340" w:type="dxa"/>
            <w:vAlign w:val="bottom"/>
          </w:tcPr>
          <w:p>
            <w:pPr>
              <w:spacing w:after="0"/>
              <w:rPr>
                <w:sz w:val="17"/>
                <w:szCs w:val="17"/>
                <w:color w:val="auto"/>
              </w:rPr>
            </w:pPr>
          </w:p>
        </w:tc>
        <w:tc>
          <w:tcPr>
            <w:tcW w:w="880" w:type="dxa"/>
            <w:vAlign w:val="bottom"/>
          </w:tcPr>
          <w:p>
            <w:pPr>
              <w:jc w:val="right"/>
              <w:ind w:right="72"/>
              <w:spacing w:after="0" w:line="202" w:lineRule="exact"/>
              <w:rPr>
                <w:sz w:val="20"/>
                <w:szCs w:val="20"/>
                <w:color w:val="auto"/>
              </w:rPr>
            </w:pPr>
            <w:r>
              <w:rPr>
                <w:rFonts w:ascii="Arial" w:cs="Arial" w:eastAsia="Arial" w:hAnsi="Arial"/>
                <w:sz w:val="18"/>
                <w:szCs w:val="18"/>
                <w:color w:val="auto"/>
              </w:rPr>
              <w:t>13,063</w:t>
            </w:r>
          </w:p>
        </w:tc>
        <w:tc>
          <w:tcPr>
            <w:tcW w:w="360" w:type="dxa"/>
            <w:vAlign w:val="bottom"/>
          </w:tcPr>
          <w:p>
            <w:pPr>
              <w:spacing w:after="0"/>
              <w:rPr>
                <w:sz w:val="17"/>
                <w:szCs w:val="17"/>
                <w:color w:val="auto"/>
              </w:rPr>
            </w:pPr>
          </w:p>
        </w:tc>
        <w:tc>
          <w:tcPr>
            <w:tcW w:w="1140" w:type="dxa"/>
            <w:vAlign w:val="bottom"/>
          </w:tcPr>
          <w:p>
            <w:pPr>
              <w:jc w:val="right"/>
              <w:ind w:right="352"/>
              <w:spacing w:after="0" w:line="202" w:lineRule="exact"/>
              <w:rPr>
                <w:sz w:val="20"/>
                <w:szCs w:val="20"/>
                <w:color w:val="auto"/>
              </w:rPr>
            </w:pPr>
            <w:r>
              <w:rPr>
                <w:rFonts w:ascii="Arial" w:cs="Arial" w:eastAsia="Arial" w:hAnsi="Arial"/>
                <w:sz w:val="18"/>
                <w:szCs w:val="18"/>
                <w:color w:val="auto"/>
              </w:rPr>
              <w:t>11,864</w:t>
            </w:r>
          </w:p>
        </w:tc>
      </w:tr>
      <w:tr>
        <w:trPr>
          <w:trHeight w:val="311"/>
        </w:trPr>
        <w:tc>
          <w:tcPr>
            <w:tcW w:w="4740" w:type="dxa"/>
            <w:vAlign w:val="bottom"/>
            <w:shd w:val="clear" w:color="auto" w:fill="E5E5E5"/>
          </w:tcPr>
          <w:p>
            <w:pPr>
              <w:spacing w:after="0"/>
              <w:rPr>
                <w:sz w:val="20"/>
                <w:szCs w:val="20"/>
                <w:color w:val="auto"/>
              </w:rPr>
            </w:pPr>
            <w:r>
              <w:rPr>
                <w:rFonts w:ascii="Arial" w:cs="Arial" w:eastAsia="Arial" w:hAnsi="Arial"/>
                <w:sz w:val="18"/>
                <w:szCs w:val="18"/>
                <w:color w:val="auto"/>
              </w:rPr>
              <w:t>Employees</w:t>
            </w:r>
          </w:p>
        </w:tc>
        <w:tc>
          <w:tcPr>
            <w:tcW w:w="540" w:type="dxa"/>
            <w:vAlign w:val="bottom"/>
            <w:shd w:val="clear" w:color="auto" w:fill="E5E5E5"/>
          </w:tcPr>
          <w:p>
            <w:pPr>
              <w:spacing w:after="0"/>
              <w:rPr>
                <w:sz w:val="24"/>
                <w:szCs w:val="24"/>
                <w:color w:val="auto"/>
              </w:rPr>
            </w:pPr>
          </w:p>
        </w:tc>
        <w:tc>
          <w:tcPr>
            <w:tcW w:w="920" w:type="dxa"/>
            <w:vAlign w:val="bottom"/>
            <w:shd w:val="clear" w:color="auto" w:fill="E5E5E5"/>
          </w:tcPr>
          <w:p>
            <w:pPr>
              <w:jc w:val="right"/>
              <w:ind w:right="132"/>
              <w:spacing w:after="0"/>
              <w:rPr>
                <w:sz w:val="20"/>
                <w:szCs w:val="20"/>
                <w:color w:val="auto"/>
              </w:rPr>
            </w:pPr>
            <w:r>
              <w:rPr>
                <w:rFonts w:ascii="Arial" w:cs="Arial" w:eastAsia="Arial" w:hAnsi="Arial"/>
                <w:sz w:val="18"/>
                <w:szCs w:val="18"/>
                <w:b w:val="1"/>
                <w:bCs w:val="1"/>
                <w:color w:val="auto"/>
              </w:rPr>
              <w:t>30,175</w:t>
            </w:r>
          </w:p>
        </w:tc>
        <w:tc>
          <w:tcPr>
            <w:tcW w:w="380" w:type="dxa"/>
            <w:vAlign w:val="bottom"/>
            <w:shd w:val="clear" w:color="auto" w:fill="E5E5E5"/>
          </w:tcPr>
          <w:p>
            <w:pPr>
              <w:spacing w:after="0"/>
              <w:rPr>
                <w:sz w:val="24"/>
                <w:szCs w:val="24"/>
                <w:color w:val="auto"/>
              </w:rPr>
            </w:pPr>
          </w:p>
        </w:tc>
        <w:tc>
          <w:tcPr>
            <w:tcW w:w="860" w:type="dxa"/>
            <w:vAlign w:val="bottom"/>
            <w:shd w:val="clear" w:color="auto" w:fill="E5E5E5"/>
          </w:tcPr>
          <w:p>
            <w:pPr>
              <w:jc w:val="right"/>
              <w:ind w:right="54"/>
              <w:spacing w:after="0"/>
              <w:rPr>
                <w:sz w:val="20"/>
                <w:szCs w:val="20"/>
                <w:color w:val="auto"/>
              </w:rPr>
            </w:pPr>
            <w:r>
              <w:rPr>
                <w:rFonts w:ascii="Arial" w:cs="Arial" w:eastAsia="Arial" w:hAnsi="Arial"/>
                <w:sz w:val="18"/>
                <w:szCs w:val="18"/>
                <w:color w:val="auto"/>
              </w:rPr>
              <w:t>30,986</w:t>
            </w:r>
          </w:p>
        </w:tc>
        <w:tc>
          <w:tcPr>
            <w:tcW w:w="380" w:type="dxa"/>
            <w:vAlign w:val="bottom"/>
            <w:shd w:val="clear" w:color="auto" w:fill="E5E5E5"/>
          </w:tcPr>
          <w:p>
            <w:pPr>
              <w:spacing w:after="0"/>
              <w:rPr>
                <w:sz w:val="24"/>
                <w:szCs w:val="24"/>
                <w:color w:val="auto"/>
              </w:rPr>
            </w:pPr>
          </w:p>
        </w:tc>
        <w:tc>
          <w:tcPr>
            <w:tcW w:w="8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30,068</w:t>
            </w:r>
          </w:p>
        </w:tc>
        <w:tc>
          <w:tcPr>
            <w:tcW w:w="340" w:type="dxa"/>
            <w:vAlign w:val="bottom"/>
            <w:shd w:val="clear" w:color="auto" w:fill="E5E5E5"/>
          </w:tcPr>
          <w:p>
            <w:pPr>
              <w:spacing w:after="0"/>
              <w:rPr>
                <w:sz w:val="24"/>
                <w:szCs w:val="24"/>
                <w:color w:val="auto"/>
              </w:rPr>
            </w:pPr>
          </w:p>
        </w:tc>
        <w:tc>
          <w:tcPr>
            <w:tcW w:w="88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30,446</w:t>
            </w:r>
          </w:p>
        </w:tc>
        <w:tc>
          <w:tcPr>
            <w:tcW w:w="360" w:type="dxa"/>
            <w:vAlign w:val="bottom"/>
            <w:shd w:val="clear" w:color="auto" w:fill="E5E5E5"/>
          </w:tcPr>
          <w:p>
            <w:pPr>
              <w:spacing w:after="0"/>
              <w:rPr>
                <w:sz w:val="24"/>
                <w:szCs w:val="24"/>
                <w:color w:val="auto"/>
              </w:rPr>
            </w:pPr>
          </w:p>
        </w:tc>
        <w:tc>
          <w:tcPr>
            <w:tcW w:w="1140" w:type="dxa"/>
            <w:vAlign w:val="bottom"/>
            <w:shd w:val="clear" w:color="auto" w:fill="E5E5E5"/>
          </w:tcPr>
          <w:p>
            <w:pPr>
              <w:jc w:val="right"/>
              <w:ind w:right="352"/>
              <w:spacing w:after="0"/>
              <w:rPr>
                <w:sz w:val="20"/>
                <w:szCs w:val="20"/>
                <w:color w:val="auto"/>
              </w:rPr>
            </w:pPr>
            <w:r>
              <w:rPr>
                <w:rFonts w:ascii="Arial" w:cs="Arial" w:eastAsia="Arial" w:hAnsi="Arial"/>
                <w:sz w:val="18"/>
                <w:szCs w:val="18"/>
                <w:color w:val="auto"/>
              </w:rPr>
              <w:t>29,083</w:t>
            </w:r>
          </w:p>
        </w:tc>
      </w:tr>
      <w:tr>
        <w:trPr>
          <w:trHeight w:val="233"/>
        </w:trPr>
        <w:tc>
          <w:tcPr>
            <w:tcW w:w="4740" w:type="dxa"/>
            <w:vAlign w:val="bottom"/>
          </w:tcPr>
          <w:p>
            <w:pPr>
              <w:spacing w:after="0"/>
              <w:rPr>
                <w:sz w:val="20"/>
                <w:szCs w:val="20"/>
                <w:color w:val="auto"/>
              </w:rPr>
            </w:pPr>
            <w:r>
              <w:rPr>
                <w:rFonts w:ascii="Arial" w:cs="Arial" w:eastAsia="Arial" w:hAnsi="Arial"/>
                <w:sz w:val="18"/>
                <w:szCs w:val="18"/>
                <w:color w:val="auto"/>
              </w:rPr>
              <w:t>Stockholders of record</w:t>
            </w:r>
          </w:p>
        </w:tc>
        <w:tc>
          <w:tcPr>
            <w:tcW w:w="540" w:type="dxa"/>
            <w:vAlign w:val="bottom"/>
          </w:tcPr>
          <w:p>
            <w:pPr>
              <w:spacing w:after="0"/>
              <w:rPr>
                <w:sz w:val="20"/>
                <w:szCs w:val="20"/>
                <w:color w:val="auto"/>
              </w:rPr>
            </w:pPr>
          </w:p>
        </w:tc>
        <w:tc>
          <w:tcPr>
            <w:tcW w:w="920" w:type="dxa"/>
            <w:vAlign w:val="bottom"/>
          </w:tcPr>
          <w:p>
            <w:pPr>
              <w:jc w:val="right"/>
              <w:ind w:right="132"/>
              <w:spacing w:after="0"/>
              <w:rPr>
                <w:sz w:val="20"/>
                <w:szCs w:val="20"/>
                <w:color w:val="auto"/>
              </w:rPr>
            </w:pPr>
            <w:r>
              <w:rPr>
                <w:rFonts w:ascii="Arial" w:cs="Arial" w:eastAsia="Arial" w:hAnsi="Arial"/>
                <w:sz w:val="18"/>
                <w:szCs w:val="18"/>
                <w:b w:val="1"/>
                <w:bCs w:val="1"/>
                <w:color w:val="auto"/>
              </w:rPr>
              <w:t>26,037</w:t>
            </w:r>
          </w:p>
        </w:tc>
        <w:tc>
          <w:tcPr>
            <w:tcW w:w="380" w:type="dxa"/>
            <w:vAlign w:val="bottom"/>
          </w:tcPr>
          <w:p>
            <w:pPr>
              <w:spacing w:after="0"/>
              <w:rPr>
                <w:sz w:val="20"/>
                <w:szCs w:val="20"/>
                <w:color w:val="auto"/>
              </w:rPr>
            </w:pPr>
          </w:p>
        </w:tc>
        <w:tc>
          <w:tcPr>
            <w:tcW w:w="860" w:type="dxa"/>
            <w:vAlign w:val="bottom"/>
          </w:tcPr>
          <w:p>
            <w:pPr>
              <w:jc w:val="right"/>
              <w:ind w:right="54"/>
              <w:spacing w:after="0"/>
              <w:rPr>
                <w:sz w:val="20"/>
                <w:szCs w:val="20"/>
                <w:color w:val="auto"/>
              </w:rPr>
            </w:pPr>
            <w:r>
              <w:rPr>
                <w:rFonts w:ascii="Arial" w:cs="Arial" w:eastAsia="Arial" w:hAnsi="Arial"/>
                <w:sz w:val="18"/>
                <w:szCs w:val="18"/>
                <w:color w:val="auto"/>
              </w:rPr>
              <w:t>27,976</w:t>
            </w:r>
          </w:p>
        </w:tc>
        <w:tc>
          <w:tcPr>
            <w:tcW w:w="380" w:type="dxa"/>
            <w:vAlign w:val="bottom"/>
          </w:tcPr>
          <w:p>
            <w:pPr>
              <w:spacing w:after="0"/>
              <w:rPr>
                <w:sz w:val="20"/>
                <w:szCs w:val="20"/>
                <w:color w:val="auto"/>
              </w:rPr>
            </w:pPr>
          </w:p>
        </w:tc>
        <w:tc>
          <w:tcPr>
            <w:tcW w:w="880" w:type="dxa"/>
            <w:vAlign w:val="bottom"/>
          </w:tcPr>
          <w:p>
            <w:pPr>
              <w:jc w:val="right"/>
              <w:ind w:right="92"/>
              <w:spacing w:after="0"/>
              <w:rPr>
                <w:sz w:val="20"/>
                <w:szCs w:val="20"/>
                <w:color w:val="auto"/>
              </w:rPr>
            </w:pPr>
            <w:r>
              <w:rPr>
                <w:rFonts w:ascii="Arial" w:cs="Arial" w:eastAsia="Arial" w:hAnsi="Arial"/>
                <w:sz w:val="18"/>
                <w:szCs w:val="18"/>
                <w:color w:val="auto"/>
              </w:rPr>
              <w:t>29,848</w:t>
            </w:r>
          </w:p>
        </w:tc>
        <w:tc>
          <w:tcPr>
            <w:tcW w:w="340" w:type="dxa"/>
            <w:vAlign w:val="bottom"/>
          </w:tcPr>
          <w:p>
            <w:pPr>
              <w:spacing w:after="0"/>
              <w:rPr>
                <w:sz w:val="20"/>
                <w:szCs w:val="20"/>
                <w:color w:val="auto"/>
              </w:rPr>
            </w:pP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27,496</w:t>
            </w:r>
          </w:p>
        </w:tc>
        <w:tc>
          <w:tcPr>
            <w:tcW w:w="360" w:type="dxa"/>
            <w:vAlign w:val="bottom"/>
          </w:tcPr>
          <w:p>
            <w:pPr>
              <w:spacing w:after="0"/>
              <w:rPr>
                <w:sz w:val="20"/>
                <w:szCs w:val="20"/>
                <w:color w:val="auto"/>
              </w:rPr>
            </w:pPr>
          </w:p>
        </w:tc>
        <w:tc>
          <w:tcPr>
            <w:tcW w:w="1140" w:type="dxa"/>
            <w:vAlign w:val="bottom"/>
          </w:tcPr>
          <w:p>
            <w:pPr>
              <w:jc w:val="right"/>
              <w:ind w:right="352"/>
              <w:spacing w:after="0"/>
              <w:rPr>
                <w:sz w:val="20"/>
                <w:szCs w:val="20"/>
                <w:color w:val="auto"/>
              </w:rPr>
            </w:pPr>
            <w:r>
              <w:rPr>
                <w:rFonts w:ascii="Arial" w:cs="Arial" w:eastAsia="Arial" w:hAnsi="Arial"/>
                <w:sz w:val="18"/>
                <w:szCs w:val="18"/>
                <w:color w:val="auto"/>
              </w:rPr>
              <w:t>28,058</w:t>
            </w:r>
          </w:p>
        </w:tc>
      </w:tr>
      <w:tr>
        <w:trPr>
          <w:trHeight w:val="267"/>
        </w:trPr>
        <w:tc>
          <w:tcPr>
            <w:tcW w:w="47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460" w:type="dxa"/>
            <w:vAlign w:val="bottom"/>
            <w:gridSpan w:val="4"/>
          </w:tcPr>
          <w:p>
            <w:pPr>
              <w:spacing w:after="0"/>
              <w:rPr>
                <w:sz w:val="23"/>
                <w:szCs w:val="23"/>
                <w:color w:val="auto"/>
              </w:rPr>
            </w:pPr>
          </w:p>
        </w:tc>
        <w:tc>
          <w:tcPr>
            <w:tcW w:w="8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149"/>
        </w:trPr>
        <w:tc>
          <w:tcPr>
            <w:tcW w:w="4740" w:type="dxa"/>
            <w:vAlign w:val="bottom"/>
            <w:shd w:val="clear" w:color="auto" w:fill="E5E5E5"/>
          </w:tcPr>
          <w:p>
            <w:pPr>
              <w:spacing w:after="0"/>
              <w:rPr>
                <w:sz w:val="12"/>
                <w:szCs w:val="12"/>
                <w:color w:val="auto"/>
              </w:rPr>
            </w:pPr>
          </w:p>
        </w:tc>
        <w:tc>
          <w:tcPr>
            <w:tcW w:w="540" w:type="dxa"/>
            <w:vAlign w:val="bottom"/>
            <w:shd w:val="clear" w:color="auto" w:fill="E5E5E5"/>
          </w:tcPr>
          <w:p>
            <w:pPr>
              <w:spacing w:after="0"/>
              <w:rPr>
                <w:sz w:val="12"/>
                <w:szCs w:val="12"/>
                <w:color w:val="auto"/>
              </w:rPr>
            </w:pPr>
          </w:p>
        </w:tc>
        <w:tc>
          <w:tcPr>
            <w:tcW w:w="920" w:type="dxa"/>
            <w:vAlign w:val="bottom"/>
            <w:shd w:val="clear" w:color="auto" w:fill="E5E5E5"/>
          </w:tcPr>
          <w:p>
            <w:pPr>
              <w:spacing w:after="0"/>
              <w:rPr>
                <w:sz w:val="12"/>
                <w:szCs w:val="12"/>
                <w:color w:val="auto"/>
              </w:rPr>
            </w:pPr>
          </w:p>
        </w:tc>
        <w:tc>
          <w:tcPr>
            <w:tcW w:w="380" w:type="dxa"/>
            <w:vAlign w:val="bottom"/>
            <w:shd w:val="clear" w:color="auto" w:fill="E5E5E5"/>
          </w:tcPr>
          <w:p>
            <w:pPr>
              <w:spacing w:after="0"/>
              <w:rPr>
                <w:sz w:val="12"/>
                <w:szCs w:val="12"/>
                <w:color w:val="auto"/>
              </w:rPr>
            </w:pPr>
          </w:p>
        </w:tc>
        <w:tc>
          <w:tcPr>
            <w:tcW w:w="2460" w:type="dxa"/>
            <w:vAlign w:val="bottom"/>
            <w:gridSpan w:val="4"/>
            <w:shd w:val="clear" w:color="auto" w:fill="E5E5E5"/>
          </w:tcPr>
          <w:p>
            <w:pPr>
              <w:jc w:val="right"/>
              <w:ind w:right="52"/>
              <w:spacing w:after="0" w:line="149" w:lineRule="exact"/>
              <w:rPr>
                <w:sz w:val="20"/>
                <w:szCs w:val="20"/>
                <w:color w:val="auto"/>
              </w:rPr>
            </w:pPr>
            <w:r>
              <w:rPr>
                <w:rFonts w:ascii="Arial" w:cs="Arial" w:eastAsia="Arial" w:hAnsi="Arial"/>
                <w:sz w:val="14"/>
                <w:szCs w:val="14"/>
                <w:b w:val="1"/>
                <w:bCs w:val="1"/>
                <w:color w:val="auto"/>
              </w:rPr>
              <w:t>Years Ended December 31,</w:t>
            </w:r>
          </w:p>
        </w:tc>
        <w:tc>
          <w:tcPr>
            <w:tcW w:w="880" w:type="dxa"/>
            <w:vAlign w:val="bottom"/>
            <w:shd w:val="clear" w:color="auto" w:fill="E5E5E5"/>
          </w:tcPr>
          <w:p>
            <w:pPr>
              <w:spacing w:after="0"/>
              <w:rPr>
                <w:sz w:val="12"/>
                <w:szCs w:val="12"/>
                <w:color w:val="auto"/>
              </w:rPr>
            </w:pPr>
          </w:p>
        </w:tc>
        <w:tc>
          <w:tcPr>
            <w:tcW w:w="360" w:type="dxa"/>
            <w:vAlign w:val="bottom"/>
            <w:shd w:val="clear" w:color="auto" w:fill="E5E5E5"/>
          </w:tcPr>
          <w:p>
            <w:pPr>
              <w:spacing w:after="0"/>
              <w:rPr>
                <w:sz w:val="12"/>
                <w:szCs w:val="12"/>
                <w:color w:val="auto"/>
              </w:rPr>
            </w:pPr>
          </w:p>
        </w:tc>
        <w:tc>
          <w:tcPr>
            <w:tcW w:w="1140" w:type="dxa"/>
            <w:vAlign w:val="bottom"/>
            <w:shd w:val="clear" w:color="auto" w:fill="E5E5E5"/>
          </w:tcPr>
          <w:p>
            <w:pPr>
              <w:spacing w:after="0"/>
              <w:rPr>
                <w:sz w:val="12"/>
                <w:szCs w:val="12"/>
                <w:color w:val="auto"/>
              </w:rPr>
            </w:pPr>
          </w:p>
        </w:tc>
      </w:tr>
      <w:tr>
        <w:trPr>
          <w:trHeight w:val="203"/>
        </w:trPr>
        <w:tc>
          <w:tcPr>
            <w:tcW w:w="4740" w:type="dxa"/>
            <w:vAlign w:val="bottom"/>
            <w:shd w:val="clear" w:color="auto" w:fill="E5E5E5"/>
          </w:tcPr>
          <w:p>
            <w:pPr>
              <w:spacing w:after="0"/>
              <w:rPr>
                <w:sz w:val="17"/>
                <w:szCs w:val="17"/>
                <w:color w:val="auto"/>
              </w:rPr>
            </w:pPr>
          </w:p>
        </w:tc>
        <w:tc>
          <w:tcPr>
            <w:tcW w:w="540" w:type="dxa"/>
            <w:vAlign w:val="bottom"/>
            <w:shd w:val="clear" w:color="auto" w:fill="E5E5E5"/>
          </w:tcPr>
          <w:p>
            <w:pPr>
              <w:spacing w:after="0"/>
              <w:rPr>
                <w:sz w:val="17"/>
                <w:szCs w:val="17"/>
                <w:color w:val="auto"/>
              </w:rPr>
            </w:pPr>
          </w:p>
        </w:tc>
        <w:tc>
          <w:tcPr>
            <w:tcW w:w="920" w:type="dxa"/>
            <w:vAlign w:val="bottom"/>
            <w:shd w:val="clear" w:color="auto" w:fill="E5E5E5"/>
          </w:tcPr>
          <w:p>
            <w:pPr>
              <w:jc w:val="right"/>
              <w:ind w:right="352"/>
              <w:spacing w:after="0" w:line="202" w:lineRule="exact"/>
              <w:rPr>
                <w:sz w:val="20"/>
                <w:szCs w:val="20"/>
                <w:color w:val="auto"/>
              </w:rPr>
            </w:pPr>
            <w:r>
              <w:rPr>
                <w:rFonts w:ascii="Arial" w:cs="Arial" w:eastAsia="Arial" w:hAnsi="Arial"/>
                <w:sz w:val="18"/>
                <w:szCs w:val="18"/>
                <w:b w:val="1"/>
                <w:bCs w:val="1"/>
                <w:color w:val="auto"/>
              </w:rPr>
              <w:t>2007</w:t>
            </w:r>
          </w:p>
        </w:tc>
        <w:tc>
          <w:tcPr>
            <w:tcW w:w="380" w:type="dxa"/>
            <w:vAlign w:val="bottom"/>
            <w:shd w:val="clear" w:color="auto" w:fill="E5E5E5"/>
          </w:tcPr>
          <w:p>
            <w:pPr>
              <w:spacing w:after="0"/>
              <w:rPr>
                <w:sz w:val="17"/>
                <w:szCs w:val="17"/>
                <w:color w:val="auto"/>
              </w:rPr>
            </w:pPr>
          </w:p>
        </w:tc>
        <w:tc>
          <w:tcPr>
            <w:tcW w:w="860" w:type="dxa"/>
            <w:vAlign w:val="bottom"/>
            <w:shd w:val="clear" w:color="auto" w:fill="E5E5E5"/>
          </w:tcPr>
          <w:p>
            <w:pPr>
              <w:jc w:val="right"/>
              <w:ind w:right="294"/>
              <w:spacing w:after="0" w:line="202" w:lineRule="exact"/>
              <w:rPr>
                <w:sz w:val="20"/>
                <w:szCs w:val="20"/>
                <w:color w:val="auto"/>
              </w:rPr>
            </w:pPr>
            <w:r>
              <w:rPr>
                <w:rFonts w:ascii="Arial" w:cs="Arial" w:eastAsia="Arial" w:hAnsi="Arial"/>
                <w:sz w:val="18"/>
                <w:szCs w:val="18"/>
                <w:b w:val="1"/>
                <w:bCs w:val="1"/>
                <w:color w:val="auto"/>
              </w:rPr>
              <w:t>2006</w:t>
            </w:r>
          </w:p>
        </w:tc>
        <w:tc>
          <w:tcPr>
            <w:tcW w:w="380" w:type="dxa"/>
            <w:vAlign w:val="bottom"/>
            <w:shd w:val="clear" w:color="auto" w:fill="E5E5E5"/>
          </w:tcPr>
          <w:p>
            <w:pPr>
              <w:spacing w:after="0"/>
              <w:rPr>
                <w:sz w:val="17"/>
                <w:szCs w:val="17"/>
                <w:color w:val="auto"/>
              </w:rPr>
            </w:pPr>
          </w:p>
        </w:tc>
        <w:tc>
          <w:tcPr>
            <w:tcW w:w="880" w:type="dxa"/>
            <w:vAlign w:val="bottom"/>
            <w:shd w:val="clear" w:color="auto" w:fill="E5E5E5"/>
          </w:tcPr>
          <w:p>
            <w:pPr>
              <w:jc w:val="right"/>
              <w:ind w:right="332"/>
              <w:spacing w:after="0" w:line="202" w:lineRule="exact"/>
              <w:rPr>
                <w:sz w:val="20"/>
                <w:szCs w:val="20"/>
                <w:color w:val="auto"/>
              </w:rPr>
            </w:pPr>
            <w:r>
              <w:rPr>
                <w:rFonts w:ascii="Arial" w:cs="Arial" w:eastAsia="Arial" w:hAnsi="Arial"/>
                <w:sz w:val="18"/>
                <w:szCs w:val="18"/>
                <w:b w:val="1"/>
                <w:bCs w:val="1"/>
                <w:color w:val="auto"/>
              </w:rPr>
              <w:t>2005</w:t>
            </w:r>
          </w:p>
        </w:tc>
        <w:tc>
          <w:tcPr>
            <w:tcW w:w="340" w:type="dxa"/>
            <w:vAlign w:val="bottom"/>
            <w:shd w:val="clear" w:color="auto" w:fill="E5E5E5"/>
          </w:tcPr>
          <w:p>
            <w:pPr>
              <w:spacing w:after="0"/>
              <w:rPr>
                <w:sz w:val="17"/>
                <w:szCs w:val="17"/>
                <w:color w:val="auto"/>
              </w:rPr>
            </w:pPr>
          </w:p>
        </w:tc>
        <w:tc>
          <w:tcPr>
            <w:tcW w:w="880" w:type="dxa"/>
            <w:vAlign w:val="bottom"/>
            <w:shd w:val="clear" w:color="auto" w:fill="E5E5E5"/>
          </w:tcPr>
          <w:p>
            <w:pPr>
              <w:jc w:val="right"/>
              <w:ind w:right="332"/>
              <w:spacing w:after="0" w:line="202" w:lineRule="exact"/>
              <w:rPr>
                <w:sz w:val="20"/>
                <w:szCs w:val="20"/>
                <w:color w:val="auto"/>
              </w:rPr>
            </w:pPr>
            <w:r>
              <w:rPr>
                <w:rFonts w:ascii="Arial" w:cs="Arial" w:eastAsia="Arial" w:hAnsi="Arial"/>
                <w:sz w:val="18"/>
                <w:szCs w:val="18"/>
                <w:b w:val="1"/>
                <w:bCs w:val="1"/>
                <w:color w:val="auto"/>
              </w:rPr>
              <w:t>2004</w:t>
            </w:r>
          </w:p>
        </w:tc>
        <w:tc>
          <w:tcPr>
            <w:tcW w:w="360" w:type="dxa"/>
            <w:vAlign w:val="bottom"/>
            <w:shd w:val="clear" w:color="auto" w:fill="E5E5E5"/>
          </w:tcPr>
          <w:p>
            <w:pPr>
              <w:spacing w:after="0"/>
              <w:rPr>
                <w:sz w:val="17"/>
                <w:szCs w:val="17"/>
                <w:color w:val="auto"/>
              </w:rPr>
            </w:pPr>
          </w:p>
        </w:tc>
        <w:tc>
          <w:tcPr>
            <w:tcW w:w="1140" w:type="dxa"/>
            <w:vAlign w:val="bottom"/>
            <w:shd w:val="clear" w:color="auto" w:fill="E5E5E5"/>
          </w:tcPr>
          <w:p>
            <w:pPr>
              <w:jc w:val="right"/>
              <w:ind w:right="592"/>
              <w:spacing w:after="0" w:line="202" w:lineRule="exact"/>
              <w:rPr>
                <w:sz w:val="20"/>
                <w:szCs w:val="20"/>
                <w:color w:val="auto"/>
              </w:rPr>
            </w:pPr>
            <w:r>
              <w:rPr>
                <w:rFonts w:ascii="Arial" w:cs="Arial" w:eastAsia="Arial" w:hAnsi="Arial"/>
                <w:sz w:val="18"/>
                <w:szCs w:val="18"/>
                <w:b w:val="1"/>
                <w:bCs w:val="1"/>
                <w:color w:val="auto"/>
              </w:rPr>
              <w:t>2003</w:t>
            </w:r>
          </w:p>
        </w:tc>
      </w:tr>
      <w:tr>
        <w:trPr>
          <w:trHeight w:val="203"/>
        </w:trPr>
        <w:tc>
          <w:tcPr>
            <w:tcW w:w="4740" w:type="dxa"/>
            <w:vAlign w:val="bottom"/>
          </w:tcPr>
          <w:p>
            <w:pPr>
              <w:spacing w:after="0" w:line="202" w:lineRule="exact"/>
              <w:rPr>
                <w:sz w:val="20"/>
                <w:szCs w:val="20"/>
                <w:color w:val="auto"/>
              </w:rPr>
            </w:pPr>
            <w:r>
              <w:rPr>
                <w:rFonts w:ascii="Arial" w:cs="Arial" w:eastAsia="Arial" w:hAnsi="Arial"/>
                <w:sz w:val="18"/>
                <w:szCs w:val="18"/>
                <w:color w:val="auto"/>
              </w:rPr>
              <w:t>Net cash provided by operating activities</w:t>
            </w:r>
          </w:p>
        </w:tc>
        <w:tc>
          <w:tcPr>
            <w:tcW w:w="54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32"/>
              <w:spacing w:after="0" w:line="202" w:lineRule="exact"/>
              <w:rPr>
                <w:sz w:val="20"/>
                <w:szCs w:val="20"/>
                <w:color w:val="auto"/>
              </w:rPr>
            </w:pPr>
            <w:r>
              <w:rPr>
                <w:rFonts w:ascii="Arial" w:cs="Arial" w:eastAsia="Arial" w:hAnsi="Arial"/>
                <w:sz w:val="18"/>
                <w:szCs w:val="18"/>
                <w:b w:val="1"/>
                <w:bCs w:val="1"/>
                <w:color w:val="auto"/>
              </w:rPr>
              <w:t>4,406</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2,454</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92"/>
              <w:spacing w:after="0" w:line="202" w:lineRule="exact"/>
              <w:rPr>
                <w:sz w:val="20"/>
                <w:szCs w:val="20"/>
                <w:color w:val="auto"/>
              </w:rPr>
            </w:pPr>
            <w:r>
              <w:rPr>
                <w:rFonts w:ascii="Arial" w:cs="Arial" w:eastAsia="Arial" w:hAnsi="Arial"/>
                <w:sz w:val="18"/>
                <w:szCs w:val="18"/>
                <w:color w:val="auto"/>
              </w:rPr>
              <w:t>3,608</w:t>
            </w: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72"/>
              <w:spacing w:after="0" w:line="202" w:lineRule="exact"/>
              <w:rPr>
                <w:sz w:val="20"/>
                <w:szCs w:val="20"/>
                <w:color w:val="auto"/>
              </w:rPr>
            </w:pPr>
            <w:r>
              <w:rPr>
                <w:rFonts w:ascii="Arial" w:cs="Arial" w:eastAsia="Arial" w:hAnsi="Arial"/>
                <w:sz w:val="18"/>
                <w:szCs w:val="18"/>
                <w:color w:val="auto"/>
              </w:rPr>
              <w:t>2,973</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352"/>
              <w:spacing w:after="0" w:line="202" w:lineRule="exact"/>
              <w:rPr>
                <w:sz w:val="20"/>
                <w:szCs w:val="20"/>
                <w:color w:val="auto"/>
              </w:rPr>
            </w:pPr>
            <w:r>
              <w:rPr>
                <w:rFonts w:ascii="Arial" w:cs="Arial" w:eastAsia="Arial" w:hAnsi="Arial"/>
                <w:sz w:val="18"/>
                <w:szCs w:val="18"/>
                <w:color w:val="auto"/>
              </w:rPr>
              <w:t>1,986</w:t>
            </w:r>
          </w:p>
        </w:tc>
      </w:tr>
      <w:tr>
        <w:trPr>
          <w:trHeight w:val="203"/>
        </w:trPr>
        <w:tc>
          <w:tcPr>
            <w:tcW w:w="47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Capital expenditures</w:t>
            </w:r>
          </w:p>
        </w:tc>
        <w:tc>
          <w:tcPr>
            <w:tcW w:w="540" w:type="dxa"/>
            <w:vAlign w:val="bottom"/>
            <w:shd w:val="clear" w:color="auto" w:fill="E5E5E5"/>
          </w:tcPr>
          <w:p>
            <w:pPr>
              <w:spacing w:after="0"/>
              <w:rPr>
                <w:sz w:val="17"/>
                <w:szCs w:val="17"/>
                <w:color w:val="auto"/>
              </w:rPr>
            </w:pPr>
          </w:p>
        </w:tc>
        <w:tc>
          <w:tcPr>
            <w:tcW w:w="920" w:type="dxa"/>
            <w:vAlign w:val="bottom"/>
            <w:shd w:val="clear" w:color="auto" w:fill="E5E5E5"/>
          </w:tcPr>
          <w:p>
            <w:pPr>
              <w:jc w:val="right"/>
              <w:ind w:right="132"/>
              <w:spacing w:after="0" w:line="202" w:lineRule="exact"/>
              <w:rPr>
                <w:sz w:val="20"/>
                <w:szCs w:val="20"/>
                <w:color w:val="auto"/>
              </w:rPr>
            </w:pPr>
            <w:r>
              <w:rPr>
                <w:rFonts w:ascii="Arial" w:cs="Arial" w:eastAsia="Arial" w:hAnsi="Arial"/>
                <w:sz w:val="18"/>
                <w:szCs w:val="18"/>
                <w:b w:val="1"/>
                <w:bCs w:val="1"/>
                <w:color w:val="auto"/>
              </w:rPr>
              <w:t>686</w:t>
            </w:r>
          </w:p>
        </w:tc>
        <w:tc>
          <w:tcPr>
            <w:tcW w:w="380" w:type="dxa"/>
            <w:vAlign w:val="bottom"/>
            <w:shd w:val="clear" w:color="auto" w:fill="E5E5E5"/>
          </w:tcPr>
          <w:p>
            <w:pPr>
              <w:spacing w:after="0"/>
              <w:rPr>
                <w:sz w:val="17"/>
                <w:szCs w:val="17"/>
                <w:color w:val="auto"/>
              </w:rPr>
            </w:pPr>
          </w:p>
        </w:tc>
        <w:tc>
          <w:tcPr>
            <w:tcW w:w="860" w:type="dxa"/>
            <w:vAlign w:val="bottom"/>
            <w:shd w:val="clear" w:color="auto" w:fill="E5E5E5"/>
          </w:tcPr>
          <w:p>
            <w:pPr>
              <w:jc w:val="right"/>
              <w:ind w:right="54"/>
              <w:spacing w:after="0" w:line="202" w:lineRule="exact"/>
              <w:rPr>
                <w:sz w:val="20"/>
                <w:szCs w:val="20"/>
                <w:color w:val="auto"/>
              </w:rPr>
            </w:pPr>
            <w:r>
              <w:rPr>
                <w:rFonts w:ascii="Arial" w:cs="Arial" w:eastAsia="Arial" w:hAnsi="Arial"/>
                <w:sz w:val="18"/>
                <w:szCs w:val="18"/>
                <w:color w:val="auto"/>
              </w:rPr>
              <w:t>1,272</w:t>
            </w:r>
          </w:p>
        </w:tc>
        <w:tc>
          <w:tcPr>
            <w:tcW w:w="380" w:type="dxa"/>
            <w:vAlign w:val="bottom"/>
            <w:shd w:val="clear" w:color="auto" w:fill="E5E5E5"/>
          </w:tcPr>
          <w:p>
            <w:pPr>
              <w:spacing w:after="0"/>
              <w:rPr>
                <w:sz w:val="17"/>
                <w:szCs w:val="17"/>
                <w:color w:val="auto"/>
              </w:rPr>
            </w:pPr>
          </w:p>
        </w:tc>
        <w:tc>
          <w:tcPr>
            <w:tcW w:w="880" w:type="dxa"/>
            <w:vAlign w:val="bottom"/>
            <w:shd w:val="clear" w:color="auto" w:fill="E5E5E5"/>
          </w:tcPr>
          <w:p>
            <w:pPr>
              <w:jc w:val="right"/>
              <w:ind w:right="92"/>
              <w:spacing w:after="0" w:line="202" w:lineRule="exact"/>
              <w:rPr>
                <w:sz w:val="20"/>
                <w:szCs w:val="20"/>
                <w:color w:val="auto"/>
              </w:rPr>
            </w:pPr>
            <w:r>
              <w:rPr>
                <w:rFonts w:ascii="Arial" w:cs="Arial" w:eastAsia="Arial" w:hAnsi="Arial"/>
                <w:sz w:val="18"/>
                <w:szCs w:val="18"/>
                <w:color w:val="auto"/>
              </w:rPr>
              <w:t>1,288</w:t>
            </w:r>
          </w:p>
        </w:tc>
        <w:tc>
          <w:tcPr>
            <w:tcW w:w="340" w:type="dxa"/>
            <w:vAlign w:val="bottom"/>
            <w:shd w:val="clear" w:color="auto" w:fill="E5E5E5"/>
          </w:tcPr>
          <w:p>
            <w:pPr>
              <w:spacing w:after="0"/>
              <w:rPr>
                <w:sz w:val="17"/>
                <w:szCs w:val="17"/>
                <w:color w:val="auto"/>
              </w:rPr>
            </w:pPr>
          </w:p>
        </w:tc>
        <w:tc>
          <w:tcPr>
            <w:tcW w:w="880" w:type="dxa"/>
            <w:vAlign w:val="bottom"/>
            <w:shd w:val="clear" w:color="auto" w:fill="E5E5E5"/>
          </w:tcPr>
          <w:p>
            <w:pPr>
              <w:jc w:val="right"/>
              <w:ind w:right="72"/>
              <w:spacing w:after="0" w:line="202" w:lineRule="exact"/>
              <w:rPr>
                <w:sz w:val="20"/>
                <w:szCs w:val="20"/>
                <w:color w:val="auto"/>
              </w:rPr>
            </w:pPr>
            <w:r>
              <w:rPr>
                <w:rFonts w:ascii="Arial" w:cs="Arial" w:eastAsia="Arial" w:hAnsi="Arial"/>
                <w:sz w:val="18"/>
                <w:szCs w:val="18"/>
                <w:color w:val="auto"/>
              </w:rPr>
              <w:t>1,260</w:t>
            </w:r>
          </w:p>
        </w:tc>
        <w:tc>
          <w:tcPr>
            <w:tcW w:w="360" w:type="dxa"/>
            <w:vAlign w:val="bottom"/>
            <w:shd w:val="clear" w:color="auto" w:fill="E5E5E5"/>
          </w:tcPr>
          <w:p>
            <w:pPr>
              <w:spacing w:after="0"/>
              <w:rPr>
                <w:sz w:val="17"/>
                <w:szCs w:val="17"/>
                <w:color w:val="auto"/>
              </w:rPr>
            </w:pPr>
          </w:p>
        </w:tc>
        <w:tc>
          <w:tcPr>
            <w:tcW w:w="1140" w:type="dxa"/>
            <w:vAlign w:val="bottom"/>
            <w:shd w:val="clear" w:color="auto" w:fill="E5E5E5"/>
          </w:tcPr>
          <w:p>
            <w:pPr>
              <w:jc w:val="right"/>
              <w:ind w:right="352"/>
              <w:spacing w:after="0" w:line="202" w:lineRule="exact"/>
              <w:rPr>
                <w:sz w:val="20"/>
                <w:szCs w:val="20"/>
                <w:color w:val="auto"/>
              </w:rPr>
            </w:pPr>
            <w:r>
              <w:rPr>
                <w:rFonts w:ascii="Arial" w:cs="Arial" w:eastAsia="Arial" w:hAnsi="Arial"/>
                <w:sz w:val="18"/>
                <w:szCs w:val="18"/>
                <w:color w:val="auto"/>
              </w:rPr>
              <w:t>775</w:t>
            </w:r>
          </w:p>
        </w:tc>
      </w:tr>
      <w:tr>
        <w:trPr>
          <w:trHeight w:val="203"/>
        </w:trPr>
        <w:tc>
          <w:tcPr>
            <w:tcW w:w="4740" w:type="dxa"/>
            <w:vAlign w:val="bottom"/>
          </w:tcPr>
          <w:p>
            <w:pPr>
              <w:spacing w:after="0" w:line="202" w:lineRule="exact"/>
              <w:rPr>
                <w:sz w:val="20"/>
                <w:szCs w:val="20"/>
                <w:color w:val="auto"/>
              </w:rPr>
            </w:pPr>
            <w:r>
              <w:rPr>
                <w:rFonts w:ascii="Arial" w:cs="Arial" w:eastAsia="Arial" w:hAnsi="Arial"/>
                <w:sz w:val="18"/>
                <w:szCs w:val="18"/>
                <w:color w:val="auto"/>
              </w:rPr>
              <w:t>Dividends paid</w:t>
            </w:r>
          </w:p>
        </w:tc>
        <w:tc>
          <w:tcPr>
            <w:tcW w:w="540" w:type="dxa"/>
            <w:vAlign w:val="bottom"/>
          </w:tcPr>
          <w:p>
            <w:pPr>
              <w:spacing w:after="0"/>
              <w:rPr>
                <w:sz w:val="17"/>
                <w:szCs w:val="17"/>
                <w:color w:val="auto"/>
              </w:rPr>
            </w:pPr>
          </w:p>
        </w:tc>
        <w:tc>
          <w:tcPr>
            <w:tcW w:w="920" w:type="dxa"/>
            <w:vAlign w:val="bottom"/>
          </w:tcPr>
          <w:p>
            <w:pPr>
              <w:jc w:val="right"/>
              <w:ind w:right="132"/>
              <w:spacing w:after="0" w:line="202" w:lineRule="exact"/>
              <w:rPr>
                <w:sz w:val="20"/>
                <w:szCs w:val="20"/>
                <w:color w:val="auto"/>
              </w:rPr>
            </w:pPr>
            <w:r>
              <w:rPr>
                <w:rFonts w:ascii="Arial" w:cs="Arial" w:eastAsia="Arial" w:hAnsi="Arial"/>
                <w:sz w:val="18"/>
                <w:szCs w:val="18"/>
                <w:b w:val="1"/>
                <w:bCs w:val="1"/>
                <w:color w:val="auto"/>
              </w:rPr>
              <w:t>425</w:t>
            </w:r>
          </w:p>
        </w:tc>
        <w:tc>
          <w:tcPr>
            <w:tcW w:w="380" w:type="dxa"/>
            <w:vAlign w:val="bottom"/>
          </w:tcPr>
          <w:p>
            <w:pPr>
              <w:spacing w:after="0"/>
              <w:rPr>
                <w:sz w:val="17"/>
                <w:szCs w:val="17"/>
                <w:color w:val="auto"/>
              </w:rPr>
            </w:pPr>
          </w:p>
        </w:tc>
        <w:tc>
          <w:tcPr>
            <w:tcW w:w="8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199</w:t>
            </w:r>
          </w:p>
        </w:tc>
        <w:tc>
          <w:tcPr>
            <w:tcW w:w="380" w:type="dxa"/>
            <w:vAlign w:val="bottom"/>
          </w:tcPr>
          <w:p>
            <w:pPr>
              <w:spacing w:after="0"/>
              <w:rPr>
                <w:sz w:val="17"/>
                <w:szCs w:val="17"/>
                <w:color w:val="auto"/>
              </w:rPr>
            </w:pPr>
          </w:p>
        </w:tc>
        <w:tc>
          <w:tcPr>
            <w:tcW w:w="880" w:type="dxa"/>
            <w:vAlign w:val="bottom"/>
          </w:tcPr>
          <w:p>
            <w:pPr>
              <w:jc w:val="right"/>
              <w:ind w:right="92"/>
              <w:spacing w:after="0" w:line="202" w:lineRule="exact"/>
              <w:rPr>
                <w:sz w:val="20"/>
                <w:szCs w:val="20"/>
                <w:color w:val="auto"/>
              </w:rPr>
            </w:pPr>
            <w:r>
              <w:rPr>
                <w:rFonts w:ascii="Arial" w:cs="Arial" w:eastAsia="Arial" w:hAnsi="Arial"/>
                <w:sz w:val="18"/>
                <w:szCs w:val="18"/>
                <w:color w:val="auto"/>
              </w:rPr>
              <w:t>173</w:t>
            </w:r>
          </w:p>
        </w:tc>
        <w:tc>
          <w:tcPr>
            <w:tcW w:w="340" w:type="dxa"/>
            <w:vAlign w:val="bottom"/>
          </w:tcPr>
          <w:p>
            <w:pPr>
              <w:spacing w:after="0"/>
              <w:rPr>
                <w:sz w:val="17"/>
                <w:szCs w:val="17"/>
                <w:color w:val="auto"/>
              </w:rPr>
            </w:pPr>
          </w:p>
        </w:tc>
        <w:tc>
          <w:tcPr>
            <w:tcW w:w="880" w:type="dxa"/>
            <w:vAlign w:val="bottom"/>
          </w:tcPr>
          <w:p>
            <w:pPr>
              <w:jc w:val="right"/>
              <w:ind w:right="72"/>
              <w:spacing w:after="0" w:line="202" w:lineRule="exact"/>
              <w:rPr>
                <w:sz w:val="20"/>
                <w:szCs w:val="20"/>
                <w:color w:val="auto"/>
              </w:rPr>
            </w:pPr>
            <w:r>
              <w:rPr>
                <w:rFonts w:ascii="Arial" w:cs="Arial" w:eastAsia="Arial" w:hAnsi="Arial"/>
                <w:sz w:val="18"/>
                <w:szCs w:val="18"/>
                <w:color w:val="auto"/>
              </w:rPr>
              <w:t>154</w:t>
            </w:r>
          </w:p>
        </w:tc>
        <w:tc>
          <w:tcPr>
            <w:tcW w:w="360" w:type="dxa"/>
            <w:vAlign w:val="bottom"/>
          </w:tcPr>
          <w:p>
            <w:pPr>
              <w:spacing w:after="0"/>
              <w:rPr>
                <w:sz w:val="17"/>
                <w:szCs w:val="17"/>
                <w:color w:val="auto"/>
              </w:rPr>
            </w:pPr>
          </w:p>
        </w:tc>
        <w:tc>
          <w:tcPr>
            <w:tcW w:w="1140" w:type="dxa"/>
            <w:vAlign w:val="bottom"/>
          </w:tcPr>
          <w:p>
            <w:pPr>
              <w:jc w:val="right"/>
              <w:ind w:right="352"/>
              <w:spacing w:after="0" w:line="202" w:lineRule="exact"/>
              <w:rPr>
                <w:sz w:val="20"/>
                <w:szCs w:val="20"/>
                <w:color w:val="auto"/>
              </w:rPr>
            </w:pPr>
            <w:r>
              <w:rPr>
                <w:rFonts w:ascii="Arial" w:cs="Arial" w:eastAsia="Arial" w:hAnsi="Arial"/>
                <w:sz w:val="18"/>
                <w:szCs w:val="18"/>
                <w:color w:val="auto"/>
              </w:rPr>
              <w:t>147</w:t>
            </w:r>
          </w:p>
        </w:tc>
      </w:tr>
      <w:tr>
        <w:trPr>
          <w:trHeight w:val="203"/>
        </w:trPr>
        <w:tc>
          <w:tcPr>
            <w:tcW w:w="47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Stock repurchases</w:t>
            </w:r>
          </w:p>
        </w:tc>
        <w:tc>
          <w:tcPr>
            <w:tcW w:w="540" w:type="dxa"/>
            <w:vAlign w:val="bottom"/>
            <w:shd w:val="clear" w:color="auto" w:fill="E5E5E5"/>
          </w:tcPr>
          <w:p>
            <w:pPr>
              <w:spacing w:after="0"/>
              <w:rPr>
                <w:sz w:val="17"/>
                <w:szCs w:val="17"/>
                <w:color w:val="auto"/>
              </w:rPr>
            </w:pPr>
          </w:p>
        </w:tc>
        <w:tc>
          <w:tcPr>
            <w:tcW w:w="920" w:type="dxa"/>
            <w:vAlign w:val="bottom"/>
            <w:shd w:val="clear" w:color="auto" w:fill="E5E5E5"/>
          </w:tcPr>
          <w:p>
            <w:pPr>
              <w:jc w:val="right"/>
              <w:ind w:right="132"/>
              <w:spacing w:after="0" w:line="202" w:lineRule="exact"/>
              <w:rPr>
                <w:sz w:val="20"/>
                <w:szCs w:val="20"/>
                <w:color w:val="auto"/>
              </w:rPr>
            </w:pPr>
            <w:r>
              <w:rPr>
                <w:rFonts w:ascii="Arial" w:cs="Arial" w:eastAsia="Arial" w:hAnsi="Arial"/>
                <w:sz w:val="18"/>
                <w:szCs w:val="18"/>
                <w:b w:val="1"/>
                <w:bCs w:val="1"/>
                <w:color w:val="auto"/>
              </w:rPr>
              <w:t>4,886</w:t>
            </w:r>
          </w:p>
        </w:tc>
        <w:tc>
          <w:tcPr>
            <w:tcW w:w="380" w:type="dxa"/>
            <w:vAlign w:val="bottom"/>
            <w:shd w:val="clear" w:color="auto" w:fill="E5E5E5"/>
          </w:tcPr>
          <w:p>
            <w:pPr>
              <w:spacing w:after="0"/>
              <w:rPr>
                <w:sz w:val="17"/>
                <w:szCs w:val="17"/>
                <w:color w:val="auto"/>
              </w:rPr>
            </w:pPr>
          </w:p>
        </w:tc>
        <w:tc>
          <w:tcPr>
            <w:tcW w:w="860" w:type="dxa"/>
            <w:vAlign w:val="bottom"/>
            <w:shd w:val="clear" w:color="auto" w:fill="E5E5E5"/>
          </w:tcPr>
          <w:p>
            <w:pPr>
              <w:jc w:val="right"/>
              <w:ind w:right="54"/>
              <w:spacing w:after="0" w:line="202" w:lineRule="exact"/>
              <w:rPr>
                <w:sz w:val="20"/>
                <w:szCs w:val="20"/>
                <w:color w:val="auto"/>
              </w:rPr>
            </w:pPr>
            <w:r>
              <w:rPr>
                <w:rFonts w:ascii="Arial" w:cs="Arial" w:eastAsia="Arial" w:hAnsi="Arial"/>
                <w:sz w:val="18"/>
                <w:szCs w:val="18"/>
                <w:color w:val="auto"/>
              </w:rPr>
              <w:t>5,302</w:t>
            </w:r>
          </w:p>
        </w:tc>
        <w:tc>
          <w:tcPr>
            <w:tcW w:w="380" w:type="dxa"/>
            <w:vAlign w:val="bottom"/>
            <w:shd w:val="clear" w:color="auto" w:fill="E5E5E5"/>
          </w:tcPr>
          <w:p>
            <w:pPr>
              <w:spacing w:after="0"/>
              <w:rPr>
                <w:sz w:val="17"/>
                <w:szCs w:val="17"/>
                <w:color w:val="auto"/>
              </w:rPr>
            </w:pPr>
          </w:p>
        </w:tc>
        <w:tc>
          <w:tcPr>
            <w:tcW w:w="880" w:type="dxa"/>
            <w:vAlign w:val="bottom"/>
            <w:shd w:val="clear" w:color="auto" w:fill="E5E5E5"/>
          </w:tcPr>
          <w:p>
            <w:pPr>
              <w:jc w:val="right"/>
              <w:ind w:right="92"/>
              <w:spacing w:after="0" w:line="202" w:lineRule="exact"/>
              <w:rPr>
                <w:sz w:val="20"/>
                <w:szCs w:val="20"/>
                <w:color w:val="auto"/>
              </w:rPr>
            </w:pPr>
            <w:r>
              <w:rPr>
                <w:rFonts w:ascii="Arial" w:cs="Arial" w:eastAsia="Arial" w:hAnsi="Arial"/>
                <w:sz w:val="18"/>
                <w:szCs w:val="18"/>
                <w:color w:val="auto"/>
              </w:rPr>
              <w:t>4,151</w:t>
            </w:r>
          </w:p>
        </w:tc>
        <w:tc>
          <w:tcPr>
            <w:tcW w:w="340" w:type="dxa"/>
            <w:vAlign w:val="bottom"/>
            <w:shd w:val="clear" w:color="auto" w:fill="E5E5E5"/>
          </w:tcPr>
          <w:p>
            <w:pPr>
              <w:spacing w:after="0"/>
              <w:rPr>
                <w:sz w:val="17"/>
                <w:szCs w:val="17"/>
                <w:color w:val="auto"/>
              </w:rPr>
            </w:pPr>
          </w:p>
        </w:tc>
        <w:tc>
          <w:tcPr>
            <w:tcW w:w="880" w:type="dxa"/>
            <w:vAlign w:val="bottom"/>
            <w:shd w:val="clear" w:color="auto" w:fill="E5E5E5"/>
          </w:tcPr>
          <w:p>
            <w:pPr>
              <w:jc w:val="right"/>
              <w:ind w:right="72"/>
              <w:spacing w:after="0" w:line="202" w:lineRule="exact"/>
              <w:rPr>
                <w:sz w:val="20"/>
                <w:szCs w:val="20"/>
                <w:color w:val="auto"/>
              </w:rPr>
            </w:pPr>
            <w:r>
              <w:rPr>
                <w:rFonts w:ascii="Arial" w:cs="Arial" w:eastAsia="Arial" w:hAnsi="Arial"/>
                <w:sz w:val="18"/>
                <w:szCs w:val="18"/>
                <w:color w:val="auto"/>
              </w:rPr>
              <w:t>753</w:t>
            </w:r>
          </w:p>
        </w:tc>
        <w:tc>
          <w:tcPr>
            <w:tcW w:w="360" w:type="dxa"/>
            <w:vAlign w:val="bottom"/>
            <w:shd w:val="clear" w:color="auto" w:fill="E5E5E5"/>
          </w:tcPr>
          <w:p>
            <w:pPr>
              <w:spacing w:after="0"/>
              <w:rPr>
                <w:sz w:val="17"/>
                <w:szCs w:val="17"/>
                <w:color w:val="auto"/>
              </w:rPr>
            </w:pPr>
          </w:p>
        </w:tc>
        <w:tc>
          <w:tcPr>
            <w:tcW w:w="1140" w:type="dxa"/>
            <w:vAlign w:val="bottom"/>
            <w:shd w:val="clear" w:color="auto" w:fill="E5E5E5"/>
          </w:tcPr>
          <w:p>
            <w:pPr>
              <w:jc w:val="right"/>
              <w:ind w:right="352"/>
              <w:spacing w:after="0" w:line="202" w:lineRule="exact"/>
              <w:rPr>
                <w:sz w:val="20"/>
                <w:szCs w:val="20"/>
                <w:color w:val="auto"/>
              </w:rPr>
            </w:pPr>
            <w:r>
              <w:rPr>
                <w:rFonts w:ascii="Arial" w:cs="Arial" w:eastAsia="Arial" w:hAnsi="Arial"/>
                <w:sz w:val="18"/>
                <w:szCs w:val="18"/>
                <w:color w:val="auto"/>
              </w:rPr>
              <w:t>284</w:t>
            </w:r>
          </w:p>
        </w:tc>
      </w:tr>
    </w:tbl>
    <w:p>
      <w:pPr>
        <w:spacing w:after="0" w:line="314" w:lineRule="exact"/>
        <w:rPr>
          <w:sz w:val="20"/>
          <w:szCs w:val="20"/>
          <w:color w:val="auto"/>
        </w:rPr>
      </w:pPr>
    </w:p>
    <w:p>
      <w:pPr>
        <w:spacing w:after="0"/>
        <w:rPr>
          <w:sz w:val="20"/>
          <w:szCs w:val="20"/>
          <w:color w:val="auto"/>
        </w:rPr>
      </w:pPr>
      <w:r>
        <w:rPr>
          <w:rFonts w:ascii="Arial" w:cs="Arial" w:eastAsia="Arial" w:hAnsi="Arial"/>
          <w:sz w:val="18"/>
          <w:szCs w:val="18"/>
          <w:color w:val="auto"/>
        </w:rPr>
        <w:t>See Notes to Financial Statements and Management’s Discussion and Analysis of Financial Condition and Results of Operations.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120" w:type="dxa"/>
            <w:vAlign w:val="bottom"/>
          </w:tcPr>
          <w:p>
            <w:pPr>
              <w:spacing w:after="0"/>
              <w:rPr>
                <w:sz w:val="20"/>
                <w:szCs w:val="20"/>
                <w:color w:val="auto"/>
              </w:rPr>
            </w:pPr>
            <w:r>
              <w:rPr>
                <w:rFonts w:ascii="Arial" w:cs="Arial" w:eastAsia="Arial" w:hAnsi="Arial"/>
                <w:sz w:val="14"/>
                <w:szCs w:val="14"/>
                <w:color w:val="auto"/>
              </w:rPr>
              <w:t>TEXAS INSTRUMENTS 2007 ANNUAL REPORT</w:t>
            </w:r>
          </w:p>
        </w:tc>
        <w:tc>
          <w:tcPr>
            <w:tcW w:w="4300" w:type="dxa"/>
            <w:vAlign w:val="bottom"/>
          </w:tcPr>
          <w:p>
            <w:pPr>
              <w:jc w:val="right"/>
              <w:spacing w:after="0"/>
              <w:rPr>
                <w:sz w:val="20"/>
                <w:szCs w:val="20"/>
                <w:color w:val="auto"/>
              </w:rPr>
            </w:pPr>
            <w:r>
              <w:rPr>
                <w:rFonts w:ascii="Arial" w:cs="Arial" w:eastAsia="Arial" w:hAnsi="Arial"/>
                <w:sz w:val="14"/>
                <w:szCs w:val="14"/>
                <w:color w:val="auto"/>
              </w:rPr>
              <w:t>45</w:t>
            </w:r>
          </w:p>
        </w:tc>
      </w:tr>
    </w:tbl>
    <w:p>
      <w:pPr>
        <w:sectPr>
          <w:pgSz w:w="11900" w:h="16838" w:orient="portrait"/>
          <w:cols w:equalWidth="0" w:num="1">
            <w:col w:w="11420"/>
          </w:cols>
          <w:pgMar w:left="240" w:top="269"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MANAGEMENT’S DISCUSSION AND ANALYSIS OF FINANCIAL CONDITION AND RESULTS OF OPERATIONS</w:t>
      </w:r>
    </w:p>
    <w:p>
      <w:pPr>
        <w:spacing w:after="0" w:line="342"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The following should be read in conjunction with the Financial Statements and the related Notes that appear elsewhere in this document. All dollar amounts in the tables in this discussion are stated in millions of U.S. dollars, except per-share amounts. All amounts in this discussion reference continuing operations unless otherwise noted.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0"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At Texas Instruments, we design, make and sell high-technology components; more than 50,000 customers all over the world buy our products. We have two business segments: Semiconductor and Education Technology. Semiconductor is by far the larger of these segments, accounting for 96 percent of our revenue in 2007. This segment sells integrated circuits, or semiconductors, to electronics designers and manufacturers, many of whom innovate rapidly and bring new products to market multiple times a year. Our Education Technology segment accounts for the remaining 4 percent of our revenue and sells calculators and related technologies to consumers and educators.</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details relevant to each segment are discussed below.</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Semiconductor</w:t>
      </w:r>
    </w:p>
    <w:p>
      <w:pPr>
        <w:spacing w:after="0" w:line="158" w:lineRule="exact"/>
        <w:rPr>
          <w:sz w:val="20"/>
          <w:szCs w:val="20"/>
          <w:color w:val="auto"/>
        </w:rPr>
      </w:pPr>
    </w:p>
    <w:p>
      <w:pPr>
        <w:ind w:right="200"/>
        <w:spacing w:after="0" w:line="236" w:lineRule="auto"/>
        <w:rPr>
          <w:sz w:val="20"/>
          <w:szCs w:val="20"/>
          <w:color w:val="auto"/>
        </w:rPr>
      </w:pPr>
      <w:r>
        <w:rPr>
          <w:rFonts w:ascii="Arial" w:cs="Arial" w:eastAsia="Arial" w:hAnsi="Arial"/>
          <w:sz w:val="18"/>
          <w:szCs w:val="18"/>
          <w:color w:val="auto"/>
        </w:rPr>
        <w:t>Our Semiconductor segment invents and produces a variety of semiconductors, commonly called “chips.” These semiconductors are used to accomplish many different things, such as processing data, canceling noise, converting signals, improving resolution and distributing power. We are among the world’s largest semiconductor companies as measured by revenue, having been ranked in the top five for the past decade. Our Semiconductor segment can be affected by cyclical upturns and downturns characteristic of our markets, which sometimes cause wide swings in growth rates from year to year.</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Products</w:t>
      </w:r>
    </w:p>
    <w:p>
      <w:pPr>
        <w:spacing w:after="0" w:line="176"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Over the past decade, we have focused most of the resources of our Semiconductor segment on two areas – analog semiconductors and digital signal processors (DSPs). In 2007, about 80 percent of the segment’s revenue came from sales of these two broad types of semiconductors. In general, analog semiconductors and DSPs convert and process signals very quickly, enabling people to talk on a cell phone, hold a real-time videoconference over the Internet, or overcome deafness with a digital hearing aid, for example. Our portfolio includes products that are central to almost all electronic equipment.</w:t>
      </w:r>
    </w:p>
    <w:p>
      <w:pPr>
        <w:spacing w:after="0" w:line="157"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Analog semiconductors are responsible for changing real-world signals – such as sound, temperature, pressure or images – by conditioning them, amplifying them and often converting them to a stream of digital data so the signals can be processed by DSPs. Analog semiconductors also manage power distribution and consumption. Analog semiconductors can have long life cycles that reach into decades. We introduce hundreds of new types of analog semiconductors every year.</w:t>
      </w:r>
    </w:p>
    <w:p>
      <w:pPr>
        <w:spacing w:after="0" w:line="155" w:lineRule="exact"/>
        <w:rPr>
          <w:sz w:val="20"/>
          <w:szCs w:val="20"/>
          <w:color w:val="auto"/>
        </w:rPr>
      </w:pPr>
    </w:p>
    <w:p>
      <w:pPr>
        <w:ind w:right="80"/>
        <w:spacing w:after="0" w:line="270" w:lineRule="auto"/>
        <w:rPr>
          <w:sz w:val="20"/>
          <w:szCs w:val="20"/>
          <w:color w:val="auto"/>
        </w:rPr>
      </w:pPr>
      <w:r>
        <w:rPr>
          <w:rFonts w:ascii="Arial" w:cs="Arial" w:eastAsia="Arial" w:hAnsi="Arial"/>
          <w:sz w:val="16"/>
          <w:szCs w:val="16"/>
          <w:color w:val="auto"/>
        </w:rPr>
        <w:t>Our analog semiconductors can be put into two primary categories: custom products and standard products. Custom products are designed for specific applications for specific customers. Standard products are used by multiple customers, though some are used only in specific applications and some are used in many different applications. Almost all of our custom and standard products are proprietary in nature, which makes them difficult to copy or imitate. Both also typically deliver good gross margins, with margin on standard products being somewhat higher. While our analog portfolio is primarily comprised of custom and standard products, we also manufacture and sell another category of analog semiconductors known as commodity products. These are sold in high volume to a broad range of customers for use in many different applications. Commodity products, unlike custom and standard products, are easily imitated, which means differentiation is generally achieved by price and availability.</w:t>
      </w:r>
    </w:p>
    <w:p>
      <w:pPr>
        <w:spacing w:after="0" w:line="131"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The size of the total market for analog semiconductors was about $36 billion in 2007, and we supplied an estimated 13 percent of this market. Our share of this market has increased over the past five years as we have expanded our portfolio with higher performance products and grown the size and reach of our sales force. We believe that with continued improvements and focus, we can keep increasing our share of the market for analog semiconductors.</w:t>
      </w:r>
    </w:p>
    <w:p>
      <w:pPr>
        <w:spacing w:after="0" w:line="155"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DSPs are semiconductors that perform mathematical computations almost instantaneously with a high level of precision. They use complex algorithms to process and improve a stream of digital data. DSPs are ideal for applications that require precise, real-time processing, such as cell phone conversations or receiving digital radio transmissions. The processing speed and power efficiency of a</w:t>
      </w:r>
    </w:p>
    <w:p>
      <w:pPr>
        <w:spacing w:after="0" w:line="137" w:lineRule="exact"/>
        <w:rPr>
          <w:sz w:val="20"/>
          <w:szCs w:val="20"/>
          <w:color w:val="auto"/>
        </w:rPr>
      </w:pPr>
    </w:p>
    <w:p>
      <w:pPr>
        <w:spacing w:after="0"/>
        <w:tabs>
          <w:tab w:leader="none" w:pos="8420" w:val="left"/>
        </w:tabs>
        <w:rPr>
          <w:sz w:val="20"/>
          <w:szCs w:val="20"/>
          <w:color w:val="auto"/>
        </w:rPr>
      </w:pPr>
      <w:r>
        <w:rPr>
          <w:rFonts w:ascii="Arial" w:cs="Arial" w:eastAsia="Arial" w:hAnsi="Arial"/>
          <w:sz w:val="12"/>
          <w:szCs w:val="12"/>
          <w:color w:val="auto"/>
        </w:rPr>
        <w:t>46</w:t>
      </w:r>
      <w:r>
        <w:rPr>
          <w:sz w:val="20"/>
          <w:szCs w:val="20"/>
          <w:color w:val="auto"/>
        </w:rPr>
        <w:tab/>
      </w:r>
      <w:r>
        <w:rPr>
          <w:rFonts w:ascii="Arial" w:cs="Arial" w:eastAsia="Arial" w:hAnsi="Arial"/>
          <w:sz w:val="12"/>
          <w:szCs w:val="12"/>
          <w:color w:val="auto"/>
        </w:rPr>
        <w:t>TEXAS INSTRUMENTS 2007 ANNUAL REPORT</w:t>
      </w:r>
    </w:p>
    <w:p>
      <w:pPr>
        <w:sectPr>
          <w:pgSz w:w="11900" w:h="16838" w:orient="portrait"/>
          <w:cols w:equalWidth="0" w:num="1">
            <w:col w:w="11420"/>
          </w:cols>
          <w:pgMar w:left="240" w:top="269" w:right="239" w:bottom="1440" w:gutter="0" w:footer="0" w:header="0"/>
        </w:sectPr>
      </w:pPr>
    </w:p>
    <w:bookmarkStart w:id="66" w:name="page67"/>
    <w:bookmarkEnd w:id="66"/>
    <w:p>
      <w:pPr>
        <w:ind w:right="160"/>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DSP are important characteristics that often indicate the advanced technical nature of the device. Our portfolio includes DSPs that are among the world’s fastest and most power-efficient.</w:t>
      </w:r>
    </w:p>
    <w:p>
      <w:pPr>
        <w:spacing w:after="0" w:line="155"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Our portfolio of DSPs includes three categories of products: custom products, application-specific products and standard products. Custom products are designed for specific, individual customers with very high volumes in established markets. Application-specific products are designed for use by multiple customers in established and emerging markets. Standard products are sold into a broad range of applications and often seed the next generations of innovation in signal-processing equipment.</w:t>
      </w:r>
    </w:p>
    <w:p>
      <w:pPr>
        <w:spacing w:after="0" w:line="155"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We are the world’s largest supplier of DSPs with an estimated 65 percent share of the market in 2007. Most of this revenue comes from custom DSPs.</w:t>
      </w:r>
    </w:p>
    <w:p>
      <w:pPr>
        <w:spacing w:after="0" w:line="155" w:lineRule="exact"/>
        <w:rPr>
          <w:sz w:val="20"/>
          <w:szCs w:val="20"/>
          <w:color w:val="auto"/>
        </w:rPr>
      </w:pPr>
    </w:p>
    <w:p>
      <w:pPr>
        <w:ind w:right="20"/>
        <w:spacing w:after="0" w:line="273" w:lineRule="auto"/>
        <w:rPr>
          <w:sz w:val="20"/>
          <w:szCs w:val="20"/>
          <w:color w:val="auto"/>
        </w:rPr>
      </w:pPr>
      <w:r>
        <w:rPr>
          <w:rFonts w:ascii="Arial" w:cs="Arial" w:eastAsia="Arial" w:hAnsi="Arial"/>
          <w:sz w:val="16"/>
          <w:szCs w:val="16"/>
          <w:color w:val="auto"/>
        </w:rPr>
        <w:t>A digital television broadcast provides an example of how analog semiconductors and DSPs work together in enabling modern electronic equipment. As a camera focuses on an event, its sensors and microphones send real-world signals to analog semiconductors, which condition and amplify the signals and convert the signals into digital data. A DSP then compresses and enhances the data for transmission as a television broadcast. Next, a television receives the broadcasted signal and its chips reverse the process, outputting the resulting sound and picture. Our portfolio of semiconductor products includes analog and DSP chips that are able to accomplish all of the processing steps described in real time.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176" w:lineRule="exact"/>
        <w:rPr>
          <w:sz w:val="20"/>
          <w:szCs w:val="20"/>
          <w:color w:val="auto"/>
        </w:rPr>
      </w:pPr>
    </w:p>
    <w:p>
      <w:pPr>
        <w:ind w:right="440"/>
        <w:spacing w:after="0" w:line="239" w:lineRule="auto"/>
        <w:rPr>
          <w:sz w:val="20"/>
          <w:szCs w:val="20"/>
          <w:color w:val="auto"/>
        </w:rPr>
      </w:pPr>
      <w:r>
        <w:rPr>
          <w:rFonts w:ascii="Arial" w:cs="Arial" w:eastAsia="Arial" w:hAnsi="Arial"/>
          <w:sz w:val="18"/>
          <w:szCs w:val="18"/>
          <w:color w:val="auto"/>
        </w:rPr>
        <w:t>We strive to carry levels of inventory that let us meet our customers’ needs as well as fill orders when demand is unexpectedly strong. Having products when and where the customer needs them is an important element in gaining market share.</w:t>
      </w:r>
    </w:p>
    <w:p>
      <w:pPr>
        <w:spacing w:after="0" w:line="155"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Our inventory practices vary by type of product. For standard products, where the risk of obsolescence is low, we generally carry higher levels of inventory. These products usually have many customers and long life cycles and are often ordered in small quantities. Standard product inventory is sometimes held in unfinished form, giving us greater flexibility to meet final package and test configurations. Examples of these products are high-performance analog, standard DSP and standard microcontrollers. (A microcontroller is a microprocessor designed to control a very specific task for electronic equipment.) For custom high-volume products, where the risk of obsolescence is higher, we carry lower levels of inventory when possible. These products usually have a single customer, are sold in high volumes and have comparatively shorter life cycles. Life cycles of these products are often determined by end-equipment upgrade cycles and can be as short as 12 to 24 months. Examples of these products are digital baseband processors for cell phones and custom application-specific analog and digital products. In addition, our inventory levels have generally increased over time due to the impact of consignment programs at our largest customers, our distributors’ desire to carry less inventory and our increased mix of standard products such as high-performance analog.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Manufacturing</w:t>
      </w:r>
    </w:p>
    <w:p>
      <w:pPr>
        <w:spacing w:after="0" w:line="176"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We own and operate semiconductor manufacturing sites in North America, Asia and Europe. Our facilities require substantial investment to construct and are largely fixed-cost assets once in operation. Because we own much of our manufacturing capacity, a significant portion of our operating costs is fixed. In general, these costs do not decline with reductions in customer demand or utilization of capacity, potentially hurting our profit margins. Conversely, as product demand rises and factory utilization increases, the fixed costs are spread over increased output, potentially benefiting our profit margins.</w:t>
      </w:r>
    </w:p>
    <w:p>
      <w:pPr>
        <w:spacing w:after="0" w:line="15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There is an inherent difference in the cost to manufacture analog semiconductors and DSPs. DSPs generally are on the leading edge of technology, and consequently, they require the most advanced and expensive manufacturing processes and equipment. Additionally, digital chips tend to evolve quickly to more advanced technology levels, requiring new production processes and new equipment every few years. As a result, maintaining an industry leadership position in digital manufacturing requires significant capital spending, along with investment in research and development, in order to develop new production processes and manufacturing capabilities. To reduce the dollars we must spend to produce digital chips, we manufacture some of our products at foundries that are owned and operated by outside parties. Foundries manufactured about 50 percent of our advanced digital chips in 2007.</w:t>
      </w:r>
    </w:p>
    <w:p>
      <w:pPr>
        <w:spacing w:after="0" w:line="155"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In contrast to our DSPs, our analog semiconductors typically require a lower level of investment in manufacturing processes and equipment. While analog chips benefit from unique, proprietary manufacturing processes, these processes can be applied using older,</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120" w:type="dxa"/>
            <w:vAlign w:val="bottom"/>
          </w:tcPr>
          <w:p>
            <w:pPr>
              <w:spacing w:after="0"/>
              <w:rPr>
                <w:sz w:val="20"/>
                <w:szCs w:val="20"/>
                <w:color w:val="auto"/>
              </w:rPr>
            </w:pPr>
            <w:r>
              <w:rPr>
                <w:rFonts w:ascii="Arial" w:cs="Arial" w:eastAsia="Arial" w:hAnsi="Arial"/>
                <w:sz w:val="14"/>
                <w:szCs w:val="14"/>
                <w:color w:val="auto"/>
              </w:rPr>
              <w:t>TEXAS INSTRUMENTS 2007 ANNUAL REPORT</w:t>
            </w:r>
          </w:p>
        </w:tc>
        <w:tc>
          <w:tcPr>
            <w:tcW w:w="4300" w:type="dxa"/>
            <w:vAlign w:val="bottom"/>
          </w:tcPr>
          <w:p>
            <w:pPr>
              <w:jc w:val="right"/>
              <w:spacing w:after="0"/>
              <w:rPr>
                <w:sz w:val="20"/>
                <w:szCs w:val="20"/>
                <w:color w:val="auto"/>
              </w:rPr>
            </w:pPr>
            <w:r>
              <w:rPr>
                <w:rFonts w:ascii="Arial" w:cs="Arial" w:eastAsia="Arial" w:hAnsi="Arial"/>
                <w:sz w:val="14"/>
                <w:szCs w:val="14"/>
                <w:color w:val="auto"/>
              </w:rPr>
              <w:t>47</w:t>
            </w:r>
          </w:p>
        </w:tc>
      </w:tr>
    </w:tbl>
    <w:p>
      <w:pPr>
        <w:sectPr>
          <w:pgSz w:w="11900" w:h="16838" w:orient="portrait"/>
          <w:cols w:equalWidth="0" w:num="1">
            <w:col w:w="11420"/>
          </w:cols>
          <w:pgMar w:left="240" w:top="291" w:right="239" w:bottom="1440" w:gutter="0" w:footer="0" w:header="0"/>
        </w:sectPr>
      </w:pPr>
    </w:p>
    <w:bookmarkStart w:id="67" w:name="page68"/>
    <w:bookmarkEnd w:id="67"/>
    <w:p>
      <w:pPr>
        <w:jc w:val="both"/>
        <w:ind w:right="160"/>
        <w:spacing w:after="0" w:line="23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less expensive equipment. In addition, these processes and equipment remain usable for much longer than digital manufacturing processes and equipment. Consequently, the level of capital and manufacturing research and development spending needed to support analog manufacturing is considerably less than is needed for an equivalent level of digital manufacturing. We manufacture a significant majority of our analog chips in our own factories.</w:t>
      </w:r>
    </w:p>
    <w:p>
      <w:pPr>
        <w:spacing w:after="0" w:line="155"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In addition to using foundries to produce advanced digital chips, we determined in 2007 to work with foundries to develop the wafer fabrication manufacturing process technologies used in the production of digital chips. Such technologies historically were developed by us and a handful of other large semiconductor companies. But as foundries have become more sophisticated, they now can, and do, develop the same technologies, on the same schedule, with the same capabilities and quality. As a result, it is now more efficient and cost-effective for us to work collaboratively with foundries to develop new digital manufacturing process technologies and avoid duplication of research and investment. We substantially completed this shift in 2007 (see Note 15 to the Financial Statements for additional information about the impact of this shift). As we have decreased our spending on digital manufacturing research and development, we have increased spending on our analog manufacturing, where we remain able to differentiate our products through process technologies.</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Education Technology</w:t>
      </w:r>
    </w:p>
    <w:p>
      <w:pPr>
        <w:spacing w:after="0" w:line="158" w:lineRule="exact"/>
        <w:rPr>
          <w:sz w:val="20"/>
          <w:szCs w:val="20"/>
          <w:color w:val="auto"/>
        </w:rPr>
      </w:pPr>
    </w:p>
    <w:p>
      <w:pPr>
        <w:ind w:right="340"/>
        <w:spacing w:after="0" w:line="236" w:lineRule="auto"/>
        <w:rPr>
          <w:sz w:val="20"/>
          <w:szCs w:val="20"/>
          <w:color w:val="auto"/>
        </w:rPr>
      </w:pPr>
      <w:r>
        <w:rPr>
          <w:rFonts w:ascii="Arial" w:cs="Arial" w:eastAsia="Arial" w:hAnsi="Arial"/>
          <w:sz w:val="18"/>
          <w:szCs w:val="18"/>
          <w:color w:val="auto"/>
        </w:rPr>
        <w:t>Our Education Technology segment is the world’s leading supplier of handheld graphing calculators. It also designs business and scientific calculators, as well as a wide range of advanced classroom tools that help students and teachers explore math and science interactively. Our products are marketed to consumers through retailers and to schools through instructional dealers. The Education Technology segment has an annual pattern of revenue that is tied to the back-to-school season. As a result, revenue is at its highest in the second and third quarters. This segment represented 4 percent of our revenue in 2007. Prices of Education Technology products tend to be stable.</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Tax Implications</w:t>
      </w:r>
    </w:p>
    <w:p>
      <w:pPr>
        <w:spacing w:after="0" w:line="158"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We operate in a number of tax jurisdictions and are subject to several types of taxes including those based on income, capital, property and payroll, and sales and other transactional taxes. The timing of the final determination of our tax liabilities varies among the various jurisdictions and their taxing authorities. As a result, during any particular reporting period, we might reflect (in either income before income taxes, the provision for income taxes, or both) one or more tax refunds or assessments, or changes to tax liabilities, involving one or more taxing authorities (see Note 12 to the Financial Statements for a discussion of the effects of adopting Financial Accounting Standards Board (FASB) Interpretation No. 48, “</w:t>
      </w:r>
      <w:r>
        <w:rPr>
          <w:rFonts w:ascii="Arial" w:cs="Arial" w:eastAsia="Arial" w:hAnsi="Arial"/>
          <w:sz w:val="18"/>
          <w:szCs w:val="18"/>
          <w:i w:val="1"/>
          <w:iCs w:val="1"/>
          <w:color w:val="auto"/>
        </w:rPr>
        <w:t>Accounting for Uncertainty in Income Taxes – an interpretation of FASB Statement No. 109</w:t>
      </w:r>
      <w:r>
        <w:rPr>
          <w:rFonts w:ascii="Arial" w:cs="Arial" w:eastAsia="Arial" w:hAnsi="Arial"/>
          <w:sz w:val="18"/>
          <w:szCs w:val="18"/>
          <w:color w:val="auto"/>
        </w:rPr>
        <w:t>”).</w:t>
      </w:r>
    </w:p>
    <w:p>
      <w:pPr>
        <w:spacing w:after="0" w:line="156"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Discontinued Operations</w:t>
      </w:r>
    </w:p>
    <w:p>
      <w:pPr>
        <w:spacing w:after="0" w:line="158" w:lineRule="exact"/>
        <w:rPr>
          <w:sz w:val="20"/>
          <w:szCs w:val="20"/>
          <w:color w:val="auto"/>
        </w:rPr>
      </w:pPr>
    </w:p>
    <w:p>
      <w:pPr>
        <w:ind w:right="260"/>
        <w:spacing w:after="0" w:line="299" w:lineRule="auto"/>
        <w:rPr>
          <w:sz w:val="20"/>
          <w:szCs w:val="20"/>
          <w:color w:val="auto"/>
        </w:rPr>
      </w:pPr>
      <w:r>
        <w:rPr>
          <w:rFonts w:ascii="Arial" w:cs="Arial" w:eastAsia="Arial" w:hAnsi="Arial"/>
          <w:sz w:val="16"/>
          <w:szCs w:val="16"/>
          <w:color w:val="auto"/>
        </w:rPr>
        <w:t>In January 2006, we entered into a definitive agreement to sell substantially all of the former Sensors &amp; Controls segment to an affiliate of Bain Capital, LLC for $3 billion in cash (see Note 2 to the Financial Statements for additional information). The sale was completed on April 27, 2006.</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2007 Compared with 2006</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Our financial results for 2007 reflect our strong positions in analog and digital signal processing semiconductors.</w:t>
      </w:r>
    </w:p>
    <w:p>
      <w:pPr>
        <w:spacing w:after="0" w:line="158"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Although revenue declined year over year, growth resumed in the fourth quarter of 2007 with a revenue increase of 3 percent from the same quarter a year ago. This growth was led by increased revenue from DSPs and high-performance analog products, which were up 12 percent each due to increased shipments resulting from higher demand. Our gross profit increased 10 percent and operating profit increased 30 percent from the same quarter a year ago, reflecting the quality of our product portfolio, the efficiency of our manufacturing strategies and our effective expense management.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For the year, cash flow from operations was a record $4.41 billion, and return on invested capital was more than 25 percent.</w:t>
      </w:r>
    </w:p>
    <w:p>
      <w:pPr>
        <w:spacing w:after="0" w:line="140" w:lineRule="exact"/>
        <w:rPr>
          <w:sz w:val="20"/>
          <w:szCs w:val="20"/>
          <w:color w:val="auto"/>
        </w:rPr>
      </w:pPr>
    </w:p>
    <w:p>
      <w:pPr>
        <w:spacing w:after="0"/>
        <w:tabs>
          <w:tab w:leader="none" w:pos="8420" w:val="left"/>
        </w:tabs>
        <w:rPr>
          <w:sz w:val="20"/>
          <w:szCs w:val="20"/>
          <w:color w:val="auto"/>
        </w:rPr>
      </w:pPr>
      <w:r>
        <w:rPr>
          <w:rFonts w:ascii="Arial" w:cs="Arial" w:eastAsia="Arial" w:hAnsi="Arial"/>
          <w:sz w:val="12"/>
          <w:szCs w:val="12"/>
          <w:color w:val="auto"/>
        </w:rPr>
        <w:t>48</w:t>
      </w:r>
      <w:r>
        <w:rPr>
          <w:sz w:val="20"/>
          <w:szCs w:val="20"/>
          <w:color w:val="auto"/>
        </w:rPr>
        <w:tab/>
      </w:r>
      <w:r>
        <w:rPr>
          <w:rFonts w:ascii="Arial" w:cs="Arial" w:eastAsia="Arial" w:hAnsi="Arial"/>
          <w:sz w:val="12"/>
          <w:szCs w:val="12"/>
          <w:color w:val="auto"/>
        </w:rPr>
        <w:t>TEXAS INSTRUMENTS 2007 ANNUAL REPORT</w:t>
      </w:r>
    </w:p>
    <w:p>
      <w:pPr>
        <w:sectPr>
          <w:pgSz w:w="11900" w:h="16838" w:orient="portrait"/>
          <w:cols w:equalWidth="0" w:num="1">
            <w:col w:w="11420"/>
          </w:cols>
          <w:pgMar w:left="240" w:top="291" w:right="239" w:bottom="1440" w:gutter="0" w:footer="0" w:header="0"/>
        </w:sectPr>
      </w:pPr>
    </w:p>
    <w:bookmarkStart w:id="68" w:name="page69"/>
    <w:bookmarkEnd w:id="68"/>
    <w:p>
      <w:pPr>
        <w:ind w:right="60"/>
        <w:spacing w:after="0" w:line="23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2007, we delivered more value to shareholders and built momentum with customers. Perhaps most important to our future performance, we sharpened our focus on analog with increases in dedicated research and development, sales support and manufacturing capacity. Evidence of our potential in this area was notable in high-performance analog where we made substantial market share gains again this year.</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Operations – Selected Items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shd w:val="clear" w:color="auto" w:fill="E5E5E5"/>
          </w:tcPr>
          <w:p>
            <w:pPr>
              <w:spacing w:after="0"/>
              <w:rPr>
                <w:sz w:val="14"/>
                <w:szCs w:val="14"/>
                <w:color w:val="auto"/>
              </w:rPr>
            </w:pPr>
          </w:p>
        </w:tc>
        <w:tc>
          <w:tcPr>
            <w:tcW w:w="200" w:type="dxa"/>
            <w:vAlign w:val="bottom"/>
            <w:shd w:val="clear" w:color="auto" w:fill="E5E5E5"/>
          </w:tcPr>
          <w:p>
            <w:pPr>
              <w:spacing w:after="0"/>
              <w:rPr>
                <w:sz w:val="14"/>
                <w:szCs w:val="14"/>
                <w:color w:val="auto"/>
              </w:rPr>
            </w:pPr>
          </w:p>
        </w:tc>
        <w:tc>
          <w:tcPr>
            <w:tcW w:w="160" w:type="dxa"/>
            <w:vAlign w:val="bottom"/>
            <w:shd w:val="clear" w:color="auto" w:fill="E5E5E5"/>
          </w:tcPr>
          <w:p>
            <w:pPr>
              <w:spacing w:after="0"/>
              <w:rPr>
                <w:sz w:val="14"/>
                <w:szCs w:val="14"/>
                <w:color w:val="auto"/>
              </w:rPr>
            </w:pPr>
          </w:p>
        </w:tc>
        <w:tc>
          <w:tcPr>
            <w:tcW w:w="2080" w:type="dxa"/>
            <w:vAlign w:val="bottom"/>
            <w:gridSpan w:val="3"/>
            <w:shd w:val="clear" w:color="auto" w:fill="E5E5E5"/>
          </w:tcPr>
          <w:p>
            <w:pPr>
              <w:jc w:val="right"/>
              <w:spacing w:after="0"/>
              <w:rPr>
                <w:sz w:val="20"/>
                <w:szCs w:val="20"/>
                <w:color w:val="auto"/>
              </w:rPr>
            </w:pPr>
            <w:r>
              <w:rPr>
                <w:rFonts w:ascii="Arial" w:cs="Arial" w:eastAsia="Arial" w:hAnsi="Arial"/>
                <w:sz w:val="14"/>
                <w:szCs w:val="14"/>
                <w:b w:val="1"/>
                <w:bCs w:val="1"/>
                <w:color w:val="auto"/>
              </w:rPr>
              <w:t>For the years ended</w:t>
            </w:r>
          </w:p>
        </w:tc>
        <w:tc>
          <w:tcPr>
            <w:tcW w:w="220" w:type="dxa"/>
            <w:vAlign w:val="bottom"/>
            <w:shd w:val="clear" w:color="auto" w:fill="E5E5E5"/>
          </w:tcPr>
          <w:p>
            <w:pPr>
              <w:spacing w:after="0"/>
              <w:rPr>
                <w:sz w:val="14"/>
                <w:szCs w:val="14"/>
                <w:color w:val="auto"/>
              </w:rPr>
            </w:pPr>
          </w:p>
        </w:tc>
        <w:tc>
          <w:tcPr>
            <w:tcW w:w="600" w:type="dxa"/>
            <w:vAlign w:val="bottom"/>
            <w:shd w:val="clear" w:color="auto" w:fill="E5E5E5"/>
          </w:tcPr>
          <w:p>
            <w:pPr>
              <w:spacing w:after="0"/>
              <w:rPr>
                <w:sz w:val="14"/>
                <w:szCs w:val="14"/>
                <w:color w:val="auto"/>
              </w:rPr>
            </w:pPr>
          </w:p>
        </w:tc>
        <w:tc>
          <w:tcPr>
            <w:tcW w:w="160" w:type="dxa"/>
            <w:vAlign w:val="bottom"/>
            <w:shd w:val="clear" w:color="auto" w:fill="E5E5E5"/>
          </w:tcPr>
          <w:p>
            <w:pPr>
              <w:spacing w:after="0"/>
              <w:rPr>
                <w:sz w:val="14"/>
                <w:szCs w:val="14"/>
                <w:color w:val="auto"/>
              </w:rPr>
            </w:pPr>
          </w:p>
        </w:tc>
      </w:tr>
      <w:tr>
        <w:trPr>
          <w:trHeight w:val="178"/>
        </w:trPr>
        <w:tc>
          <w:tcPr>
            <w:tcW w:w="8000" w:type="dxa"/>
            <w:vAlign w:val="bottom"/>
            <w:shd w:val="clear" w:color="auto" w:fill="E5E5E5"/>
          </w:tcPr>
          <w:p>
            <w:pPr>
              <w:spacing w:after="0"/>
              <w:rPr>
                <w:sz w:val="15"/>
                <w:szCs w:val="15"/>
                <w:color w:val="auto"/>
              </w:rPr>
            </w:pPr>
          </w:p>
        </w:tc>
        <w:tc>
          <w:tcPr>
            <w:tcW w:w="20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840" w:type="dxa"/>
            <w:vAlign w:val="bottom"/>
            <w:shd w:val="clear" w:color="auto" w:fill="E5E5E5"/>
          </w:tcPr>
          <w:p>
            <w:pPr>
              <w:spacing w:after="0"/>
              <w:rPr>
                <w:sz w:val="15"/>
                <w:szCs w:val="15"/>
                <w:color w:val="auto"/>
              </w:rPr>
            </w:pPr>
          </w:p>
        </w:tc>
        <w:tc>
          <w:tcPr>
            <w:tcW w:w="1240" w:type="dxa"/>
            <w:vAlign w:val="bottom"/>
            <w:gridSpan w:val="2"/>
            <w:shd w:val="clear" w:color="auto" w:fill="E5E5E5"/>
          </w:tcPr>
          <w:p>
            <w:pPr>
              <w:jc w:val="right"/>
              <w:ind w:right="172"/>
              <w:spacing w:after="0"/>
              <w:rPr>
                <w:sz w:val="20"/>
                <w:szCs w:val="20"/>
                <w:color w:val="auto"/>
              </w:rPr>
            </w:pPr>
            <w:r>
              <w:rPr>
                <w:rFonts w:ascii="Arial" w:cs="Arial" w:eastAsia="Arial" w:hAnsi="Arial"/>
                <w:sz w:val="14"/>
                <w:szCs w:val="14"/>
                <w:b w:val="1"/>
                <w:bCs w:val="1"/>
                <w:color w:val="auto"/>
              </w:rPr>
              <w:t>December 31,</w:t>
            </w:r>
          </w:p>
        </w:tc>
        <w:tc>
          <w:tcPr>
            <w:tcW w:w="220" w:type="dxa"/>
            <w:vAlign w:val="bottom"/>
            <w:shd w:val="clear" w:color="auto" w:fill="E5E5E5"/>
          </w:tcPr>
          <w:p>
            <w:pPr>
              <w:spacing w:after="0"/>
              <w:rPr>
                <w:sz w:val="15"/>
                <w:szCs w:val="15"/>
                <w:color w:val="auto"/>
              </w:rPr>
            </w:pPr>
          </w:p>
        </w:tc>
        <w:tc>
          <w:tcPr>
            <w:tcW w:w="60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r>
      <w:tr>
        <w:trPr>
          <w:trHeight w:val="305"/>
        </w:trPr>
        <w:tc>
          <w:tcPr>
            <w:tcW w:w="8000" w:type="dxa"/>
            <w:vAlign w:val="bottom"/>
            <w:tcBorders>
              <w:bottom w:val="single" w:sz="8" w:color="E5E5E5"/>
            </w:tcBorders>
            <w:shd w:val="clear" w:color="auto" w:fill="E5E5E5"/>
          </w:tcPr>
          <w:p>
            <w:pPr>
              <w:spacing w:after="0"/>
              <w:rPr>
                <w:sz w:val="24"/>
                <w:szCs w:val="24"/>
                <w:color w:val="auto"/>
              </w:rPr>
            </w:pPr>
          </w:p>
        </w:tc>
        <w:tc>
          <w:tcPr>
            <w:tcW w:w="200" w:type="dxa"/>
            <w:vAlign w:val="bottom"/>
            <w:tcBorders>
              <w:bottom w:val="single" w:sz="8" w:color="E5E5E5"/>
            </w:tcBorders>
            <w:shd w:val="clear" w:color="auto" w:fill="E5E5E5"/>
          </w:tcPr>
          <w:p>
            <w:pPr>
              <w:spacing w:after="0"/>
              <w:rPr>
                <w:sz w:val="24"/>
                <w:szCs w:val="24"/>
                <w:color w:val="auto"/>
              </w:rPr>
            </w:pPr>
          </w:p>
        </w:tc>
        <w:tc>
          <w:tcPr>
            <w:tcW w:w="160" w:type="dxa"/>
            <w:vAlign w:val="bottom"/>
            <w:tcBorders>
              <w:bottom w:val="single" w:sz="8" w:color="E5E5E5"/>
            </w:tcBorders>
            <w:shd w:val="clear" w:color="auto" w:fill="E5E5E5"/>
          </w:tcPr>
          <w:p>
            <w:pPr>
              <w:spacing w:after="0"/>
              <w:rPr>
                <w:sz w:val="24"/>
                <w:szCs w:val="24"/>
                <w:color w:val="auto"/>
              </w:rPr>
            </w:pPr>
          </w:p>
        </w:tc>
        <w:tc>
          <w:tcPr>
            <w:tcW w:w="840" w:type="dxa"/>
            <w:vAlign w:val="bottom"/>
            <w:tcBorders>
              <w:bottom w:val="single" w:sz="8" w:color="E5E5E5"/>
            </w:tcBorders>
            <w:shd w:val="clear" w:color="auto" w:fill="E5E5E5"/>
          </w:tcPr>
          <w:p>
            <w:pPr>
              <w:jc w:val="right"/>
              <w:ind w:right="213"/>
              <w:spacing w:after="0"/>
              <w:rPr>
                <w:sz w:val="20"/>
                <w:szCs w:val="20"/>
                <w:color w:val="auto"/>
              </w:rPr>
            </w:pPr>
            <w:r>
              <w:rPr>
                <w:rFonts w:ascii="Arial" w:cs="Arial" w:eastAsia="Arial" w:hAnsi="Arial"/>
                <w:sz w:val="18"/>
                <w:szCs w:val="18"/>
                <w:b w:val="1"/>
                <w:bCs w:val="1"/>
                <w:color w:val="auto"/>
              </w:rPr>
              <w:t>2007</w:t>
            </w:r>
          </w:p>
        </w:tc>
        <w:tc>
          <w:tcPr>
            <w:tcW w:w="340" w:type="dxa"/>
            <w:vAlign w:val="bottom"/>
            <w:tcBorders>
              <w:bottom w:val="single" w:sz="8" w:color="E5E5E5"/>
            </w:tcBorders>
            <w:shd w:val="clear" w:color="auto" w:fill="E5E5E5"/>
          </w:tcPr>
          <w:p>
            <w:pPr>
              <w:spacing w:after="0"/>
              <w:rPr>
                <w:sz w:val="24"/>
                <w:szCs w:val="24"/>
                <w:color w:val="auto"/>
              </w:rPr>
            </w:pPr>
          </w:p>
        </w:tc>
        <w:tc>
          <w:tcPr>
            <w:tcW w:w="900" w:type="dxa"/>
            <w:vAlign w:val="bottom"/>
            <w:tcBorders>
              <w:bottom w:val="single" w:sz="8" w:color="E5E5E5"/>
            </w:tcBorders>
            <w:shd w:val="clear" w:color="auto" w:fill="E5E5E5"/>
          </w:tcPr>
          <w:p>
            <w:pPr>
              <w:jc w:val="right"/>
              <w:ind w:right="372"/>
              <w:spacing w:after="0"/>
              <w:rPr>
                <w:sz w:val="20"/>
                <w:szCs w:val="20"/>
                <w:color w:val="auto"/>
              </w:rPr>
            </w:pPr>
            <w:r>
              <w:rPr>
                <w:rFonts w:ascii="Arial" w:cs="Arial" w:eastAsia="Arial" w:hAnsi="Arial"/>
                <w:sz w:val="18"/>
                <w:szCs w:val="18"/>
                <w:b w:val="1"/>
                <w:bCs w:val="1"/>
                <w:color w:val="auto"/>
              </w:rPr>
              <w:t>2006</w:t>
            </w:r>
          </w:p>
        </w:tc>
        <w:tc>
          <w:tcPr>
            <w:tcW w:w="220" w:type="dxa"/>
            <w:vAlign w:val="bottom"/>
            <w:tcBorders>
              <w:bottom w:val="single" w:sz="8" w:color="E5E5E5"/>
            </w:tcBorders>
            <w:shd w:val="clear" w:color="auto" w:fill="E5E5E5"/>
          </w:tcPr>
          <w:p>
            <w:pPr>
              <w:spacing w:after="0"/>
              <w:rPr>
                <w:sz w:val="24"/>
                <w:szCs w:val="24"/>
                <w:color w:val="auto"/>
              </w:rPr>
            </w:pPr>
          </w:p>
        </w:tc>
        <w:tc>
          <w:tcPr>
            <w:tcW w:w="600" w:type="dxa"/>
            <w:vAlign w:val="bottom"/>
            <w:tcBorders>
              <w:bottom w:val="single" w:sz="8" w:color="E5E5E5"/>
            </w:tcBorders>
            <w:shd w:val="clear" w:color="auto" w:fill="E5E5E5"/>
          </w:tcPr>
          <w:p>
            <w:pPr>
              <w:jc w:val="right"/>
              <w:ind w:right="92"/>
              <w:spacing w:after="0"/>
              <w:rPr>
                <w:sz w:val="20"/>
                <w:szCs w:val="20"/>
                <w:color w:val="auto"/>
              </w:rPr>
            </w:pPr>
            <w:r>
              <w:rPr>
                <w:rFonts w:ascii="Arial" w:cs="Arial" w:eastAsia="Arial" w:hAnsi="Arial"/>
                <w:sz w:val="18"/>
                <w:szCs w:val="18"/>
                <w:b w:val="1"/>
                <w:bCs w:val="1"/>
                <w:color w:val="auto"/>
                <w:w w:val="99"/>
              </w:rPr>
              <w:t>2005</w:t>
            </w:r>
          </w:p>
        </w:tc>
        <w:tc>
          <w:tcPr>
            <w:tcW w:w="160" w:type="dxa"/>
            <w:vAlign w:val="bottom"/>
            <w:tcBorders>
              <w:bottom w:val="single" w:sz="8" w:color="E5E5E5"/>
            </w:tcBorders>
            <w:shd w:val="clear" w:color="auto" w:fill="E5E5E5"/>
          </w:tcPr>
          <w:p>
            <w:pPr>
              <w:spacing w:after="0"/>
              <w:rPr>
                <w:sz w:val="24"/>
                <w:szCs w:val="24"/>
                <w:color w:val="auto"/>
              </w:rPr>
            </w:pPr>
          </w:p>
        </w:tc>
      </w:tr>
      <w:tr>
        <w:trPr>
          <w:trHeight w:val="311"/>
        </w:trPr>
        <w:tc>
          <w:tcPr>
            <w:tcW w:w="8000" w:type="dxa"/>
            <w:vAlign w:val="bottom"/>
          </w:tcPr>
          <w:p>
            <w:pPr>
              <w:spacing w:after="0"/>
              <w:rPr>
                <w:sz w:val="20"/>
                <w:szCs w:val="20"/>
                <w:color w:val="auto"/>
              </w:rPr>
            </w:pPr>
            <w:r>
              <w:rPr>
                <w:rFonts w:ascii="Arial" w:cs="Arial" w:eastAsia="Arial" w:hAnsi="Arial"/>
                <w:sz w:val="18"/>
                <w:szCs w:val="18"/>
                <w:color w:val="auto"/>
              </w:rPr>
              <w:t>Revenue by segment:</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3"/>
        </w:trPr>
        <w:tc>
          <w:tcPr>
            <w:tcW w:w="800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Semiconductor</w:t>
            </w:r>
          </w:p>
        </w:tc>
        <w:tc>
          <w:tcPr>
            <w:tcW w:w="36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E5E5E5"/>
          </w:tcPr>
          <w:p>
            <w:pPr>
              <w:jc w:val="right"/>
              <w:ind w:right="153"/>
              <w:spacing w:after="0" w:line="202" w:lineRule="exact"/>
              <w:rPr>
                <w:sz w:val="20"/>
                <w:szCs w:val="20"/>
                <w:color w:val="auto"/>
              </w:rPr>
            </w:pPr>
            <w:r>
              <w:rPr>
                <w:rFonts w:ascii="Arial" w:cs="Arial" w:eastAsia="Arial" w:hAnsi="Arial"/>
                <w:sz w:val="18"/>
                <w:szCs w:val="18"/>
                <w:b w:val="1"/>
                <w:bCs w:val="1"/>
                <w:color w:val="auto"/>
              </w:rPr>
              <w:t>13,309</w:t>
            </w:r>
          </w:p>
        </w:tc>
        <w:tc>
          <w:tcPr>
            <w:tcW w:w="3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E5E5E5"/>
          </w:tcPr>
          <w:p>
            <w:pPr>
              <w:jc w:val="right"/>
              <w:ind w:right="192"/>
              <w:spacing w:after="0" w:line="202" w:lineRule="exact"/>
              <w:rPr>
                <w:sz w:val="20"/>
                <w:szCs w:val="20"/>
                <w:color w:val="auto"/>
              </w:rPr>
            </w:pPr>
            <w:r>
              <w:rPr>
                <w:rFonts w:ascii="Arial" w:cs="Arial" w:eastAsia="Arial" w:hAnsi="Arial"/>
                <w:sz w:val="18"/>
                <w:szCs w:val="18"/>
                <w:color w:val="auto"/>
              </w:rPr>
              <w:t>13,730</w:t>
            </w:r>
          </w:p>
        </w:tc>
        <w:tc>
          <w:tcPr>
            <w:tcW w:w="2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11,829</w:t>
            </w:r>
          </w:p>
        </w:tc>
        <w:tc>
          <w:tcPr>
            <w:tcW w:w="160" w:type="dxa"/>
            <w:vAlign w:val="bottom"/>
            <w:shd w:val="clear" w:color="auto" w:fill="E5E5E5"/>
          </w:tcPr>
          <w:p>
            <w:pPr>
              <w:spacing w:after="0"/>
              <w:rPr>
                <w:sz w:val="17"/>
                <w:szCs w:val="17"/>
                <w:color w:val="auto"/>
              </w:rPr>
            </w:pPr>
          </w:p>
        </w:tc>
      </w:tr>
      <w:tr>
        <w:trPr>
          <w:trHeight w:val="210"/>
        </w:trPr>
        <w:tc>
          <w:tcPr>
            <w:tcW w:w="8000" w:type="dxa"/>
            <w:vAlign w:val="bottom"/>
          </w:tcPr>
          <w:p>
            <w:pPr>
              <w:ind w:left="220"/>
              <w:spacing w:after="0" w:line="202" w:lineRule="exact"/>
              <w:rPr>
                <w:sz w:val="20"/>
                <w:szCs w:val="20"/>
                <w:color w:val="auto"/>
              </w:rPr>
            </w:pPr>
            <w:r>
              <w:rPr>
                <w:rFonts w:ascii="Arial" w:cs="Arial" w:eastAsia="Arial" w:hAnsi="Arial"/>
                <w:sz w:val="18"/>
                <w:szCs w:val="18"/>
                <w:color w:val="auto"/>
              </w:rPr>
              <w:t>Education Technology</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53"/>
              <w:spacing w:after="0" w:line="202" w:lineRule="exact"/>
              <w:rPr>
                <w:sz w:val="20"/>
                <w:szCs w:val="20"/>
                <w:color w:val="auto"/>
              </w:rPr>
            </w:pPr>
            <w:r>
              <w:rPr>
                <w:rFonts w:ascii="Arial" w:cs="Arial" w:eastAsia="Arial" w:hAnsi="Arial"/>
                <w:sz w:val="18"/>
                <w:szCs w:val="18"/>
                <w:b w:val="1"/>
                <w:bCs w:val="1"/>
                <w:color w:val="auto"/>
              </w:rPr>
              <w:t>526</w:t>
            </w: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92"/>
              <w:spacing w:after="0" w:line="202" w:lineRule="exact"/>
              <w:rPr>
                <w:sz w:val="20"/>
                <w:szCs w:val="20"/>
                <w:color w:val="auto"/>
              </w:rPr>
            </w:pPr>
            <w:r>
              <w:rPr>
                <w:rFonts w:ascii="Arial" w:cs="Arial" w:eastAsia="Arial" w:hAnsi="Arial"/>
                <w:sz w:val="18"/>
                <w:szCs w:val="18"/>
                <w:color w:val="auto"/>
              </w:rPr>
              <w:t>525</w:t>
            </w: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506</w:t>
            </w:r>
          </w:p>
        </w:tc>
        <w:tc>
          <w:tcPr>
            <w:tcW w:w="160" w:type="dxa"/>
            <w:vAlign w:val="bottom"/>
          </w:tcPr>
          <w:p>
            <w:pPr>
              <w:spacing w:after="0"/>
              <w:rPr>
                <w:sz w:val="18"/>
                <w:szCs w:val="18"/>
                <w:color w:val="auto"/>
              </w:rPr>
            </w:pPr>
          </w:p>
        </w:tc>
      </w:tr>
      <w:tr>
        <w:trPr>
          <w:trHeight w:val="203"/>
        </w:trPr>
        <w:tc>
          <w:tcPr>
            <w:tcW w:w="800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Net revenue</w:t>
            </w:r>
          </w:p>
        </w:tc>
        <w:tc>
          <w:tcPr>
            <w:tcW w:w="2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840" w:type="dxa"/>
            <w:vAlign w:val="bottom"/>
            <w:shd w:val="clear" w:color="auto" w:fill="E5E5E5"/>
          </w:tcPr>
          <w:p>
            <w:pPr>
              <w:jc w:val="right"/>
              <w:ind w:right="153"/>
              <w:spacing w:after="0" w:line="202" w:lineRule="exact"/>
              <w:rPr>
                <w:sz w:val="20"/>
                <w:szCs w:val="20"/>
                <w:color w:val="auto"/>
              </w:rPr>
            </w:pPr>
            <w:r>
              <w:rPr>
                <w:rFonts w:ascii="Arial" w:cs="Arial" w:eastAsia="Arial" w:hAnsi="Arial"/>
                <w:sz w:val="18"/>
                <w:szCs w:val="18"/>
                <w:b w:val="1"/>
                <w:bCs w:val="1"/>
                <w:color w:val="auto"/>
              </w:rPr>
              <w:t>13,835</w:t>
            </w:r>
          </w:p>
        </w:tc>
        <w:tc>
          <w:tcPr>
            <w:tcW w:w="340" w:type="dxa"/>
            <w:vAlign w:val="bottom"/>
            <w:shd w:val="clear" w:color="auto" w:fill="E5E5E5"/>
          </w:tcPr>
          <w:p>
            <w:pPr>
              <w:spacing w:after="0"/>
              <w:rPr>
                <w:sz w:val="17"/>
                <w:szCs w:val="17"/>
                <w:color w:val="auto"/>
              </w:rPr>
            </w:pPr>
          </w:p>
        </w:tc>
        <w:tc>
          <w:tcPr>
            <w:tcW w:w="900" w:type="dxa"/>
            <w:vAlign w:val="bottom"/>
            <w:shd w:val="clear" w:color="auto" w:fill="E5E5E5"/>
          </w:tcPr>
          <w:p>
            <w:pPr>
              <w:jc w:val="right"/>
              <w:ind w:right="192"/>
              <w:spacing w:after="0" w:line="202" w:lineRule="exact"/>
              <w:rPr>
                <w:sz w:val="20"/>
                <w:szCs w:val="20"/>
                <w:color w:val="auto"/>
              </w:rPr>
            </w:pPr>
            <w:r>
              <w:rPr>
                <w:rFonts w:ascii="Arial" w:cs="Arial" w:eastAsia="Arial" w:hAnsi="Arial"/>
                <w:sz w:val="18"/>
                <w:szCs w:val="18"/>
                <w:color w:val="auto"/>
              </w:rPr>
              <w:t>14,255</w:t>
            </w:r>
          </w:p>
        </w:tc>
        <w:tc>
          <w:tcPr>
            <w:tcW w:w="220" w:type="dxa"/>
            <w:vAlign w:val="bottom"/>
            <w:shd w:val="clear" w:color="auto" w:fill="E5E5E5"/>
          </w:tcPr>
          <w:p>
            <w:pPr>
              <w:spacing w:after="0"/>
              <w:rPr>
                <w:sz w:val="17"/>
                <w:szCs w:val="17"/>
                <w:color w:val="auto"/>
              </w:rPr>
            </w:pPr>
          </w:p>
        </w:tc>
        <w:tc>
          <w:tcPr>
            <w:tcW w:w="76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12,335</w:t>
            </w:r>
          </w:p>
        </w:tc>
      </w:tr>
      <w:tr>
        <w:trPr>
          <w:trHeight w:val="210"/>
        </w:trPr>
        <w:tc>
          <w:tcPr>
            <w:tcW w:w="8000" w:type="dxa"/>
            <w:vAlign w:val="bottom"/>
          </w:tcPr>
          <w:p>
            <w:pPr>
              <w:spacing w:after="0" w:line="202" w:lineRule="exact"/>
              <w:rPr>
                <w:sz w:val="20"/>
                <w:szCs w:val="20"/>
                <w:color w:val="auto"/>
              </w:rPr>
            </w:pPr>
            <w:r>
              <w:rPr>
                <w:rFonts w:ascii="Arial" w:cs="Arial" w:eastAsia="Arial" w:hAnsi="Arial"/>
                <w:sz w:val="18"/>
                <w:szCs w:val="18"/>
                <w:color w:val="auto"/>
              </w:rPr>
              <w:t>Cost of revenue</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53"/>
              <w:spacing w:after="0" w:line="202" w:lineRule="exact"/>
              <w:rPr>
                <w:sz w:val="20"/>
                <w:szCs w:val="20"/>
                <w:color w:val="auto"/>
              </w:rPr>
            </w:pPr>
            <w:r>
              <w:rPr>
                <w:rFonts w:ascii="Arial" w:cs="Arial" w:eastAsia="Arial" w:hAnsi="Arial"/>
                <w:sz w:val="18"/>
                <w:szCs w:val="18"/>
                <w:b w:val="1"/>
                <w:bCs w:val="1"/>
                <w:color w:val="auto"/>
              </w:rPr>
              <w:t>6,502</w:t>
            </w: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92"/>
              <w:spacing w:after="0" w:line="202" w:lineRule="exact"/>
              <w:rPr>
                <w:sz w:val="20"/>
                <w:szCs w:val="20"/>
                <w:color w:val="auto"/>
              </w:rPr>
            </w:pPr>
            <w:r>
              <w:rPr>
                <w:rFonts w:ascii="Arial" w:cs="Arial" w:eastAsia="Arial" w:hAnsi="Arial"/>
                <w:sz w:val="18"/>
                <w:szCs w:val="18"/>
                <w:color w:val="auto"/>
              </w:rPr>
              <w:t>6,996</w:t>
            </w: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6,319</w:t>
            </w:r>
          </w:p>
        </w:tc>
        <w:tc>
          <w:tcPr>
            <w:tcW w:w="160" w:type="dxa"/>
            <w:vAlign w:val="bottom"/>
          </w:tcPr>
          <w:p>
            <w:pPr>
              <w:spacing w:after="0"/>
              <w:rPr>
                <w:sz w:val="18"/>
                <w:szCs w:val="18"/>
                <w:color w:val="auto"/>
              </w:rPr>
            </w:pPr>
          </w:p>
        </w:tc>
      </w:tr>
      <w:tr>
        <w:trPr>
          <w:trHeight w:val="203"/>
        </w:trPr>
        <w:tc>
          <w:tcPr>
            <w:tcW w:w="80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Gross profit</w:t>
            </w:r>
          </w:p>
        </w:tc>
        <w:tc>
          <w:tcPr>
            <w:tcW w:w="2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840" w:type="dxa"/>
            <w:vAlign w:val="bottom"/>
            <w:shd w:val="clear" w:color="auto" w:fill="E5E5E5"/>
          </w:tcPr>
          <w:p>
            <w:pPr>
              <w:jc w:val="right"/>
              <w:ind w:right="153"/>
              <w:spacing w:after="0" w:line="202" w:lineRule="exact"/>
              <w:rPr>
                <w:sz w:val="20"/>
                <w:szCs w:val="20"/>
                <w:color w:val="auto"/>
              </w:rPr>
            </w:pPr>
            <w:r>
              <w:rPr>
                <w:rFonts w:ascii="Arial" w:cs="Arial" w:eastAsia="Arial" w:hAnsi="Arial"/>
                <w:sz w:val="18"/>
                <w:szCs w:val="18"/>
                <w:b w:val="1"/>
                <w:bCs w:val="1"/>
                <w:color w:val="auto"/>
              </w:rPr>
              <w:t>7,333</w:t>
            </w:r>
          </w:p>
        </w:tc>
        <w:tc>
          <w:tcPr>
            <w:tcW w:w="340" w:type="dxa"/>
            <w:vAlign w:val="bottom"/>
            <w:shd w:val="clear" w:color="auto" w:fill="E5E5E5"/>
          </w:tcPr>
          <w:p>
            <w:pPr>
              <w:spacing w:after="0"/>
              <w:rPr>
                <w:sz w:val="17"/>
                <w:szCs w:val="17"/>
                <w:color w:val="auto"/>
              </w:rPr>
            </w:pPr>
          </w:p>
        </w:tc>
        <w:tc>
          <w:tcPr>
            <w:tcW w:w="900" w:type="dxa"/>
            <w:vAlign w:val="bottom"/>
            <w:shd w:val="clear" w:color="auto" w:fill="E5E5E5"/>
          </w:tcPr>
          <w:p>
            <w:pPr>
              <w:jc w:val="right"/>
              <w:ind w:right="192"/>
              <w:spacing w:after="0" w:line="202" w:lineRule="exact"/>
              <w:rPr>
                <w:sz w:val="20"/>
                <w:szCs w:val="20"/>
                <w:color w:val="auto"/>
              </w:rPr>
            </w:pPr>
            <w:r>
              <w:rPr>
                <w:rFonts w:ascii="Arial" w:cs="Arial" w:eastAsia="Arial" w:hAnsi="Arial"/>
                <w:sz w:val="18"/>
                <w:szCs w:val="18"/>
                <w:color w:val="auto"/>
              </w:rPr>
              <w:t>7,259</w:t>
            </w:r>
          </w:p>
        </w:tc>
        <w:tc>
          <w:tcPr>
            <w:tcW w:w="220" w:type="dxa"/>
            <w:vAlign w:val="bottom"/>
            <w:shd w:val="clear" w:color="auto" w:fill="E5E5E5"/>
          </w:tcPr>
          <w:p>
            <w:pPr>
              <w:spacing w:after="0"/>
              <w:rPr>
                <w:sz w:val="17"/>
                <w:szCs w:val="17"/>
                <w:color w:val="auto"/>
              </w:rPr>
            </w:pPr>
          </w:p>
        </w:tc>
        <w:tc>
          <w:tcPr>
            <w:tcW w:w="6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6,016</w:t>
            </w:r>
          </w:p>
        </w:tc>
        <w:tc>
          <w:tcPr>
            <w:tcW w:w="160" w:type="dxa"/>
            <w:vAlign w:val="bottom"/>
            <w:shd w:val="clear" w:color="auto" w:fill="E5E5E5"/>
          </w:tcPr>
          <w:p>
            <w:pPr>
              <w:spacing w:after="0"/>
              <w:rPr>
                <w:sz w:val="17"/>
                <w:szCs w:val="17"/>
                <w:color w:val="auto"/>
              </w:rPr>
            </w:pPr>
          </w:p>
        </w:tc>
      </w:tr>
      <w:tr>
        <w:trPr>
          <w:trHeight w:val="203"/>
        </w:trPr>
        <w:tc>
          <w:tcPr>
            <w:tcW w:w="8000" w:type="dxa"/>
            <w:vAlign w:val="bottom"/>
          </w:tcPr>
          <w:p>
            <w:pPr>
              <w:ind w:left="220"/>
              <w:spacing w:after="0" w:line="202" w:lineRule="exact"/>
              <w:rPr>
                <w:sz w:val="20"/>
                <w:szCs w:val="20"/>
                <w:color w:val="auto"/>
              </w:rPr>
            </w:pPr>
            <w:r>
              <w:rPr>
                <w:rFonts w:ascii="Arial" w:cs="Arial" w:eastAsia="Arial" w:hAnsi="Arial"/>
                <w:sz w:val="18"/>
                <w:szCs w:val="18"/>
                <w:color w:val="auto"/>
              </w:rPr>
              <w:t>Gross profit % of revenue</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13"/>
              <w:spacing w:after="0" w:line="202" w:lineRule="exact"/>
              <w:rPr>
                <w:sz w:val="20"/>
                <w:szCs w:val="20"/>
                <w:color w:val="auto"/>
              </w:rPr>
            </w:pPr>
            <w:r>
              <w:rPr>
                <w:rFonts w:ascii="Arial" w:cs="Arial" w:eastAsia="Arial" w:hAnsi="Arial"/>
                <w:sz w:val="18"/>
                <w:szCs w:val="18"/>
                <w:b w:val="1"/>
                <w:bCs w:val="1"/>
                <w:color w:val="auto"/>
              </w:rPr>
              <w:t>53.0%</w:t>
            </w:r>
          </w:p>
        </w:tc>
        <w:tc>
          <w:tcPr>
            <w:tcW w:w="340" w:type="dxa"/>
            <w:vAlign w:val="bottom"/>
          </w:tcPr>
          <w:p>
            <w:pPr>
              <w:spacing w:after="0"/>
              <w:rPr>
                <w:sz w:val="17"/>
                <w:szCs w:val="17"/>
                <w:color w:val="auto"/>
              </w:rPr>
            </w:pPr>
          </w:p>
        </w:tc>
        <w:tc>
          <w:tcPr>
            <w:tcW w:w="9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50.9%</w:t>
            </w:r>
          </w:p>
        </w:tc>
        <w:tc>
          <w:tcPr>
            <w:tcW w:w="220" w:type="dxa"/>
            <w:vAlign w:val="bottom"/>
          </w:tcPr>
          <w:p>
            <w:pPr>
              <w:spacing w:after="0"/>
              <w:rPr>
                <w:sz w:val="17"/>
                <w:szCs w:val="17"/>
                <w:color w:val="auto"/>
              </w:rPr>
            </w:pPr>
          </w:p>
        </w:tc>
        <w:tc>
          <w:tcPr>
            <w:tcW w:w="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48.8%</w:t>
            </w:r>
          </w:p>
        </w:tc>
      </w:tr>
      <w:tr>
        <w:trPr>
          <w:trHeight w:val="203"/>
        </w:trPr>
        <w:tc>
          <w:tcPr>
            <w:tcW w:w="80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Research and development (R&amp;D)</w:t>
            </w:r>
          </w:p>
        </w:tc>
        <w:tc>
          <w:tcPr>
            <w:tcW w:w="2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840" w:type="dxa"/>
            <w:vAlign w:val="bottom"/>
            <w:shd w:val="clear" w:color="auto" w:fill="E5E5E5"/>
          </w:tcPr>
          <w:p>
            <w:pPr>
              <w:jc w:val="right"/>
              <w:ind w:right="153"/>
              <w:spacing w:after="0" w:line="202" w:lineRule="exact"/>
              <w:rPr>
                <w:sz w:val="20"/>
                <w:szCs w:val="20"/>
                <w:color w:val="auto"/>
              </w:rPr>
            </w:pPr>
            <w:r>
              <w:rPr>
                <w:rFonts w:ascii="Arial" w:cs="Arial" w:eastAsia="Arial" w:hAnsi="Arial"/>
                <w:sz w:val="18"/>
                <w:szCs w:val="18"/>
                <w:b w:val="1"/>
                <w:bCs w:val="1"/>
                <w:color w:val="auto"/>
              </w:rPr>
              <w:t>2,155</w:t>
            </w:r>
          </w:p>
        </w:tc>
        <w:tc>
          <w:tcPr>
            <w:tcW w:w="340" w:type="dxa"/>
            <w:vAlign w:val="bottom"/>
            <w:shd w:val="clear" w:color="auto" w:fill="E5E5E5"/>
          </w:tcPr>
          <w:p>
            <w:pPr>
              <w:spacing w:after="0"/>
              <w:rPr>
                <w:sz w:val="17"/>
                <w:szCs w:val="17"/>
                <w:color w:val="auto"/>
              </w:rPr>
            </w:pPr>
          </w:p>
        </w:tc>
        <w:tc>
          <w:tcPr>
            <w:tcW w:w="900" w:type="dxa"/>
            <w:vAlign w:val="bottom"/>
            <w:shd w:val="clear" w:color="auto" w:fill="E5E5E5"/>
          </w:tcPr>
          <w:p>
            <w:pPr>
              <w:jc w:val="right"/>
              <w:ind w:right="192"/>
              <w:spacing w:after="0" w:line="202" w:lineRule="exact"/>
              <w:rPr>
                <w:sz w:val="20"/>
                <w:szCs w:val="20"/>
                <w:color w:val="auto"/>
              </w:rPr>
            </w:pPr>
            <w:r>
              <w:rPr>
                <w:rFonts w:ascii="Arial" w:cs="Arial" w:eastAsia="Arial" w:hAnsi="Arial"/>
                <w:sz w:val="18"/>
                <w:szCs w:val="18"/>
                <w:color w:val="auto"/>
              </w:rPr>
              <w:t>2,195</w:t>
            </w:r>
          </w:p>
        </w:tc>
        <w:tc>
          <w:tcPr>
            <w:tcW w:w="220" w:type="dxa"/>
            <w:vAlign w:val="bottom"/>
            <w:shd w:val="clear" w:color="auto" w:fill="E5E5E5"/>
          </w:tcPr>
          <w:p>
            <w:pPr>
              <w:spacing w:after="0"/>
              <w:rPr>
                <w:sz w:val="17"/>
                <w:szCs w:val="17"/>
                <w:color w:val="auto"/>
              </w:rPr>
            </w:pPr>
          </w:p>
        </w:tc>
        <w:tc>
          <w:tcPr>
            <w:tcW w:w="6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1,986</w:t>
            </w:r>
          </w:p>
        </w:tc>
        <w:tc>
          <w:tcPr>
            <w:tcW w:w="160" w:type="dxa"/>
            <w:vAlign w:val="bottom"/>
            <w:shd w:val="clear" w:color="auto" w:fill="E5E5E5"/>
          </w:tcPr>
          <w:p>
            <w:pPr>
              <w:spacing w:after="0"/>
              <w:rPr>
                <w:sz w:val="17"/>
                <w:szCs w:val="17"/>
                <w:color w:val="auto"/>
              </w:rPr>
            </w:pPr>
          </w:p>
        </w:tc>
      </w:tr>
      <w:tr>
        <w:trPr>
          <w:trHeight w:val="203"/>
        </w:trPr>
        <w:tc>
          <w:tcPr>
            <w:tcW w:w="8000" w:type="dxa"/>
            <w:vAlign w:val="bottom"/>
          </w:tcPr>
          <w:p>
            <w:pPr>
              <w:ind w:left="220"/>
              <w:spacing w:after="0" w:line="202" w:lineRule="exact"/>
              <w:rPr>
                <w:sz w:val="20"/>
                <w:szCs w:val="20"/>
                <w:color w:val="auto"/>
              </w:rPr>
            </w:pPr>
            <w:r>
              <w:rPr>
                <w:rFonts w:ascii="Arial" w:cs="Arial" w:eastAsia="Arial" w:hAnsi="Arial"/>
                <w:sz w:val="18"/>
                <w:szCs w:val="18"/>
                <w:color w:val="auto"/>
              </w:rPr>
              <w:t>R&amp;D % of revenue</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13"/>
              <w:spacing w:after="0" w:line="202" w:lineRule="exact"/>
              <w:rPr>
                <w:sz w:val="20"/>
                <w:szCs w:val="20"/>
                <w:color w:val="auto"/>
              </w:rPr>
            </w:pPr>
            <w:r>
              <w:rPr>
                <w:rFonts w:ascii="Arial" w:cs="Arial" w:eastAsia="Arial" w:hAnsi="Arial"/>
                <w:sz w:val="18"/>
                <w:szCs w:val="18"/>
                <w:b w:val="1"/>
                <w:bCs w:val="1"/>
                <w:color w:val="auto"/>
              </w:rPr>
              <w:t>15.6%</w:t>
            </w:r>
          </w:p>
        </w:tc>
        <w:tc>
          <w:tcPr>
            <w:tcW w:w="340" w:type="dxa"/>
            <w:vAlign w:val="bottom"/>
          </w:tcPr>
          <w:p>
            <w:pPr>
              <w:spacing w:after="0"/>
              <w:rPr>
                <w:sz w:val="17"/>
                <w:szCs w:val="17"/>
                <w:color w:val="auto"/>
              </w:rPr>
            </w:pPr>
          </w:p>
        </w:tc>
        <w:tc>
          <w:tcPr>
            <w:tcW w:w="9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15.4%</w:t>
            </w:r>
          </w:p>
        </w:tc>
        <w:tc>
          <w:tcPr>
            <w:tcW w:w="220" w:type="dxa"/>
            <w:vAlign w:val="bottom"/>
          </w:tcPr>
          <w:p>
            <w:pPr>
              <w:spacing w:after="0"/>
              <w:rPr>
                <w:sz w:val="17"/>
                <w:szCs w:val="17"/>
                <w:color w:val="auto"/>
              </w:rPr>
            </w:pPr>
          </w:p>
        </w:tc>
        <w:tc>
          <w:tcPr>
            <w:tcW w:w="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16.1%</w:t>
            </w:r>
          </w:p>
        </w:tc>
      </w:tr>
      <w:tr>
        <w:trPr>
          <w:trHeight w:val="203"/>
        </w:trPr>
        <w:tc>
          <w:tcPr>
            <w:tcW w:w="80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Selling, general and administrative (SG&amp;A)</w:t>
            </w:r>
          </w:p>
        </w:tc>
        <w:tc>
          <w:tcPr>
            <w:tcW w:w="2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840" w:type="dxa"/>
            <w:vAlign w:val="bottom"/>
            <w:shd w:val="clear" w:color="auto" w:fill="E5E5E5"/>
          </w:tcPr>
          <w:p>
            <w:pPr>
              <w:jc w:val="right"/>
              <w:ind w:right="153"/>
              <w:spacing w:after="0" w:line="202" w:lineRule="exact"/>
              <w:rPr>
                <w:sz w:val="20"/>
                <w:szCs w:val="20"/>
                <w:color w:val="auto"/>
              </w:rPr>
            </w:pPr>
            <w:r>
              <w:rPr>
                <w:rFonts w:ascii="Arial" w:cs="Arial" w:eastAsia="Arial" w:hAnsi="Arial"/>
                <w:sz w:val="18"/>
                <w:szCs w:val="18"/>
                <w:b w:val="1"/>
                <w:bCs w:val="1"/>
                <w:color w:val="auto"/>
              </w:rPr>
              <w:t>1,681</w:t>
            </w:r>
          </w:p>
        </w:tc>
        <w:tc>
          <w:tcPr>
            <w:tcW w:w="340" w:type="dxa"/>
            <w:vAlign w:val="bottom"/>
            <w:shd w:val="clear" w:color="auto" w:fill="E5E5E5"/>
          </w:tcPr>
          <w:p>
            <w:pPr>
              <w:spacing w:after="0"/>
              <w:rPr>
                <w:sz w:val="17"/>
                <w:szCs w:val="17"/>
                <w:color w:val="auto"/>
              </w:rPr>
            </w:pPr>
          </w:p>
        </w:tc>
        <w:tc>
          <w:tcPr>
            <w:tcW w:w="900" w:type="dxa"/>
            <w:vAlign w:val="bottom"/>
            <w:shd w:val="clear" w:color="auto" w:fill="E5E5E5"/>
          </w:tcPr>
          <w:p>
            <w:pPr>
              <w:jc w:val="right"/>
              <w:ind w:right="192"/>
              <w:spacing w:after="0" w:line="202" w:lineRule="exact"/>
              <w:rPr>
                <w:sz w:val="20"/>
                <w:szCs w:val="20"/>
                <w:color w:val="auto"/>
              </w:rPr>
            </w:pPr>
            <w:r>
              <w:rPr>
                <w:rFonts w:ascii="Arial" w:cs="Arial" w:eastAsia="Arial" w:hAnsi="Arial"/>
                <w:sz w:val="18"/>
                <w:szCs w:val="18"/>
                <w:color w:val="auto"/>
              </w:rPr>
              <w:t>1,697</w:t>
            </w:r>
          </w:p>
        </w:tc>
        <w:tc>
          <w:tcPr>
            <w:tcW w:w="220" w:type="dxa"/>
            <w:vAlign w:val="bottom"/>
            <w:shd w:val="clear" w:color="auto" w:fill="E5E5E5"/>
          </w:tcPr>
          <w:p>
            <w:pPr>
              <w:spacing w:after="0"/>
              <w:rPr>
                <w:sz w:val="17"/>
                <w:szCs w:val="17"/>
                <w:color w:val="auto"/>
              </w:rPr>
            </w:pPr>
          </w:p>
        </w:tc>
        <w:tc>
          <w:tcPr>
            <w:tcW w:w="6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1,471</w:t>
            </w:r>
          </w:p>
        </w:tc>
        <w:tc>
          <w:tcPr>
            <w:tcW w:w="160" w:type="dxa"/>
            <w:vAlign w:val="bottom"/>
            <w:shd w:val="clear" w:color="auto" w:fill="E5E5E5"/>
          </w:tcPr>
          <w:p>
            <w:pPr>
              <w:spacing w:after="0"/>
              <w:rPr>
                <w:sz w:val="17"/>
                <w:szCs w:val="17"/>
                <w:color w:val="auto"/>
              </w:rPr>
            </w:pPr>
          </w:p>
        </w:tc>
      </w:tr>
      <w:tr>
        <w:trPr>
          <w:trHeight w:val="210"/>
        </w:trPr>
        <w:tc>
          <w:tcPr>
            <w:tcW w:w="8000" w:type="dxa"/>
            <w:vAlign w:val="bottom"/>
          </w:tcPr>
          <w:p>
            <w:pPr>
              <w:ind w:left="220"/>
              <w:spacing w:after="0" w:line="202" w:lineRule="exact"/>
              <w:rPr>
                <w:sz w:val="20"/>
                <w:szCs w:val="20"/>
                <w:color w:val="auto"/>
              </w:rPr>
            </w:pPr>
            <w:r>
              <w:rPr>
                <w:rFonts w:ascii="Arial" w:cs="Arial" w:eastAsia="Arial" w:hAnsi="Arial"/>
                <w:sz w:val="18"/>
                <w:szCs w:val="18"/>
                <w:color w:val="auto"/>
              </w:rPr>
              <w:t>SG&amp;A % of revenue</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3"/>
              <w:spacing w:after="0" w:line="202" w:lineRule="exact"/>
              <w:rPr>
                <w:sz w:val="20"/>
                <w:szCs w:val="20"/>
                <w:color w:val="auto"/>
              </w:rPr>
            </w:pPr>
            <w:r>
              <w:rPr>
                <w:rFonts w:ascii="Arial" w:cs="Arial" w:eastAsia="Arial" w:hAnsi="Arial"/>
                <w:sz w:val="18"/>
                <w:szCs w:val="18"/>
                <w:b w:val="1"/>
                <w:bCs w:val="1"/>
                <w:color w:val="auto"/>
              </w:rPr>
              <w:t>12.1%</w:t>
            </w:r>
          </w:p>
        </w:tc>
        <w:tc>
          <w:tcPr>
            <w:tcW w:w="340" w:type="dxa"/>
            <w:vAlign w:val="bottom"/>
          </w:tcPr>
          <w:p>
            <w:pPr>
              <w:spacing w:after="0"/>
              <w:rPr>
                <w:sz w:val="18"/>
                <w:szCs w:val="18"/>
                <w:color w:val="auto"/>
              </w:rPr>
            </w:pPr>
          </w:p>
        </w:tc>
        <w:tc>
          <w:tcPr>
            <w:tcW w:w="9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11.9%</w:t>
            </w:r>
          </w:p>
        </w:tc>
        <w:tc>
          <w:tcPr>
            <w:tcW w:w="220" w:type="dxa"/>
            <w:vAlign w:val="bottom"/>
          </w:tcPr>
          <w:p>
            <w:pPr>
              <w:spacing w:after="0"/>
              <w:rPr>
                <w:sz w:val="18"/>
                <w:szCs w:val="18"/>
                <w:color w:val="auto"/>
              </w:rPr>
            </w:pPr>
          </w:p>
        </w:tc>
        <w:tc>
          <w:tcPr>
            <w:tcW w:w="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11.9%</w:t>
            </w:r>
          </w:p>
        </w:tc>
      </w:tr>
      <w:tr>
        <w:trPr>
          <w:trHeight w:val="203"/>
        </w:trPr>
        <w:tc>
          <w:tcPr>
            <w:tcW w:w="80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Profit from operations</w:t>
            </w:r>
          </w:p>
        </w:tc>
        <w:tc>
          <w:tcPr>
            <w:tcW w:w="200" w:type="dxa"/>
            <w:vAlign w:val="bottom"/>
            <w:shd w:val="clear" w:color="auto" w:fill="E5E5E5"/>
          </w:tcPr>
          <w:p>
            <w:pPr>
              <w:spacing w:after="0"/>
              <w:rPr>
                <w:sz w:val="17"/>
                <w:szCs w:val="17"/>
                <w:color w:val="auto"/>
              </w:rPr>
            </w:pPr>
          </w:p>
        </w:tc>
        <w:tc>
          <w:tcPr>
            <w:tcW w:w="160" w:type="dxa"/>
            <w:vAlign w:val="bottom"/>
            <w:tcBorders>
              <w:top w:val="single" w:sz="8" w:color="auto"/>
            </w:tcBorders>
            <w:shd w:val="clear" w:color="auto" w:fill="E5E5E5"/>
          </w:tcPr>
          <w:p>
            <w:pPr>
              <w:spacing w:after="0"/>
              <w:rPr>
                <w:sz w:val="17"/>
                <w:szCs w:val="17"/>
                <w:color w:val="auto"/>
              </w:rPr>
            </w:pPr>
          </w:p>
        </w:tc>
        <w:tc>
          <w:tcPr>
            <w:tcW w:w="840" w:type="dxa"/>
            <w:vAlign w:val="bottom"/>
            <w:tcBorders>
              <w:top w:val="single" w:sz="8" w:color="auto"/>
            </w:tcBorders>
            <w:shd w:val="clear" w:color="auto" w:fill="E5E5E5"/>
          </w:tcPr>
          <w:p>
            <w:pPr>
              <w:jc w:val="right"/>
              <w:ind w:right="153"/>
              <w:spacing w:after="0" w:line="202" w:lineRule="exact"/>
              <w:rPr>
                <w:sz w:val="20"/>
                <w:szCs w:val="20"/>
                <w:color w:val="auto"/>
              </w:rPr>
            </w:pPr>
            <w:r>
              <w:rPr>
                <w:rFonts w:ascii="Arial" w:cs="Arial" w:eastAsia="Arial" w:hAnsi="Arial"/>
                <w:sz w:val="18"/>
                <w:szCs w:val="18"/>
                <w:b w:val="1"/>
                <w:bCs w:val="1"/>
                <w:color w:val="auto"/>
              </w:rPr>
              <w:t>3,497</w:t>
            </w:r>
          </w:p>
        </w:tc>
        <w:tc>
          <w:tcPr>
            <w:tcW w:w="340" w:type="dxa"/>
            <w:vAlign w:val="bottom"/>
            <w:tcBorders>
              <w:top w:val="single" w:sz="8" w:color="auto"/>
            </w:tcBorders>
            <w:shd w:val="clear" w:color="auto" w:fill="E5E5E5"/>
          </w:tcPr>
          <w:p>
            <w:pPr>
              <w:spacing w:after="0"/>
              <w:rPr>
                <w:sz w:val="17"/>
                <w:szCs w:val="17"/>
                <w:color w:val="auto"/>
              </w:rPr>
            </w:pPr>
          </w:p>
        </w:tc>
        <w:tc>
          <w:tcPr>
            <w:tcW w:w="900" w:type="dxa"/>
            <w:vAlign w:val="bottom"/>
            <w:tcBorders>
              <w:top w:val="single" w:sz="8" w:color="auto"/>
            </w:tcBorders>
            <w:shd w:val="clear" w:color="auto" w:fill="E5E5E5"/>
          </w:tcPr>
          <w:p>
            <w:pPr>
              <w:jc w:val="right"/>
              <w:ind w:right="192"/>
              <w:spacing w:after="0" w:line="202" w:lineRule="exact"/>
              <w:rPr>
                <w:sz w:val="20"/>
                <w:szCs w:val="20"/>
                <w:color w:val="auto"/>
              </w:rPr>
            </w:pPr>
            <w:r>
              <w:rPr>
                <w:rFonts w:ascii="Arial" w:cs="Arial" w:eastAsia="Arial" w:hAnsi="Arial"/>
                <w:sz w:val="18"/>
                <w:szCs w:val="18"/>
                <w:color w:val="auto"/>
              </w:rPr>
              <w:t>3,367</w:t>
            </w:r>
          </w:p>
        </w:tc>
        <w:tc>
          <w:tcPr>
            <w:tcW w:w="220" w:type="dxa"/>
            <w:vAlign w:val="bottom"/>
            <w:tcBorders>
              <w:top w:val="single" w:sz="8" w:color="auto"/>
            </w:tcBorders>
            <w:shd w:val="clear" w:color="auto" w:fill="E5E5E5"/>
          </w:tcPr>
          <w:p>
            <w:pPr>
              <w:spacing w:after="0"/>
              <w:rPr>
                <w:sz w:val="17"/>
                <w:szCs w:val="17"/>
                <w:color w:val="auto"/>
              </w:rPr>
            </w:pPr>
          </w:p>
        </w:tc>
        <w:tc>
          <w:tcPr>
            <w:tcW w:w="600" w:type="dxa"/>
            <w:vAlign w:val="bottom"/>
            <w:tcBorders>
              <w:top w:val="single" w:sz="8" w:color="auto"/>
            </w:tcBorders>
            <w:shd w:val="clear" w:color="auto" w:fill="E5E5E5"/>
          </w:tcPr>
          <w:p>
            <w:pPr>
              <w:jc w:val="right"/>
              <w:spacing w:after="0" w:line="202" w:lineRule="exact"/>
              <w:rPr>
                <w:sz w:val="20"/>
                <w:szCs w:val="20"/>
                <w:color w:val="auto"/>
              </w:rPr>
            </w:pPr>
            <w:r>
              <w:rPr>
                <w:rFonts w:ascii="Arial" w:cs="Arial" w:eastAsia="Arial" w:hAnsi="Arial"/>
                <w:sz w:val="18"/>
                <w:szCs w:val="18"/>
                <w:color w:val="auto"/>
              </w:rPr>
              <w:t>2,559</w:t>
            </w:r>
          </w:p>
        </w:tc>
        <w:tc>
          <w:tcPr>
            <w:tcW w:w="160" w:type="dxa"/>
            <w:vAlign w:val="bottom"/>
            <w:shd w:val="clear" w:color="auto" w:fill="E5E5E5"/>
          </w:tcPr>
          <w:p>
            <w:pPr>
              <w:spacing w:after="0"/>
              <w:rPr>
                <w:sz w:val="17"/>
                <w:szCs w:val="17"/>
                <w:color w:val="auto"/>
              </w:rPr>
            </w:pPr>
          </w:p>
        </w:tc>
      </w:tr>
      <w:tr>
        <w:trPr>
          <w:trHeight w:val="203"/>
        </w:trPr>
        <w:tc>
          <w:tcPr>
            <w:tcW w:w="8000" w:type="dxa"/>
            <w:vAlign w:val="bottom"/>
          </w:tcPr>
          <w:p>
            <w:pPr>
              <w:ind w:left="220"/>
              <w:spacing w:after="0" w:line="202" w:lineRule="exact"/>
              <w:rPr>
                <w:sz w:val="20"/>
                <w:szCs w:val="20"/>
                <w:color w:val="auto"/>
              </w:rPr>
            </w:pPr>
            <w:r>
              <w:rPr>
                <w:rFonts w:ascii="Arial" w:cs="Arial" w:eastAsia="Arial" w:hAnsi="Arial"/>
                <w:sz w:val="18"/>
                <w:szCs w:val="18"/>
                <w:color w:val="auto"/>
              </w:rPr>
              <w:t>Operating profit % of revenue</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13"/>
              <w:spacing w:after="0" w:line="202" w:lineRule="exact"/>
              <w:rPr>
                <w:sz w:val="20"/>
                <w:szCs w:val="20"/>
                <w:color w:val="auto"/>
              </w:rPr>
            </w:pPr>
            <w:r>
              <w:rPr>
                <w:rFonts w:ascii="Arial" w:cs="Arial" w:eastAsia="Arial" w:hAnsi="Arial"/>
                <w:sz w:val="18"/>
                <w:szCs w:val="18"/>
                <w:b w:val="1"/>
                <w:bCs w:val="1"/>
                <w:color w:val="auto"/>
              </w:rPr>
              <w:t>25.3%</w:t>
            </w:r>
          </w:p>
        </w:tc>
        <w:tc>
          <w:tcPr>
            <w:tcW w:w="340" w:type="dxa"/>
            <w:vAlign w:val="bottom"/>
          </w:tcPr>
          <w:p>
            <w:pPr>
              <w:spacing w:after="0"/>
              <w:rPr>
                <w:sz w:val="17"/>
                <w:szCs w:val="17"/>
                <w:color w:val="auto"/>
              </w:rPr>
            </w:pPr>
          </w:p>
        </w:tc>
        <w:tc>
          <w:tcPr>
            <w:tcW w:w="9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23.6%</w:t>
            </w:r>
          </w:p>
        </w:tc>
        <w:tc>
          <w:tcPr>
            <w:tcW w:w="220" w:type="dxa"/>
            <w:vAlign w:val="bottom"/>
          </w:tcPr>
          <w:p>
            <w:pPr>
              <w:spacing w:after="0"/>
              <w:rPr>
                <w:sz w:val="17"/>
                <w:szCs w:val="17"/>
                <w:color w:val="auto"/>
              </w:rPr>
            </w:pPr>
          </w:p>
        </w:tc>
        <w:tc>
          <w:tcPr>
            <w:tcW w:w="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20.7%</w:t>
            </w:r>
          </w:p>
        </w:tc>
      </w:tr>
      <w:tr>
        <w:trPr>
          <w:trHeight w:val="203"/>
        </w:trPr>
        <w:tc>
          <w:tcPr>
            <w:tcW w:w="80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Other income (expense) net</w:t>
            </w:r>
          </w:p>
        </w:tc>
        <w:tc>
          <w:tcPr>
            <w:tcW w:w="200" w:type="dxa"/>
            <w:vAlign w:val="bottom"/>
            <w:shd w:val="clear" w:color="auto" w:fill="E5E5E5"/>
          </w:tcPr>
          <w:p>
            <w:pPr>
              <w:spacing w:after="0"/>
              <w:rPr>
                <w:sz w:val="17"/>
                <w:szCs w:val="17"/>
                <w:color w:val="auto"/>
              </w:rPr>
            </w:pPr>
          </w:p>
        </w:tc>
        <w:tc>
          <w:tcPr>
            <w:tcW w:w="160" w:type="dxa"/>
            <w:vAlign w:val="bottom"/>
            <w:tcBorders>
              <w:bottom w:val="single" w:sz="8" w:color="auto"/>
            </w:tcBorders>
            <w:shd w:val="clear" w:color="auto" w:fill="E5E5E5"/>
          </w:tcPr>
          <w:p>
            <w:pPr>
              <w:spacing w:after="0"/>
              <w:rPr>
                <w:sz w:val="17"/>
                <w:szCs w:val="17"/>
                <w:color w:val="auto"/>
              </w:rPr>
            </w:pPr>
          </w:p>
        </w:tc>
        <w:tc>
          <w:tcPr>
            <w:tcW w:w="840" w:type="dxa"/>
            <w:vAlign w:val="bottom"/>
            <w:tcBorders>
              <w:bottom w:val="single" w:sz="8" w:color="auto"/>
            </w:tcBorders>
            <w:shd w:val="clear" w:color="auto" w:fill="E5E5E5"/>
          </w:tcPr>
          <w:p>
            <w:pPr>
              <w:jc w:val="right"/>
              <w:ind w:right="153"/>
              <w:spacing w:after="0" w:line="202" w:lineRule="exact"/>
              <w:rPr>
                <w:sz w:val="20"/>
                <w:szCs w:val="20"/>
                <w:color w:val="auto"/>
              </w:rPr>
            </w:pPr>
            <w:r>
              <w:rPr>
                <w:rFonts w:ascii="Arial" w:cs="Arial" w:eastAsia="Arial" w:hAnsi="Arial"/>
                <w:sz w:val="18"/>
                <w:szCs w:val="18"/>
                <w:b w:val="1"/>
                <w:bCs w:val="1"/>
                <w:color w:val="auto"/>
              </w:rPr>
              <w:t>195</w:t>
            </w:r>
          </w:p>
        </w:tc>
        <w:tc>
          <w:tcPr>
            <w:tcW w:w="340" w:type="dxa"/>
            <w:vAlign w:val="bottom"/>
            <w:tcBorders>
              <w:bottom w:val="single" w:sz="8" w:color="auto"/>
            </w:tcBorders>
            <w:shd w:val="clear" w:color="auto" w:fill="E5E5E5"/>
          </w:tcPr>
          <w:p>
            <w:pPr>
              <w:spacing w:after="0"/>
              <w:rPr>
                <w:sz w:val="17"/>
                <w:szCs w:val="17"/>
                <w:color w:val="auto"/>
              </w:rPr>
            </w:pPr>
          </w:p>
        </w:tc>
        <w:tc>
          <w:tcPr>
            <w:tcW w:w="900" w:type="dxa"/>
            <w:vAlign w:val="bottom"/>
            <w:tcBorders>
              <w:bottom w:val="single" w:sz="8" w:color="auto"/>
            </w:tcBorders>
            <w:shd w:val="clear" w:color="auto" w:fill="E5E5E5"/>
          </w:tcPr>
          <w:p>
            <w:pPr>
              <w:jc w:val="right"/>
              <w:ind w:right="192"/>
              <w:spacing w:after="0" w:line="202" w:lineRule="exact"/>
              <w:rPr>
                <w:sz w:val="20"/>
                <w:szCs w:val="20"/>
                <w:color w:val="auto"/>
              </w:rPr>
            </w:pPr>
            <w:r>
              <w:rPr>
                <w:rFonts w:ascii="Arial" w:cs="Arial" w:eastAsia="Arial" w:hAnsi="Arial"/>
                <w:sz w:val="18"/>
                <w:szCs w:val="18"/>
                <w:color w:val="auto"/>
              </w:rPr>
              <w:t>258</w:t>
            </w:r>
          </w:p>
        </w:tc>
        <w:tc>
          <w:tcPr>
            <w:tcW w:w="220" w:type="dxa"/>
            <w:vAlign w:val="bottom"/>
            <w:tcBorders>
              <w:bottom w:val="single" w:sz="8" w:color="auto"/>
            </w:tcBorders>
            <w:shd w:val="clear" w:color="auto" w:fill="E5E5E5"/>
          </w:tcPr>
          <w:p>
            <w:pPr>
              <w:spacing w:after="0"/>
              <w:rPr>
                <w:sz w:val="17"/>
                <w:szCs w:val="17"/>
                <w:color w:val="auto"/>
              </w:rPr>
            </w:pPr>
          </w:p>
        </w:tc>
        <w:tc>
          <w:tcPr>
            <w:tcW w:w="600" w:type="dxa"/>
            <w:vAlign w:val="bottom"/>
            <w:tcBorders>
              <w:bottom w:val="single" w:sz="8" w:color="auto"/>
            </w:tcBorders>
            <w:shd w:val="clear" w:color="auto" w:fill="E5E5E5"/>
          </w:tcPr>
          <w:p>
            <w:pPr>
              <w:jc w:val="right"/>
              <w:spacing w:after="0" w:line="202" w:lineRule="exact"/>
              <w:rPr>
                <w:sz w:val="20"/>
                <w:szCs w:val="20"/>
                <w:color w:val="auto"/>
              </w:rPr>
            </w:pPr>
            <w:r>
              <w:rPr>
                <w:rFonts w:ascii="Arial" w:cs="Arial" w:eastAsia="Arial" w:hAnsi="Arial"/>
                <w:sz w:val="18"/>
                <w:szCs w:val="18"/>
                <w:color w:val="auto"/>
              </w:rPr>
              <w:t>196</w:t>
            </w:r>
          </w:p>
        </w:tc>
        <w:tc>
          <w:tcPr>
            <w:tcW w:w="160" w:type="dxa"/>
            <w:vAlign w:val="bottom"/>
            <w:shd w:val="clear" w:color="auto" w:fill="E5E5E5"/>
          </w:tcPr>
          <w:p>
            <w:pPr>
              <w:spacing w:after="0"/>
              <w:rPr>
                <w:sz w:val="17"/>
                <w:szCs w:val="17"/>
                <w:color w:val="auto"/>
              </w:rPr>
            </w:pPr>
          </w:p>
        </w:tc>
      </w:tr>
      <w:tr>
        <w:trPr>
          <w:trHeight w:val="210"/>
        </w:trPr>
        <w:tc>
          <w:tcPr>
            <w:tcW w:w="8000" w:type="dxa"/>
            <w:vAlign w:val="bottom"/>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53"/>
              <w:spacing w:after="0"/>
              <w:rPr>
                <w:sz w:val="20"/>
                <w:szCs w:val="20"/>
                <w:color w:val="auto"/>
              </w:rPr>
            </w:pPr>
            <w:r>
              <w:rPr>
                <w:rFonts w:ascii="Arial" w:cs="Arial" w:eastAsia="Arial" w:hAnsi="Arial"/>
                <w:sz w:val="18"/>
                <w:szCs w:val="18"/>
                <w:b w:val="1"/>
                <w:bCs w:val="1"/>
                <w:color w:val="auto"/>
              </w:rPr>
              <w:t>3,692</w:t>
            </w:r>
          </w:p>
        </w:tc>
        <w:tc>
          <w:tcPr>
            <w:tcW w:w="340" w:type="dxa"/>
            <w:vAlign w:val="bottom"/>
          </w:tcPr>
          <w:p>
            <w:pPr>
              <w:spacing w:after="0"/>
              <w:rPr>
                <w:sz w:val="18"/>
                <w:szCs w:val="18"/>
                <w:color w:val="auto"/>
              </w:rPr>
            </w:pPr>
          </w:p>
        </w:tc>
        <w:tc>
          <w:tcPr>
            <w:tcW w:w="900" w:type="dxa"/>
            <w:vAlign w:val="bottom"/>
          </w:tcPr>
          <w:p>
            <w:pPr>
              <w:jc w:val="right"/>
              <w:ind w:right="192"/>
              <w:spacing w:after="0"/>
              <w:rPr>
                <w:sz w:val="20"/>
                <w:szCs w:val="20"/>
                <w:color w:val="auto"/>
              </w:rPr>
            </w:pPr>
            <w:r>
              <w:rPr>
                <w:rFonts w:ascii="Arial" w:cs="Arial" w:eastAsia="Arial" w:hAnsi="Arial"/>
                <w:sz w:val="18"/>
                <w:szCs w:val="18"/>
                <w:color w:val="auto"/>
              </w:rPr>
              <w:t>3,625</w:t>
            </w: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2,755</w:t>
            </w:r>
          </w:p>
        </w:tc>
        <w:tc>
          <w:tcPr>
            <w:tcW w:w="160" w:type="dxa"/>
            <w:vAlign w:val="bottom"/>
          </w:tcPr>
          <w:p>
            <w:pPr>
              <w:spacing w:after="0"/>
              <w:rPr>
                <w:sz w:val="18"/>
                <w:szCs w:val="18"/>
                <w:color w:val="auto"/>
              </w:rPr>
            </w:pPr>
          </w:p>
        </w:tc>
      </w:tr>
      <w:tr>
        <w:trPr>
          <w:trHeight w:val="203"/>
        </w:trPr>
        <w:tc>
          <w:tcPr>
            <w:tcW w:w="80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Provision for income taxes</w:t>
            </w:r>
          </w:p>
        </w:tc>
        <w:tc>
          <w:tcPr>
            <w:tcW w:w="200" w:type="dxa"/>
            <w:vAlign w:val="bottom"/>
            <w:shd w:val="clear" w:color="auto" w:fill="E5E5E5"/>
          </w:tcPr>
          <w:p>
            <w:pPr>
              <w:spacing w:after="0"/>
              <w:rPr>
                <w:sz w:val="17"/>
                <w:szCs w:val="17"/>
                <w:color w:val="auto"/>
              </w:rPr>
            </w:pPr>
          </w:p>
        </w:tc>
        <w:tc>
          <w:tcPr>
            <w:tcW w:w="160" w:type="dxa"/>
            <w:vAlign w:val="bottom"/>
            <w:tcBorders>
              <w:bottom w:val="single" w:sz="8" w:color="auto"/>
            </w:tcBorders>
            <w:shd w:val="clear" w:color="auto" w:fill="E5E5E5"/>
          </w:tcPr>
          <w:p>
            <w:pPr>
              <w:spacing w:after="0"/>
              <w:rPr>
                <w:sz w:val="17"/>
                <w:szCs w:val="17"/>
                <w:color w:val="auto"/>
              </w:rPr>
            </w:pPr>
          </w:p>
        </w:tc>
        <w:tc>
          <w:tcPr>
            <w:tcW w:w="840" w:type="dxa"/>
            <w:vAlign w:val="bottom"/>
            <w:tcBorders>
              <w:bottom w:val="single" w:sz="8" w:color="auto"/>
            </w:tcBorders>
            <w:shd w:val="clear" w:color="auto" w:fill="E5E5E5"/>
          </w:tcPr>
          <w:p>
            <w:pPr>
              <w:jc w:val="right"/>
              <w:ind w:right="153"/>
              <w:spacing w:after="0" w:line="202" w:lineRule="exact"/>
              <w:rPr>
                <w:sz w:val="20"/>
                <w:szCs w:val="20"/>
                <w:color w:val="auto"/>
              </w:rPr>
            </w:pPr>
            <w:r>
              <w:rPr>
                <w:rFonts w:ascii="Arial" w:cs="Arial" w:eastAsia="Arial" w:hAnsi="Arial"/>
                <w:sz w:val="18"/>
                <w:szCs w:val="18"/>
                <w:b w:val="1"/>
                <w:bCs w:val="1"/>
                <w:color w:val="auto"/>
              </w:rPr>
              <w:t>1,051</w:t>
            </w:r>
          </w:p>
        </w:tc>
        <w:tc>
          <w:tcPr>
            <w:tcW w:w="340" w:type="dxa"/>
            <w:vAlign w:val="bottom"/>
            <w:tcBorders>
              <w:bottom w:val="single" w:sz="8" w:color="auto"/>
            </w:tcBorders>
            <w:shd w:val="clear" w:color="auto" w:fill="E5E5E5"/>
          </w:tcPr>
          <w:p>
            <w:pPr>
              <w:spacing w:after="0"/>
              <w:rPr>
                <w:sz w:val="17"/>
                <w:szCs w:val="17"/>
                <w:color w:val="auto"/>
              </w:rPr>
            </w:pPr>
          </w:p>
        </w:tc>
        <w:tc>
          <w:tcPr>
            <w:tcW w:w="900" w:type="dxa"/>
            <w:vAlign w:val="bottom"/>
            <w:tcBorders>
              <w:bottom w:val="single" w:sz="8" w:color="auto"/>
            </w:tcBorders>
            <w:shd w:val="clear" w:color="auto" w:fill="E5E5E5"/>
          </w:tcPr>
          <w:p>
            <w:pPr>
              <w:jc w:val="right"/>
              <w:ind w:right="192"/>
              <w:spacing w:after="0" w:line="202" w:lineRule="exact"/>
              <w:rPr>
                <w:sz w:val="20"/>
                <w:szCs w:val="20"/>
                <w:color w:val="auto"/>
              </w:rPr>
            </w:pPr>
            <w:r>
              <w:rPr>
                <w:rFonts w:ascii="Arial" w:cs="Arial" w:eastAsia="Arial" w:hAnsi="Arial"/>
                <w:sz w:val="18"/>
                <w:szCs w:val="18"/>
                <w:color w:val="auto"/>
              </w:rPr>
              <w:t>987</w:t>
            </w:r>
          </w:p>
        </w:tc>
        <w:tc>
          <w:tcPr>
            <w:tcW w:w="220" w:type="dxa"/>
            <w:vAlign w:val="bottom"/>
            <w:tcBorders>
              <w:bottom w:val="single" w:sz="8" w:color="auto"/>
            </w:tcBorders>
            <w:shd w:val="clear" w:color="auto" w:fill="E5E5E5"/>
          </w:tcPr>
          <w:p>
            <w:pPr>
              <w:spacing w:after="0"/>
              <w:rPr>
                <w:sz w:val="17"/>
                <w:szCs w:val="17"/>
                <w:color w:val="auto"/>
              </w:rPr>
            </w:pPr>
          </w:p>
        </w:tc>
        <w:tc>
          <w:tcPr>
            <w:tcW w:w="600" w:type="dxa"/>
            <w:vAlign w:val="bottom"/>
            <w:tcBorders>
              <w:bottom w:val="single" w:sz="8" w:color="auto"/>
            </w:tcBorders>
            <w:shd w:val="clear" w:color="auto" w:fill="E5E5E5"/>
          </w:tcPr>
          <w:p>
            <w:pPr>
              <w:jc w:val="right"/>
              <w:spacing w:after="0" w:line="202" w:lineRule="exact"/>
              <w:rPr>
                <w:sz w:val="20"/>
                <w:szCs w:val="20"/>
                <w:color w:val="auto"/>
              </w:rPr>
            </w:pPr>
            <w:r>
              <w:rPr>
                <w:rFonts w:ascii="Arial" w:cs="Arial" w:eastAsia="Arial" w:hAnsi="Arial"/>
                <w:sz w:val="18"/>
                <w:szCs w:val="18"/>
                <w:color w:val="auto"/>
              </w:rPr>
              <w:t>582</w:t>
            </w:r>
          </w:p>
        </w:tc>
        <w:tc>
          <w:tcPr>
            <w:tcW w:w="160" w:type="dxa"/>
            <w:vAlign w:val="bottom"/>
            <w:shd w:val="clear" w:color="auto" w:fill="E5E5E5"/>
          </w:tcPr>
          <w:p>
            <w:pPr>
              <w:spacing w:after="0"/>
              <w:rPr>
                <w:sz w:val="17"/>
                <w:szCs w:val="17"/>
                <w:color w:val="auto"/>
              </w:rPr>
            </w:pPr>
          </w:p>
        </w:tc>
      </w:tr>
      <w:tr>
        <w:trPr>
          <w:trHeight w:val="210"/>
        </w:trPr>
        <w:tc>
          <w:tcPr>
            <w:tcW w:w="800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Pr>
          <w:p>
            <w:pPr>
              <w:jc w:val="right"/>
              <w:ind w:right="153"/>
              <w:spacing w:after="0"/>
              <w:rPr>
                <w:sz w:val="20"/>
                <w:szCs w:val="20"/>
                <w:color w:val="auto"/>
              </w:rPr>
            </w:pPr>
            <w:r>
              <w:rPr>
                <w:rFonts w:ascii="Arial" w:cs="Arial" w:eastAsia="Arial" w:hAnsi="Arial"/>
                <w:sz w:val="18"/>
                <w:szCs w:val="18"/>
                <w:b w:val="1"/>
                <w:bCs w:val="1"/>
                <w:color w:val="auto"/>
              </w:rPr>
              <w:t>2,641</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92"/>
              <w:spacing w:after="0"/>
              <w:rPr>
                <w:sz w:val="20"/>
                <w:szCs w:val="20"/>
                <w:color w:val="auto"/>
              </w:rPr>
            </w:pPr>
            <w:r>
              <w:rPr>
                <w:rFonts w:ascii="Arial" w:cs="Arial" w:eastAsia="Arial" w:hAnsi="Arial"/>
                <w:sz w:val="18"/>
                <w:szCs w:val="18"/>
                <w:color w:val="auto"/>
              </w:rPr>
              <w:t>2,638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2,173</w:t>
            </w:r>
          </w:p>
        </w:tc>
      </w:tr>
      <w:tr>
        <w:trPr>
          <w:trHeight w:val="20"/>
        </w:trPr>
        <w:tc>
          <w:tcPr>
            <w:tcW w:w="8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8000" w:type="dxa"/>
            <w:vAlign w:val="bottom"/>
            <w:shd w:val="clear" w:color="auto" w:fill="E5E5E5"/>
          </w:tcPr>
          <w:p>
            <w:pPr>
              <w:spacing w:after="0" w:line="196" w:lineRule="exact"/>
              <w:rPr>
                <w:sz w:val="20"/>
                <w:szCs w:val="20"/>
                <w:color w:val="auto"/>
              </w:rPr>
            </w:pPr>
            <w:r>
              <w:rPr>
                <w:rFonts w:ascii="Arial" w:cs="Arial" w:eastAsia="Arial" w:hAnsi="Arial"/>
                <w:sz w:val="18"/>
                <w:szCs w:val="18"/>
                <w:color w:val="auto"/>
              </w:rPr>
              <w:t>Diluted income from continuing operations per common share</w:t>
            </w:r>
          </w:p>
        </w:tc>
        <w:tc>
          <w:tcPr>
            <w:tcW w:w="360" w:type="dxa"/>
            <w:vAlign w:val="bottom"/>
            <w:gridSpan w:val="2"/>
            <w:shd w:val="clear" w:color="auto" w:fill="E5E5E5"/>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E5E5E5"/>
          </w:tcPr>
          <w:p>
            <w:pPr>
              <w:jc w:val="right"/>
              <w:ind w:right="153"/>
              <w:spacing w:after="0" w:line="196" w:lineRule="exact"/>
              <w:rPr>
                <w:sz w:val="20"/>
                <w:szCs w:val="20"/>
                <w:color w:val="auto"/>
              </w:rPr>
            </w:pPr>
            <w:r>
              <w:rPr>
                <w:rFonts w:ascii="Arial" w:cs="Arial" w:eastAsia="Arial" w:hAnsi="Arial"/>
                <w:sz w:val="18"/>
                <w:szCs w:val="18"/>
                <w:b w:val="1"/>
                <w:bCs w:val="1"/>
                <w:color w:val="auto"/>
              </w:rPr>
              <w:t>1.83</w:t>
            </w:r>
          </w:p>
        </w:tc>
        <w:tc>
          <w:tcPr>
            <w:tcW w:w="34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shd w:val="clear" w:color="auto" w:fill="E5E5E5"/>
          </w:tcPr>
          <w:p>
            <w:pPr>
              <w:jc w:val="right"/>
              <w:ind w:right="192"/>
              <w:spacing w:after="0" w:line="196" w:lineRule="exact"/>
              <w:rPr>
                <w:sz w:val="20"/>
                <w:szCs w:val="20"/>
                <w:color w:val="auto"/>
              </w:rPr>
            </w:pPr>
            <w:r>
              <w:rPr>
                <w:rFonts w:ascii="Arial" w:cs="Arial" w:eastAsia="Arial" w:hAnsi="Arial"/>
                <w:sz w:val="18"/>
                <w:szCs w:val="18"/>
                <w:color w:val="auto"/>
              </w:rPr>
              <w:t>1.69</w:t>
            </w:r>
          </w:p>
        </w:tc>
        <w:tc>
          <w:tcPr>
            <w:tcW w:w="22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E5E5E5"/>
          </w:tcPr>
          <w:p>
            <w:pPr>
              <w:jc w:val="right"/>
              <w:ind w:right="160"/>
              <w:spacing w:after="0" w:line="196" w:lineRule="exact"/>
              <w:rPr>
                <w:sz w:val="20"/>
                <w:szCs w:val="20"/>
                <w:color w:val="auto"/>
              </w:rPr>
            </w:pPr>
            <w:r>
              <w:rPr>
                <w:rFonts w:ascii="Arial" w:cs="Arial" w:eastAsia="Arial" w:hAnsi="Arial"/>
                <w:sz w:val="18"/>
                <w:szCs w:val="18"/>
                <w:color w:val="auto"/>
              </w:rPr>
              <w:t>1.30</w:t>
            </w:r>
          </w:p>
        </w:tc>
      </w:tr>
      <w:tr>
        <w:trPr>
          <w:trHeight w:val="20"/>
        </w:trPr>
        <w:tc>
          <w:tcPr>
            <w:tcW w:w="8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79"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Details of 2007 Financial Results</w:t>
      </w:r>
    </w:p>
    <w:p>
      <w:pPr>
        <w:spacing w:after="0" w:line="158" w:lineRule="exact"/>
        <w:rPr>
          <w:sz w:val="20"/>
          <w:szCs w:val="20"/>
          <w:color w:val="auto"/>
        </w:rPr>
      </w:pPr>
    </w:p>
    <w:p>
      <w:pPr>
        <w:ind w:right="200"/>
        <w:spacing w:after="0" w:line="281" w:lineRule="auto"/>
        <w:rPr>
          <w:sz w:val="20"/>
          <w:szCs w:val="20"/>
          <w:color w:val="auto"/>
        </w:rPr>
      </w:pPr>
      <w:r>
        <w:rPr>
          <w:rFonts w:ascii="Arial" w:cs="Arial" w:eastAsia="Arial" w:hAnsi="Arial"/>
          <w:sz w:val="16"/>
          <w:szCs w:val="16"/>
          <w:color w:val="auto"/>
        </w:rPr>
        <w:t>Revenue was $13.83 billion, down $420 million, or 3 percent, from 2006. This decrease was primarily due to decreased shipments resulting from lower demand for reduced instruction set computing (RISC) microprocessors (designed to provide very fast computing, typically for a specialized</w:t>
      </w:r>
    </w:p>
    <w:p>
      <w:pPr>
        <w:spacing w:after="0" w:line="1" w:lineRule="exact"/>
        <w:rPr>
          <w:sz w:val="20"/>
          <w:szCs w:val="20"/>
          <w:color w:val="auto"/>
        </w:rPr>
      </w:pPr>
    </w:p>
    <w:p>
      <w:pPr>
        <w:ind w:right="180"/>
        <w:spacing w:after="0" w:line="226" w:lineRule="auto"/>
        <w:rPr>
          <w:sz w:val="20"/>
          <w:szCs w:val="20"/>
          <w:color w:val="auto"/>
        </w:rPr>
      </w:pPr>
      <w:r>
        <w:rPr>
          <w:rFonts w:ascii="Arial" w:cs="Arial" w:eastAsia="Arial" w:hAnsi="Arial"/>
          <w:sz w:val="18"/>
          <w:szCs w:val="18"/>
          <w:color w:val="auto"/>
        </w:rPr>
        <w:t>application such as servers) and DLP</w:t>
      </w:r>
      <w:r>
        <w:rPr>
          <w:rFonts w:ascii="Arial" w:cs="Arial" w:eastAsia="Arial" w:hAnsi="Arial"/>
          <w:sz w:val="22"/>
          <w:szCs w:val="22"/>
          <w:color w:val="auto"/>
          <w:vertAlign w:val="superscript"/>
        </w:rPr>
        <w:t>®</w:t>
      </w:r>
      <w:r>
        <w:rPr>
          <w:rFonts w:ascii="Arial" w:cs="Arial" w:eastAsia="Arial" w:hAnsi="Arial"/>
          <w:sz w:val="18"/>
          <w:szCs w:val="18"/>
          <w:color w:val="auto"/>
        </w:rPr>
        <w:t xml:space="preserve"> products. In addition, although our revenue benefited from increased shipments resulting from higher demand for products used in cell phone applications, this benefit was insufficient to offset normal price declines for those products. The collective declines in these areas more than offset strong growth from high-performance analog products.</w:t>
      </w:r>
    </w:p>
    <w:p>
      <w:pPr>
        <w:spacing w:after="0" w:line="196" w:lineRule="exact"/>
        <w:rPr>
          <w:sz w:val="20"/>
          <w:szCs w:val="20"/>
          <w:color w:val="auto"/>
        </w:rPr>
      </w:pPr>
    </w:p>
    <w:p>
      <w:pPr>
        <w:ind w:right="560"/>
        <w:spacing w:after="0" w:line="239" w:lineRule="auto"/>
        <w:rPr>
          <w:sz w:val="20"/>
          <w:szCs w:val="20"/>
          <w:color w:val="auto"/>
        </w:rPr>
      </w:pPr>
      <w:r>
        <w:rPr>
          <w:rFonts w:ascii="Arial" w:cs="Arial" w:eastAsia="Arial" w:hAnsi="Arial"/>
          <w:sz w:val="18"/>
          <w:szCs w:val="18"/>
          <w:color w:val="auto"/>
        </w:rPr>
        <w:t>Gross profit was $7.33 billion, or 53.0 percent of revenue. This was an increase of $74 million from 2006 due to the combination of a greater percentage of revenue coming from more-profitable analog and DSP products, and continued manufacturing cost reductions.</w:t>
      </w:r>
    </w:p>
    <w:p>
      <w:pPr>
        <w:spacing w:after="0" w:line="155"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Operating expenses were $2.15 billion for research and development (R&amp;D) and $1.68 billion for selling, general and administrative (SG&amp;A). R&amp;D decreased $40 million from 2006 because we benefited from more efficient development of advanced digital manufacturing process technologies through our collaborative work with foundries. R&amp;D was 15.6 percent of revenue in 2007, compared with 15.4 percent in 2006. SG&amp;A for 2007 decreased $16 million from 2006. SG&amp;A was 12.1 percent of revenue in 2007, compared with 11.9 percent a year ago.</w:t>
      </w:r>
    </w:p>
    <w:p>
      <w:pPr>
        <w:spacing w:after="0" w:line="155"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Operating profit was $3.50 billion, or 25.3 percent of revenue. This was an increase of $130 million, or 4 percent, from 2006 primarily due to strong gross profit, and to a lesser extent, lower operating expenses.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120" w:type="dxa"/>
            <w:vAlign w:val="bottom"/>
          </w:tcPr>
          <w:p>
            <w:pPr>
              <w:spacing w:after="0"/>
              <w:rPr>
                <w:sz w:val="20"/>
                <w:szCs w:val="20"/>
                <w:color w:val="auto"/>
              </w:rPr>
            </w:pPr>
            <w:r>
              <w:rPr>
                <w:rFonts w:ascii="Arial" w:cs="Arial" w:eastAsia="Arial" w:hAnsi="Arial"/>
                <w:sz w:val="14"/>
                <w:szCs w:val="14"/>
                <w:color w:val="auto"/>
              </w:rPr>
              <w:t>TEXAS INSTRUMENTS 2007 ANNUAL REPORT</w:t>
            </w:r>
          </w:p>
        </w:tc>
        <w:tc>
          <w:tcPr>
            <w:tcW w:w="4300" w:type="dxa"/>
            <w:vAlign w:val="bottom"/>
          </w:tcPr>
          <w:p>
            <w:pPr>
              <w:jc w:val="right"/>
              <w:spacing w:after="0"/>
              <w:rPr>
                <w:sz w:val="20"/>
                <w:szCs w:val="20"/>
                <w:color w:val="auto"/>
              </w:rPr>
            </w:pPr>
            <w:r>
              <w:rPr>
                <w:rFonts w:ascii="Arial" w:cs="Arial" w:eastAsia="Arial" w:hAnsi="Arial"/>
                <w:sz w:val="14"/>
                <w:szCs w:val="14"/>
                <w:color w:val="auto"/>
              </w:rPr>
              <w:t>49</w:t>
            </w:r>
          </w:p>
        </w:tc>
      </w:tr>
    </w:tbl>
    <w:p>
      <w:pPr>
        <w:sectPr>
          <w:pgSz w:w="11900" w:h="16838" w:orient="portrait"/>
          <w:cols w:equalWidth="0" w:num="1">
            <w:col w:w="11420"/>
          </w:cols>
          <w:pgMar w:left="240" w:top="291" w:right="239" w:bottom="1440" w:gutter="0" w:footer="0" w:header="0"/>
        </w:sectPr>
      </w:pPr>
    </w:p>
    <w:bookmarkStart w:id="69" w:name="page70"/>
    <w:bookmarkEnd w:id="69"/>
    <w:p>
      <w:pPr>
        <w:ind w:right="100"/>
        <w:spacing w:after="0" w:line="23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income (expense) net (OI&amp;E) was $195 million, a decrease of $63 million primarily due to lower interest income. OI&amp;E in 2006 included benefits from a refund of state sales tax and final settlement of matters related to grants from the Italian government regarding our former memory operations.</w:t>
      </w:r>
    </w:p>
    <w:p>
      <w:pPr>
        <w:spacing w:after="0" w:line="154"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The tax provision for continuing operations was $1.05 billion, compared with $987 million for the prior year. The increase was due to the expiration of the tax benefit for export sales and, to a lesser extent, an increase in income before income taxes. These increases were partially offset by a benefit from changes in net discrete tax items. The tax provision for continuing operations for 2007 contained net discrete tax benefit items of $28 million. The tax provision for 2006 contained net discrete tax expense items of $14 million (see Note 12 to the Financial Statements for a reconciliation of tax rates to the statutory federal tax rate).</w:t>
      </w:r>
    </w:p>
    <w:p>
      <w:pPr>
        <w:spacing w:after="0" w:line="157" w:lineRule="exact"/>
        <w:rPr>
          <w:sz w:val="20"/>
          <w:szCs w:val="20"/>
          <w:color w:val="auto"/>
        </w:rPr>
      </w:pPr>
    </w:p>
    <w:p>
      <w:pPr>
        <w:ind w:right="220"/>
        <w:spacing w:after="0" w:line="299" w:lineRule="auto"/>
        <w:rPr>
          <w:sz w:val="20"/>
          <w:szCs w:val="20"/>
          <w:color w:val="auto"/>
        </w:rPr>
      </w:pPr>
      <w:r>
        <w:rPr>
          <w:rFonts w:ascii="Arial" w:cs="Arial" w:eastAsia="Arial" w:hAnsi="Arial"/>
          <w:sz w:val="16"/>
          <w:szCs w:val="16"/>
          <w:color w:val="auto"/>
        </w:rPr>
        <w:t>Our annual effective tax rate for 2008 is estimated to be about 31 percent, an increase from 29 percent in 2007. The forecasted tax rate is based on the current tax law in effect and does not assume reinstatement of the federal R&amp;D tax credit, which expired on December 31, 2007.</w:t>
      </w:r>
    </w:p>
    <w:p>
      <w:pPr>
        <w:spacing w:after="0" w:line="109" w:lineRule="exact"/>
        <w:rPr>
          <w:sz w:val="20"/>
          <w:szCs w:val="20"/>
          <w:color w:val="auto"/>
        </w:rPr>
      </w:pPr>
    </w:p>
    <w:p>
      <w:pPr>
        <w:jc w:val="both"/>
        <w:ind w:right="240"/>
        <w:spacing w:after="0" w:line="236" w:lineRule="auto"/>
        <w:rPr>
          <w:sz w:val="20"/>
          <w:szCs w:val="20"/>
          <w:color w:val="auto"/>
        </w:rPr>
      </w:pPr>
      <w:r>
        <w:rPr>
          <w:rFonts w:ascii="Arial" w:cs="Arial" w:eastAsia="Arial" w:hAnsi="Arial"/>
          <w:sz w:val="18"/>
          <w:szCs w:val="18"/>
          <w:color w:val="auto"/>
        </w:rPr>
        <w:t>Income from continuing operations was $2.64 billion, about the same as 2006. Earnings per share from continuing operations were $1.83, up 8 percent from 2006. The increase in earnings per share is due to fewer shares outstanding as a result of our stock repurchases. Average diluted shares outstanding decreased by 114 million shares from 2006, increasing earnings per share by $0.13. Our product portfolio now requires less capital spending than in past years, and it is comprised of higher-margin products. As a result, we have generated greater levels of cash that we have returned to shareholders through stock repurchases and increased dividends.</w:t>
      </w:r>
    </w:p>
    <w:p>
      <w:pPr>
        <w:spacing w:after="0" w:line="157"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Income from discontinued operations was $16 million, compared with $1.70 billion in 2006, which included a $1.67 billion gain from the sale of our former Sensors &amp; Controls business. Earnings per share from discontinued operations were $0.01, compared with $1.09.</w:t>
      </w:r>
    </w:p>
    <w:p>
      <w:pPr>
        <w:spacing w:after="0" w:line="155"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income was $2.66 billion, or $1.84 per share, compared with $4.34 billion or $2.78 per share, in 2006.</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Orders were $13.69 billion, down $327 million from 2006, due to lower demand for semiconductor products.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Semiconductor Segment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Operations – Semiconductor</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60" w:type="dxa"/>
            <w:vAlign w:val="bottom"/>
            <w:shd w:val="clear" w:color="auto" w:fill="E5E5E5"/>
          </w:tcPr>
          <w:p>
            <w:pPr>
              <w:spacing w:after="0"/>
              <w:rPr>
                <w:sz w:val="14"/>
                <w:szCs w:val="14"/>
                <w:color w:val="auto"/>
              </w:rPr>
            </w:pPr>
          </w:p>
        </w:tc>
        <w:tc>
          <w:tcPr>
            <w:tcW w:w="320" w:type="dxa"/>
            <w:vAlign w:val="bottom"/>
            <w:shd w:val="clear" w:color="auto" w:fill="E5E5E5"/>
          </w:tcPr>
          <w:p>
            <w:pPr>
              <w:spacing w:after="0"/>
              <w:rPr>
                <w:sz w:val="14"/>
                <w:szCs w:val="14"/>
                <w:color w:val="auto"/>
              </w:rPr>
            </w:pPr>
          </w:p>
        </w:tc>
        <w:tc>
          <w:tcPr>
            <w:tcW w:w="2140" w:type="dxa"/>
            <w:vAlign w:val="bottom"/>
            <w:gridSpan w:val="3"/>
            <w:shd w:val="clear" w:color="auto" w:fill="E5E5E5"/>
          </w:tcPr>
          <w:p>
            <w:pPr>
              <w:jc w:val="right"/>
              <w:ind w:right="500"/>
              <w:spacing w:after="0"/>
              <w:rPr>
                <w:sz w:val="20"/>
                <w:szCs w:val="20"/>
                <w:color w:val="auto"/>
              </w:rPr>
            </w:pPr>
            <w:r>
              <w:rPr>
                <w:rFonts w:ascii="Arial" w:cs="Arial" w:eastAsia="Arial" w:hAnsi="Arial"/>
                <w:sz w:val="14"/>
                <w:szCs w:val="14"/>
                <w:b w:val="1"/>
                <w:bCs w:val="1"/>
                <w:color w:val="auto"/>
              </w:rPr>
              <w:t>For the years ended</w:t>
            </w:r>
          </w:p>
        </w:tc>
      </w:tr>
      <w:tr>
        <w:trPr>
          <w:trHeight w:val="165"/>
        </w:trPr>
        <w:tc>
          <w:tcPr>
            <w:tcW w:w="8960" w:type="dxa"/>
            <w:vAlign w:val="bottom"/>
            <w:shd w:val="clear" w:color="auto" w:fill="E5E5E5"/>
          </w:tcPr>
          <w:p>
            <w:pPr>
              <w:spacing w:after="0"/>
              <w:rPr>
                <w:sz w:val="14"/>
                <w:szCs w:val="14"/>
                <w:color w:val="auto"/>
              </w:rPr>
            </w:pPr>
          </w:p>
        </w:tc>
        <w:tc>
          <w:tcPr>
            <w:tcW w:w="320" w:type="dxa"/>
            <w:vAlign w:val="bottom"/>
            <w:shd w:val="clear" w:color="auto" w:fill="E5E5E5"/>
          </w:tcPr>
          <w:p>
            <w:pPr>
              <w:spacing w:after="0"/>
              <w:rPr>
                <w:sz w:val="14"/>
                <w:szCs w:val="14"/>
                <w:color w:val="auto"/>
              </w:rPr>
            </w:pPr>
          </w:p>
        </w:tc>
        <w:tc>
          <w:tcPr>
            <w:tcW w:w="2140" w:type="dxa"/>
            <w:vAlign w:val="bottom"/>
            <w:gridSpan w:val="3"/>
            <w:shd w:val="clear" w:color="auto" w:fill="E5E5E5"/>
          </w:tcPr>
          <w:p>
            <w:pPr>
              <w:jc w:val="right"/>
              <w:ind w:right="700"/>
              <w:spacing w:after="0"/>
              <w:rPr>
                <w:sz w:val="20"/>
                <w:szCs w:val="20"/>
                <w:color w:val="auto"/>
              </w:rPr>
            </w:pPr>
            <w:r>
              <w:rPr>
                <w:rFonts w:ascii="Arial" w:cs="Arial" w:eastAsia="Arial" w:hAnsi="Arial"/>
                <w:sz w:val="14"/>
                <w:szCs w:val="14"/>
                <w:b w:val="1"/>
                <w:bCs w:val="1"/>
                <w:color w:val="auto"/>
              </w:rPr>
              <w:t>December 31,</w:t>
            </w:r>
          </w:p>
        </w:tc>
      </w:tr>
      <w:tr>
        <w:trPr>
          <w:trHeight w:val="203"/>
        </w:trPr>
        <w:tc>
          <w:tcPr>
            <w:tcW w:w="8960" w:type="dxa"/>
            <w:vAlign w:val="bottom"/>
            <w:shd w:val="clear" w:color="auto" w:fill="E5E5E5"/>
          </w:tcPr>
          <w:p>
            <w:pPr>
              <w:spacing w:after="0"/>
              <w:rPr>
                <w:sz w:val="17"/>
                <w:szCs w:val="17"/>
                <w:color w:val="auto"/>
              </w:rPr>
            </w:pPr>
          </w:p>
        </w:tc>
        <w:tc>
          <w:tcPr>
            <w:tcW w:w="1400" w:type="dxa"/>
            <w:vAlign w:val="bottom"/>
            <w:gridSpan w:val="2"/>
            <w:shd w:val="clear" w:color="auto" w:fill="E5E5E5"/>
          </w:tcPr>
          <w:p>
            <w:pPr>
              <w:jc w:val="right"/>
              <w:ind w:right="426"/>
              <w:spacing w:after="0" w:line="202" w:lineRule="exact"/>
              <w:rPr>
                <w:sz w:val="20"/>
                <w:szCs w:val="20"/>
                <w:color w:val="auto"/>
              </w:rPr>
            </w:pPr>
            <w:r>
              <w:rPr>
                <w:rFonts w:ascii="Arial" w:cs="Arial" w:eastAsia="Arial" w:hAnsi="Arial"/>
                <w:sz w:val="18"/>
                <w:szCs w:val="18"/>
                <w:b w:val="1"/>
                <w:bCs w:val="1"/>
                <w:color w:val="auto"/>
              </w:rPr>
              <w:t>2007</w:t>
            </w:r>
          </w:p>
        </w:tc>
        <w:tc>
          <w:tcPr>
            <w:tcW w:w="900" w:type="dxa"/>
            <w:vAlign w:val="bottom"/>
            <w:shd w:val="clear" w:color="auto" w:fill="E5E5E5"/>
          </w:tcPr>
          <w:p>
            <w:pPr>
              <w:jc w:val="right"/>
              <w:ind w:right="92"/>
              <w:spacing w:after="0" w:line="202" w:lineRule="exact"/>
              <w:rPr>
                <w:sz w:val="20"/>
                <w:szCs w:val="20"/>
                <w:color w:val="auto"/>
              </w:rPr>
            </w:pPr>
            <w:r>
              <w:rPr>
                <w:rFonts w:ascii="Arial" w:cs="Arial" w:eastAsia="Arial" w:hAnsi="Arial"/>
                <w:sz w:val="18"/>
                <w:szCs w:val="18"/>
                <w:b w:val="1"/>
                <w:bCs w:val="1"/>
                <w:color w:val="auto"/>
              </w:rPr>
              <w:t>2006</w:t>
            </w:r>
          </w:p>
        </w:tc>
        <w:tc>
          <w:tcPr>
            <w:tcW w:w="160" w:type="dxa"/>
            <w:vAlign w:val="bottom"/>
            <w:shd w:val="clear" w:color="auto" w:fill="E5E5E5"/>
          </w:tcPr>
          <w:p>
            <w:pPr>
              <w:spacing w:after="0"/>
              <w:rPr>
                <w:sz w:val="17"/>
                <w:szCs w:val="17"/>
                <w:color w:val="auto"/>
              </w:rPr>
            </w:pPr>
          </w:p>
        </w:tc>
      </w:tr>
      <w:tr>
        <w:trPr>
          <w:trHeight w:val="297"/>
        </w:trPr>
        <w:tc>
          <w:tcPr>
            <w:tcW w:w="8960" w:type="dxa"/>
            <w:vAlign w:val="bottom"/>
          </w:tcPr>
          <w:p>
            <w:pPr>
              <w:spacing w:after="0"/>
              <w:rPr>
                <w:sz w:val="20"/>
                <w:szCs w:val="20"/>
                <w:color w:val="auto"/>
              </w:rPr>
            </w:pPr>
            <w:r>
              <w:rPr>
                <w:rFonts w:ascii="Arial" w:cs="Arial" w:eastAsia="Arial" w:hAnsi="Arial"/>
                <w:sz w:val="18"/>
                <w:szCs w:val="18"/>
                <w:color w:val="auto"/>
              </w:rPr>
              <w:t>Net revenue</w:t>
            </w:r>
          </w:p>
        </w:tc>
        <w:tc>
          <w:tcPr>
            <w:tcW w:w="1400" w:type="dxa"/>
            <w:vAlign w:val="bottom"/>
            <w:gridSpan w:val="2"/>
          </w:tcPr>
          <w:p>
            <w:pPr>
              <w:jc w:val="right"/>
              <w:ind w:right="266"/>
              <w:spacing w:after="0"/>
              <w:rPr>
                <w:sz w:val="20"/>
                <w:szCs w:val="20"/>
                <w:color w:val="auto"/>
              </w:rPr>
            </w:pPr>
            <w:r>
              <w:rPr>
                <w:rFonts w:ascii="Arial" w:cs="Arial" w:eastAsia="Arial" w:hAnsi="Arial"/>
                <w:sz w:val="18"/>
                <w:szCs w:val="18"/>
                <w:b w:val="1"/>
                <w:bCs w:val="1"/>
                <w:color w:val="auto"/>
              </w:rPr>
              <w:t>$ 13,309</w:t>
            </w:r>
          </w:p>
        </w:tc>
        <w:tc>
          <w:tcPr>
            <w:tcW w:w="900" w:type="dxa"/>
            <w:vAlign w:val="bottom"/>
          </w:tcPr>
          <w:p>
            <w:pPr>
              <w:jc w:val="right"/>
              <w:spacing w:after="0"/>
              <w:rPr>
                <w:sz w:val="20"/>
                <w:szCs w:val="20"/>
                <w:color w:val="auto"/>
              </w:rPr>
            </w:pPr>
            <w:r>
              <w:rPr>
                <w:rFonts w:ascii="Arial" w:cs="Arial" w:eastAsia="Arial" w:hAnsi="Arial"/>
                <w:sz w:val="18"/>
                <w:szCs w:val="18"/>
                <w:color w:val="auto"/>
              </w:rPr>
              <w:t>$ 13,730</w:t>
            </w:r>
          </w:p>
        </w:tc>
        <w:tc>
          <w:tcPr>
            <w:tcW w:w="160" w:type="dxa"/>
            <w:vAlign w:val="bottom"/>
          </w:tcPr>
          <w:p>
            <w:pPr>
              <w:spacing w:after="0"/>
              <w:rPr>
                <w:sz w:val="24"/>
                <w:szCs w:val="24"/>
                <w:color w:val="auto"/>
              </w:rPr>
            </w:pPr>
          </w:p>
        </w:tc>
      </w:tr>
      <w:tr>
        <w:trPr>
          <w:trHeight w:val="203"/>
        </w:trPr>
        <w:tc>
          <w:tcPr>
            <w:tcW w:w="89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Cost of revenue</w:t>
            </w:r>
          </w:p>
        </w:tc>
        <w:tc>
          <w:tcPr>
            <w:tcW w:w="1400" w:type="dxa"/>
            <w:vAlign w:val="bottom"/>
            <w:gridSpan w:val="2"/>
            <w:shd w:val="clear" w:color="auto" w:fill="E5E5E5"/>
          </w:tcPr>
          <w:p>
            <w:pPr>
              <w:jc w:val="right"/>
              <w:ind w:right="266"/>
              <w:spacing w:after="0" w:line="202" w:lineRule="exact"/>
              <w:rPr>
                <w:sz w:val="20"/>
                <w:szCs w:val="20"/>
                <w:color w:val="auto"/>
              </w:rPr>
            </w:pPr>
            <w:r>
              <w:rPr>
                <w:rFonts w:ascii="Arial" w:cs="Arial" w:eastAsia="Arial" w:hAnsi="Arial"/>
                <w:sz w:val="18"/>
                <w:szCs w:val="18"/>
                <w:b w:val="1"/>
                <w:bCs w:val="1"/>
                <w:color w:val="auto"/>
              </w:rPr>
              <w:t>6,232</w:t>
            </w:r>
          </w:p>
        </w:tc>
        <w:tc>
          <w:tcPr>
            <w:tcW w:w="9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6,681</w:t>
            </w:r>
          </w:p>
        </w:tc>
        <w:tc>
          <w:tcPr>
            <w:tcW w:w="160" w:type="dxa"/>
            <w:vAlign w:val="bottom"/>
            <w:shd w:val="clear" w:color="auto" w:fill="E5E5E5"/>
          </w:tcPr>
          <w:p>
            <w:pPr>
              <w:spacing w:after="0"/>
              <w:rPr>
                <w:sz w:val="17"/>
                <w:szCs w:val="17"/>
                <w:color w:val="auto"/>
              </w:rPr>
            </w:pPr>
          </w:p>
        </w:tc>
      </w:tr>
      <w:tr>
        <w:trPr>
          <w:trHeight w:val="210"/>
        </w:trPr>
        <w:tc>
          <w:tcPr>
            <w:tcW w:w="8960" w:type="dxa"/>
            <w:vAlign w:val="bottom"/>
          </w:tcPr>
          <w:p>
            <w:pPr>
              <w:spacing w:after="0"/>
              <w:rPr>
                <w:sz w:val="20"/>
                <w:szCs w:val="20"/>
                <w:color w:val="auto"/>
              </w:rPr>
            </w:pPr>
            <w:r>
              <w:rPr>
                <w:rFonts w:ascii="Arial" w:cs="Arial" w:eastAsia="Arial" w:hAnsi="Arial"/>
                <w:sz w:val="18"/>
                <w:szCs w:val="18"/>
                <w:color w:val="auto"/>
              </w:rPr>
              <w:t>Gross profit</w:t>
            </w:r>
          </w:p>
        </w:tc>
        <w:tc>
          <w:tcPr>
            <w:tcW w:w="320" w:type="dxa"/>
            <w:vAlign w:val="bottom"/>
          </w:tcPr>
          <w:p>
            <w:pPr>
              <w:spacing w:after="0"/>
              <w:rPr>
                <w:sz w:val="18"/>
                <w:szCs w:val="18"/>
                <w:color w:val="auto"/>
              </w:rPr>
            </w:pPr>
          </w:p>
        </w:tc>
        <w:tc>
          <w:tcPr>
            <w:tcW w:w="1080" w:type="dxa"/>
            <w:vAlign w:val="bottom"/>
            <w:tcBorders>
              <w:top w:val="single" w:sz="8" w:color="auto"/>
            </w:tcBorders>
          </w:tcPr>
          <w:p>
            <w:pPr>
              <w:jc w:val="right"/>
              <w:ind w:right="266"/>
              <w:spacing w:after="0"/>
              <w:rPr>
                <w:sz w:val="20"/>
                <w:szCs w:val="20"/>
                <w:color w:val="auto"/>
              </w:rPr>
            </w:pPr>
            <w:r>
              <w:rPr>
                <w:rFonts w:ascii="Arial" w:cs="Arial" w:eastAsia="Arial" w:hAnsi="Arial"/>
                <w:sz w:val="18"/>
                <w:szCs w:val="18"/>
                <w:b w:val="1"/>
                <w:bCs w:val="1"/>
                <w:color w:val="auto"/>
              </w:rPr>
              <w:t>7,077</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7,049</w:t>
            </w:r>
          </w:p>
        </w:tc>
        <w:tc>
          <w:tcPr>
            <w:tcW w:w="160" w:type="dxa"/>
            <w:vAlign w:val="bottom"/>
          </w:tcPr>
          <w:p>
            <w:pPr>
              <w:spacing w:after="0"/>
              <w:rPr>
                <w:sz w:val="18"/>
                <w:szCs w:val="18"/>
                <w:color w:val="auto"/>
              </w:rPr>
            </w:pPr>
          </w:p>
        </w:tc>
      </w:tr>
      <w:tr>
        <w:trPr>
          <w:trHeight w:val="203"/>
        </w:trPr>
        <w:tc>
          <w:tcPr>
            <w:tcW w:w="896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Gross profit % of revenue</w:t>
            </w:r>
          </w:p>
        </w:tc>
        <w:tc>
          <w:tcPr>
            <w:tcW w:w="1400" w:type="dxa"/>
            <w:vAlign w:val="bottom"/>
            <w:gridSpan w:val="2"/>
            <w:shd w:val="clear" w:color="auto" w:fill="E5E5E5"/>
          </w:tcPr>
          <w:p>
            <w:pPr>
              <w:jc w:val="right"/>
              <w:ind w:right="106"/>
              <w:spacing w:after="0" w:line="202" w:lineRule="exact"/>
              <w:rPr>
                <w:sz w:val="20"/>
                <w:szCs w:val="20"/>
                <w:color w:val="auto"/>
              </w:rPr>
            </w:pPr>
            <w:r>
              <w:rPr>
                <w:rFonts w:ascii="Arial" w:cs="Arial" w:eastAsia="Arial" w:hAnsi="Arial"/>
                <w:sz w:val="18"/>
                <w:szCs w:val="18"/>
                <w:b w:val="1"/>
                <w:bCs w:val="1"/>
                <w:color w:val="auto"/>
              </w:rPr>
              <w:t>53.2%</w:t>
            </w:r>
          </w:p>
        </w:tc>
        <w:tc>
          <w:tcPr>
            <w:tcW w:w="106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51.3%</w:t>
            </w:r>
          </w:p>
        </w:tc>
      </w:tr>
      <w:tr>
        <w:trPr>
          <w:trHeight w:val="203"/>
        </w:trPr>
        <w:tc>
          <w:tcPr>
            <w:tcW w:w="8960" w:type="dxa"/>
            <w:vAlign w:val="bottom"/>
          </w:tcPr>
          <w:p>
            <w:pPr>
              <w:spacing w:after="0" w:line="202" w:lineRule="exact"/>
              <w:rPr>
                <w:sz w:val="20"/>
                <w:szCs w:val="20"/>
                <w:color w:val="auto"/>
              </w:rPr>
            </w:pPr>
            <w:r>
              <w:rPr>
                <w:rFonts w:ascii="Arial" w:cs="Arial" w:eastAsia="Arial" w:hAnsi="Arial"/>
                <w:sz w:val="18"/>
                <w:szCs w:val="18"/>
                <w:color w:val="auto"/>
              </w:rPr>
              <w:t>Profit from operations</w:t>
            </w:r>
          </w:p>
        </w:tc>
        <w:tc>
          <w:tcPr>
            <w:tcW w:w="1400" w:type="dxa"/>
            <w:vAlign w:val="bottom"/>
            <w:gridSpan w:val="2"/>
          </w:tcPr>
          <w:p>
            <w:pPr>
              <w:jc w:val="right"/>
              <w:ind w:right="266"/>
              <w:spacing w:after="0" w:line="202" w:lineRule="exact"/>
              <w:rPr>
                <w:sz w:val="20"/>
                <w:szCs w:val="20"/>
                <w:color w:val="auto"/>
              </w:rPr>
            </w:pPr>
            <w:r>
              <w:rPr>
                <w:rFonts w:ascii="Arial" w:cs="Arial" w:eastAsia="Arial" w:hAnsi="Arial"/>
                <w:sz w:val="18"/>
                <w:szCs w:val="18"/>
                <w:b w:val="1"/>
                <w:bCs w:val="1"/>
                <w:color w:val="auto"/>
              </w:rPr>
              <w:t>3,883</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3,831</w:t>
            </w:r>
          </w:p>
        </w:tc>
        <w:tc>
          <w:tcPr>
            <w:tcW w:w="160" w:type="dxa"/>
            <w:vAlign w:val="bottom"/>
          </w:tcPr>
          <w:p>
            <w:pPr>
              <w:spacing w:after="0"/>
              <w:rPr>
                <w:sz w:val="17"/>
                <w:szCs w:val="17"/>
                <w:color w:val="auto"/>
              </w:rPr>
            </w:pPr>
          </w:p>
        </w:tc>
      </w:tr>
      <w:tr>
        <w:trPr>
          <w:trHeight w:val="203"/>
        </w:trPr>
        <w:tc>
          <w:tcPr>
            <w:tcW w:w="896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Operating profit % of revenue</w:t>
            </w:r>
          </w:p>
        </w:tc>
        <w:tc>
          <w:tcPr>
            <w:tcW w:w="1400" w:type="dxa"/>
            <w:vAlign w:val="bottom"/>
            <w:gridSpan w:val="2"/>
            <w:shd w:val="clear" w:color="auto" w:fill="E5E5E5"/>
          </w:tcPr>
          <w:p>
            <w:pPr>
              <w:jc w:val="right"/>
              <w:ind w:right="106"/>
              <w:spacing w:after="0" w:line="202" w:lineRule="exact"/>
              <w:rPr>
                <w:sz w:val="20"/>
                <w:szCs w:val="20"/>
                <w:color w:val="auto"/>
              </w:rPr>
            </w:pPr>
            <w:r>
              <w:rPr>
                <w:rFonts w:ascii="Arial" w:cs="Arial" w:eastAsia="Arial" w:hAnsi="Arial"/>
                <w:sz w:val="18"/>
                <w:szCs w:val="18"/>
                <w:b w:val="1"/>
                <w:bCs w:val="1"/>
                <w:color w:val="auto"/>
              </w:rPr>
              <w:t>29.2%</w:t>
            </w:r>
          </w:p>
        </w:tc>
        <w:tc>
          <w:tcPr>
            <w:tcW w:w="106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27.9%</w:t>
            </w:r>
          </w:p>
        </w:tc>
      </w:tr>
    </w:tbl>
    <w:p>
      <w:pPr>
        <w:spacing w:after="0" w:line="165"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Semiconductor revenue was $13.31 billion, a decrease of $421 million, or 3 percent, from 2006. This decrease was primarily due to fewer shipments resulting from lower demand for RISC microprocessors and DLP products. In addition, although our revenue benefited from increased shipments resulting from higher demand for products used in cell phone applications, this benefit was insufficient to offset normal price declines for those products. The collective declines in these areas more than offset strong growth from high-performance analog products.</w:t>
      </w:r>
    </w:p>
    <w:p>
      <w:pPr>
        <w:spacing w:after="0" w:line="112" w:lineRule="exact"/>
        <w:rPr>
          <w:sz w:val="20"/>
          <w:szCs w:val="20"/>
          <w:color w:val="auto"/>
        </w:rPr>
      </w:pPr>
    </w:p>
    <w:p>
      <w:pPr>
        <w:spacing w:after="0"/>
        <w:tabs>
          <w:tab w:leader="none" w:pos="8420" w:val="left"/>
        </w:tabs>
        <w:rPr>
          <w:sz w:val="20"/>
          <w:szCs w:val="20"/>
          <w:color w:val="auto"/>
        </w:rPr>
      </w:pPr>
      <w:r>
        <w:rPr>
          <w:rFonts w:ascii="Arial" w:cs="Arial" w:eastAsia="Arial" w:hAnsi="Arial"/>
          <w:sz w:val="12"/>
          <w:szCs w:val="12"/>
          <w:color w:val="auto"/>
        </w:rPr>
        <w:t>50</w:t>
      </w:r>
      <w:r>
        <w:rPr>
          <w:sz w:val="20"/>
          <w:szCs w:val="20"/>
          <w:color w:val="auto"/>
        </w:rPr>
        <w:tab/>
      </w:r>
      <w:r>
        <w:rPr>
          <w:rFonts w:ascii="Arial" w:cs="Arial" w:eastAsia="Arial" w:hAnsi="Arial"/>
          <w:sz w:val="12"/>
          <w:szCs w:val="12"/>
          <w:color w:val="auto"/>
        </w:rPr>
        <w:t>TEXAS INSTRUMENTS 2007 ANNUAL REPORT</w:t>
      </w:r>
    </w:p>
    <w:p>
      <w:pPr>
        <w:sectPr>
          <w:pgSz w:w="11900" w:h="16838" w:orient="portrait"/>
          <w:cols w:equalWidth="0" w:num="1">
            <w:col w:w="11420"/>
          </w:cols>
          <w:pgMar w:left="240" w:top="291" w:right="239" w:bottom="1440" w:gutter="0" w:footer="0" w:header="0"/>
        </w:sectPr>
      </w:pPr>
    </w:p>
    <w:bookmarkStart w:id="70" w:name="page71"/>
    <w:bookmarkEnd w:id="70"/>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analog products:</w:t>
      </w:r>
    </w:p>
    <w:p>
      <w:pPr>
        <w:spacing w:after="0" w:line="158" w:lineRule="exact"/>
        <w:rPr>
          <w:sz w:val="20"/>
          <w:szCs w:val="20"/>
          <w:color w:val="auto"/>
        </w:rPr>
      </w:pPr>
    </w:p>
    <w:p>
      <w:pPr>
        <w:ind w:left="460" w:right="20"/>
        <w:spacing w:after="0" w:line="271" w:lineRule="auto"/>
        <w:rPr>
          <w:sz w:val="20"/>
          <w:szCs w:val="20"/>
          <w:color w:val="auto"/>
        </w:rPr>
      </w:pPr>
      <w:r>
        <w:rPr>
          <w:rFonts w:ascii="Arial" w:cs="Arial" w:eastAsia="Arial" w:hAnsi="Arial"/>
          <w:sz w:val="16"/>
          <w:szCs w:val="16"/>
          <w:color w:val="auto"/>
        </w:rPr>
        <w:t>Annual revenue was $5.29 billion. This was an increase of 1 percent from 2006 primarily due to increased shipments resulting from strong demand for high-performance analog products that more than offset lower revenue due to decreased shipments resulting from lower demand for custom analog products sold into cell phone applications. Revenue from high-performance analog products grew 9 percent from 2006 and was about 45 percent of total analog revenue in 2007. High-performance analog growth was due to increased shipments resulting from higher demand for a broad range of products. The most significant area of strength was power management products. For the remainder of analog, the most significant area of strength was application-specific products sold into the hard-disk drive market.</w:t>
      </w:r>
    </w:p>
    <w:p>
      <w:pPr>
        <w:spacing w:after="0" w:line="1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For digital signal processing products:</w:t>
      </w:r>
    </w:p>
    <w:p>
      <w:pPr>
        <w:spacing w:after="0" w:line="158" w:lineRule="exact"/>
        <w:rPr>
          <w:sz w:val="20"/>
          <w:szCs w:val="20"/>
          <w:color w:val="auto"/>
        </w:rPr>
      </w:pPr>
    </w:p>
    <w:p>
      <w:pPr>
        <w:ind w:left="460" w:right="40"/>
        <w:spacing w:after="0" w:line="238" w:lineRule="auto"/>
        <w:rPr>
          <w:sz w:val="20"/>
          <w:szCs w:val="20"/>
          <w:color w:val="auto"/>
        </w:rPr>
      </w:pPr>
      <w:r>
        <w:rPr>
          <w:rFonts w:ascii="Arial" w:cs="Arial" w:eastAsia="Arial" w:hAnsi="Arial"/>
          <w:sz w:val="18"/>
          <w:szCs w:val="18"/>
          <w:color w:val="auto"/>
        </w:rPr>
        <w:t>Annual revenue was $5.07 billion, a decrease of 2 percent from 2006 primarily due to the divestiture of our DSL customer premises equipment product line in the third quarter of 2007, and to a lesser extent, declines in shipments resulting from lower demand across a broad range of markets.</w:t>
      </w:r>
    </w:p>
    <w:p>
      <w:pPr>
        <w:spacing w:after="0" w:line="154" w:lineRule="exact"/>
        <w:rPr>
          <w:sz w:val="20"/>
          <w:szCs w:val="20"/>
          <w:color w:val="auto"/>
        </w:rPr>
      </w:pPr>
    </w:p>
    <w:p>
      <w:pPr>
        <w:ind w:right="200"/>
        <w:spacing w:after="0" w:line="236" w:lineRule="auto"/>
        <w:rPr>
          <w:sz w:val="20"/>
          <w:szCs w:val="20"/>
          <w:color w:val="auto"/>
        </w:rPr>
      </w:pPr>
      <w:r>
        <w:rPr>
          <w:rFonts w:ascii="Arial" w:cs="Arial" w:eastAsia="Arial" w:hAnsi="Arial"/>
          <w:sz w:val="18"/>
          <w:szCs w:val="18"/>
          <w:color w:val="auto"/>
        </w:rPr>
        <w:t>For remaining product lines, revenue was $2.95 billion, down 12 percent from the prior year primarily due to lower demand for RISC microprocessors and, to a lesser extent, for DLP products. Revenue from microcontrollers increased due to higher shipments resulting from increased demand. In DLP products, revenue decreased 17 percent from 2006 primarily due to lower shipments resulting from lower demand for products used in high-definition TVs, and to a lesser extent, products for front projectors. Shipments of products for cinema projectors increased due to higher demand. Revenue changes from standard logic products and royalties were immaterial.</w:t>
      </w:r>
    </w:p>
    <w:p>
      <w:pPr>
        <w:spacing w:after="0" w:line="157" w:lineRule="exact"/>
        <w:rPr>
          <w:sz w:val="20"/>
          <w:szCs w:val="20"/>
          <w:color w:val="auto"/>
        </w:rPr>
      </w:pPr>
    </w:p>
    <w:p>
      <w:pPr>
        <w:ind w:right="120"/>
        <w:spacing w:after="0" w:line="299" w:lineRule="auto"/>
        <w:rPr>
          <w:sz w:val="20"/>
          <w:szCs w:val="20"/>
          <w:color w:val="auto"/>
        </w:rPr>
      </w:pPr>
      <w:r>
        <w:rPr>
          <w:rFonts w:ascii="Arial" w:cs="Arial" w:eastAsia="Arial" w:hAnsi="Arial"/>
          <w:sz w:val="16"/>
          <w:szCs w:val="16"/>
          <w:color w:val="auto"/>
        </w:rPr>
        <w:t>Semiconductor gross profit was $7.08 billion, or 53.2 percent of revenue. This was an increase of $30 million from the prior year primarily due to a greater percentage of revenue coming from more-profitable analog and digital signal processing products, and lower manufacturing costs.</w:t>
      </w:r>
    </w:p>
    <w:p>
      <w:pPr>
        <w:spacing w:after="0" w:line="109"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Semiconductor operating profit was $3.88 billion, or 29.2 percent of revenue. This was an increase of $52 million from 2006 due about equally to higher gross profit and lower R&amp;D expenses.</w:t>
      </w:r>
    </w:p>
    <w:p>
      <w:pPr>
        <w:spacing w:after="0" w:line="155"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Semiconductor orders were $13.16 billion. This was a decrease of $329 million from the prior year due to lower demand across a broad range of semiconductor products.</w:t>
      </w:r>
    </w:p>
    <w:p>
      <w:pPr>
        <w:spacing w:after="0" w:line="155" w:lineRule="exact"/>
        <w:rPr>
          <w:sz w:val="20"/>
          <w:szCs w:val="20"/>
          <w:color w:val="auto"/>
        </w:rPr>
      </w:pPr>
    </w:p>
    <w:p>
      <w:pPr>
        <w:ind w:left="20"/>
        <w:spacing w:after="0"/>
        <w:rPr>
          <w:sz w:val="20"/>
          <w:szCs w:val="20"/>
          <w:color w:val="auto"/>
        </w:rPr>
      </w:pPr>
      <w:r>
        <w:rPr>
          <w:rFonts w:ascii="Arial" w:cs="Arial" w:eastAsia="Arial" w:hAnsi="Arial"/>
          <w:sz w:val="18"/>
          <w:szCs w:val="18"/>
          <w:color w:val="auto"/>
        </w:rPr>
        <w:t>End-equipment perspective:</w:t>
      </w:r>
    </w:p>
    <w:p>
      <w:pPr>
        <w:spacing w:after="0" w:line="158" w:lineRule="exact"/>
        <w:rPr>
          <w:sz w:val="20"/>
          <w:szCs w:val="20"/>
          <w:color w:val="auto"/>
        </w:rPr>
      </w:pPr>
    </w:p>
    <w:p>
      <w:pPr>
        <w:ind w:right="400"/>
        <w:spacing w:after="0" w:line="239" w:lineRule="auto"/>
        <w:rPr>
          <w:sz w:val="20"/>
          <w:szCs w:val="20"/>
          <w:color w:val="auto"/>
        </w:rPr>
      </w:pPr>
      <w:r>
        <w:rPr>
          <w:rFonts w:ascii="Arial" w:cs="Arial" w:eastAsia="Arial" w:hAnsi="Arial"/>
          <w:sz w:val="18"/>
          <w:szCs w:val="18"/>
          <w:color w:val="auto"/>
        </w:rPr>
        <w:t>On an end-equipment basis, revenue in 2007 from DSP and analog products sold into cell phone applications declined 3 percent from 2006 to $4.91 billion in 2007, due to normal price declines.</w:t>
      </w:r>
    </w:p>
    <w:p>
      <w:pPr>
        <w:spacing w:after="0" w:line="155"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As announced in December 2006, LM Ericsson Telephone Company added another supplier of 3G basebands for handset applications. Ericsson’s addition of a second supplier began to affect our results in the fourth quarter of 2007. In July 2007, we announced a new engagement with Ericsson to provide both baseband and applications processor products. We believe this new engagement will begin to offset the revenue loss from Ericsson over time.</w:t>
      </w:r>
    </w:p>
    <w:p>
      <w:pPr>
        <w:spacing w:after="0" w:line="155"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In total, we estimate that our 2007 Semiconductor product revenue came from the following broad markets: communications (including wireless and broadband communications) was about 50 percent; computing (including peripherals and computers) was about 25 percent; consumer electronics was about 10 percent; industrial was about 10 percent; and automotive was about 5 percent.</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120" w:type="dxa"/>
            <w:vAlign w:val="bottom"/>
          </w:tcPr>
          <w:p>
            <w:pPr>
              <w:spacing w:after="0"/>
              <w:rPr>
                <w:sz w:val="20"/>
                <w:szCs w:val="20"/>
                <w:color w:val="auto"/>
              </w:rPr>
            </w:pPr>
            <w:r>
              <w:rPr>
                <w:rFonts w:ascii="Arial" w:cs="Arial" w:eastAsia="Arial" w:hAnsi="Arial"/>
                <w:sz w:val="14"/>
                <w:szCs w:val="14"/>
                <w:color w:val="auto"/>
              </w:rPr>
              <w:t>TEXAS INSTRUMENTS 2007 ANNUAL REPORT</w:t>
            </w:r>
          </w:p>
        </w:tc>
        <w:tc>
          <w:tcPr>
            <w:tcW w:w="4300" w:type="dxa"/>
            <w:vAlign w:val="bottom"/>
          </w:tcPr>
          <w:p>
            <w:pPr>
              <w:jc w:val="right"/>
              <w:spacing w:after="0"/>
              <w:rPr>
                <w:sz w:val="20"/>
                <w:szCs w:val="20"/>
                <w:color w:val="auto"/>
              </w:rPr>
            </w:pPr>
            <w:r>
              <w:rPr>
                <w:rFonts w:ascii="Arial" w:cs="Arial" w:eastAsia="Arial" w:hAnsi="Arial"/>
                <w:sz w:val="14"/>
                <w:szCs w:val="14"/>
                <w:color w:val="auto"/>
              </w:rPr>
              <w:t>51</w:t>
            </w:r>
          </w:p>
        </w:tc>
      </w:tr>
    </w:tbl>
    <w:p>
      <w:pPr>
        <w:sectPr>
          <w:pgSz w:w="11900" w:h="16838" w:orient="portrait"/>
          <w:cols w:equalWidth="0" w:num="1">
            <w:col w:w="11420"/>
          </w:cols>
          <w:pgMar w:left="240" w:top="291"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Education Technology Segment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Operations – Education Technology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60" w:type="dxa"/>
            <w:vAlign w:val="bottom"/>
            <w:shd w:val="clear" w:color="auto" w:fill="E5E5E5"/>
          </w:tcPr>
          <w:p>
            <w:pPr>
              <w:spacing w:after="0"/>
              <w:rPr>
                <w:sz w:val="14"/>
                <w:szCs w:val="14"/>
                <w:color w:val="auto"/>
              </w:rPr>
            </w:pPr>
          </w:p>
        </w:tc>
        <w:tc>
          <w:tcPr>
            <w:tcW w:w="340" w:type="dxa"/>
            <w:vAlign w:val="bottom"/>
            <w:shd w:val="clear" w:color="auto" w:fill="E5E5E5"/>
          </w:tcPr>
          <w:p>
            <w:pPr>
              <w:spacing w:after="0"/>
              <w:rPr>
                <w:sz w:val="14"/>
                <w:szCs w:val="14"/>
                <w:color w:val="auto"/>
              </w:rPr>
            </w:pPr>
          </w:p>
        </w:tc>
        <w:tc>
          <w:tcPr>
            <w:tcW w:w="1720" w:type="dxa"/>
            <w:vAlign w:val="bottom"/>
            <w:gridSpan w:val="3"/>
            <w:shd w:val="clear" w:color="auto" w:fill="E5E5E5"/>
          </w:tcPr>
          <w:p>
            <w:pPr>
              <w:jc w:val="right"/>
              <w:ind w:right="300"/>
              <w:spacing w:after="0"/>
              <w:rPr>
                <w:sz w:val="20"/>
                <w:szCs w:val="20"/>
                <w:color w:val="auto"/>
              </w:rPr>
            </w:pPr>
            <w:r>
              <w:rPr>
                <w:rFonts w:ascii="Arial" w:cs="Arial" w:eastAsia="Arial" w:hAnsi="Arial"/>
                <w:sz w:val="14"/>
                <w:szCs w:val="14"/>
                <w:b w:val="1"/>
                <w:bCs w:val="1"/>
                <w:color w:val="auto"/>
              </w:rPr>
              <w:t>For the years ended</w:t>
            </w:r>
          </w:p>
        </w:tc>
      </w:tr>
      <w:tr>
        <w:trPr>
          <w:trHeight w:val="165"/>
        </w:trPr>
        <w:tc>
          <w:tcPr>
            <w:tcW w:w="9360" w:type="dxa"/>
            <w:vAlign w:val="bottom"/>
            <w:shd w:val="clear" w:color="auto" w:fill="E5E5E5"/>
          </w:tcPr>
          <w:p>
            <w:pPr>
              <w:spacing w:after="0"/>
              <w:rPr>
                <w:sz w:val="14"/>
                <w:szCs w:val="14"/>
                <w:color w:val="auto"/>
              </w:rPr>
            </w:pPr>
          </w:p>
        </w:tc>
        <w:tc>
          <w:tcPr>
            <w:tcW w:w="340" w:type="dxa"/>
            <w:vAlign w:val="bottom"/>
            <w:shd w:val="clear" w:color="auto" w:fill="E5E5E5"/>
          </w:tcPr>
          <w:p>
            <w:pPr>
              <w:spacing w:after="0"/>
              <w:rPr>
                <w:sz w:val="14"/>
                <w:szCs w:val="14"/>
                <w:color w:val="auto"/>
              </w:rPr>
            </w:pPr>
          </w:p>
        </w:tc>
        <w:tc>
          <w:tcPr>
            <w:tcW w:w="1720" w:type="dxa"/>
            <w:vAlign w:val="bottom"/>
            <w:gridSpan w:val="3"/>
            <w:shd w:val="clear" w:color="auto" w:fill="E5E5E5"/>
          </w:tcPr>
          <w:p>
            <w:pPr>
              <w:jc w:val="right"/>
              <w:ind w:right="500"/>
              <w:spacing w:after="0"/>
              <w:rPr>
                <w:sz w:val="20"/>
                <w:szCs w:val="20"/>
                <w:color w:val="auto"/>
              </w:rPr>
            </w:pPr>
            <w:r>
              <w:rPr>
                <w:rFonts w:ascii="Arial" w:cs="Arial" w:eastAsia="Arial" w:hAnsi="Arial"/>
                <w:sz w:val="14"/>
                <w:szCs w:val="14"/>
                <w:b w:val="1"/>
                <w:bCs w:val="1"/>
                <w:color w:val="auto"/>
              </w:rPr>
              <w:t>December 31,</w:t>
            </w:r>
          </w:p>
        </w:tc>
      </w:tr>
      <w:tr>
        <w:trPr>
          <w:trHeight w:val="203"/>
        </w:trPr>
        <w:tc>
          <w:tcPr>
            <w:tcW w:w="9360" w:type="dxa"/>
            <w:vAlign w:val="bottom"/>
            <w:shd w:val="clear" w:color="auto" w:fill="E5E5E5"/>
          </w:tcPr>
          <w:p>
            <w:pPr>
              <w:spacing w:after="0"/>
              <w:rPr>
                <w:sz w:val="17"/>
                <w:szCs w:val="17"/>
                <w:color w:val="auto"/>
              </w:rPr>
            </w:pPr>
          </w:p>
        </w:tc>
        <w:tc>
          <w:tcPr>
            <w:tcW w:w="1180" w:type="dxa"/>
            <w:vAlign w:val="bottom"/>
            <w:gridSpan w:val="2"/>
            <w:shd w:val="clear" w:color="auto" w:fill="E5E5E5"/>
          </w:tcPr>
          <w:p>
            <w:pPr>
              <w:jc w:val="right"/>
              <w:ind w:right="306"/>
              <w:spacing w:after="0" w:line="202" w:lineRule="exact"/>
              <w:rPr>
                <w:sz w:val="20"/>
                <w:szCs w:val="20"/>
                <w:color w:val="auto"/>
              </w:rPr>
            </w:pPr>
            <w:r>
              <w:rPr>
                <w:rFonts w:ascii="Arial" w:cs="Arial" w:eastAsia="Arial" w:hAnsi="Arial"/>
                <w:sz w:val="18"/>
                <w:szCs w:val="18"/>
                <w:b w:val="1"/>
                <w:bCs w:val="1"/>
                <w:color w:val="auto"/>
              </w:rPr>
              <w:t>2007</w:t>
            </w:r>
          </w:p>
        </w:tc>
        <w:tc>
          <w:tcPr>
            <w:tcW w:w="7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2006</w:t>
            </w:r>
          </w:p>
        </w:tc>
        <w:tc>
          <w:tcPr>
            <w:tcW w:w="160" w:type="dxa"/>
            <w:vAlign w:val="bottom"/>
            <w:shd w:val="clear" w:color="auto" w:fill="E5E5E5"/>
          </w:tcPr>
          <w:p>
            <w:pPr>
              <w:spacing w:after="0"/>
              <w:rPr>
                <w:sz w:val="17"/>
                <w:szCs w:val="17"/>
                <w:color w:val="auto"/>
              </w:rPr>
            </w:pPr>
          </w:p>
        </w:tc>
      </w:tr>
      <w:tr>
        <w:trPr>
          <w:trHeight w:val="311"/>
        </w:trPr>
        <w:tc>
          <w:tcPr>
            <w:tcW w:w="9360" w:type="dxa"/>
            <w:vAlign w:val="bottom"/>
          </w:tcPr>
          <w:p>
            <w:pPr>
              <w:spacing w:after="0"/>
              <w:rPr>
                <w:sz w:val="20"/>
                <w:szCs w:val="20"/>
                <w:color w:val="auto"/>
              </w:rPr>
            </w:pPr>
            <w:r>
              <w:rPr>
                <w:rFonts w:ascii="Arial" w:cs="Arial" w:eastAsia="Arial" w:hAnsi="Arial"/>
                <w:sz w:val="18"/>
                <w:szCs w:val="18"/>
                <w:color w:val="auto"/>
              </w:rPr>
              <w:t>Net revenue</w:t>
            </w:r>
          </w:p>
        </w:tc>
        <w:tc>
          <w:tcPr>
            <w:tcW w:w="1180" w:type="dxa"/>
            <w:vAlign w:val="bottom"/>
            <w:gridSpan w:val="2"/>
          </w:tcPr>
          <w:p>
            <w:pPr>
              <w:jc w:val="right"/>
              <w:ind w:right="246"/>
              <w:spacing w:after="0"/>
              <w:rPr>
                <w:sz w:val="20"/>
                <w:szCs w:val="20"/>
                <w:color w:val="auto"/>
              </w:rPr>
            </w:pPr>
            <w:r>
              <w:rPr>
                <w:rFonts w:ascii="Arial" w:cs="Arial" w:eastAsia="Arial" w:hAnsi="Arial"/>
                <w:sz w:val="18"/>
                <w:szCs w:val="18"/>
                <w:b w:val="1"/>
                <w:bCs w:val="1"/>
                <w:color w:val="auto"/>
              </w:rPr>
              <w:t>$  526</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  525</w:t>
            </w:r>
          </w:p>
        </w:tc>
      </w:tr>
      <w:tr>
        <w:trPr>
          <w:trHeight w:val="203"/>
        </w:trPr>
        <w:tc>
          <w:tcPr>
            <w:tcW w:w="93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Cost of revenue</w:t>
            </w:r>
          </w:p>
        </w:tc>
        <w:tc>
          <w:tcPr>
            <w:tcW w:w="1180" w:type="dxa"/>
            <w:vAlign w:val="bottom"/>
            <w:gridSpan w:val="2"/>
            <w:shd w:val="clear" w:color="auto" w:fill="E5E5E5"/>
          </w:tcPr>
          <w:p>
            <w:pPr>
              <w:jc w:val="right"/>
              <w:ind w:right="246"/>
              <w:spacing w:after="0" w:line="202" w:lineRule="exact"/>
              <w:rPr>
                <w:sz w:val="20"/>
                <w:szCs w:val="20"/>
                <w:color w:val="auto"/>
              </w:rPr>
            </w:pPr>
            <w:r>
              <w:rPr>
                <w:rFonts w:ascii="Arial" w:cs="Arial" w:eastAsia="Arial" w:hAnsi="Arial"/>
                <w:sz w:val="18"/>
                <w:szCs w:val="18"/>
                <w:b w:val="1"/>
                <w:bCs w:val="1"/>
                <w:color w:val="auto"/>
              </w:rPr>
              <w:t>186</w:t>
            </w:r>
          </w:p>
        </w:tc>
        <w:tc>
          <w:tcPr>
            <w:tcW w:w="7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204</w:t>
            </w:r>
          </w:p>
        </w:tc>
        <w:tc>
          <w:tcPr>
            <w:tcW w:w="160" w:type="dxa"/>
            <w:vAlign w:val="bottom"/>
            <w:shd w:val="clear" w:color="auto" w:fill="E5E5E5"/>
          </w:tcPr>
          <w:p>
            <w:pPr>
              <w:spacing w:after="0"/>
              <w:rPr>
                <w:sz w:val="17"/>
                <w:szCs w:val="17"/>
                <w:color w:val="auto"/>
              </w:rPr>
            </w:pPr>
          </w:p>
        </w:tc>
      </w:tr>
      <w:tr>
        <w:trPr>
          <w:trHeight w:val="210"/>
        </w:trPr>
        <w:tc>
          <w:tcPr>
            <w:tcW w:w="9360" w:type="dxa"/>
            <w:vAlign w:val="bottom"/>
          </w:tcPr>
          <w:p>
            <w:pPr>
              <w:spacing w:after="0"/>
              <w:rPr>
                <w:sz w:val="20"/>
                <w:szCs w:val="20"/>
                <w:color w:val="auto"/>
              </w:rPr>
            </w:pPr>
            <w:r>
              <w:rPr>
                <w:rFonts w:ascii="Arial" w:cs="Arial" w:eastAsia="Arial" w:hAnsi="Arial"/>
                <w:sz w:val="18"/>
                <w:szCs w:val="18"/>
                <w:color w:val="auto"/>
              </w:rPr>
              <w:t>Gross profit</w:t>
            </w:r>
          </w:p>
        </w:tc>
        <w:tc>
          <w:tcPr>
            <w:tcW w:w="340" w:type="dxa"/>
            <w:vAlign w:val="bottom"/>
          </w:tcPr>
          <w:p>
            <w:pPr>
              <w:spacing w:after="0"/>
              <w:rPr>
                <w:sz w:val="18"/>
                <w:szCs w:val="18"/>
                <w:color w:val="auto"/>
              </w:rPr>
            </w:pPr>
          </w:p>
        </w:tc>
        <w:tc>
          <w:tcPr>
            <w:tcW w:w="840" w:type="dxa"/>
            <w:vAlign w:val="bottom"/>
            <w:tcBorders>
              <w:top w:val="single" w:sz="8" w:color="auto"/>
            </w:tcBorders>
          </w:tcPr>
          <w:p>
            <w:pPr>
              <w:jc w:val="right"/>
              <w:ind w:right="246"/>
              <w:spacing w:after="0"/>
              <w:rPr>
                <w:sz w:val="20"/>
                <w:szCs w:val="20"/>
                <w:color w:val="auto"/>
              </w:rPr>
            </w:pPr>
            <w:r>
              <w:rPr>
                <w:rFonts w:ascii="Arial" w:cs="Arial" w:eastAsia="Arial" w:hAnsi="Arial"/>
                <w:sz w:val="18"/>
                <w:szCs w:val="18"/>
                <w:b w:val="1"/>
                <w:bCs w:val="1"/>
                <w:color w:val="auto"/>
              </w:rPr>
              <w:t>340</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160" w:type="dxa"/>
            <w:vAlign w:val="bottom"/>
          </w:tcPr>
          <w:p>
            <w:pPr>
              <w:spacing w:after="0"/>
              <w:rPr>
                <w:sz w:val="18"/>
                <w:szCs w:val="18"/>
                <w:color w:val="auto"/>
              </w:rPr>
            </w:pPr>
          </w:p>
        </w:tc>
      </w:tr>
      <w:tr>
        <w:trPr>
          <w:trHeight w:val="203"/>
        </w:trPr>
        <w:tc>
          <w:tcPr>
            <w:tcW w:w="936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Gross profit % of revenue</w:t>
            </w:r>
          </w:p>
        </w:tc>
        <w:tc>
          <w:tcPr>
            <w:tcW w:w="1180" w:type="dxa"/>
            <w:vAlign w:val="bottom"/>
            <w:gridSpan w:val="2"/>
            <w:shd w:val="clear" w:color="auto" w:fill="E5E5E5"/>
          </w:tcPr>
          <w:p>
            <w:pPr>
              <w:jc w:val="right"/>
              <w:ind w:right="86"/>
              <w:spacing w:after="0" w:line="202" w:lineRule="exact"/>
              <w:rPr>
                <w:sz w:val="20"/>
                <w:szCs w:val="20"/>
                <w:color w:val="auto"/>
              </w:rPr>
            </w:pPr>
            <w:r>
              <w:rPr>
                <w:rFonts w:ascii="Arial" w:cs="Arial" w:eastAsia="Arial" w:hAnsi="Arial"/>
                <w:sz w:val="18"/>
                <w:szCs w:val="18"/>
                <w:b w:val="1"/>
                <w:bCs w:val="1"/>
                <w:color w:val="auto"/>
              </w:rPr>
              <w:t>64.6%</w:t>
            </w:r>
          </w:p>
        </w:tc>
        <w:tc>
          <w:tcPr>
            <w:tcW w:w="88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61.1%</w:t>
            </w:r>
          </w:p>
        </w:tc>
      </w:tr>
      <w:tr>
        <w:trPr>
          <w:trHeight w:val="203"/>
        </w:trPr>
        <w:tc>
          <w:tcPr>
            <w:tcW w:w="9360" w:type="dxa"/>
            <w:vAlign w:val="bottom"/>
          </w:tcPr>
          <w:p>
            <w:pPr>
              <w:spacing w:after="0" w:line="202" w:lineRule="exact"/>
              <w:rPr>
                <w:sz w:val="20"/>
                <w:szCs w:val="20"/>
                <w:color w:val="auto"/>
              </w:rPr>
            </w:pPr>
            <w:r>
              <w:rPr>
                <w:rFonts w:ascii="Arial" w:cs="Arial" w:eastAsia="Arial" w:hAnsi="Arial"/>
                <w:sz w:val="18"/>
                <w:szCs w:val="18"/>
                <w:color w:val="auto"/>
              </w:rPr>
              <w:t>Profit from operations</w:t>
            </w:r>
          </w:p>
        </w:tc>
        <w:tc>
          <w:tcPr>
            <w:tcW w:w="1180" w:type="dxa"/>
            <w:vAlign w:val="bottom"/>
            <w:gridSpan w:val="2"/>
          </w:tcPr>
          <w:p>
            <w:pPr>
              <w:jc w:val="right"/>
              <w:ind w:right="246"/>
              <w:spacing w:after="0" w:line="202" w:lineRule="exact"/>
              <w:rPr>
                <w:sz w:val="20"/>
                <w:szCs w:val="20"/>
                <w:color w:val="auto"/>
              </w:rPr>
            </w:pPr>
            <w:r>
              <w:rPr>
                <w:rFonts w:ascii="Arial" w:cs="Arial" w:eastAsia="Arial" w:hAnsi="Arial"/>
                <w:sz w:val="18"/>
                <w:szCs w:val="18"/>
                <w:b w:val="1"/>
                <w:bCs w:val="1"/>
                <w:color w:val="auto"/>
              </w:rPr>
              <w:t>208</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200</w:t>
            </w:r>
          </w:p>
        </w:tc>
        <w:tc>
          <w:tcPr>
            <w:tcW w:w="160" w:type="dxa"/>
            <w:vAlign w:val="bottom"/>
          </w:tcPr>
          <w:p>
            <w:pPr>
              <w:spacing w:after="0"/>
              <w:rPr>
                <w:sz w:val="17"/>
                <w:szCs w:val="17"/>
                <w:color w:val="auto"/>
              </w:rPr>
            </w:pPr>
          </w:p>
        </w:tc>
      </w:tr>
      <w:tr>
        <w:trPr>
          <w:trHeight w:val="203"/>
        </w:trPr>
        <w:tc>
          <w:tcPr>
            <w:tcW w:w="936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Operating profit % of revenue</w:t>
            </w:r>
          </w:p>
        </w:tc>
        <w:tc>
          <w:tcPr>
            <w:tcW w:w="1180" w:type="dxa"/>
            <w:vAlign w:val="bottom"/>
            <w:gridSpan w:val="2"/>
            <w:shd w:val="clear" w:color="auto" w:fill="E5E5E5"/>
          </w:tcPr>
          <w:p>
            <w:pPr>
              <w:jc w:val="right"/>
              <w:ind w:right="86"/>
              <w:spacing w:after="0" w:line="202" w:lineRule="exact"/>
              <w:rPr>
                <w:sz w:val="20"/>
                <w:szCs w:val="20"/>
                <w:color w:val="auto"/>
              </w:rPr>
            </w:pPr>
            <w:r>
              <w:rPr>
                <w:rFonts w:ascii="Arial" w:cs="Arial" w:eastAsia="Arial" w:hAnsi="Arial"/>
                <w:sz w:val="18"/>
                <w:szCs w:val="18"/>
                <w:b w:val="1"/>
                <w:bCs w:val="1"/>
                <w:color w:val="auto"/>
              </w:rPr>
              <w:t>39.4%</w:t>
            </w:r>
          </w:p>
        </w:tc>
        <w:tc>
          <w:tcPr>
            <w:tcW w:w="88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38.0%</w:t>
            </w:r>
          </w:p>
        </w:tc>
      </w:tr>
    </w:tbl>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Revenue was $526 million, about even with 2006.</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Gross profit was $340 million, or 64.6 percent of revenue. This was an increase of $19 million from 2006 due to lower product costs.</w:t>
      </w:r>
    </w:p>
    <w:p>
      <w:pPr>
        <w:spacing w:after="0" w:line="158" w:lineRule="exact"/>
        <w:rPr>
          <w:sz w:val="20"/>
          <w:szCs w:val="20"/>
          <w:color w:val="auto"/>
        </w:rPr>
      </w:pPr>
    </w:p>
    <w:p>
      <w:pPr>
        <w:ind w:right="380"/>
        <w:spacing w:after="0" w:line="239" w:lineRule="auto"/>
        <w:rPr>
          <w:sz w:val="20"/>
          <w:szCs w:val="20"/>
          <w:color w:val="auto"/>
        </w:rPr>
      </w:pPr>
      <w:r>
        <w:rPr>
          <w:rFonts w:ascii="Arial" w:cs="Arial" w:eastAsia="Arial" w:hAnsi="Arial"/>
          <w:sz w:val="18"/>
          <w:szCs w:val="18"/>
          <w:color w:val="auto"/>
        </w:rPr>
        <w:t>Operating profit was $208 million, or 39.4 percent of revenue. This was an increase of $8 million from the prior year due to greater gross profit, partially offset by higher SG&amp;A expense.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Prior Results of Operations</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2006 Compared with 2005</w:t>
      </w:r>
    </w:p>
    <w:p>
      <w:pPr>
        <w:spacing w:after="0" w:line="158"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We delivered important financial achievements in 2006. Specifically, our semiconductor revenue grew more than one and a half times faster than the market, our earnings per share increased almost twice as fast as our revenue, and our return on invested capital expanded to 21.5 percent. Most important to these results was our high-performance analog product line, which grew revenue 33 percent and continued to raise the bar on gross margin for the entire company.</w:t>
      </w:r>
    </w:p>
    <w:p>
      <w:pPr>
        <w:spacing w:after="0" w:line="155"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Details of 2006 Financial Results</w:t>
      </w:r>
    </w:p>
    <w:p>
      <w:pPr>
        <w:spacing w:after="0" w:line="158" w:lineRule="exact"/>
        <w:rPr>
          <w:sz w:val="20"/>
          <w:szCs w:val="20"/>
          <w:color w:val="auto"/>
        </w:rPr>
      </w:pPr>
    </w:p>
    <w:p>
      <w:pPr>
        <w:ind w:right="420"/>
        <w:spacing w:after="0" w:line="239" w:lineRule="auto"/>
        <w:rPr>
          <w:sz w:val="20"/>
          <w:szCs w:val="20"/>
          <w:color w:val="auto"/>
        </w:rPr>
      </w:pPr>
      <w:r>
        <w:rPr>
          <w:rFonts w:ascii="Arial" w:cs="Arial" w:eastAsia="Arial" w:hAnsi="Arial"/>
          <w:sz w:val="18"/>
          <w:szCs w:val="18"/>
          <w:color w:val="auto"/>
        </w:rPr>
        <w:t>For the year, our revenue grew 16 percent to $14.25 billion. Growth was driven primarily by strong demand for our analog products, especially high-performance analog, and DSP products.</w:t>
      </w:r>
    </w:p>
    <w:p>
      <w:pPr>
        <w:spacing w:after="0" w:line="155"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Earnings per share (EPS) from continuing operations of $1.69 increased 30 percent from the prior year. EPS in 2006 included a full year of stock-option expense of $0.14 resulting in $0.07 of additional expense, compared with the prior year when stock-option expense was included for only six months.</w:t>
      </w:r>
    </w:p>
    <w:p>
      <w:pPr>
        <w:spacing w:after="0" w:line="154" w:lineRule="exact"/>
        <w:rPr>
          <w:sz w:val="20"/>
          <w:szCs w:val="20"/>
          <w:color w:val="auto"/>
        </w:rPr>
      </w:pPr>
    </w:p>
    <w:p>
      <w:pPr>
        <w:jc w:val="both"/>
        <w:ind w:right="160"/>
        <w:spacing w:after="0" w:line="238" w:lineRule="auto"/>
        <w:rPr>
          <w:sz w:val="20"/>
          <w:szCs w:val="20"/>
          <w:color w:val="auto"/>
        </w:rPr>
      </w:pPr>
      <w:r>
        <w:rPr>
          <w:rFonts w:ascii="Arial" w:cs="Arial" w:eastAsia="Arial" w:hAnsi="Arial"/>
          <w:sz w:val="18"/>
          <w:szCs w:val="18"/>
          <w:color w:val="auto"/>
        </w:rPr>
        <w:t>Gross profit was $7.26 billion, or 50.9 percent of revenue. This was an increase of $1.24 billion, or 21 percent, from the prior year due primarily to higher revenue and, to a lesser extent, lower depreciation in the Semiconductor segment. Stock-based compensation expense in cost of revenue increased $32 million from the prior year.</w:t>
      </w:r>
    </w:p>
    <w:p>
      <w:pPr>
        <w:spacing w:after="0" w:line="154" w:lineRule="exact"/>
        <w:rPr>
          <w:sz w:val="20"/>
          <w:szCs w:val="20"/>
          <w:color w:val="auto"/>
        </w:rPr>
      </w:pPr>
    </w:p>
    <w:p>
      <w:pPr>
        <w:ind w:right="1140"/>
        <w:spacing w:after="0" w:line="299" w:lineRule="auto"/>
        <w:rPr>
          <w:sz w:val="20"/>
          <w:szCs w:val="20"/>
          <w:color w:val="auto"/>
        </w:rPr>
      </w:pPr>
      <w:r>
        <w:rPr>
          <w:rFonts w:ascii="Arial" w:cs="Arial" w:eastAsia="Arial" w:hAnsi="Arial"/>
          <w:sz w:val="16"/>
          <w:szCs w:val="16"/>
          <w:color w:val="auto"/>
        </w:rPr>
        <w:t>R&amp;D expense of $2.20 billion, or 15.4 percent of revenue, increased $209 million from the prior year due to higher investment in new semiconductor technology, particularly for wireless applications, and $48 million of additional stock-based compensation expense.</w:t>
      </w:r>
    </w:p>
    <w:p>
      <w:pPr>
        <w:spacing w:after="0" w:line="109" w:lineRule="exact"/>
        <w:rPr>
          <w:sz w:val="20"/>
          <w:szCs w:val="20"/>
          <w:color w:val="auto"/>
        </w:rPr>
      </w:pPr>
    </w:p>
    <w:p>
      <w:pPr>
        <w:jc w:val="both"/>
        <w:ind w:right="240"/>
        <w:spacing w:after="0" w:line="238" w:lineRule="auto"/>
        <w:rPr>
          <w:sz w:val="20"/>
          <w:szCs w:val="20"/>
          <w:color w:val="auto"/>
        </w:rPr>
      </w:pPr>
      <w:r>
        <w:rPr>
          <w:rFonts w:ascii="Arial" w:cs="Arial" w:eastAsia="Arial" w:hAnsi="Arial"/>
          <w:sz w:val="18"/>
          <w:szCs w:val="18"/>
          <w:color w:val="auto"/>
        </w:rPr>
        <w:t>SG&amp;A expense of $1.70 billion, or 11.9 percent of revenue, increased $226 million from the prior year primarily due to the combination of higher marketing expense in the Semiconductor segment, particularly for DLP product advertising, and $77 million of higher stock-based compensation expense.</w:t>
      </w:r>
    </w:p>
    <w:p>
      <w:pPr>
        <w:spacing w:after="0" w:line="137" w:lineRule="exact"/>
        <w:rPr>
          <w:sz w:val="20"/>
          <w:szCs w:val="20"/>
          <w:color w:val="auto"/>
        </w:rPr>
      </w:pPr>
    </w:p>
    <w:p>
      <w:pPr>
        <w:spacing w:after="0"/>
        <w:tabs>
          <w:tab w:leader="none" w:pos="8420" w:val="left"/>
        </w:tabs>
        <w:rPr>
          <w:sz w:val="20"/>
          <w:szCs w:val="20"/>
          <w:color w:val="auto"/>
        </w:rPr>
      </w:pPr>
      <w:r>
        <w:rPr>
          <w:rFonts w:ascii="Arial" w:cs="Arial" w:eastAsia="Arial" w:hAnsi="Arial"/>
          <w:sz w:val="12"/>
          <w:szCs w:val="12"/>
          <w:color w:val="auto"/>
        </w:rPr>
        <w:t>52</w:t>
      </w:r>
      <w:r>
        <w:rPr>
          <w:sz w:val="20"/>
          <w:szCs w:val="20"/>
          <w:color w:val="auto"/>
        </w:rPr>
        <w:tab/>
      </w:r>
      <w:r>
        <w:rPr>
          <w:rFonts w:ascii="Arial" w:cs="Arial" w:eastAsia="Arial" w:hAnsi="Arial"/>
          <w:sz w:val="12"/>
          <w:szCs w:val="12"/>
          <w:color w:val="auto"/>
        </w:rPr>
        <w:t>TEXAS INSTRUMENTS 2007 ANNUAL REPORT</w:t>
      </w:r>
    </w:p>
    <w:p>
      <w:pPr>
        <w:sectPr>
          <w:pgSz w:w="11900" w:h="16838" w:orient="portrait"/>
          <w:cols w:equalWidth="0" w:num="1">
            <w:col w:w="11420"/>
          </w:cols>
          <w:pgMar w:left="240" w:top="273" w:right="239" w:bottom="1440" w:gutter="0" w:footer="0" w:header="0"/>
        </w:sectPr>
      </w:pPr>
    </w:p>
    <w:bookmarkStart w:id="72" w:name="page73"/>
    <w:bookmarkEnd w:id="72"/>
    <w:p>
      <w:pPr>
        <w:ind w:right="100"/>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Operating profit for the year was $3.37 billion, or 23.6 percent of revenue. This was an increase of $808 million, or 32 percent, due to higher gross profit in the Semiconductor segment.</w:t>
      </w:r>
    </w:p>
    <w:p>
      <w:pPr>
        <w:spacing w:after="0" w:line="155"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OI&amp;E of $258 million increased $62 million from 2005 primarily due to higher interest income. Interest income was $196 million in 2006, an increase of $31 million from the prior year, due to higher average interest rates earned on investments. Also contributing to higher OI&amp;E were $20 million of benefits in 2006 from a refund of state sales tax and $17 million of higher income in 2006 than in 2005 from final settlement of matters related to grants from the Italian government regarding our former memory operations.</w:t>
      </w:r>
    </w:p>
    <w:p>
      <w:pPr>
        <w:spacing w:after="0" w:line="155" w:lineRule="exact"/>
        <w:rPr>
          <w:sz w:val="20"/>
          <w:szCs w:val="20"/>
          <w:color w:val="auto"/>
        </w:rPr>
      </w:pPr>
    </w:p>
    <w:p>
      <w:pPr>
        <w:jc w:val="both"/>
        <w:ind w:right="120"/>
        <w:spacing w:after="0" w:line="238" w:lineRule="auto"/>
        <w:rPr>
          <w:sz w:val="20"/>
          <w:szCs w:val="20"/>
          <w:color w:val="auto"/>
        </w:rPr>
      </w:pPr>
      <w:r>
        <w:rPr>
          <w:rFonts w:ascii="Arial" w:cs="Arial" w:eastAsia="Arial" w:hAnsi="Arial"/>
          <w:sz w:val="18"/>
          <w:szCs w:val="18"/>
          <w:color w:val="auto"/>
        </w:rPr>
        <w:t>The tax provision for continuing operations for 2006 was $987 million, compared with $582 million for 2005. The increase in the tax provision from the year-ago period was due to the combination of, in decreasing order, higher income from continuing operations before income taxes, a change in net discrete tax items and the effect of non-U.S. tax rates.</w:t>
      </w:r>
    </w:p>
    <w:p>
      <w:pPr>
        <w:spacing w:after="0" w:line="154" w:lineRule="exact"/>
        <w:rPr>
          <w:sz w:val="20"/>
          <w:szCs w:val="20"/>
          <w:color w:val="auto"/>
        </w:rPr>
      </w:pPr>
    </w:p>
    <w:p>
      <w:pPr>
        <w:ind w:right="280"/>
        <w:spacing w:after="0" w:line="237" w:lineRule="auto"/>
        <w:rPr>
          <w:sz w:val="20"/>
          <w:szCs w:val="20"/>
          <w:color w:val="auto"/>
        </w:rPr>
      </w:pPr>
      <w:r>
        <w:rPr>
          <w:rFonts w:ascii="Arial" w:cs="Arial" w:eastAsia="Arial" w:hAnsi="Arial"/>
          <w:sz w:val="18"/>
          <w:szCs w:val="18"/>
          <w:color w:val="auto"/>
        </w:rPr>
        <w:t>The tax provision for continuing operations for 2006 contained net discrete tax expense items of $14 million. The provision for income taxes for 2005 contained net discrete tax benefit items of $92 million, primarily due to favorable developments on certain outstanding income tax matters. This was partially offset by an accrual for taxes on dividends from earnings that were repatriated from our non-U.S. subsidiaries under the American Jobs Creation Act of 2004 (AJCA).</w:t>
      </w:r>
    </w:p>
    <w:p>
      <w:pPr>
        <w:spacing w:after="0" w:line="155"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For the year, income from continuing operations was $2.64 billion, or $1.69 per share, compared with $2.17 billion, or $1.30 per share in 2005. Net income was $4.34 billion, or $2.78 per share. This includes $1.09 per share from discontinued operations, almost all of which was from the gain on the sale of our former Sensors &amp; Controls business. Earnings per share for 2006 were based on 111 million, or 7 percent, fewer average shares outstanding, the result of our stock repurchase program.</w:t>
      </w:r>
    </w:p>
    <w:p>
      <w:pPr>
        <w:spacing w:after="0" w:line="155" w:lineRule="exact"/>
        <w:rPr>
          <w:sz w:val="20"/>
          <w:szCs w:val="20"/>
          <w:color w:val="auto"/>
        </w:rPr>
      </w:pPr>
    </w:p>
    <w:p>
      <w:pPr>
        <w:ind w:right="700"/>
        <w:spacing w:after="0" w:line="239" w:lineRule="auto"/>
        <w:rPr>
          <w:sz w:val="20"/>
          <w:szCs w:val="20"/>
          <w:color w:val="auto"/>
        </w:rPr>
      </w:pPr>
      <w:r>
        <w:rPr>
          <w:rFonts w:ascii="Arial" w:cs="Arial" w:eastAsia="Arial" w:hAnsi="Arial"/>
          <w:sz w:val="18"/>
          <w:szCs w:val="18"/>
          <w:color w:val="auto"/>
        </w:rPr>
        <w:t>For the year, our orders were $14.02 billion. This was an increase of $1.17 billion from 2005 primarily due to higher demand for our analog products.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Semiconductor Segment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Operations – Semiconductor</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80" w:type="dxa"/>
            <w:vAlign w:val="bottom"/>
            <w:shd w:val="clear" w:color="auto" w:fill="E5E5E5"/>
          </w:tcPr>
          <w:p>
            <w:pPr>
              <w:spacing w:after="0"/>
              <w:rPr>
                <w:sz w:val="14"/>
                <w:szCs w:val="14"/>
                <w:color w:val="auto"/>
              </w:rPr>
            </w:pPr>
          </w:p>
        </w:tc>
        <w:tc>
          <w:tcPr>
            <w:tcW w:w="220" w:type="dxa"/>
            <w:vAlign w:val="bottom"/>
            <w:shd w:val="clear" w:color="auto" w:fill="E5E5E5"/>
          </w:tcPr>
          <w:p>
            <w:pPr>
              <w:spacing w:after="0"/>
              <w:rPr>
                <w:sz w:val="14"/>
                <w:szCs w:val="14"/>
                <w:color w:val="auto"/>
              </w:rPr>
            </w:pPr>
          </w:p>
        </w:tc>
        <w:tc>
          <w:tcPr>
            <w:tcW w:w="2020" w:type="dxa"/>
            <w:vAlign w:val="bottom"/>
            <w:gridSpan w:val="3"/>
            <w:shd w:val="clear" w:color="auto" w:fill="E5E5E5"/>
          </w:tcPr>
          <w:p>
            <w:pPr>
              <w:jc w:val="right"/>
              <w:ind w:right="460"/>
              <w:spacing w:after="0"/>
              <w:rPr>
                <w:sz w:val="20"/>
                <w:szCs w:val="20"/>
                <w:color w:val="auto"/>
              </w:rPr>
            </w:pPr>
            <w:r>
              <w:rPr>
                <w:rFonts w:ascii="Arial" w:cs="Arial" w:eastAsia="Arial" w:hAnsi="Arial"/>
                <w:sz w:val="14"/>
                <w:szCs w:val="14"/>
                <w:b w:val="1"/>
                <w:bCs w:val="1"/>
                <w:color w:val="auto"/>
              </w:rPr>
              <w:t>For the years ended</w:t>
            </w:r>
          </w:p>
        </w:tc>
      </w:tr>
      <w:tr>
        <w:trPr>
          <w:trHeight w:val="165"/>
        </w:trPr>
        <w:tc>
          <w:tcPr>
            <w:tcW w:w="9180" w:type="dxa"/>
            <w:vAlign w:val="bottom"/>
            <w:shd w:val="clear" w:color="auto" w:fill="E5E5E5"/>
          </w:tcPr>
          <w:p>
            <w:pPr>
              <w:spacing w:after="0"/>
              <w:rPr>
                <w:sz w:val="14"/>
                <w:szCs w:val="14"/>
                <w:color w:val="auto"/>
              </w:rPr>
            </w:pPr>
          </w:p>
        </w:tc>
        <w:tc>
          <w:tcPr>
            <w:tcW w:w="220" w:type="dxa"/>
            <w:vAlign w:val="bottom"/>
            <w:shd w:val="clear" w:color="auto" w:fill="E5E5E5"/>
          </w:tcPr>
          <w:p>
            <w:pPr>
              <w:spacing w:after="0"/>
              <w:rPr>
                <w:sz w:val="14"/>
                <w:szCs w:val="14"/>
                <w:color w:val="auto"/>
              </w:rPr>
            </w:pPr>
          </w:p>
        </w:tc>
        <w:tc>
          <w:tcPr>
            <w:tcW w:w="2020" w:type="dxa"/>
            <w:vAlign w:val="bottom"/>
            <w:gridSpan w:val="3"/>
            <w:shd w:val="clear" w:color="auto" w:fill="E5E5E5"/>
          </w:tcPr>
          <w:p>
            <w:pPr>
              <w:jc w:val="right"/>
              <w:ind w:right="660"/>
              <w:spacing w:after="0"/>
              <w:rPr>
                <w:sz w:val="20"/>
                <w:szCs w:val="20"/>
                <w:color w:val="auto"/>
              </w:rPr>
            </w:pPr>
            <w:r>
              <w:rPr>
                <w:rFonts w:ascii="Arial" w:cs="Arial" w:eastAsia="Arial" w:hAnsi="Arial"/>
                <w:sz w:val="14"/>
                <w:szCs w:val="14"/>
                <w:b w:val="1"/>
                <w:bCs w:val="1"/>
                <w:color w:val="auto"/>
              </w:rPr>
              <w:t>December 31,</w:t>
            </w:r>
          </w:p>
        </w:tc>
      </w:tr>
      <w:tr>
        <w:trPr>
          <w:trHeight w:val="203"/>
        </w:trPr>
        <w:tc>
          <w:tcPr>
            <w:tcW w:w="9180" w:type="dxa"/>
            <w:vAlign w:val="bottom"/>
            <w:shd w:val="clear" w:color="auto" w:fill="E5E5E5"/>
          </w:tcPr>
          <w:p>
            <w:pPr>
              <w:spacing w:after="0"/>
              <w:rPr>
                <w:sz w:val="17"/>
                <w:szCs w:val="17"/>
                <w:color w:val="auto"/>
              </w:rPr>
            </w:pPr>
          </w:p>
        </w:tc>
        <w:tc>
          <w:tcPr>
            <w:tcW w:w="1220" w:type="dxa"/>
            <w:vAlign w:val="bottom"/>
            <w:gridSpan w:val="2"/>
            <w:shd w:val="clear" w:color="auto" w:fill="E5E5E5"/>
          </w:tcPr>
          <w:p>
            <w:pPr>
              <w:jc w:val="right"/>
              <w:ind w:right="366"/>
              <w:spacing w:after="0" w:line="202" w:lineRule="exact"/>
              <w:rPr>
                <w:sz w:val="20"/>
                <w:szCs w:val="20"/>
                <w:color w:val="auto"/>
              </w:rPr>
            </w:pPr>
            <w:r>
              <w:rPr>
                <w:rFonts w:ascii="Arial" w:cs="Arial" w:eastAsia="Arial" w:hAnsi="Arial"/>
                <w:sz w:val="18"/>
                <w:szCs w:val="18"/>
                <w:b w:val="1"/>
                <w:bCs w:val="1"/>
                <w:color w:val="auto"/>
              </w:rPr>
              <w:t>2006</w:t>
            </w:r>
          </w:p>
        </w:tc>
        <w:tc>
          <w:tcPr>
            <w:tcW w:w="860" w:type="dxa"/>
            <w:vAlign w:val="bottom"/>
            <w:shd w:val="clear" w:color="auto" w:fill="E5E5E5"/>
          </w:tcPr>
          <w:p>
            <w:pPr>
              <w:jc w:val="right"/>
              <w:ind w:right="92"/>
              <w:spacing w:after="0" w:line="202" w:lineRule="exact"/>
              <w:rPr>
                <w:sz w:val="20"/>
                <w:szCs w:val="20"/>
                <w:color w:val="auto"/>
              </w:rPr>
            </w:pPr>
            <w:r>
              <w:rPr>
                <w:rFonts w:ascii="Arial" w:cs="Arial" w:eastAsia="Arial" w:hAnsi="Arial"/>
                <w:sz w:val="18"/>
                <w:szCs w:val="18"/>
                <w:b w:val="1"/>
                <w:bCs w:val="1"/>
                <w:color w:val="auto"/>
              </w:rPr>
              <w:t>2005</w:t>
            </w:r>
          </w:p>
        </w:tc>
        <w:tc>
          <w:tcPr>
            <w:tcW w:w="160" w:type="dxa"/>
            <w:vAlign w:val="bottom"/>
            <w:shd w:val="clear" w:color="auto" w:fill="E5E5E5"/>
          </w:tcPr>
          <w:p>
            <w:pPr>
              <w:spacing w:after="0"/>
              <w:rPr>
                <w:sz w:val="17"/>
                <w:szCs w:val="17"/>
                <w:color w:val="auto"/>
              </w:rPr>
            </w:pPr>
          </w:p>
        </w:tc>
      </w:tr>
      <w:tr>
        <w:trPr>
          <w:trHeight w:val="311"/>
        </w:trPr>
        <w:tc>
          <w:tcPr>
            <w:tcW w:w="9180" w:type="dxa"/>
            <w:vAlign w:val="bottom"/>
          </w:tcPr>
          <w:p>
            <w:pPr>
              <w:spacing w:after="0"/>
              <w:rPr>
                <w:sz w:val="20"/>
                <w:szCs w:val="20"/>
                <w:color w:val="auto"/>
              </w:rPr>
            </w:pPr>
            <w:r>
              <w:rPr>
                <w:rFonts w:ascii="Arial" w:cs="Arial" w:eastAsia="Arial" w:hAnsi="Arial"/>
                <w:sz w:val="18"/>
                <w:szCs w:val="18"/>
                <w:color w:val="auto"/>
              </w:rPr>
              <w:t>Net revenue</w:t>
            </w:r>
          </w:p>
        </w:tc>
        <w:tc>
          <w:tcPr>
            <w:tcW w:w="1220" w:type="dxa"/>
            <w:vAlign w:val="bottom"/>
            <w:gridSpan w:val="2"/>
          </w:tcPr>
          <w:p>
            <w:pPr>
              <w:jc w:val="right"/>
              <w:ind w:right="186"/>
              <w:spacing w:after="0"/>
              <w:rPr>
                <w:sz w:val="20"/>
                <w:szCs w:val="20"/>
                <w:color w:val="auto"/>
              </w:rPr>
            </w:pPr>
            <w:r>
              <w:rPr>
                <w:rFonts w:ascii="Arial" w:cs="Arial" w:eastAsia="Arial" w:hAnsi="Arial"/>
                <w:sz w:val="18"/>
                <w:szCs w:val="18"/>
                <w:b w:val="1"/>
                <w:bCs w:val="1"/>
                <w:color w:val="auto"/>
              </w:rPr>
              <w:t>$ 13,730</w:t>
            </w:r>
          </w:p>
        </w:tc>
        <w:tc>
          <w:tcPr>
            <w:tcW w:w="860" w:type="dxa"/>
            <w:vAlign w:val="bottom"/>
          </w:tcPr>
          <w:p>
            <w:pPr>
              <w:jc w:val="right"/>
              <w:spacing w:after="0"/>
              <w:rPr>
                <w:sz w:val="20"/>
                <w:szCs w:val="20"/>
                <w:color w:val="auto"/>
              </w:rPr>
            </w:pPr>
            <w:r>
              <w:rPr>
                <w:rFonts w:ascii="Arial" w:cs="Arial" w:eastAsia="Arial" w:hAnsi="Arial"/>
                <w:sz w:val="18"/>
                <w:szCs w:val="18"/>
                <w:color w:val="auto"/>
              </w:rPr>
              <w:t>$ 11,829</w:t>
            </w:r>
          </w:p>
        </w:tc>
        <w:tc>
          <w:tcPr>
            <w:tcW w:w="160" w:type="dxa"/>
            <w:vAlign w:val="bottom"/>
          </w:tcPr>
          <w:p>
            <w:pPr>
              <w:spacing w:after="0"/>
              <w:rPr>
                <w:sz w:val="24"/>
                <w:szCs w:val="24"/>
                <w:color w:val="auto"/>
              </w:rPr>
            </w:pPr>
          </w:p>
        </w:tc>
      </w:tr>
      <w:tr>
        <w:trPr>
          <w:trHeight w:val="203"/>
        </w:trPr>
        <w:tc>
          <w:tcPr>
            <w:tcW w:w="91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Cost of revenue</w:t>
            </w:r>
          </w:p>
        </w:tc>
        <w:tc>
          <w:tcPr>
            <w:tcW w:w="1220" w:type="dxa"/>
            <w:vAlign w:val="bottom"/>
            <w:gridSpan w:val="2"/>
            <w:shd w:val="clear" w:color="auto" w:fill="E5E5E5"/>
          </w:tcPr>
          <w:p>
            <w:pPr>
              <w:jc w:val="right"/>
              <w:ind w:right="186"/>
              <w:spacing w:after="0" w:line="202" w:lineRule="exact"/>
              <w:rPr>
                <w:sz w:val="20"/>
                <w:szCs w:val="20"/>
                <w:color w:val="auto"/>
              </w:rPr>
            </w:pPr>
            <w:r>
              <w:rPr>
                <w:rFonts w:ascii="Arial" w:cs="Arial" w:eastAsia="Arial" w:hAnsi="Arial"/>
                <w:sz w:val="18"/>
                <w:szCs w:val="18"/>
                <w:b w:val="1"/>
                <w:bCs w:val="1"/>
                <w:color w:val="auto"/>
              </w:rPr>
              <w:t>6,681</w:t>
            </w:r>
          </w:p>
        </w:tc>
        <w:tc>
          <w:tcPr>
            <w:tcW w:w="8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6,056</w:t>
            </w:r>
          </w:p>
        </w:tc>
        <w:tc>
          <w:tcPr>
            <w:tcW w:w="160" w:type="dxa"/>
            <w:vAlign w:val="bottom"/>
            <w:shd w:val="clear" w:color="auto" w:fill="E5E5E5"/>
          </w:tcPr>
          <w:p>
            <w:pPr>
              <w:spacing w:after="0"/>
              <w:rPr>
                <w:sz w:val="17"/>
                <w:szCs w:val="17"/>
                <w:color w:val="auto"/>
              </w:rPr>
            </w:pPr>
          </w:p>
        </w:tc>
      </w:tr>
      <w:tr>
        <w:trPr>
          <w:trHeight w:val="210"/>
        </w:trPr>
        <w:tc>
          <w:tcPr>
            <w:tcW w:w="9180" w:type="dxa"/>
            <w:vAlign w:val="bottom"/>
          </w:tcPr>
          <w:p>
            <w:pPr>
              <w:spacing w:after="0"/>
              <w:rPr>
                <w:sz w:val="20"/>
                <w:szCs w:val="20"/>
                <w:color w:val="auto"/>
              </w:rPr>
            </w:pPr>
            <w:r>
              <w:rPr>
                <w:rFonts w:ascii="Arial" w:cs="Arial" w:eastAsia="Arial" w:hAnsi="Arial"/>
                <w:sz w:val="18"/>
                <w:szCs w:val="18"/>
                <w:color w:val="auto"/>
              </w:rPr>
              <w:t>Gross profit</w:t>
            </w:r>
          </w:p>
        </w:tc>
        <w:tc>
          <w:tcPr>
            <w:tcW w:w="220" w:type="dxa"/>
            <w:vAlign w:val="bottom"/>
          </w:tcPr>
          <w:p>
            <w:pPr>
              <w:spacing w:after="0"/>
              <w:rPr>
                <w:sz w:val="18"/>
                <w:szCs w:val="18"/>
                <w:color w:val="auto"/>
              </w:rPr>
            </w:pPr>
          </w:p>
        </w:tc>
        <w:tc>
          <w:tcPr>
            <w:tcW w:w="1000" w:type="dxa"/>
            <w:vAlign w:val="bottom"/>
            <w:tcBorders>
              <w:top w:val="single" w:sz="8" w:color="auto"/>
            </w:tcBorders>
          </w:tcPr>
          <w:p>
            <w:pPr>
              <w:jc w:val="right"/>
              <w:ind w:right="186"/>
              <w:spacing w:after="0"/>
              <w:rPr>
                <w:sz w:val="20"/>
                <w:szCs w:val="20"/>
                <w:color w:val="auto"/>
              </w:rPr>
            </w:pPr>
            <w:r>
              <w:rPr>
                <w:rFonts w:ascii="Arial" w:cs="Arial" w:eastAsia="Arial" w:hAnsi="Arial"/>
                <w:sz w:val="18"/>
                <w:szCs w:val="18"/>
                <w:b w:val="1"/>
                <w:bCs w:val="1"/>
                <w:color w:val="auto"/>
              </w:rPr>
              <w:t>7,049</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5,773</w:t>
            </w:r>
          </w:p>
        </w:tc>
        <w:tc>
          <w:tcPr>
            <w:tcW w:w="160" w:type="dxa"/>
            <w:vAlign w:val="bottom"/>
          </w:tcPr>
          <w:p>
            <w:pPr>
              <w:spacing w:after="0"/>
              <w:rPr>
                <w:sz w:val="18"/>
                <w:szCs w:val="18"/>
                <w:color w:val="auto"/>
              </w:rPr>
            </w:pPr>
          </w:p>
        </w:tc>
      </w:tr>
      <w:tr>
        <w:trPr>
          <w:trHeight w:val="203"/>
        </w:trPr>
        <w:tc>
          <w:tcPr>
            <w:tcW w:w="918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Gross profit % of revenue</w:t>
            </w:r>
          </w:p>
        </w:tc>
        <w:tc>
          <w:tcPr>
            <w:tcW w:w="1220" w:type="dxa"/>
            <w:vAlign w:val="bottom"/>
            <w:gridSpan w:val="2"/>
            <w:shd w:val="clear" w:color="auto" w:fill="E5E5E5"/>
          </w:tcPr>
          <w:p>
            <w:pPr>
              <w:jc w:val="right"/>
              <w:ind w:right="26"/>
              <w:spacing w:after="0" w:line="202" w:lineRule="exact"/>
              <w:rPr>
                <w:sz w:val="20"/>
                <w:szCs w:val="20"/>
                <w:color w:val="auto"/>
              </w:rPr>
            </w:pPr>
            <w:r>
              <w:rPr>
                <w:rFonts w:ascii="Arial" w:cs="Arial" w:eastAsia="Arial" w:hAnsi="Arial"/>
                <w:sz w:val="18"/>
                <w:szCs w:val="18"/>
                <w:b w:val="1"/>
                <w:bCs w:val="1"/>
                <w:color w:val="auto"/>
              </w:rPr>
              <w:t>51.3%</w:t>
            </w:r>
          </w:p>
        </w:tc>
        <w:tc>
          <w:tcPr>
            <w:tcW w:w="102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48.8%</w:t>
            </w:r>
          </w:p>
        </w:tc>
      </w:tr>
      <w:tr>
        <w:trPr>
          <w:trHeight w:val="203"/>
        </w:trPr>
        <w:tc>
          <w:tcPr>
            <w:tcW w:w="9180" w:type="dxa"/>
            <w:vAlign w:val="bottom"/>
          </w:tcPr>
          <w:p>
            <w:pPr>
              <w:spacing w:after="0" w:line="202" w:lineRule="exact"/>
              <w:rPr>
                <w:sz w:val="20"/>
                <w:szCs w:val="20"/>
                <w:color w:val="auto"/>
              </w:rPr>
            </w:pPr>
            <w:r>
              <w:rPr>
                <w:rFonts w:ascii="Arial" w:cs="Arial" w:eastAsia="Arial" w:hAnsi="Arial"/>
                <w:sz w:val="18"/>
                <w:szCs w:val="18"/>
                <w:color w:val="auto"/>
              </w:rPr>
              <w:t>Profit from operations</w:t>
            </w:r>
          </w:p>
        </w:tc>
        <w:tc>
          <w:tcPr>
            <w:tcW w:w="1220" w:type="dxa"/>
            <w:vAlign w:val="bottom"/>
            <w:gridSpan w:val="2"/>
          </w:tcPr>
          <w:p>
            <w:pPr>
              <w:jc w:val="right"/>
              <w:ind w:right="186"/>
              <w:spacing w:after="0" w:line="202" w:lineRule="exact"/>
              <w:rPr>
                <w:sz w:val="20"/>
                <w:szCs w:val="20"/>
                <w:color w:val="auto"/>
              </w:rPr>
            </w:pPr>
            <w:r>
              <w:rPr>
                <w:rFonts w:ascii="Arial" w:cs="Arial" w:eastAsia="Arial" w:hAnsi="Arial"/>
                <w:sz w:val="18"/>
                <w:szCs w:val="18"/>
                <w:b w:val="1"/>
                <w:bCs w:val="1"/>
                <w:color w:val="auto"/>
              </w:rPr>
              <w:t>3,831</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2,808</w:t>
            </w:r>
          </w:p>
        </w:tc>
        <w:tc>
          <w:tcPr>
            <w:tcW w:w="160" w:type="dxa"/>
            <w:vAlign w:val="bottom"/>
          </w:tcPr>
          <w:p>
            <w:pPr>
              <w:spacing w:after="0"/>
              <w:rPr>
                <w:sz w:val="17"/>
                <w:szCs w:val="17"/>
                <w:color w:val="auto"/>
              </w:rPr>
            </w:pPr>
          </w:p>
        </w:tc>
      </w:tr>
      <w:tr>
        <w:trPr>
          <w:trHeight w:val="203"/>
        </w:trPr>
        <w:tc>
          <w:tcPr>
            <w:tcW w:w="918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Operating profit % of revenue</w:t>
            </w:r>
          </w:p>
        </w:tc>
        <w:tc>
          <w:tcPr>
            <w:tcW w:w="1220" w:type="dxa"/>
            <w:vAlign w:val="bottom"/>
            <w:gridSpan w:val="2"/>
            <w:shd w:val="clear" w:color="auto" w:fill="E5E5E5"/>
          </w:tcPr>
          <w:p>
            <w:pPr>
              <w:jc w:val="right"/>
              <w:ind w:right="26"/>
              <w:spacing w:after="0" w:line="202" w:lineRule="exact"/>
              <w:rPr>
                <w:sz w:val="20"/>
                <w:szCs w:val="20"/>
                <w:color w:val="auto"/>
              </w:rPr>
            </w:pPr>
            <w:r>
              <w:rPr>
                <w:rFonts w:ascii="Arial" w:cs="Arial" w:eastAsia="Arial" w:hAnsi="Arial"/>
                <w:sz w:val="18"/>
                <w:szCs w:val="18"/>
                <w:b w:val="1"/>
                <w:bCs w:val="1"/>
                <w:color w:val="auto"/>
              </w:rPr>
              <w:t>27.9%</w:t>
            </w:r>
          </w:p>
        </w:tc>
        <w:tc>
          <w:tcPr>
            <w:tcW w:w="102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23.7%</w:t>
            </w:r>
          </w:p>
        </w:tc>
      </w:tr>
    </w:tbl>
    <w:p>
      <w:pPr>
        <w:spacing w:after="0" w:line="165" w:lineRule="exact"/>
        <w:rPr>
          <w:sz w:val="20"/>
          <w:szCs w:val="20"/>
          <w:color w:val="auto"/>
        </w:rPr>
      </w:pPr>
    </w:p>
    <w:p>
      <w:pPr>
        <w:ind w:right="560"/>
        <w:spacing w:after="0" w:line="239" w:lineRule="auto"/>
        <w:rPr>
          <w:sz w:val="20"/>
          <w:szCs w:val="20"/>
          <w:color w:val="auto"/>
        </w:rPr>
      </w:pPr>
      <w:r>
        <w:rPr>
          <w:rFonts w:ascii="Arial" w:cs="Arial" w:eastAsia="Arial" w:hAnsi="Arial"/>
          <w:sz w:val="18"/>
          <w:szCs w:val="18"/>
          <w:color w:val="auto"/>
        </w:rPr>
        <w:t>Semiconductor revenue of $13.73 billion increased 16 percent from 2005 primarily due to increased product shipments resulting from higher demand for both analog, especially high-performance analog, and, to a lesser extent, DSP.</w:t>
      </w:r>
    </w:p>
    <w:p>
      <w:pPr>
        <w:spacing w:after="0" w:line="155" w:lineRule="exact"/>
        <w:rPr>
          <w:sz w:val="20"/>
          <w:szCs w:val="20"/>
          <w:color w:val="auto"/>
        </w:rPr>
      </w:pPr>
    </w:p>
    <w:p>
      <w:pPr>
        <w:ind w:right="280"/>
        <w:spacing w:after="0" w:line="238" w:lineRule="auto"/>
        <w:rPr>
          <w:sz w:val="20"/>
          <w:szCs w:val="20"/>
          <w:color w:val="auto"/>
        </w:rPr>
      </w:pPr>
      <w:r>
        <w:rPr>
          <w:rFonts w:ascii="Arial" w:cs="Arial" w:eastAsia="Arial" w:hAnsi="Arial"/>
          <w:sz w:val="18"/>
          <w:szCs w:val="18"/>
          <w:color w:val="auto"/>
        </w:rPr>
        <w:t>For the year, analog revenue increased 18 percent primarily due to increased shipments resulting from higher demand for high-performance analog products. Revenue from high-performance analog products increased 33 percent primarily due to market-share gains. In 2006, about 40 percent of total Semiconductor revenue came from analog.</w:t>
      </w:r>
    </w:p>
    <w:p>
      <w:pPr>
        <w:spacing w:after="0" w:line="154" w:lineRule="exact"/>
        <w:rPr>
          <w:sz w:val="20"/>
          <w:szCs w:val="20"/>
          <w:color w:val="auto"/>
        </w:rPr>
      </w:pPr>
    </w:p>
    <w:p>
      <w:pPr>
        <w:ind w:right="480"/>
        <w:spacing w:after="0" w:line="239" w:lineRule="auto"/>
        <w:rPr>
          <w:sz w:val="20"/>
          <w:szCs w:val="20"/>
          <w:color w:val="auto"/>
        </w:rPr>
      </w:pPr>
      <w:r>
        <w:rPr>
          <w:rFonts w:ascii="Arial" w:cs="Arial" w:eastAsia="Arial" w:hAnsi="Arial"/>
          <w:sz w:val="18"/>
          <w:szCs w:val="18"/>
          <w:color w:val="auto"/>
        </w:rPr>
        <w:t>DSP revenue increased 16 percent due to increased shipments resulting from higher demand for wireless products. About 40 percent of total Semiconductor revenue in 2006 came from DSP.</w:t>
      </w:r>
    </w:p>
    <w:p>
      <w:pPr>
        <w:spacing w:after="0" w:line="155" w:lineRule="exact"/>
        <w:rPr>
          <w:sz w:val="20"/>
          <w:szCs w:val="20"/>
          <w:color w:val="auto"/>
        </w:rPr>
      </w:pPr>
    </w:p>
    <w:p>
      <w:pPr>
        <w:ind w:right="360"/>
        <w:spacing w:after="0" w:line="239" w:lineRule="auto"/>
        <w:rPr>
          <w:sz w:val="20"/>
          <w:szCs w:val="20"/>
          <w:color w:val="auto"/>
        </w:rPr>
      </w:pPr>
      <w:r>
        <w:rPr>
          <w:rFonts w:ascii="Arial" w:cs="Arial" w:eastAsia="Arial" w:hAnsi="Arial"/>
          <w:sz w:val="18"/>
          <w:szCs w:val="18"/>
          <w:color w:val="auto"/>
        </w:rPr>
        <w:t>Remaining Semiconductor revenue increased 14 percent as increased shipments resulting from growth in demand for standard logic products, DLP products, RISC microprocessors and microcontrollers more than offset a decline in royalties.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120" w:type="dxa"/>
            <w:vAlign w:val="bottom"/>
          </w:tcPr>
          <w:p>
            <w:pPr>
              <w:spacing w:after="0"/>
              <w:rPr>
                <w:sz w:val="20"/>
                <w:szCs w:val="20"/>
                <w:color w:val="auto"/>
              </w:rPr>
            </w:pPr>
            <w:r>
              <w:rPr>
                <w:rFonts w:ascii="Arial" w:cs="Arial" w:eastAsia="Arial" w:hAnsi="Arial"/>
                <w:sz w:val="14"/>
                <w:szCs w:val="14"/>
                <w:color w:val="auto"/>
              </w:rPr>
              <w:t>TEXAS INSTRUMENTS 2007 ANNUAL REPORT</w:t>
            </w:r>
          </w:p>
        </w:tc>
        <w:tc>
          <w:tcPr>
            <w:tcW w:w="4300" w:type="dxa"/>
            <w:vAlign w:val="bottom"/>
          </w:tcPr>
          <w:p>
            <w:pPr>
              <w:jc w:val="right"/>
              <w:spacing w:after="0"/>
              <w:rPr>
                <w:sz w:val="20"/>
                <w:szCs w:val="20"/>
                <w:color w:val="auto"/>
              </w:rPr>
            </w:pPr>
            <w:r>
              <w:rPr>
                <w:rFonts w:ascii="Arial" w:cs="Arial" w:eastAsia="Arial" w:hAnsi="Arial"/>
                <w:sz w:val="14"/>
                <w:szCs w:val="14"/>
                <w:color w:val="auto"/>
              </w:rPr>
              <w:t>53</w:t>
            </w:r>
          </w:p>
        </w:tc>
      </w:tr>
    </w:tbl>
    <w:p>
      <w:pPr>
        <w:sectPr>
          <w:pgSz w:w="11900" w:h="16838" w:orient="portrait"/>
          <w:cols w:equalWidth="0" w:num="1">
            <w:col w:w="11420"/>
          </w:cols>
          <w:pgMar w:left="240" w:top="291" w:right="239" w:bottom="1440" w:gutter="0" w:footer="0" w:header="0"/>
        </w:sectPr>
      </w:pPr>
    </w:p>
    <w:bookmarkStart w:id="73" w:name="page74"/>
    <w:bookmarkEnd w:id="73"/>
    <w:p>
      <w:pPr>
        <w:ind w:right="40"/>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During 2006, we signed new patent license agreements to replace agreements that had previously expired. In total, royalties in 2006 decreased by $87 million from 2005 due to the expiration of older agreements.</w:t>
      </w:r>
    </w:p>
    <w:p>
      <w:pPr>
        <w:spacing w:after="0" w:line="155"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On an end-equipment basis, revenue from wireless products was up 16 percent from 2005 as 3G handset revenue grew about 50 percent from 2005 and sales to the low-priced handset market increased.</w:t>
      </w:r>
    </w:p>
    <w:p>
      <w:pPr>
        <w:spacing w:after="0" w:line="155"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In DLP products, revenue increased 15 percent from 2005 primarily due to higher demand resulting in increased shipments of products for front projectors and, to a lesser extent, products for cinema projectors and high-definition televisions.</w:t>
      </w:r>
    </w:p>
    <w:p>
      <w:pPr>
        <w:spacing w:after="0" w:line="155"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In total, we estimate that our 2006 Semiconductor product revenue came from the following broad markets: communications (including wireless and broadband communications) was about 50 percent; computing (including peripherals and computers) was about 25 percent; consumer electronics was about 10 percent; industrial was less than 10 percent; and automotive was about 5 percent.</w:t>
      </w:r>
    </w:p>
    <w:p>
      <w:pPr>
        <w:spacing w:after="0" w:line="154"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Gross profit was $7.05 billion, or 51.3 percent of revenue. This was an increase of $1.28 billion, or 22 percent, from 2005 primarily due to higher revenue and, to a lesser extent, lower depreciation.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Operating profit was $3.83 billion, or 27.9 percent of revenue. This was an increase of $1.02 billion from 2005 due to higher gross profit.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For the year, Semiconductor orders were $13.49 billion. This was an increase of 9 percent due to higher demand for analog products.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Education Technology Segment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Operations – Education Technology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60" w:type="dxa"/>
            <w:vAlign w:val="bottom"/>
            <w:shd w:val="clear" w:color="auto" w:fill="E5E5E5"/>
          </w:tcPr>
          <w:p>
            <w:pPr>
              <w:spacing w:after="0"/>
              <w:rPr>
                <w:sz w:val="14"/>
                <w:szCs w:val="14"/>
                <w:color w:val="auto"/>
              </w:rPr>
            </w:pPr>
          </w:p>
        </w:tc>
        <w:tc>
          <w:tcPr>
            <w:tcW w:w="340" w:type="dxa"/>
            <w:vAlign w:val="bottom"/>
            <w:shd w:val="clear" w:color="auto" w:fill="E5E5E5"/>
          </w:tcPr>
          <w:p>
            <w:pPr>
              <w:spacing w:after="0"/>
              <w:rPr>
                <w:sz w:val="14"/>
                <w:szCs w:val="14"/>
                <w:color w:val="auto"/>
              </w:rPr>
            </w:pPr>
          </w:p>
        </w:tc>
        <w:tc>
          <w:tcPr>
            <w:tcW w:w="1720" w:type="dxa"/>
            <w:vAlign w:val="bottom"/>
            <w:gridSpan w:val="3"/>
            <w:shd w:val="clear" w:color="auto" w:fill="E5E5E5"/>
          </w:tcPr>
          <w:p>
            <w:pPr>
              <w:jc w:val="right"/>
              <w:ind w:right="300"/>
              <w:spacing w:after="0"/>
              <w:rPr>
                <w:sz w:val="20"/>
                <w:szCs w:val="20"/>
                <w:color w:val="auto"/>
              </w:rPr>
            </w:pPr>
            <w:r>
              <w:rPr>
                <w:rFonts w:ascii="Arial" w:cs="Arial" w:eastAsia="Arial" w:hAnsi="Arial"/>
                <w:sz w:val="14"/>
                <w:szCs w:val="14"/>
                <w:b w:val="1"/>
                <w:bCs w:val="1"/>
                <w:color w:val="auto"/>
              </w:rPr>
              <w:t>For the years ended</w:t>
            </w:r>
          </w:p>
        </w:tc>
      </w:tr>
      <w:tr>
        <w:trPr>
          <w:trHeight w:val="178"/>
        </w:trPr>
        <w:tc>
          <w:tcPr>
            <w:tcW w:w="9360" w:type="dxa"/>
            <w:vAlign w:val="bottom"/>
            <w:shd w:val="clear" w:color="auto" w:fill="E5E5E5"/>
          </w:tcPr>
          <w:p>
            <w:pPr>
              <w:spacing w:after="0"/>
              <w:rPr>
                <w:sz w:val="15"/>
                <w:szCs w:val="15"/>
                <w:color w:val="auto"/>
              </w:rPr>
            </w:pPr>
          </w:p>
        </w:tc>
        <w:tc>
          <w:tcPr>
            <w:tcW w:w="340" w:type="dxa"/>
            <w:vAlign w:val="bottom"/>
            <w:shd w:val="clear" w:color="auto" w:fill="E5E5E5"/>
          </w:tcPr>
          <w:p>
            <w:pPr>
              <w:spacing w:after="0"/>
              <w:rPr>
                <w:sz w:val="15"/>
                <w:szCs w:val="15"/>
                <w:color w:val="auto"/>
              </w:rPr>
            </w:pPr>
          </w:p>
        </w:tc>
        <w:tc>
          <w:tcPr>
            <w:tcW w:w="1720" w:type="dxa"/>
            <w:vAlign w:val="bottom"/>
            <w:gridSpan w:val="3"/>
            <w:shd w:val="clear" w:color="auto" w:fill="E5E5E5"/>
          </w:tcPr>
          <w:p>
            <w:pPr>
              <w:jc w:val="right"/>
              <w:ind w:right="500"/>
              <w:spacing w:after="0"/>
              <w:rPr>
                <w:sz w:val="20"/>
                <w:szCs w:val="20"/>
                <w:color w:val="auto"/>
              </w:rPr>
            </w:pPr>
            <w:r>
              <w:rPr>
                <w:rFonts w:ascii="Arial" w:cs="Arial" w:eastAsia="Arial" w:hAnsi="Arial"/>
                <w:sz w:val="14"/>
                <w:szCs w:val="14"/>
                <w:b w:val="1"/>
                <w:bCs w:val="1"/>
                <w:color w:val="auto"/>
              </w:rPr>
              <w:t>December 31,</w:t>
            </w:r>
          </w:p>
        </w:tc>
      </w:tr>
      <w:tr>
        <w:trPr>
          <w:trHeight w:val="278"/>
        </w:trPr>
        <w:tc>
          <w:tcPr>
            <w:tcW w:w="9360" w:type="dxa"/>
            <w:vAlign w:val="bottom"/>
            <w:tcBorders>
              <w:bottom w:val="single" w:sz="8" w:color="E5E5E5"/>
            </w:tcBorders>
            <w:shd w:val="clear" w:color="auto" w:fill="E5E5E5"/>
          </w:tcPr>
          <w:p>
            <w:pPr>
              <w:spacing w:after="0"/>
              <w:rPr>
                <w:sz w:val="24"/>
                <w:szCs w:val="24"/>
                <w:color w:val="auto"/>
              </w:rPr>
            </w:pPr>
          </w:p>
        </w:tc>
        <w:tc>
          <w:tcPr>
            <w:tcW w:w="1160" w:type="dxa"/>
            <w:vAlign w:val="bottom"/>
            <w:tcBorders>
              <w:bottom w:val="single" w:sz="8" w:color="E5E5E5"/>
            </w:tcBorders>
            <w:gridSpan w:val="2"/>
            <w:shd w:val="clear" w:color="auto" w:fill="E5E5E5"/>
          </w:tcPr>
          <w:p>
            <w:pPr>
              <w:jc w:val="right"/>
              <w:ind w:right="306"/>
              <w:spacing w:after="0"/>
              <w:rPr>
                <w:sz w:val="20"/>
                <w:szCs w:val="20"/>
                <w:color w:val="auto"/>
              </w:rPr>
            </w:pPr>
            <w:r>
              <w:rPr>
                <w:rFonts w:ascii="Arial" w:cs="Arial" w:eastAsia="Arial" w:hAnsi="Arial"/>
                <w:sz w:val="18"/>
                <w:szCs w:val="18"/>
                <w:b w:val="1"/>
                <w:bCs w:val="1"/>
                <w:color w:val="auto"/>
              </w:rPr>
              <w:t>2006</w:t>
            </w:r>
          </w:p>
        </w:tc>
        <w:tc>
          <w:tcPr>
            <w:tcW w:w="740" w:type="dxa"/>
            <w:vAlign w:val="bottom"/>
            <w:tcBorders>
              <w:bottom w:val="single" w:sz="8" w:color="E5E5E5"/>
            </w:tcBorders>
            <w:shd w:val="clear" w:color="auto" w:fill="E5E5E5"/>
          </w:tcPr>
          <w:p>
            <w:pPr>
              <w:jc w:val="right"/>
              <w:ind w:right="12"/>
              <w:spacing w:after="0"/>
              <w:rPr>
                <w:sz w:val="20"/>
                <w:szCs w:val="20"/>
                <w:color w:val="auto"/>
              </w:rPr>
            </w:pPr>
            <w:r>
              <w:rPr>
                <w:rFonts w:ascii="Arial" w:cs="Arial" w:eastAsia="Arial" w:hAnsi="Arial"/>
                <w:sz w:val="18"/>
                <w:szCs w:val="18"/>
                <w:b w:val="1"/>
                <w:bCs w:val="1"/>
                <w:color w:val="auto"/>
              </w:rPr>
              <w:t>2005</w:t>
            </w:r>
          </w:p>
        </w:tc>
        <w:tc>
          <w:tcPr>
            <w:tcW w:w="160" w:type="dxa"/>
            <w:vAlign w:val="bottom"/>
            <w:tcBorders>
              <w:bottom w:val="single" w:sz="8" w:color="E5E5E5"/>
            </w:tcBorders>
            <w:shd w:val="clear" w:color="auto" w:fill="E5E5E5"/>
          </w:tcPr>
          <w:p>
            <w:pPr>
              <w:spacing w:after="0"/>
              <w:rPr>
                <w:sz w:val="24"/>
                <w:szCs w:val="24"/>
                <w:color w:val="auto"/>
              </w:rPr>
            </w:pPr>
          </w:p>
        </w:tc>
      </w:tr>
      <w:tr>
        <w:trPr>
          <w:trHeight w:val="311"/>
        </w:trPr>
        <w:tc>
          <w:tcPr>
            <w:tcW w:w="9360" w:type="dxa"/>
            <w:vAlign w:val="bottom"/>
          </w:tcPr>
          <w:p>
            <w:pPr>
              <w:spacing w:after="0"/>
              <w:rPr>
                <w:sz w:val="20"/>
                <w:szCs w:val="20"/>
                <w:color w:val="auto"/>
              </w:rPr>
            </w:pPr>
            <w:r>
              <w:rPr>
                <w:rFonts w:ascii="Arial" w:cs="Arial" w:eastAsia="Arial" w:hAnsi="Arial"/>
                <w:sz w:val="18"/>
                <w:szCs w:val="18"/>
                <w:color w:val="auto"/>
              </w:rPr>
              <w:t>Net revenue</w:t>
            </w:r>
          </w:p>
        </w:tc>
        <w:tc>
          <w:tcPr>
            <w:tcW w:w="1160" w:type="dxa"/>
            <w:vAlign w:val="bottom"/>
            <w:gridSpan w:val="2"/>
          </w:tcPr>
          <w:p>
            <w:pPr>
              <w:jc w:val="right"/>
              <w:ind w:right="246"/>
              <w:spacing w:after="0"/>
              <w:rPr>
                <w:sz w:val="20"/>
                <w:szCs w:val="20"/>
                <w:color w:val="auto"/>
              </w:rPr>
            </w:pPr>
            <w:r>
              <w:rPr>
                <w:rFonts w:ascii="Arial" w:cs="Arial" w:eastAsia="Arial" w:hAnsi="Arial"/>
                <w:sz w:val="18"/>
                <w:szCs w:val="18"/>
                <w:b w:val="1"/>
                <w:bCs w:val="1"/>
                <w:color w:val="auto"/>
              </w:rPr>
              <w:t>$ 525</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  506</w:t>
            </w:r>
          </w:p>
        </w:tc>
      </w:tr>
      <w:tr>
        <w:trPr>
          <w:trHeight w:val="203"/>
        </w:trPr>
        <w:tc>
          <w:tcPr>
            <w:tcW w:w="93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Cost of revenue</w:t>
            </w:r>
          </w:p>
        </w:tc>
        <w:tc>
          <w:tcPr>
            <w:tcW w:w="1160" w:type="dxa"/>
            <w:vAlign w:val="bottom"/>
            <w:gridSpan w:val="2"/>
            <w:shd w:val="clear" w:color="auto" w:fill="E5E5E5"/>
          </w:tcPr>
          <w:p>
            <w:pPr>
              <w:jc w:val="right"/>
              <w:ind w:right="246"/>
              <w:spacing w:after="0" w:line="202" w:lineRule="exact"/>
              <w:rPr>
                <w:sz w:val="20"/>
                <w:szCs w:val="20"/>
                <w:color w:val="auto"/>
              </w:rPr>
            </w:pPr>
            <w:r>
              <w:rPr>
                <w:rFonts w:ascii="Arial" w:cs="Arial" w:eastAsia="Arial" w:hAnsi="Arial"/>
                <w:sz w:val="18"/>
                <w:szCs w:val="18"/>
                <w:b w:val="1"/>
                <w:bCs w:val="1"/>
                <w:color w:val="auto"/>
              </w:rPr>
              <w:t>204</w:t>
            </w:r>
          </w:p>
        </w:tc>
        <w:tc>
          <w:tcPr>
            <w:tcW w:w="7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206</w:t>
            </w:r>
          </w:p>
        </w:tc>
        <w:tc>
          <w:tcPr>
            <w:tcW w:w="160" w:type="dxa"/>
            <w:vAlign w:val="bottom"/>
            <w:shd w:val="clear" w:color="auto" w:fill="E5E5E5"/>
          </w:tcPr>
          <w:p>
            <w:pPr>
              <w:spacing w:after="0"/>
              <w:rPr>
                <w:sz w:val="17"/>
                <w:szCs w:val="17"/>
                <w:color w:val="auto"/>
              </w:rPr>
            </w:pPr>
          </w:p>
        </w:tc>
      </w:tr>
      <w:tr>
        <w:trPr>
          <w:trHeight w:val="210"/>
        </w:trPr>
        <w:tc>
          <w:tcPr>
            <w:tcW w:w="9360" w:type="dxa"/>
            <w:vAlign w:val="bottom"/>
          </w:tcPr>
          <w:p>
            <w:pPr>
              <w:spacing w:after="0"/>
              <w:rPr>
                <w:sz w:val="20"/>
                <w:szCs w:val="20"/>
                <w:color w:val="auto"/>
              </w:rPr>
            </w:pPr>
            <w:r>
              <w:rPr>
                <w:rFonts w:ascii="Arial" w:cs="Arial" w:eastAsia="Arial" w:hAnsi="Arial"/>
                <w:sz w:val="18"/>
                <w:szCs w:val="18"/>
                <w:color w:val="auto"/>
              </w:rPr>
              <w:t>Gross profit</w:t>
            </w:r>
          </w:p>
        </w:tc>
        <w:tc>
          <w:tcPr>
            <w:tcW w:w="340" w:type="dxa"/>
            <w:vAlign w:val="bottom"/>
          </w:tcPr>
          <w:p>
            <w:pPr>
              <w:spacing w:after="0"/>
              <w:rPr>
                <w:sz w:val="18"/>
                <w:szCs w:val="18"/>
                <w:color w:val="auto"/>
              </w:rPr>
            </w:pPr>
          </w:p>
        </w:tc>
        <w:tc>
          <w:tcPr>
            <w:tcW w:w="820" w:type="dxa"/>
            <w:vAlign w:val="bottom"/>
            <w:tcBorders>
              <w:top w:val="single" w:sz="8" w:color="auto"/>
            </w:tcBorders>
          </w:tcPr>
          <w:p>
            <w:pPr>
              <w:jc w:val="right"/>
              <w:ind w:right="246"/>
              <w:spacing w:after="0"/>
              <w:rPr>
                <w:sz w:val="20"/>
                <w:szCs w:val="20"/>
                <w:color w:val="auto"/>
              </w:rPr>
            </w:pPr>
            <w:r>
              <w:rPr>
                <w:rFonts w:ascii="Arial" w:cs="Arial" w:eastAsia="Arial" w:hAnsi="Arial"/>
                <w:sz w:val="18"/>
                <w:szCs w:val="18"/>
                <w:b w:val="1"/>
                <w:bCs w:val="1"/>
                <w:color w:val="auto"/>
              </w:rPr>
              <w:t>321</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160" w:type="dxa"/>
            <w:vAlign w:val="bottom"/>
          </w:tcPr>
          <w:p>
            <w:pPr>
              <w:spacing w:after="0"/>
              <w:rPr>
                <w:sz w:val="18"/>
                <w:szCs w:val="18"/>
                <w:color w:val="auto"/>
              </w:rPr>
            </w:pPr>
          </w:p>
        </w:tc>
      </w:tr>
      <w:tr>
        <w:trPr>
          <w:trHeight w:val="203"/>
        </w:trPr>
        <w:tc>
          <w:tcPr>
            <w:tcW w:w="936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Gross profit % of revenue</w:t>
            </w:r>
          </w:p>
        </w:tc>
        <w:tc>
          <w:tcPr>
            <w:tcW w:w="1160" w:type="dxa"/>
            <w:vAlign w:val="bottom"/>
            <w:gridSpan w:val="2"/>
            <w:shd w:val="clear" w:color="auto" w:fill="E5E5E5"/>
          </w:tcPr>
          <w:p>
            <w:pPr>
              <w:jc w:val="right"/>
              <w:ind w:right="106"/>
              <w:spacing w:after="0" w:line="202" w:lineRule="exact"/>
              <w:rPr>
                <w:sz w:val="20"/>
                <w:szCs w:val="20"/>
                <w:color w:val="auto"/>
              </w:rPr>
            </w:pPr>
            <w:r>
              <w:rPr>
                <w:rFonts w:ascii="Arial" w:cs="Arial" w:eastAsia="Arial" w:hAnsi="Arial"/>
                <w:sz w:val="18"/>
                <w:szCs w:val="18"/>
                <w:b w:val="1"/>
                <w:bCs w:val="1"/>
                <w:color w:val="auto"/>
              </w:rPr>
              <w:t>61.1%</w:t>
            </w:r>
          </w:p>
        </w:tc>
        <w:tc>
          <w:tcPr>
            <w:tcW w:w="90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59.2%</w:t>
            </w:r>
          </w:p>
        </w:tc>
      </w:tr>
      <w:tr>
        <w:trPr>
          <w:trHeight w:val="203"/>
        </w:trPr>
        <w:tc>
          <w:tcPr>
            <w:tcW w:w="9360" w:type="dxa"/>
            <w:vAlign w:val="bottom"/>
          </w:tcPr>
          <w:p>
            <w:pPr>
              <w:spacing w:after="0" w:line="202" w:lineRule="exact"/>
              <w:rPr>
                <w:sz w:val="20"/>
                <w:szCs w:val="20"/>
                <w:color w:val="auto"/>
              </w:rPr>
            </w:pPr>
            <w:r>
              <w:rPr>
                <w:rFonts w:ascii="Arial" w:cs="Arial" w:eastAsia="Arial" w:hAnsi="Arial"/>
                <w:sz w:val="18"/>
                <w:szCs w:val="18"/>
                <w:color w:val="auto"/>
              </w:rPr>
              <w:t>Profit from operations</w:t>
            </w:r>
          </w:p>
        </w:tc>
        <w:tc>
          <w:tcPr>
            <w:tcW w:w="1160" w:type="dxa"/>
            <w:vAlign w:val="bottom"/>
            <w:gridSpan w:val="2"/>
          </w:tcPr>
          <w:p>
            <w:pPr>
              <w:jc w:val="right"/>
              <w:ind w:right="246"/>
              <w:spacing w:after="0" w:line="202" w:lineRule="exact"/>
              <w:rPr>
                <w:sz w:val="20"/>
                <w:szCs w:val="20"/>
                <w:color w:val="auto"/>
              </w:rPr>
            </w:pPr>
            <w:r>
              <w:rPr>
                <w:rFonts w:ascii="Arial" w:cs="Arial" w:eastAsia="Arial" w:hAnsi="Arial"/>
                <w:sz w:val="18"/>
                <w:szCs w:val="18"/>
                <w:b w:val="1"/>
                <w:bCs w:val="1"/>
                <w:color w:val="auto"/>
              </w:rPr>
              <w:t>200</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188</w:t>
            </w:r>
          </w:p>
        </w:tc>
        <w:tc>
          <w:tcPr>
            <w:tcW w:w="160" w:type="dxa"/>
            <w:vAlign w:val="bottom"/>
          </w:tcPr>
          <w:p>
            <w:pPr>
              <w:spacing w:after="0"/>
              <w:rPr>
                <w:sz w:val="17"/>
                <w:szCs w:val="17"/>
                <w:color w:val="auto"/>
              </w:rPr>
            </w:pPr>
          </w:p>
        </w:tc>
      </w:tr>
      <w:tr>
        <w:trPr>
          <w:trHeight w:val="203"/>
        </w:trPr>
        <w:tc>
          <w:tcPr>
            <w:tcW w:w="936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Operating profit % of revenue</w:t>
            </w:r>
          </w:p>
        </w:tc>
        <w:tc>
          <w:tcPr>
            <w:tcW w:w="1160" w:type="dxa"/>
            <w:vAlign w:val="bottom"/>
            <w:gridSpan w:val="2"/>
            <w:shd w:val="clear" w:color="auto" w:fill="E5E5E5"/>
          </w:tcPr>
          <w:p>
            <w:pPr>
              <w:jc w:val="right"/>
              <w:ind w:right="106"/>
              <w:spacing w:after="0" w:line="202" w:lineRule="exact"/>
              <w:rPr>
                <w:sz w:val="20"/>
                <w:szCs w:val="20"/>
                <w:color w:val="auto"/>
              </w:rPr>
            </w:pPr>
            <w:r>
              <w:rPr>
                <w:rFonts w:ascii="Arial" w:cs="Arial" w:eastAsia="Arial" w:hAnsi="Arial"/>
                <w:sz w:val="18"/>
                <w:szCs w:val="18"/>
                <w:b w:val="1"/>
                <w:bCs w:val="1"/>
                <w:color w:val="auto"/>
              </w:rPr>
              <w:t>38.0%</w:t>
            </w:r>
          </w:p>
        </w:tc>
        <w:tc>
          <w:tcPr>
            <w:tcW w:w="90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37.2%</w:t>
            </w:r>
          </w:p>
        </w:tc>
      </w:tr>
    </w:tbl>
    <w:p>
      <w:pPr>
        <w:spacing w:after="0" w:line="165"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For the year, Education Technology revenue was $525 million. This was a 4 percent increase from 2005 due to increased shipments resulting from higher demand for graphing calculators.</w:t>
      </w:r>
    </w:p>
    <w:p>
      <w:pPr>
        <w:spacing w:after="0" w:line="155"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Gross profit of $321 million, or 61.1 percent of revenue, increased $21 million from 2005 due to higher revenue, and, to a lesser extent, product cost reductions.</w:t>
      </w:r>
    </w:p>
    <w:p>
      <w:pPr>
        <w:spacing w:after="0" w:line="155" w:lineRule="exact"/>
        <w:rPr>
          <w:sz w:val="20"/>
          <w:szCs w:val="20"/>
          <w:color w:val="auto"/>
        </w:rPr>
      </w:pPr>
    </w:p>
    <w:p>
      <w:pPr>
        <w:ind w:right="1000"/>
        <w:spacing w:after="0" w:line="422" w:lineRule="auto"/>
        <w:rPr>
          <w:sz w:val="20"/>
          <w:szCs w:val="20"/>
          <w:color w:val="auto"/>
        </w:rPr>
      </w:pPr>
      <w:r>
        <w:rPr>
          <w:rFonts w:ascii="Arial" w:cs="Arial" w:eastAsia="Arial" w:hAnsi="Arial"/>
          <w:sz w:val="18"/>
          <w:szCs w:val="18"/>
          <w:color w:val="auto"/>
        </w:rPr>
        <w:t xml:space="preserve">Operating profit was $200 million, or 38.0 percent of revenue. This was an increase of $12 million from 2005 due to higher gross profit. </w:t>
      </w:r>
      <w:r>
        <w:rPr>
          <w:rFonts w:ascii="Arial" w:cs="Arial" w:eastAsia="Arial" w:hAnsi="Arial"/>
          <w:sz w:val="18"/>
          <w:szCs w:val="18"/>
          <w:i w:val="1"/>
          <w:iCs w:val="1"/>
          <w:color w:val="auto"/>
        </w:rPr>
        <w:t>Discontinued Operations</w:t>
      </w:r>
    </w:p>
    <w:p>
      <w:pPr>
        <w:spacing w:after="0" w:line="1"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Revenue from the former Sensors &amp; Controls business was $375 million in 2006 compared with $1.06 billion in 2005. Results for 2006 cover the period up to the date of the sale (April 27, 2006). Income from discontinued operations for 2006, which includes the $1.67 billion gain from the sale of the former Sensors &amp; Controls business, was $1.70 billion, compared with $151 million in 2005 (see Note 2 to the Financial Statements for further discussion).</w:t>
      </w:r>
    </w:p>
    <w:p>
      <w:pPr>
        <w:spacing w:after="0" w:line="137" w:lineRule="exact"/>
        <w:rPr>
          <w:sz w:val="20"/>
          <w:szCs w:val="20"/>
          <w:color w:val="auto"/>
        </w:rPr>
      </w:pPr>
    </w:p>
    <w:p>
      <w:pPr>
        <w:spacing w:after="0"/>
        <w:tabs>
          <w:tab w:leader="none" w:pos="8420" w:val="left"/>
        </w:tabs>
        <w:rPr>
          <w:sz w:val="20"/>
          <w:szCs w:val="20"/>
          <w:color w:val="auto"/>
        </w:rPr>
      </w:pPr>
      <w:r>
        <w:rPr>
          <w:rFonts w:ascii="Arial" w:cs="Arial" w:eastAsia="Arial" w:hAnsi="Arial"/>
          <w:sz w:val="12"/>
          <w:szCs w:val="12"/>
          <w:color w:val="auto"/>
        </w:rPr>
        <w:t>54</w:t>
      </w:r>
      <w:r>
        <w:rPr>
          <w:sz w:val="20"/>
          <w:szCs w:val="20"/>
          <w:color w:val="auto"/>
        </w:rPr>
        <w:tab/>
      </w:r>
      <w:r>
        <w:rPr>
          <w:rFonts w:ascii="Arial" w:cs="Arial" w:eastAsia="Arial" w:hAnsi="Arial"/>
          <w:sz w:val="12"/>
          <w:szCs w:val="12"/>
          <w:color w:val="auto"/>
        </w:rPr>
        <w:t>TEXAS INSTRUMENTS 2007 ANNUAL REPORT</w:t>
      </w:r>
    </w:p>
    <w:p>
      <w:pPr>
        <w:sectPr>
          <w:pgSz w:w="11900" w:h="16838" w:orient="portrait"/>
          <w:cols w:equalWidth="0" w:num="1">
            <w:col w:w="11420"/>
          </w:cols>
          <w:pgMar w:left="240" w:top="291" w:right="2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Financial Condition</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At the end of 2007, total cash (cash and cash equivalents plus short-term investments) was $2.92 billion, down $793 million from the end of 2006.</w:t>
      </w:r>
    </w:p>
    <w:p>
      <w:pPr>
        <w:spacing w:after="0" w:line="181" w:lineRule="exact"/>
        <w:rPr>
          <w:sz w:val="20"/>
          <w:szCs w:val="20"/>
          <w:color w:val="auto"/>
        </w:rPr>
      </w:pPr>
    </w:p>
    <w:p>
      <w:pPr>
        <w:ind w:right="760"/>
        <w:spacing w:after="0" w:line="239" w:lineRule="auto"/>
        <w:rPr>
          <w:sz w:val="20"/>
          <w:szCs w:val="20"/>
          <w:color w:val="auto"/>
        </w:rPr>
      </w:pPr>
      <w:r>
        <w:rPr>
          <w:rFonts w:ascii="Arial" w:cs="Arial" w:eastAsia="Arial" w:hAnsi="Arial"/>
          <w:sz w:val="18"/>
          <w:szCs w:val="18"/>
          <w:color w:val="auto"/>
        </w:rPr>
        <w:t>Accounts receivable were $1.74 billion at the end of 2007. This was a decrease of $32 million compared with the end of 2006. Days sales outstanding were 44 at the end of 2007, compared with 46 at the end of 2006.</w:t>
      </w:r>
    </w:p>
    <w:p>
      <w:pPr>
        <w:spacing w:after="0" w:line="155"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Inventory was $1.42 billion at the end of 2007, $19 million lower than a year ago. Days of inventory at the end of 2007 were 78, compared with 75 at the end of 2006.</w:t>
      </w:r>
    </w:p>
    <w:p>
      <w:pPr>
        <w:spacing w:after="0" w:line="15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For the year, depreciation was $1.02 billion, compared with $1.05 billion in 2006. Despite lower revenue in 2007, depreciation held at 7.4 percent of revenue. Capital expenditures declined from 9.0 to 5.0 percent of revenue because of the increasing focus of our capital expenditures on analog products and our strategy of outsourcing a portion of our advanced digital production.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0"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Our primary source of liquidity is our cash flow from operations. In addition, we have $1.33 billion of cash and cash equivalents and $1.60 billion of short-term investments as of December 31, 2007. Other sources of liquidity include a multi-year $1 billion revolving credit facility and a non-U.S. revolving credit facility of $175 million (see Note 6 to the Financial Statements for additional information). As of December 31, 2007, these facilities were not being utilized.</w:t>
      </w:r>
    </w:p>
    <w:p>
      <w:pPr>
        <w:spacing w:after="0" w:line="155"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Cash flow from operations for 2007 was $4.41 billion, an increase of $1.95 billion from the prior year. In 2006, cash flows included income tax payments associated with the gain on the sale of the former Sensors &amp; Controls business and investments we made to carry a higher level of inventory in order to improve our responsiveness to customers. Cash flows in 2007 included receipt of a $390 million payment associated with a tax refund from settlement of prior-year tax matters.</w:t>
      </w:r>
    </w:p>
    <w:p>
      <w:pPr>
        <w:spacing w:after="0" w:line="155"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In 2007, investing activities provided $215 million in cash, compared with $3.09 billion in 2006. In 2006, we received cash proceeds from the sale of the former Sensors &amp; Controls business of $3.00 billion.</w:t>
      </w:r>
    </w:p>
    <w:p>
      <w:pPr>
        <w:spacing w:after="0" w:line="155" w:lineRule="exact"/>
        <w:rPr>
          <w:sz w:val="20"/>
          <w:szCs w:val="20"/>
          <w:color w:val="auto"/>
        </w:rPr>
      </w:pPr>
    </w:p>
    <w:p>
      <w:pPr>
        <w:ind w:right="480"/>
        <w:spacing w:after="0" w:line="239" w:lineRule="auto"/>
        <w:rPr>
          <w:sz w:val="20"/>
          <w:szCs w:val="20"/>
          <w:color w:val="auto"/>
        </w:rPr>
      </w:pPr>
      <w:r>
        <w:rPr>
          <w:rFonts w:ascii="Arial" w:cs="Arial" w:eastAsia="Arial" w:hAnsi="Arial"/>
          <w:sz w:val="18"/>
          <w:szCs w:val="18"/>
          <w:color w:val="auto"/>
        </w:rPr>
        <w:t>For 2007, capital expenditures were $686 million, a decrease of $586 million from 2006 due to lower expenditures for both assembly and test equipment and advanced wafer fabrication equipment.</w:t>
      </w:r>
    </w:p>
    <w:p>
      <w:pPr>
        <w:spacing w:after="0" w:line="155" w:lineRule="exact"/>
        <w:rPr>
          <w:sz w:val="20"/>
          <w:szCs w:val="20"/>
          <w:color w:val="auto"/>
        </w:rPr>
      </w:pPr>
    </w:p>
    <w:p>
      <w:pPr>
        <w:ind w:right="100"/>
        <w:spacing w:after="0" w:line="271" w:lineRule="auto"/>
        <w:rPr>
          <w:sz w:val="20"/>
          <w:szCs w:val="20"/>
          <w:color w:val="auto"/>
        </w:rPr>
      </w:pPr>
      <w:r>
        <w:rPr>
          <w:rFonts w:ascii="Arial" w:cs="Arial" w:eastAsia="Arial" w:hAnsi="Arial"/>
          <w:sz w:val="16"/>
          <w:szCs w:val="16"/>
          <w:color w:val="auto"/>
        </w:rPr>
        <w:t>For 2007, net cash used in financing activities was $4.48 billion, compared with $5.57 billion in 2006. We used $4.89 billion of cash to repurchase 147 million shares of our common stock in 2007, compared with $5.30 billion used to repurchase 172 million shares of our common stock in 2006. Dividends paid in 2007 of $425 million, compared with $199 million in 2006, reflect the effect of increases in the quarterly dividend rate in the second and fourth quarters of 2007. The quarterly cash dividend rate was increased to $0.08 per share beginning with the dividend declared on April 18, 2007. The quarterly cash dividend rate was increased to $0.10 per share beginning with the dividend declared on October 18, 2007. The effect of the dividend rate increases on total dividends paid in 2007 was partially offset by the lower number of shares outstanding.</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In April 2007, we retired $43 million of outstanding 8.75% notes upon maturity, compared with $586 million of debt retired in 2006.</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Cash proceeds received from the exercise of employee stock options in 2007 were $761 million, compared with $418 million in 2006.</w:t>
      </w:r>
    </w:p>
    <w:p>
      <w:pPr>
        <w:spacing w:after="0" w:line="158"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In 2007, the board of directors authorized the repurchase of an additional $5 billion of our common stock. Cumulatively, our board of directors has authorized $20 billion in stock repurchases since September 2004. At year end, $5.57 billion of these authorizations remain.</w:t>
      </w:r>
    </w:p>
    <w:p>
      <w:pPr>
        <w:spacing w:after="0" w:line="155"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At the end of 2007, we had $1.04 billion of auction-rate securities; as of mid-February 2008, we had sold down our holdings of these auction-rate securities to less than $575 million through the normal auction process. Frequent auctions have historically provided a liquid market for auction-rate securities. However, in mid-February 2008, liquidity issues in the global credit markets caused auctions representing substantially all of the auction-rate securities we hold to fail because the amount of securities offered for sale exceeded the amount of bids. As a result, the liquidity of our remaining auction-rate securities has significantly diminished, at least so long as the present environment persists or until issuers refinance and replace these securities.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120" w:type="dxa"/>
            <w:vAlign w:val="bottom"/>
          </w:tcPr>
          <w:p>
            <w:pPr>
              <w:spacing w:after="0"/>
              <w:rPr>
                <w:sz w:val="20"/>
                <w:szCs w:val="20"/>
                <w:color w:val="auto"/>
              </w:rPr>
            </w:pPr>
            <w:r>
              <w:rPr>
                <w:rFonts w:ascii="Arial" w:cs="Arial" w:eastAsia="Arial" w:hAnsi="Arial"/>
                <w:sz w:val="14"/>
                <w:szCs w:val="14"/>
                <w:color w:val="auto"/>
              </w:rPr>
              <w:t>TEXAS INSTRUMENTS 2007 ANNUAL REPORT</w:t>
            </w:r>
          </w:p>
        </w:tc>
        <w:tc>
          <w:tcPr>
            <w:tcW w:w="4300" w:type="dxa"/>
            <w:vAlign w:val="bottom"/>
          </w:tcPr>
          <w:p>
            <w:pPr>
              <w:jc w:val="right"/>
              <w:spacing w:after="0"/>
              <w:rPr>
                <w:sz w:val="20"/>
                <w:szCs w:val="20"/>
                <w:color w:val="auto"/>
              </w:rPr>
            </w:pPr>
            <w:r>
              <w:rPr>
                <w:rFonts w:ascii="Arial" w:cs="Arial" w:eastAsia="Arial" w:hAnsi="Arial"/>
                <w:sz w:val="14"/>
                <w:szCs w:val="14"/>
                <w:color w:val="auto"/>
              </w:rPr>
              <w:t>55</w:t>
            </w:r>
          </w:p>
        </w:tc>
      </w:tr>
    </w:tbl>
    <w:p>
      <w:pPr>
        <w:sectPr>
          <w:pgSz w:w="11900" w:h="16838" w:orient="portrait"/>
          <w:cols w:equalWidth="0" w:num="1">
            <w:col w:w="11420"/>
          </w:cols>
          <w:pgMar w:left="240" w:top="269" w:right="239" w:bottom="1440" w:gutter="0" w:footer="0" w:header="0"/>
        </w:sectPr>
      </w:pPr>
    </w:p>
    <w:bookmarkStart w:id="75" w:name="page76"/>
    <w:bookmarkEnd w:id="75"/>
    <w:p>
      <w:pPr>
        <w:ind w:right="160"/>
        <w:spacing w:after="0" w:line="23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believe the credit quality of our auction-rate securities remains high because of government guarantees backing the pools of loans underlying substantially all of those securities. We continue to collect interest when due and expect to continue to do so in the future. Additionally, we expect we will receive the principal through either future successful auctions, a sale of these securities outside the auction process, the issuers’ establishing a different form of financing to replace these securities or the maturing of the securities.</w:t>
      </w:r>
    </w:p>
    <w:p>
      <w:pPr>
        <w:spacing w:after="0" w:line="155" w:lineRule="exact"/>
        <w:rPr>
          <w:sz w:val="20"/>
          <w:szCs w:val="20"/>
          <w:color w:val="auto"/>
        </w:rPr>
      </w:pPr>
    </w:p>
    <w:p>
      <w:pPr>
        <w:jc w:val="both"/>
        <w:ind w:right="260"/>
        <w:spacing w:after="0" w:line="237" w:lineRule="auto"/>
        <w:rPr>
          <w:sz w:val="20"/>
          <w:szCs w:val="20"/>
          <w:color w:val="auto"/>
        </w:rPr>
      </w:pPr>
      <w:r>
        <w:rPr>
          <w:rFonts w:ascii="Arial" w:cs="Arial" w:eastAsia="Arial" w:hAnsi="Arial"/>
          <w:sz w:val="18"/>
          <w:szCs w:val="18"/>
          <w:color w:val="auto"/>
        </w:rPr>
        <w:t>While the recent auction failures will limit our ability to liquidate these investments for some period of time, we do not believe the auction failures will materially impact our ability to fund our working capital needs, capital expenditures, dividend payments or other business requirements (see Note 17 to the Financial Statements for additional information). However, if the illiquidity in this market persists for an extended period of time or extends to other credit markets, we could experience a material impairment of the value of these securities.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Contractual Obligations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640" w:type="dxa"/>
            <w:vAlign w:val="bottom"/>
            <w:shd w:val="clear" w:color="auto" w:fill="E5E5E5"/>
          </w:tcPr>
          <w:p>
            <w:pPr>
              <w:spacing w:after="0"/>
              <w:rPr>
                <w:sz w:val="15"/>
                <w:szCs w:val="15"/>
                <w:color w:val="auto"/>
              </w:rPr>
            </w:pPr>
          </w:p>
        </w:tc>
        <w:tc>
          <w:tcPr>
            <w:tcW w:w="44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520" w:type="dxa"/>
            <w:vAlign w:val="bottom"/>
            <w:shd w:val="clear" w:color="auto" w:fill="E5E5E5"/>
          </w:tcPr>
          <w:p>
            <w:pPr>
              <w:spacing w:after="0"/>
              <w:rPr>
                <w:sz w:val="15"/>
                <w:szCs w:val="15"/>
                <w:color w:val="auto"/>
              </w:rPr>
            </w:pPr>
          </w:p>
        </w:tc>
        <w:tc>
          <w:tcPr>
            <w:tcW w:w="540" w:type="dxa"/>
            <w:vAlign w:val="bottom"/>
            <w:shd w:val="clear" w:color="auto" w:fill="E5E5E5"/>
          </w:tcPr>
          <w:p>
            <w:pPr>
              <w:spacing w:after="0"/>
              <w:rPr>
                <w:sz w:val="15"/>
                <w:szCs w:val="15"/>
                <w:color w:val="auto"/>
              </w:rPr>
            </w:pPr>
          </w:p>
        </w:tc>
        <w:tc>
          <w:tcPr>
            <w:tcW w:w="600" w:type="dxa"/>
            <w:vAlign w:val="bottom"/>
            <w:shd w:val="clear" w:color="auto" w:fill="E5E5E5"/>
          </w:tcPr>
          <w:p>
            <w:pPr>
              <w:spacing w:after="0"/>
              <w:rPr>
                <w:sz w:val="15"/>
                <w:szCs w:val="15"/>
                <w:color w:val="auto"/>
              </w:rPr>
            </w:pPr>
          </w:p>
        </w:tc>
        <w:tc>
          <w:tcPr>
            <w:tcW w:w="1980" w:type="dxa"/>
            <w:vAlign w:val="bottom"/>
            <w:gridSpan w:val="3"/>
            <w:shd w:val="clear" w:color="auto" w:fill="E5E5E5"/>
          </w:tcPr>
          <w:p>
            <w:pPr>
              <w:ind w:left="80"/>
              <w:spacing w:after="0"/>
              <w:rPr>
                <w:sz w:val="20"/>
                <w:szCs w:val="20"/>
                <w:color w:val="auto"/>
              </w:rPr>
            </w:pPr>
            <w:r>
              <w:rPr>
                <w:rFonts w:ascii="Arial" w:cs="Arial" w:eastAsia="Arial" w:hAnsi="Arial"/>
                <w:sz w:val="14"/>
                <w:szCs w:val="14"/>
                <w:b w:val="1"/>
                <w:bCs w:val="1"/>
                <w:color w:val="auto"/>
              </w:rPr>
              <w:t>Payments Due by Period</w:t>
            </w:r>
          </w:p>
        </w:tc>
        <w:tc>
          <w:tcPr>
            <w:tcW w:w="740" w:type="dxa"/>
            <w:vAlign w:val="bottom"/>
            <w:shd w:val="clear" w:color="auto" w:fill="E5E5E5"/>
          </w:tcPr>
          <w:p>
            <w:pPr>
              <w:spacing w:after="0"/>
              <w:rPr>
                <w:sz w:val="15"/>
                <w:szCs w:val="15"/>
                <w:color w:val="auto"/>
              </w:rPr>
            </w:pPr>
          </w:p>
        </w:tc>
        <w:tc>
          <w:tcPr>
            <w:tcW w:w="340" w:type="dxa"/>
            <w:vAlign w:val="bottom"/>
            <w:shd w:val="clear" w:color="auto" w:fill="E5E5E5"/>
          </w:tcPr>
          <w:p>
            <w:pPr>
              <w:spacing w:after="0"/>
              <w:rPr>
                <w:sz w:val="15"/>
                <w:szCs w:val="15"/>
                <w:color w:val="auto"/>
              </w:rPr>
            </w:pPr>
          </w:p>
        </w:tc>
        <w:tc>
          <w:tcPr>
            <w:tcW w:w="440" w:type="dxa"/>
            <w:vAlign w:val="bottom"/>
            <w:shd w:val="clear" w:color="auto" w:fill="E5E5E5"/>
          </w:tcPr>
          <w:p>
            <w:pPr>
              <w:spacing w:after="0"/>
              <w:rPr>
                <w:sz w:val="15"/>
                <w:szCs w:val="15"/>
                <w:color w:val="auto"/>
              </w:rPr>
            </w:pPr>
          </w:p>
        </w:tc>
        <w:tc>
          <w:tcPr>
            <w:tcW w:w="60" w:type="dxa"/>
            <w:vAlign w:val="bottom"/>
            <w:shd w:val="clear" w:color="auto" w:fill="E5E5E5"/>
          </w:tcPr>
          <w:p>
            <w:pPr>
              <w:spacing w:after="0"/>
              <w:rPr>
                <w:sz w:val="15"/>
                <w:szCs w:val="15"/>
                <w:color w:val="auto"/>
              </w:rPr>
            </w:pPr>
          </w:p>
        </w:tc>
      </w:tr>
      <w:tr>
        <w:trPr>
          <w:trHeight w:val="240"/>
        </w:trPr>
        <w:tc>
          <w:tcPr>
            <w:tcW w:w="564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Contractual Obligations</w:t>
            </w:r>
          </w:p>
        </w:tc>
        <w:tc>
          <w:tcPr>
            <w:tcW w:w="1080" w:type="dxa"/>
            <w:vAlign w:val="bottom"/>
            <w:gridSpan w:val="3"/>
            <w:shd w:val="clear" w:color="auto" w:fill="E5E5E5"/>
          </w:tcPr>
          <w:p>
            <w:pPr>
              <w:ind w:left="460"/>
              <w:spacing w:after="0"/>
              <w:rPr>
                <w:sz w:val="20"/>
                <w:szCs w:val="20"/>
                <w:color w:val="auto"/>
              </w:rPr>
            </w:pPr>
            <w:r>
              <w:rPr>
                <w:rFonts w:ascii="Arial" w:cs="Arial" w:eastAsia="Arial" w:hAnsi="Arial"/>
                <w:sz w:val="18"/>
                <w:szCs w:val="18"/>
                <w:b w:val="1"/>
                <w:bCs w:val="1"/>
                <w:color w:val="auto"/>
              </w:rPr>
              <w:t>2008</w:t>
            </w:r>
          </w:p>
        </w:tc>
        <w:tc>
          <w:tcPr>
            <w:tcW w:w="1140" w:type="dxa"/>
            <w:vAlign w:val="bottom"/>
            <w:gridSpan w:val="2"/>
            <w:shd w:val="clear" w:color="auto" w:fill="E5E5E5"/>
          </w:tcPr>
          <w:p>
            <w:pPr>
              <w:jc w:val="right"/>
              <w:ind w:right="12"/>
              <w:spacing w:after="0"/>
              <w:rPr>
                <w:sz w:val="20"/>
                <w:szCs w:val="20"/>
                <w:color w:val="auto"/>
              </w:rPr>
            </w:pPr>
            <w:r>
              <w:rPr>
                <w:rFonts w:ascii="Arial" w:cs="Arial" w:eastAsia="Arial" w:hAnsi="Arial"/>
                <w:sz w:val="18"/>
                <w:szCs w:val="18"/>
                <w:b w:val="1"/>
                <w:bCs w:val="1"/>
                <w:color w:val="auto"/>
              </w:rPr>
              <w:t>2009/2010</w:t>
            </w:r>
          </w:p>
        </w:tc>
        <w:tc>
          <w:tcPr>
            <w:tcW w:w="1420" w:type="dxa"/>
            <w:vAlign w:val="bottom"/>
            <w:gridSpan w:val="2"/>
            <w:shd w:val="clear" w:color="auto" w:fill="E5E5E5"/>
          </w:tcPr>
          <w:p>
            <w:pPr>
              <w:jc w:val="right"/>
              <w:ind w:right="132"/>
              <w:spacing w:after="0"/>
              <w:rPr>
                <w:sz w:val="20"/>
                <w:szCs w:val="20"/>
                <w:color w:val="auto"/>
              </w:rPr>
            </w:pPr>
            <w:r>
              <w:rPr>
                <w:rFonts w:ascii="Arial" w:cs="Arial" w:eastAsia="Arial" w:hAnsi="Arial"/>
                <w:sz w:val="18"/>
                <w:szCs w:val="18"/>
                <w:b w:val="1"/>
                <w:bCs w:val="1"/>
                <w:color w:val="auto"/>
              </w:rPr>
              <w:t>2011/2012</w:t>
            </w:r>
          </w:p>
        </w:tc>
        <w:tc>
          <w:tcPr>
            <w:tcW w:w="1300" w:type="dxa"/>
            <w:vAlign w:val="bottom"/>
            <w:gridSpan w:val="2"/>
            <w:shd w:val="clear" w:color="auto" w:fill="E5E5E5"/>
          </w:tcPr>
          <w:p>
            <w:pPr>
              <w:ind w:left="220"/>
              <w:spacing w:after="0"/>
              <w:rPr>
                <w:sz w:val="20"/>
                <w:szCs w:val="20"/>
                <w:color w:val="auto"/>
              </w:rPr>
            </w:pPr>
            <w:r>
              <w:rPr>
                <w:rFonts w:ascii="Arial" w:cs="Arial" w:eastAsia="Arial" w:hAnsi="Arial"/>
                <w:sz w:val="18"/>
                <w:szCs w:val="18"/>
                <w:b w:val="1"/>
                <w:bCs w:val="1"/>
                <w:color w:val="auto"/>
              </w:rPr>
              <w:t>Thereafter</w:t>
            </w:r>
          </w:p>
        </w:tc>
        <w:tc>
          <w:tcPr>
            <w:tcW w:w="840" w:type="dxa"/>
            <w:vAlign w:val="bottom"/>
            <w:gridSpan w:val="3"/>
            <w:shd w:val="clear" w:color="auto" w:fill="E5E5E5"/>
          </w:tcPr>
          <w:p>
            <w:pPr>
              <w:jc w:val="right"/>
              <w:ind w:right="120"/>
              <w:spacing w:after="0"/>
              <w:rPr>
                <w:sz w:val="20"/>
                <w:szCs w:val="20"/>
                <w:color w:val="auto"/>
              </w:rPr>
            </w:pPr>
            <w:r>
              <w:rPr>
                <w:rFonts w:ascii="Arial" w:cs="Arial" w:eastAsia="Arial" w:hAnsi="Arial"/>
                <w:sz w:val="18"/>
                <w:szCs w:val="18"/>
                <w:b w:val="1"/>
                <w:bCs w:val="1"/>
                <w:color w:val="auto"/>
              </w:rPr>
              <w:t>Total</w:t>
            </w:r>
          </w:p>
        </w:tc>
      </w:tr>
      <w:tr>
        <w:trPr>
          <w:trHeight w:val="311"/>
        </w:trPr>
        <w:tc>
          <w:tcPr>
            <w:tcW w:w="5640" w:type="dxa"/>
            <w:vAlign w:val="bottom"/>
          </w:tcPr>
          <w:p>
            <w:pPr>
              <w:spacing w:after="0"/>
              <w:rPr>
                <w:sz w:val="20"/>
                <w:szCs w:val="20"/>
                <w:color w:val="auto"/>
              </w:rPr>
            </w:pPr>
            <w:r>
              <w:rPr>
                <w:rFonts w:ascii="Arial" w:cs="Arial" w:eastAsia="Arial" w:hAnsi="Arial"/>
                <w:sz w:val="18"/>
                <w:szCs w:val="18"/>
                <w:color w:val="auto"/>
              </w:rPr>
              <w:t>Operating lease obligations (a)</w:t>
            </w:r>
          </w:p>
        </w:tc>
        <w:tc>
          <w:tcPr>
            <w:tcW w:w="560" w:type="dxa"/>
            <w:vAlign w:val="bottom"/>
            <w:gridSpan w:val="2"/>
          </w:tcPr>
          <w:p>
            <w:pPr>
              <w:ind w:left="44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32"/>
              <w:spacing w:after="0"/>
              <w:rPr>
                <w:sz w:val="20"/>
                <w:szCs w:val="20"/>
                <w:color w:val="auto"/>
              </w:rPr>
            </w:pPr>
            <w:r>
              <w:rPr>
                <w:rFonts w:ascii="Arial" w:cs="Arial" w:eastAsia="Arial" w:hAnsi="Arial"/>
                <w:sz w:val="18"/>
                <w:szCs w:val="18"/>
                <w:color w:val="auto"/>
              </w:rPr>
              <w:t>93</w:t>
            </w:r>
          </w:p>
        </w:tc>
        <w:tc>
          <w:tcPr>
            <w:tcW w:w="5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127</w:t>
            </w:r>
          </w:p>
        </w:tc>
        <w:tc>
          <w:tcPr>
            <w:tcW w:w="680" w:type="dxa"/>
            <w:vAlign w:val="bottom"/>
          </w:tcPr>
          <w:p>
            <w:pPr>
              <w:jc w:val="right"/>
              <w:ind w:right="137"/>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85</w:t>
            </w:r>
          </w:p>
        </w:tc>
        <w:tc>
          <w:tcPr>
            <w:tcW w:w="560" w:type="dxa"/>
            <w:vAlign w:val="bottom"/>
          </w:tcPr>
          <w:p>
            <w:pPr>
              <w:ind w:left="2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149</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454</w:t>
            </w:r>
          </w:p>
        </w:tc>
        <w:tc>
          <w:tcPr>
            <w:tcW w:w="60" w:type="dxa"/>
            <w:vAlign w:val="bottom"/>
          </w:tcPr>
          <w:p>
            <w:pPr>
              <w:spacing w:after="0"/>
              <w:rPr>
                <w:sz w:val="24"/>
                <w:szCs w:val="24"/>
                <w:color w:val="auto"/>
              </w:rPr>
            </w:pPr>
          </w:p>
        </w:tc>
      </w:tr>
      <w:tr>
        <w:trPr>
          <w:trHeight w:val="203"/>
        </w:trPr>
        <w:tc>
          <w:tcPr>
            <w:tcW w:w="56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Software license obligations (b)</w:t>
            </w:r>
          </w:p>
        </w:tc>
        <w:tc>
          <w:tcPr>
            <w:tcW w:w="44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520" w:type="dxa"/>
            <w:vAlign w:val="bottom"/>
            <w:shd w:val="clear" w:color="auto" w:fill="E5E5E5"/>
          </w:tcPr>
          <w:p>
            <w:pPr>
              <w:jc w:val="right"/>
              <w:ind w:right="132"/>
              <w:spacing w:after="0" w:line="202" w:lineRule="exact"/>
              <w:rPr>
                <w:sz w:val="20"/>
                <w:szCs w:val="20"/>
                <w:color w:val="auto"/>
              </w:rPr>
            </w:pPr>
            <w:r>
              <w:rPr>
                <w:rFonts w:ascii="Arial" w:cs="Arial" w:eastAsia="Arial" w:hAnsi="Arial"/>
                <w:sz w:val="18"/>
                <w:szCs w:val="18"/>
                <w:color w:val="auto"/>
              </w:rPr>
              <w:t>67</w:t>
            </w:r>
          </w:p>
        </w:tc>
        <w:tc>
          <w:tcPr>
            <w:tcW w:w="540" w:type="dxa"/>
            <w:vAlign w:val="bottom"/>
            <w:shd w:val="clear" w:color="auto" w:fill="E5E5E5"/>
          </w:tcPr>
          <w:p>
            <w:pPr>
              <w:spacing w:after="0"/>
              <w:rPr>
                <w:sz w:val="17"/>
                <w:szCs w:val="17"/>
                <w:color w:val="auto"/>
              </w:rPr>
            </w:pPr>
          </w:p>
        </w:tc>
        <w:tc>
          <w:tcPr>
            <w:tcW w:w="6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70</w:t>
            </w:r>
          </w:p>
        </w:tc>
        <w:tc>
          <w:tcPr>
            <w:tcW w:w="680" w:type="dxa"/>
            <w:vAlign w:val="bottom"/>
            <w:shd w:val="clear" w:color="auto" w:fill="E5E5E5"/>
          </w:tcPr>
          <w:p>
            <w:pPr>
              <w:spacing w:after="0"/>
              <w:rPr>
                <w:sz w:val="17"/>
                <w:szCs w:val="17"/>
                <w:color w:val="auto"/>
              </w:rPr>
            </w:pPr>
          </w:p>
        </w:tc>
        <w:tc>
          <w:tcPr>
            <w:tcW w:w="740" w:type="dxa"/>
            <w:vAlign w:val="bottom"/>
            <w:shd w:val="clear" w:color="auto" w:fill="E5E5E5"/>
          </w:tcPr>
          <w:p>
            <w:pPr>
              <w:jc w:val="right"/>
              <w:ind w:right="132"/>
              <w:spacing w:after="0" w:line="202" w:lineRule="exact"/>
              <w:rPr>
                <w:sz w:val="20"/>
                <w:szCs w:val="20"/>
                <w:color w:val="auto"/>
              </w:rPr>
            </w:pPr>
            <w:r>
              <w:rPr>
                <w:rFonts w:ascii="Arial" w:cs="Arial" w:eastAsia="Arial" w:hAnsi="Arial"/>
                <w:sz w:val="18"/>
                <w:szCs w:val="18"/>
                <w:color w:val="auto"/>
              </w:rPr>
              <w:t>5</w:t>
            </w:r>
          </w:p>
        </w:tc>
        <w:tc>
          <w:tcPr>
            <w:tcW w:w="560" w:type="dxa"/>
            <w:vAlign w:val="bottom"/>
            <w:shd w:val="clear" w:color="auto" w:fill="E5E5E5"/>
          </w:tcPr>
          <w:p>
            <w:pPr>
              <w:spacing w:after="0"/>
              <w:rPr>
                <w:sz w:val="17"/>
                <w:szCs w:val="17"/>
                <w:color w:val="auto"/>
              </w:rPr>
            </w:pPr>
          </w:p>
        </w:tc>
        <w:tc>
          <w:tcPr>
            <w:tcW w:w="740" w:type="dxa"/>
            <w:vAlign w:val="bottom"/>
            <w:shd w:val="clear" w:color="auto" w:fill="E5E5E5"/>
          </w:tcPr>
          <w:p>
            <w:pPr>
              <w:jc w:val="right"/>
              <w:ind w:right="132"/>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7"/>
                <w:szCs w:val="17"/>
                <w:color w:val="auto"/>
              </w:rPr>
            </w:pPr>
          </w:p>
        </w:tc>
        <w:tc>
          <w:tcPr>
            <w:tcW w:w="4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142</w:t>
            </w:r>
          </w:p>
        </w:tc>
        <w:tc>
          <w:tcPr>
            <w:tcW w:w="60" w:type="dxa"/>
            <w:vAlign w:val="bottom"/>
            <w:shd w:val="clear" w:color="auto" w:fill="E5E5E5"/>
          </w:tcPr>
          <w:p>
            <w:pPr>
              <w:spacing w:after="0"/>
              <w:rPr>
                <w:sz w:val="17"/>
                <w:szCs w:val="17"/>
                <w:color w:val="auto"/>
              </w:rPr>
            </w:pPr>
          </w:p>
        </w:tc>
      </w:tr>
      <w:tr>
        <w:trPr>
          <w:trHeight w:val="203"/>
        </w:trPr>
        <w:tc>
          <w:tcPr>
            <w:tcW w:w="5640" w:type="dxa"/>
            <w:vAlign w:val="bottom"/>
          </w:tcPr>
          <w:p>
            <w:pPr>
              <w:spacing w:after="0" w:line="202" w:lineRule="exact"/>
              <w:rPr>
                <w:sz w:val="20"/>
                <w:szCs w:val="20"/>
                <w:color w:val="auto"/>
              </w:rPr>
            </w:pPr>
            <w:r>
              <w:rPr>
                <w:rFonts w:ascii="Arial" w:cs="Arial" w:eastAsia="Arial" w:hAnsi="Arial"/>
                <w:sz w:val="18"/>
                <w:szCs w:val="18"/>
                <w:color w:val="auto"/>
              </w:rPr>
              <w:t>Purchase obligations (c)</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ind w:right="132"/>
              <w:spacing w:after="0" w:line="202" w:lineRule="exact"/>
              <w:rPr>
                <w:sz w:val="20"/>
                <w:szCs w:val="20"/>
                <w:color w:val="auto"/>
              </w:rPr>
            </w:pPr>
            <w:r>
              <w:rPr>
                <w:rFonts w:ascii="Arial" w:cs="Arial" w:eastAsia="Arial" w:hAnsi="Arial"/>
                <w:sz w:val="18"/>
                <w:szCs w:val="18"/>
                <w:color w:val="auto"/>
                <w:w w:val="93"/>
              </w:rPr>
              <w:t>138</w:t>
            </w:r>
          </w:p>
        </w:tc>
        <w:tc>
          <w:tcPr>
            <w:tcW w:w="54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97</w:t>
            </w:r>
          </w:p>
        </w:tc>
        <w:tc>
          <w:tcPr>
            <w:tcW w:w="680" w:type="dxa"/>
            <w:vAlign w:val="bottom"/>
          </w:tcPr>
          <w:p>
            <w:pPr>
              <w:spacing w:after="0"/>
              <w:rPr>
                <w:sz w:val="17"/>
                <w:szCs w:val="17"/>
                <w:color w:val="auto"/>
              </w:rPr>
            </w:pPr>
          </w:p>
        </w:tc>
        <w:tc>
          <w:tcPr>
            <w:tcW w:w="74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36</w:t>
            </w:r>
          </w:p>
        </w:tc>
        <w:tc>
          <w:tcPr>
            <w:tcW w:w="560" w:type="dxa"/>
            <w:vAlign w:val="bottom"/>
          </w:tcPr>
          <w:p>
            <w:pPr>
              <w:spacing w:after="0"/>
              <w:rPr>
                <w:sz w:val="17"/>
                <w:szCs w:val="17"/>
                <w:color w:val="auto"/>
              </w:rPr>
            </w:pPr>
          </w:p>
        </w:tc>
        <w:tc>
          <w:tcPr>
            <w:tcW w:w="74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100</w:t>
            </w:r>
          </w:p>
        </w:tc>
        <w:tc>
          <w:tcPr>
            <w:tcW w:w="34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371</w:t>
            </w:r>
          </w:p>
        </w:tc>
        <w:tc>
          <w:tcPr>
            <w:tcW w:w="60" w:type="dxa"/>
            <w:vAlign w:val="bottom"/>
          </w:tcPr>
          <w:p>
            <w:pPr>
              <w:spacing w:after="0"/>
              <w:rPr>
                <w:sz w:val="17"/>
                <w:szCs w:val="17"/>
                <w:color w:val="auto"/>
              </w:rPr>
            </w:pPr>
          </w:p>
        </w:tc>
      </w:tr>
      <w:tr>
        <w:trPr>
          <w:trHeight w:val="203"/>
        </w:trPr>
        <w:tc>
          <w:tcPr>
            <w:tcW w:w="56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Retirement plans funding (d)</w:t>
            </w:r>
          </w:p>
        </w:tc>
        <w:tc>
          <w:tcPr>
            <w:tcW w:w="44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520" w:type="dxa"/>
            <w:vAlign w:val="bottom"/>
            <w:shd w:val="clear" w:color="auto" w:fill="E5E5E5"/>
          </w:tcPr>
          <w:p>
            <w:pPr>
              <w:jc w:val="right"/>
              <w:ind w:right="132"/>
              <w:spacing w:after="0" w:line="202" w:lineRule="exact"/>
              <w:rPr>
                <w:sz w:val="20"/>
                <w:szCs w:val="20"/>
                <w:color w:val="auto"/>
              </w:rPr>
            </w:pPr>
            <w:r>
              <w:rPr>
                <w:rFonts w:ascii="Arial" w:cs="Arial" w:eastAsia="Arial" w:hAnsi="Arial"/>
                <w:sz w:val="18"/>
                <w:szCs w:val="18"/>
                <w:color w:val="auto"/>
                <w:w w:val="93"/>
              </w:rPr>
              <w:t>118</w:t>
            </w:r>
          </w:p>
        </w:tc>
        <w:tc>
          <w:tcPr>
            <w:tcW w:w="540" w:type="dxa"/>
            <w:vAlign w:val="bottom"/>
            <w:shd w:val="clear" w:color="auto" w:fill="E5E5E5"/>
          </w:tcPr>
          <w:p>
            <w:pPr>
              <w:spacing w:after="0"/>
              <w:rPr>
                <w:sz w:val="17"/>
                <w:szCs w:val="17"/>
                <w:color w:val="auto"/>
              </w:rPr>
            </w:pPr>
          </w:p>
        </w:tc>
        <w:tc>
          <w:tcPr>
            <w:tcW w:w="6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spacing w:after="0"/>
              <w:rPr>
                <w:sz w:val="17"/>
                <w:szCs w:val="17"/>
                <w:color w:val="auto"/>
              </w:rPr>
            </w:pPr>
          </w:p>
        </w:tc>
        <w:tc>
          <w:tcPr>
            <w:tcW w:w="740" w:type="dxa"/>
            <w:vAlign w:val="bottom"/>
            <w:shd w:val="clear" w:color="auto" w:fill="E5E5E5"/>
          </w:tcPr>
          <w:p>
            <w:pPr>
              <w:jc w:val="right"/>
              <w:ind w:right="132"/>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E5E5E5"/>
          </w:tcPr>
          <w:p>
            <w:pPr>
              <w:spacing w:after="0"/>
              <w:rPr>
                <w:sz w:val="17"/>
                <w:szCs w:val="17"/>
                <w:color w:val="auto"/>
              </w:rPr>
            </w:pPr>
          </w:p>
        </w:tc>
        <w:tc>
          <w:tcPr>
            <w:tcW w:w="740" w:type="dxa"/>
            <w:vAlign w:val="bottom"/>
            <w:shd w:val="clear" w:color="auto" w:fill="E5E5E5"/>
          </w:tcPr>
          <w:p>
            <w:pPr>
              <w:jc w:val="right"/>
              <w:ind w:right="132"/>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7"/>
                <w:szCs w:val="17"/>
                <w:color w:val="auto"/>
              </w:rPr>
            </w:pPr>
          </w:p>
        </w:tc>
        <w:tc>
          <w:tcPr>
            <w:tcW w:w="4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118</w:t>
            </w:r>
          </w:p>
        </w:tc>
        <w:tc>
          <w:tcPr>
            <w:tcW w:w="60" w:type="dxa"/>
            <w:vAlign w:val="bottom"/>
            <w:shd w:val="clear" w:color="auto" w:fill="E5E5E5"/>
          </w:tcPr>
          <w:p>
            <w:pPr>
              <w:spacing w:after="0"/>
              <w:rPr>
                <w:sz w:val="17"/>
                <w:szCs w:val="17"/>
                <w:color w:val="auto"/>
              </w:rPr>
            </w:pPr>
          </w:p>
        </w:tc>
      </w:tr>
      <w:tr>
        <w:trPr>
          <w:trHeight w:val="203"/>
        </w:trPr>
        <w:tc>
          <w:tcPr>
            <w:tcW w:w="5640" w:type="dxa"/>
            <w:vAlign w:val="bottom"/>
          </w:tcPr>
          <w:p>
            <w:pPr>
              <w:spacing w:after="0" w:line="202" w:lineRule="exact"/>
              <w:rPr>
                <w:sz w:val="20"/>
                <w:szCs w:val="20"/>
                <w:color w:val="auto"/>
              </w:rPr>
            </w:pPr>
            <w:r>
              <w:rPr>
                <w:rFonts w:ascii="Arial" w:cs="Arial" w:eastAsia="Arial" w:hAnsi="Arial"/>
                <w:sz w:val="18"/>
                <w:szCs w:val="18"/>
                <w:color w:val="auto"/>
              </w:rPr>
              <w:t>Deferred compensation plan (e)</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24</w:t>
            </w:r>
          </w:p>
        </w:tc>
        <w:tc>
          <w:tcPr>
            <w:tcW w:w="54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40</w:t>
            </w:r>
          </w:p>
        </w:tc>
        <w:tc>
          <w:tcPr>
            <w:tcW w:w="680" w:type="dxa"/>
            <w:vAlign w:val="bottom"/>
          </w:tcPr>
          <w:p>
            <w:pPr>
              <w:spacing w:after="0"/>
              <w:rPr>
                <w:sz w:val="17"/>
                <w:szCs w:val="17"/>
                <w:color w:val="auto"/>
              </w:rPr>
            </w:pPr>
          </w:p>
        </w:tc>
        <w:tc>
          <w:tcPr>
            <w:tcW w:w="74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32</w:t>
            </w:r>
          </w:p>
        </w:tc>
        <w:tc>
          <w:tcPr>
            <w:tcW w:w="560" w:type="dxa"/>
            <w:vAlign w:val="bottom"/>
          </w:tcPr>
          <w:p>
            <w:pPr>
              <w:spacing w:after="0"/>
              <w:rPr>
                <w:sz w:val="17"/>
                <w:szCs w:val="17"/>
                <w:color w:val="auto"/>
              </w:rPr>
            </w:pPr>
          </w:p>
        </w:tc>
        <w:tc>
          <w:tcPr>
            <w:tcW w:w="74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103</w:t>
            </w:r>
          </w:p>
        </w:tc>
        <w:tc>
          <w:tcPr>
            <w:tcW w:w="34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199</w:t>
            </w:r>
          </w:p>
        </w:tc>
        <w:tc>
          <w:tcPr>
            <w:tcW w:w="60" w:type="dxa"/>
            <w:vAlign w:val="bottom"/>
          </w:tcPr>
          <w:p>
            <w:pPr>
              <w:spacing w:after="0"/>
              <w:rPr>
                <w:sz w:val="17"/>
                <w:szCs w:val="17"/>
                <w:color w:val="auto"/>
              </w:rPr>
            </w:pPr>
          </w:p>
        </w:tc>
      </w:tr>
      <w:tr>
        <w:trPr>
          <w:trHeight w:val="203"/>
        </w:trPr>
        <w:tc>
          <w:tcPr>
            <w:tcW w:w="56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Venture capital commitments (f)</w:t>
            </w:r>
          </w:p>
        </w:tc>
        <w:tc>
          <w:tcPr>
            <w:tcW w:w="44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520" w:type="dxa"/>
            <w:vAlign w:val="bottom"/>
            <w:shd w:val="clear" w:color="auto" w:fill="E5E5E5"/>
          </w:tcPr>
          <w:p>
            <w:pPr>
              <w:jc w:val="right"/>
              <w:ind w:right="132"/>
              <w:spacing w:after="0" w:line="202" w:lineRule="exact"/>
              <w:rPr>
                <w:sz w:val="20"/>
                <w:szCs w:val="20"/>
                <w:color w:val="auto"/>
              </w:rPr>
            </w:pPr>
            <w:r>
              <w:rPr>
                <w:rFonts w:ascii="Arial" w:cs="Arial" w:eastAsia="Arial" w:hAnsi="Arial"/>
                <w:sz w:val="18"/>
                <w:szCs w:val="18"/>
                <w:color w:val="auto"/>
              </w:rPr>
              <w:t>24</w:t>
            </w:r>
          </w:p>
        </w:tc>
        <w:tc>
          <w:tcPr>
            <w:tcW w:w="540" w:type="dxa"/>
            <w:vAlign w:val="bottom"/>
            <w:shd w:val="clear" w:color="auto" w:fill="E5E5E5"/>
          </w:tcPr>
          <w:p>
            <w:pPr>
              <w:spacing w:after="0"/>
              <w:rPr>
                <w:sz w:val="17"/>
                <w:szCs w:val="17"/>
                <w:color w:val="auto"/>
              </w:rPr>
            </w:pPr>
          </w:p>
        </w:tc>
        <w:tc>
          <w:tcPr>
            <w:tcW w:w="6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spacing w:after="0"/>
              <w:rPr>
                <w:sz w:val="17"/>
                <w:szCs w:val="17"/>
                <w:color w:val="auto"/>
              </w:rPr>
            </w:pPr>
          </w:p>
        </w:tc>
        <w:tc>
          <w:tcPr>
            <w:tcW w:w="740" w:type="dxa"/>
            <w:vAlign w:val="bottom"/>
            <w:shd w:val="clear" w:color="auto" w:fill="E5E5E5"/>
          </w:tcPr>
          <w:p>
            <w:pPr>
              <w:jc w:val="right"/>
              <w:ind w:right="132"/>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E5E5E5"/>
          </w:tcPr>
          <w:p>
            <w:pPr>
              <w:spacing w:after="0"/>
              <w:rPr>
                <w:sz w:val="17"/>
                <w:szCs w:val="17"/>
                <w:color w:val="auto"/>
              </w:rPr>
            </w:pPr>
          </w:p>
        </w:tc>
        <w:tc>
          <w:tcPr>
            <w:tcW w:w="740" w:type="dxa"/>
            <w:vAlign w:val="bottom"/>
            <w:shd w:val="clear" w:color="auto" w:fill="E5E5E5"/>
          </w:tcPr>
          <w:p>
            <w:pPr>
              <w:jc w:val="right"/>
              <w:ind w:right="132"/>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7"/>
                <w:szCs w:val="17"/>
                <w:color w:val="auto"/>
              </w:rPr>
            </w:pPr>
          </w:p>
        </w:tc>
        <w:tc>
          <w:tcPr>
            <w:tcW w:w="50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24</w:t>
            </w:r>
          </w:p>
        </w:tc>
      </w:tr>
      <w:tr>
        <w:trPr>
          <w:trHeight w:val="221"/>
        </w:trPr>
        <w:tc>
          <w:tcPr>
            <w:tcW w:w="5640" w:type="dxa"/>
            <w:vAlign w:val="bottom"/>
          </w:tcPr>
          <w:p>
            <w:pPr>
              <w:spacing w:after="0"/>
              <w:rPr>
                <w:sz w:val="20"/>
                <w:szCs w:val="20"/>
                <w:color w:val="auto"/>
              </w:rPr>
            </w:pPr>
            <w:r>
              <w:rPr>
                <w:rFonts w:ascii="Arial" w:cs="Arial" w:eastAsia="Arial" w:hAnsi="Arial"/>
                <w:sz w:val="18"/>
                <w:szCs w:val="18"/>
                <w:color w:val="auto"/>
              </w:rPr>
              <w:t>Total (g)</w:t>
            </w:r>
          </w:p>
        </w:tc>
        <w:tc>
          <w:tcPr>
            <w:tcW w:w="44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w w:val="93"/>
              </w:rPr>
              <w:t>464</w:t>
            </w:r>
          </w:p>
        </w:tc>
        <w:tc>
          <w:tcPr>
            <w:tcW w:w="54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680" w:type="dxa"/>
            <w:vAlign w:val="bottom"/>
            <w:tcBorders>
              <w:top w:val="single" w:sz="8" w:color="auto"/>
            </w:tcBorders>
          </w:tcPr>
          <w:p>
            <w:pPr>
              <w:jc w:val="right"/>
              <w:ind w:right="137"/>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158</w:t>
            </w:r>
          </w:p>
        </w:tc>
        <w:tc>
          <w:tcPr>
            <w:tcW w:w="56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352</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1,308</w:t>
            </w:r>
          </w:p>
        </w:tc>
        <w:tc>
          <w:tcPr>
            <w:tcW w:w="60" w:type="dxa"/>
            <w:vAlign w:val="bottom"/>
          </w:tcPr>
          <w:p>
            <w:pPr>
              <w:spacing w:after="0"/>
              <w:rPr>
                <w:sz w:val="19"/>
                <w:szCs w:val="19"/>
                <w:color w:val="auto"/>
              </w:rPr>
            </w:pPr>
          </w:p>
        </w:tc>
      </w:tr>
    </w:tbl>
    <w:p>
      <w:pPr>
        <w:spacing w:after="0" w:line="190"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Includes minimum payments for leased facilities and equipment, as well as purchases of industrial gases under contracts accounted for as an operating lease.</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Includes payments under license agreements for electronic design automation software (see Note 13 to the Financial Statements for additional information).</w:t>
      </w:r>
    </w:p>
    <w:p>
      <w:pPr>
        <w:spacing w:after="0" w:line="68" w:lineRule="exact"/>
        <w:rPr>
          <w:rFonts w:ascii="Arial" w:cs="Arial" w:eastAsia="Arial" w:hAnsi="Arial"/>
          <w:sz w:val="14"/>
          <w:szCs w:val="14"/>
          <w:color w:val="auto"/>
        </w:rPr>
      </w:pPr>
    </w:p>
    <w:p>
      <w:pPr>
        <w:ind w:left="340" w:right="140" w:hanging="332"/>
        <w:spacing w:after="0" w:line="228" w:lineRule="auto"/>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Includes contractual arrangements with suppliers where there is a fixed non-cancellable payment schedule or minimum payments due with a reduced delivery schedule. Excluded from the table are cancellable arrangements. However, depending on when certain purchase arrangements may be cancelled, an additional $27 million of cancellation penalties may be required to be paid, which are not reflected in the table.</w:t>
      </w:r>
    </w:p>
    <w:p>
      <w:pPr>
        <w:spacing w:after="0" w:line="67" w:lineRule="exact"/>
        <w:rPr>
          <w:rFonts w:ascii="Arial" w:cs="Arial" w:eastAsia="Arial" w:hAnsi="Arial"/>
          <w:sz w:val="14"/>
          <w:szCs w:val="14"/>
          <w:color w:val="auto"/>
        </w:rPr>
      </w:pPr>
    </w:p>
    <w:p>
      <w:pPr>
        <w:ind w:left="340" w:right="760" w:hanging="332"/>
        <w:spacing w:after="0" w:line="231" w:lineRule="auto"/>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Includes the contribution expected to be made during 2008. Funding projections beyond the current year are not practical to estimate due to the rules affecting tax-deductible contributions and the impact from the plan asset performance, interest rates and potential U.S. and international legislation.</w:t>
      </w:r>
    </w:p>
    <w:p>
      <w:pPr>
        <w:spacing w:after="0" w:line="68" w:lineRule="exact"/>
        <w:rPr>
          <w:rFonts w:ascii="Arial" w:cs="Arial" w:eastAsia="Arial" w:hAnsi="Arial"/>
          <w:sz w:val="14"/>
          <w:szCs w:val="14"/>
          <w:color w:val="auto"/>
        </w:rPr>
      </w:pPr>
    </w:p>
    <w:p>
      <w:pPr>
        <w:ind w:left="340" w:right="100" w:hanging="332"/>
        <w:spacing w:after="0" w:line="228" w:lineRule="auto"/>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Includes an estimate of payments under this plan for the liability that existed at December 31, 2007. Certain employees can elect to defer a portion of their salary, bonus and profit sharing into a non-qualified deferred compensation plan. Employees who participate in the plan can select one of eight distribution options offered by the plan. Payments are made after the employee terminates, in accordance with the employee’s distribution election.</w:t>
      </w:r>
    </w:p>
    <w:p>
      <w:pPr>
        <w:spacing w:after="0" w:line="67" w:lineRule="exact"/>
        <w:rPr>
          <w:rFonts w:ascii="Arial" w:cs="Arial" w:eastAsia="Arial" w:hAnsi="Arial"/>
          <w:sz w:val="14"/>
          <w:szCs w:val="14"/>
          <w:color w:val="auto"/>
        </w:rPr>
      </w:pPr>
    </w:p>
    <w:p>
      <w:pPr>
        <w:ind w:left="340" w:right="140" w:hanging="332"/>
        <w:spacing w:after="0" w:line="300" w:lineRule="auto"/>
        <w:tabs>
          <w:tab w:leader="none" w:pos="340" w:val="left"/>
        </w:tabs>
        <w:numPr>
          <w:ilvl w:val="0"/>
          <w:numId w:val="27"/>
        </w:numPr>
        <w:rPr>
          <w:rFonts w:ascii="Arial" w:cs="Arial" w:eastAsia="Arial" w:hAnsi="Arial"/>
          <w:sz w:val="12"/>
          <w:szCs w:val="12"/>
          <w:color w:val="auto"/>
        </w:rPr>
      </w:pPr>
      <w:r>
        <w:rPr>
          <w:rFonts w:ascii="Arial" w:cs="Arial" w:eastAsia="Arial" w:hAnsi="Arial"/>
          <w:sz w:val="12"/>
          <w:szCs w:val="12"/>
          <w:color w:val="auto"/>
        </w:rPr>
        <w:t>Includes commitments of additional capital made as part of our investments in certain venture capital funds. As those funds enter into their own investments, their general partners may call for that committed additional capital. Because the timing of these commitments is unknown, the amount shown assumes the immediate call of maximum commitment amounts.</w:t>
      </w:r>
    </w:p>
    <w:p>
      <w:pPr>
        <w:spacing w:after="0" w:line="33" w:lineRule="exact"/>
        <w:rPr>
          <w:rFonts w:ascii="Arial" w:cs="Arial" w:eastAsia="Arial" w:hAnsi="Arial"/>
          <w:sz w:val="12"/>
          <w:szCs w:val="12"/>
          <w:color w:val="auto"/>
        </w:rPr>
      </w:pPr>
    </w:p>
    <w:p>
      <w:pPr>
        <w:ind w:left="340" w:right="440" w:hanging="332"/>
        <w:spacing w:after="0" w:line="231" w:lineRule="auto"/>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Excluded from the table above are $137 million of uncertain tax liabilities under FIN 48. These amounts have been excluded because of the difficulty in making reasonably reliable estimates of the timing of cash settlements with the respective taxing authorities.</w:t>
      </w:r>
    </w:p>
    <w:p>
      <w:pPr>
        <w:spacing w:after="0" w:line="153" w:lineRule="exact"/>
        <w:rPr>
          <w:sz w:val="20"/>
          <w:szCs w:val="20"/>
          <w:color w:val="auto"/>
        </w:rPr>
      </w:pPr>
    </w:p>
    <w:p>
      <w:pPr>
        <w:ind w:right="560"/>
        <w:spacing w:after="0" w:line="239" w:lineRule="auto"/>
        <w:rPr>
          <w:sz w:val="20"/>
          <w:szCs w:val="20"/>
          <w:color w:val="auto"/>
        </w:rPr>
      </w:pPr>
      <w:r>
        <w:rPr>
          <w:rFonts w:ascii="Arial" w:cs="Arial" w:eastAsia="Arial" w:hAnsi="Arial"/>
          <w:sz w:val="18"/>
          <w:szCs w:val="18"/>
          <w:color w:val="auto"/>
        </w:rPr>
        <w:t>We believe we have the necessary financial resources to fund our working capital needs, capital expenditures, dividend payments and other business requirements for at least the next 12 months.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80" w:lineRule="exact"/>
        <w:rPr>
          <w:sz w:val="20"/>
          <w:szCs w:val="20"/>
          <w:color w:val="auto"/>
        </w:rPr>
      </w:pPr>
    </w:p>
    <w:p>
      <w:pPr>
        <w:ind w:right="220"/>
        <w:spacing w:after="0" w:line="236" w:lineRule="auto"/>
        <w:rPr>
          <w:sz w:val="20"/>
          <w:szCs w:val="20"/>
          <w:color w:val="auto"/>
        </w:rPr>
      </w:pPr>
      <w:r>
        <w:rPr>
          <w:rFonts w:ascii="Arial" w:cs="Arial" w:eastAsia="Arial" w:hAnsi="Arial"/>
          <w:sz w:val="18"/>
          <w:szCs w:val="18"/>
          <w:color w:val="auto"/>
        </w:rPr>
        <w:t>In preparing our consolidated financial statements in conformity with accounting principles generally accepted in the United States, we use statistical analyses, estimates and projections that affect the reported amounts and related disclosures and may vary from actual results. We consider the following accounting policies to be both those that are most important to the portrayal of our financial condition and that require the most subjective judgment. If actual results differ significantly from management’s estimates and projections, there could be a significant effect on our financial statements.</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Revenue Recognition</w:t>
      </w:r>
    </w:p>
    <w:p>
      <w:pPr>
        <w:spacing w:after="0" w:line="15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Revenue from sales of our products is recognized upon shipment or delivery, depending upon the terms of the sales order, provided that persuasive evidence of a sales arrangement exists, title and risk of loss have transferred to the customer, the sales amount is fixed or determinable and collection of the revenue is reasonably assured. A portion of our sales is to distributors. We recognize revenue from sales of our products to distributors upon delivery of product to the distributors consistent with the above principles.</w:t>
      </w:r>
    </w:p>
    <w:p>
      <w:pPr>
        <w:spacing w:after="0" w:line="137" w:lineRule="exact"/>
        <w:rPr>
          <w:sz w:val="20"/>
          <w:szCs w:val="20"/>
          <w:color w:val="auto"/>
        </w:rPr>
      </w:pPr>
    </w:p>
    <w:p>
      <w:pPr>
        <w:spacing w:after="0"/>
        <w:tabs>
          <w:tab w:leader="none" w:pos="8420" w:val="left"/>
        </w:tabs>
        <w:rPr>
          <w:sz w:val="20"/>
          <w:szCs w:val="20"/>
          <w:color w:val="auto"/>
        </w:rPr>
      </w:pPr>
      <w:r>
        <w:rPr>
          <w:rFonts w:ascii="Arial" w:cs="Arial" w:eastAsia="Arial" w:hAnsi="Arial"/>
          <w:sz w:val="12"/>
          <w:szCs w:val="12"/>
          <w:color w:val="auto"/>
        </w:rPr>
        <w:t>56</w:t>
      </w:r>
      <w:r>
        <w:rPr>
          <w:sz w:val="20"/>
          <w:szCs w:val="20"/>
          <w:color w:val="auto"/>
        </w:rPr>
        <w:tab/>
      </w:r>
      <w:r>
        <w:rPr>
          <w:rFonts w:ascii="Arial" w:cs="Arial" w:eastAsia="Arial" w:hAnsi="Arial"/>
          <w:sz w:val="12"/>
          <w:szCs w:val="12"/>
          <w:color w:val="auto"/>
        </w:rPr>
        <w:t>TEXAS INSTRUMENTS 2007 ANNUAL REPORT</w:t>
      </w:r>
    </w:p>
    <w:p>
      <w:pPr>
        <w:sectPr>
          <w:pgSz w:w="11900" w:h="16838" w:orient="portrait"/>
          <w:cols w:equalWidth="0" w:num="1">
            <w:col w:w="11420"/>
          </w:cols>
          <w:pgMar w:left="240" w:top="291" w:right="239" w:bottom="1440" w:gutter="0" w:footer="0" w:header="0"/>
        </w:sectPr>
      </w:pPr>
    </w:p>
    <w:bookmarkStart w:id="76" w:name="page77"/>
    <w:bookmarkEnd w:id="76"/>
    <w:p>
      <w:pPr>
        <w:ind w:right="200"/>
        <w:spacing w:after="0" w:line="23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reduce revenue based on estimates of future credits to be granted to customers. Credits are granted for reasons such as prompt payment discounts, volume-based incentives, other special pricing arrangements and product returns due to quality issues. Our estimates of future credits are based on historical experience, analysis of product shipments and contractual arrangements with customers.</w:t>
      </w:r>
    </w:p>
    <w:p>
      <w:pPr>
        <w:spacing w:after="0" w:line="15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Distributor revenue is recognized net of allowances, which are management’s estimates based on analysis of historical data, current economic conditions and contractual terms. These allowances recognize the impact of credits granted to distributors under certain programs common in the semiconductor industry whereby distributors receive certain price adjustments to meet individual competitive opportunities, or are allowed to return or scrap a limited amount of product in accordance with contractual terms agreed upon with the distributor or receive price protection credits when our standard published prices are lowered from the price the distributor paid for product still in their inventory. Historical claims data are maintained for each of the programs, with differences among geographic regions taken into consideration. We continually monitor the actual claimed allowances against our estimates, and we adjust our estimates as appropriate to reflect trends in distributor revenue and inventory levels. Allowances are also adjusted when recent historical data do not represent anticipated future activity.</w:t>
      </w:r>
    </w:p>
    <w:p>
      <w:pPr>
        <w:spacing w:after="0" w:line="15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Our contractual agreements with our intellectual property licensees determine the amount and timing of royalty revenue. Royalty revenue is recognized when earned according to the terms of the agreement and when realization of payment is considered probable by management. Where royalties are based upon licensee sales, we recognize royalty revenue upon the sale by the licensee of royalty-bearing products, as estimated by us, based on historical experience and analysis of annual sales results of licensees. Estimates are periodically adjusted as a result of reviews of reported results of licensees, which reviews may take the form of independent audits. Where warranted, revenue from licensees may be recognized on a cash basis.</w:t>
      </w:r>
    </w:p>
    <w:p>
      <w:pPr>
        <w:spacing w:after="0" w:line="156"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In addition, we monitor collectibility of accounts receivable primarily through review of the accounts receivable aging. When facts and circumstances indicate the collection of specific amounts or from specific customers is at risk, we assess the impact on amounts recorded for bad debts and, if necessary, will record a charge in the period such determination is made.</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Inventory Valuation Allowances</w:t>
      </w:r>
    </w:p>
    <w:p>
      <w:pPr>
        <w:spacing w:after="0" w:line="158"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Inventory is valued net of allowances for unsalable or obsolete raw materials, work-in-process and finished goods. Allowances are determined quarterly by comparing inventory levels of individual materials and parts to historical usage rates, current backlog and estimated future sales and by analyzing the age of inventory, in order to identify specific components of inventory that are judged unlikely to be sold. Allowances are also calculated quarterly for instances where inventoried costs for individual products are in excess of market prices for those products. In addition to this specific identification process, statistical allowances are calculated for remaining inventory based on historical write-offs of inventory for salability and obsolescence reasons. Inventory is written off in the period in which disposal occurs. Actual future write-offs of inventory for salability and obsolescence reasons may differ from estimates and calculations used to determine valuation allowances due to changes in customer demand, customer negotiations, technology shifts and other factors.</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Income Taxes</w:t>
      </w:r>
    </w:p>
    <w:p>
      <w:pPr>
        <w:spacing w:after="0" w:line="158"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In determining net income for financial statement purposes, we must make certain estimates and judgments in the calculation of tax provisions and the resultant tax liabilities, and in the recoverability of deferred tax assets that arise from temporary differences between the tax and financial statement recognition of revenue and expense.</w:t>
      </w:r>
    </w:p>
    <w:p>
      <w:pPr>
        <w:spacing w:after="0" w:line="154"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In the ordinary course of global business, there may be many transactions and calculations where the ultimate tax outcome is uncertain. The calculation of tax liabilities involves dealing with uncertainties in the application of complex tax laws. We recognize potential liabilities for anticipated tax audit issues in the U.S. and other tax jurisdictions based on an estimate of the ultimate resolution of whether, and the extent to which, additional taxes will be due. Although we believe the estimates are reasonable, no assurance can be given that the final outcome of these matters will not be different than what is reflected in the historical income tax provisions and accruals.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120" w:type="dxa"/>
            <w:vAlign w:val="bottom"/>
          </w:tcPr>
          <w:p>
            <w:pPr>
              <w:spacing w:after="0"/>
              <w:rPr>
                <w:sz w:val="20"/>
                <w:szCs w:val="20"/>
                <w:color w:val="auto"/>
              </w:rPr>
            </w:pPr>
            <w:r>
              <w:rPr>
                <w:rFonts w:ascii="Arial" w:cs="Arial" w:eastAsia="Arial" w:hAnsi="Arial"/>
                <w:sz w:val="14"/>
                <w:szCs w:val="14"/>
                <w:color w:val="auto"/>
              </w:rPr>
              <w:t>TEXAS INSTRUMENTS 2007 ANNUAL REPORT</w:t>
            </w:r>
          </w:p>
        </w:tc>
        <w:tc>
          <w:tcPr>
            <w:tcW w:w="4300" w:type="dxa"/>
            <w:vAlign w:val="bottom"/>
          </w:tcPr>
          <w:p>
            <w:pPr>
              <w:jc w:val="right"/>
              <w:spacing w:after="0"/>
              <w:rPr>
                <w:sz w:val="20"/>
                <w:szCs w:val="20"/>
                <w:color w:val="auto"/>
              </w:rPr>
            </w:pPr>
            <w:r>
              <w:rPr>
                <w:rFonts w:ascii="Arial" w:cs="Arial" w:eastAsia="Arial" w:hAnsi="Arial"/>
                <w:sz w:val="14"/>
                <w:szCs w:val="14"/>
                <w:color w:val="auto"/>
              </w:rPr>
              <w:t>57</w:t>
            </w:r>
          </w:p>
        </w:tc>
      </w:tr>
    </w:tbl>
    <w:p>
      <w:pPr>
        <w:sectPr>
          <w:pgSz w:w="11900" w:h="16838" w:orient="portrait"/>
          <w:cols w:equalWidth="0" w:num="1">
            <w:col w:w="11420"/>
          </w:cols>
          <w:pgMar w:left="240" w:top="291" w:right="239" w:bottom="1440" w:gutter="0" w:footer="0" w:header="0"/>
        </w:sectPr>
      </w:pPr>
    </w:p>
    <w:bookmarkStart w:id="77" w:name="page78"/>
    <w:bookmarkEnd w:id="77"/>
    <w:p>
      <w:pPr>
        <w:ind w:right="80"/>
        <w:spacing w:after="0" w:line="23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 part of our financial process, we must assess the likelihood that our deferred tax assets can be recovered. If recovery is not likely, the provision for taxes must be increased by recording a reserve in the form of a valuation allowance for the deferred tax assets that are estimated not to be ultimately recoverable. In this process, certain relevant criteria are evaluated including the existence of deferred tax liabilities that can be used to absorb deferred tax assets, the taxable income in prior years that can be used to absorb net operating losses and credit carrybacks, and taxable income in future years. Our judgment regarding future taxable income may change due to market conditions, changes in U.S. or international tax laws and other factors. These changes, if any, may require material adjustments to the deferred tax assets and an accompanying reduction or increase in net income in the period when such determinations are made.</w:t>
      </w:r>
    </w:p>
    <w:p>
      <w:pPr>
        <w:spacing w:after="0" w:line="155"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In addition to the factors described above, the effective tax rate reflected in forward-looking statements is based on then-current tax law. Significant changes during the year in enacted tax law could affect these estimates.</w:t>
      </w:r>
    </w:p>
    <w:p>
      <w:pPr>
        <w:spacing w:after="0" w:line="155"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Impairment of Long-lived Assets</w:t>
      </w:r>
    </w:p>
    <w:p>
      <w:pPr>
        <w:spacing w:after="0" w:line="158"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We review long-lived assets for impairment when certain indicators suggest the carrying amount may not be recoverable. This review process primarily focuses on intangible assets from business acquisitions; property, plant and equipment; and software for internal use or embedded in products sold to customers. Factors considered include the under-performance of an asset compared with expectations and shortened useful lives due to planned changes in the use of the assets. Recoverability is determined by comparing the carrying amount of long-lived assets to estimated future undiscounted cash flows. If future undiscounted cash flows are less than the carrying amount of the long-lived assets, an impairment charge would be recognized for the excess of the carrying amount over fair value determined by either a quoted market price, if any, or a value determined by utilizing a discounted cash-flow technique. Additionally, in the case of assets that will continue to be used in future periods, a shortened depreciable life may be utilized if appropriate, resulting in accelerated amortization or depreciation based upon the expected net realizable value of the asset at the date the asset will no longer be utilized. Actual results may vary from estimates due to, among other things, differences in operating results, shorter useful lives of assets and lower market values for excess assets.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Accounting Standards</w:t>
      </w:r>
    </w:p>
    <w:p>
      <w:pPr>
        <w:spacing w:after="0" w:line="162"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See Note 12 to the Financial Statements for a discussion of the impact of adopting FASB Interpretation (FIN) No. 48, “</w:t>
      </w:r>
      <w:r>
        <w:rPr>
          <w:rFonts w:ascii="Arial" w:cs="Arial" w:eastAsia="Arial" w:hAnsi="Arial"/>
          <w:sz w:val="18"/>
          <w:szCs w:val="18"/>
          <w:i w:val="1"/>
          <w:iCs w:val="1"/>
          <w:color w:val="auto"/>
        </w:rPr>
        <w:t>Accounting for Uncertainty in</w:t>
      </w:r>
      <w:r>
        <w:rPr>
          <w:rFonts w:ascii="Arial" w:cs="Arial" w:eastAsia="Arial" w:hAnsi="Arial"/>
          <w:sz w:val="18"/>
          <w:szCs w:val="18"/>
          <w:color w:val="auto"/>
        </w:rPr>
        <w:t xml:space="preserve"> </w:t>
      </w:r>
      <w:r>
        <w:rPr>
          <w:rFonts w:ascii="Arial" w:cs="Arial" w:eastAsia="Arial" w:hAnsi="Arial"/>
          <w:sz w:val="18"/>
          <w:szCs w:val="18"/>
          <w:i w:val="1"/>
          <w:iCs w:val="1"/>
          <w:color w:val="auto"/>
        </w:rPr>
        <w:t>Income Taxes–An Interpretation of FASB Statement No. 109.</w:t>
      </w:r>
      <w:r>
        <w:rPr>
          <w:rFonts w:ascii="Arial" w:cs="Arial" w:eastAsia="Arial" w:hAnsi="Arial"/>
          <w:sz w:val="18"/>
          <w:szCs w:val="18"/>
          <w:color w:val="auto"/>
        </w:rPr>
        <w:t>”</w:t>
      </w:r>
    </w:p>
    <w:p>
      <w:pPr>
        <w:spacing w:after="0" w:line="13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See Changes in Accounting Standards in Note 1 to the Financial Statements for a discussion of additional changes.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2007, we had no significant off-balance sheet arrangements, as defined in Item 303(a)(4)(ii) of SEC Regulation S-K.</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See Note 13 to the Financial Statements for a discussion of our commitments and contingencies.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Foreign Exchange Risk</w:t>
      </w:r>
    </w:p>
    <w:p>
      <w:pPr>
        <w:spacing w:after="0" w:line="158" w:lineRule="exact"/>
        <w:rPr>
          <w:sz w:val="20"/>
          <w:szCs w:val="20"/>
          <w:color w:val="auto"/>
        </w:rPr>
      </w:pPr>
    </w:p>
    <w:p>
      <w:pPr>
        <w:ind w:right="220"/>
        <w:spacing w:after="0" w:line="275" w:lineRule="auto"/>
        <w:rPr>
          <w:sz w:val="20"/>
          <w:szCs w:val="20"/>
          <w:color w:val="auto"/>
        </w:rPr>
      </w:pPr>
      <w:r>
        <w:rPr>
          <w:rFonts w:ascii="Arial" w:cs="Arial" w:eastAsia="Arial" w:hAnsi="Arial"/>
          <w:sz w:val="16"/>
          <w:szCs w:val="16"/>
          <w:color w:val="auto"/>
        </w:rPr>
        <w:t>The U.S. dollar is the functional currency for financial reporting. We use forward currency exchange contracts to minimize the adverse earnings impact from the effect of exchange rate fluctuations on our non-U.S. dollar net balance sheet exposures. For example, at year-end 2007, we had forward currency exchange contracts outstanding with a notional value of $487 million to hedge net balance sheet exposures (including $122 million to sell euros, $57 million to sell British pounds and $182 million to sell Japanese yen). Similar hedging activities existed at year-end 2006.</w:t>
      </w:r>
    </w:p>
    <w:p>
      <w:pPr>
        <w:spacing w:after="0" w:line="112" w:lineRule="exact"/>
        <w:rPr>
          <w:sz w:val="20"/>
          <w:szCs w:val="20"/>
          <w:color w:val="auto"/>
        </w:rPr>
      </w:pPr>
    </w:p>
    <w:p>
      <w:pPr>
        <w:spacing w:after="0"/>
        <w:tabs>
          <w:tab w:leader="none" w:pos="8420" w:val="left"/>
        </w:tabs>
        <w:rPr>
          <w:sz w:val="20"/>
          <w:szCs w:val="20"/>
          <w:color w:val="auto"/>
        </w:rPr>
      </w:pPr>
      <w:r>
        <w:rPr>
          <w:rFonts w:ascii="Arial" w:cs="Arial" w:eastAsia="Arial" w:hAnsi="Arial"/>
          <w:sz w:val="12"/>
          <w:szCs w:val="12"/>
          <w:color w:val="auto"/>
        </w:rPr>
        <w:t>58</w:t>
      </w:r>
      <w:r>
        <w:rPr>
          <w:sz w:val="20"/>
          <w:szCs w:val="20"/>
          <w:color w:val="auto"/>
        </w:rPr>
        <w:tab/>
      </w:r>
      <w:r>
        <w:rPr>
          <w:rFonts w:ascii="Arial" w:cs="Arial" w:eastAsia="Arial" w:hAnsi="Arial"/>
          <w:sz w:val="12"/>
          <w:szCs w:val="12"/>
          <w:color w:val="auto"/>
        </w:rPr>
        <w:t>TEXAS INSTRUMENTS 2007 ANNUAL REPORT</w:t>
      </w:r>
    </w:p>
    <w:p>
      <w:pPr>
        <w:sectPr>
          <w:pgSz w:w="11900" w:h="16838" w:orient="portrait"/>
          <w:cols w:equalWidth="0" w:num="1">
            <w:col w:w="11420"/>
          </w:cols>
          <w:pgMar w:left="240" w:top="291" w:right="239" w:bottom="1440" w:gutter="0" w:footer="0" w:header="0"/>
        </w:sectPr>
      </w:pPr>
    </w:p>
    <w:bookmarkStart w:id="78" w:name="page79"/>
    <w:bookmarkEnd w:id="78"/>
    <w:p>
      <w:pPr>
        <w:ind w:right="40"/>
        <w:spacing w:after="0" w:line="27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At December 31, 2007, we also had a series of forward currency exchange contracts denominated in Philippine pesos to hedge specified forecasted transactions associated with the construction of a new assembly and test facility in the Philippines. These contracts are primarily intended to protect against exchange rate fluctuations between the U.S. dollar and Philippine peso during the estimated construction period. These contracts, which settle at various dates through January 2009, had an aggregate notional value of $65 million to buy a total of 2.67 billion pesos.</w:t>
      </w:r>
    </w:p>
    <w:p>
      <w:pPr>
        <w:spacing w:after="0" w:line="129"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Because most of the aggregate non-U.S. dollar balance sheet exposure is hedged by these forward currency exchange contracts, based on year-end 2007 balances and rates, a hypothetical 10 percent plus or minus fluctuation in non-U.S. currency exchange rates would result in a pretax currency exchange gain or loss of approximately $2 million.</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Risks Associated with Cash and Short-term Investments</w:t>
      </w:r>
    </w:p>
    <w:p>
      <w:pPr>
        <w:spacing w:after="0" w:line="158" w:lineRule="exact"/>
        <w:rPr>
          <w:sz w:val="20"/>
          <w:szCs w:val="20"/>
          <w:color w:val="auto"/>
        </w:rPr>
      </w:pPr>
    </w:p>
    <w:p>
      <w:pPr>
        <w:jc w:val="both"/>
        <w:ind w:right="100"/>
        <w:spacing w:after="0" w:line="236" w:lineRule="auto"/>
        <w:rPr>
          <w:sz w:val="20"/>
          <w:szCs w:val="20"/>
          <w:color w:val="auto"/>
        </w:rPr>
      </w:pPr>
      <w:r>
        <w:rPr>
          <w:rFonts w:ascii="Arial" w:cs="Arial" w:eastAsia="Arial" w:hAnsi="Arial"/>
          <w:sz w:val="18"/>
          <w:szCs w:val="18"/>
          <w:color w:val="auto"/>
        </w:rPr>
        <w:t>The primary objective of our cash equivalents and short-term investments is to preserve capital and maintain liquidity while generating appropriate returns. Our investment policy allows for only high-credit-quality securities. We assess these securities at the time of investment and review them periodically for any indications of changes in credit quality. The value and liquidity of these securities is affected by market interest rates generally, the ability of the issuer to make principal and interest payments when due, and the normal functioning of the markets in which these securities are sold (see Notes 3 and 17 to the Financial Statements for additional information).</w:t>
      </w:r>
    </w:p>
    <w:p>
      <w:pPr>
        <w:spacing w:after="0" w:line="15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Our cash equivalents are debt securities with original maturities equal to or less than three months. In general, these investments are not subject to material interest rate risk because of their short duration to maturity. Our short-term investments are debt securities with original maturities greater than three months. The fair values of certain short-term investments, because of their longer durations, can vary more significantly due to interest rate fluctuations.</w:t>
      </w:r>
    </w:p>
    <w:p>
      <w:pPr>
        <w:spacing w:after="0" w:line="155"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The effect of changes in interest rates on the fair value of our cash equivalents and short-term investments has not been material during 2006 or 2007 due to the primarily short-term duration of our investments. A hypothetical increase or decrease of 100 basis points in the applicable interest rates associated with these investments as of year-end 2007 would have resulted in a decrease of approximately $12 million and an increase of approximately $11 million in the fair value of these securities, respectively. While an increase in interest rates reduces the fair value of the investment portfolio, we will not recognize the losses in other income (expense) net unless the individual securities are sold prior to recovery or the impairment is determined to be other-than-temporary.</w:t>
      </w:r>
    </w:p>
    <w:p>
      <w:pPr>
        <w:spacing w:after="0" w:line="156"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Equity Risk</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Equity and other long-term investments at year-end 2007 consisted of the following:</w:t>
      </w:r>
    </w:p>
    <w:p>
      <w:pPr>
        <w:spacing w:after="0" w:line="198"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Equity investments – includes marketable (publicly traded) and non-marketable (non-publicly traded) equity securities.</w:t>
      </w:r>
    </w:p>
    <w:p>
      <w:pPr>
        <w:spacing w:after="0" w:line="76" w:lineRule="exact"/>
        <w:rPr>
          <w:rFonts w:ascii="Arial" w:cs="Arial" w:eastAsia="Arial" w:hAnsi="Arial"/>
          <w:sz w:val="18"/>
          <w:szCs w:val="18"/>
          <w:color w:val="auto"/>
        </w:rPr>
      </w:pPr>
    </w:p>
    <w:p>
      <w:pPr>
        <w:ind w:left="900" w:right="600" w:hanging="446"/>
        <w:spacing w:after="0" w:line="239"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Investments in venture capital funds – includes investments in limited partnerships (accounted for under either the equity or cost methods).</w:t>
      </w:r>
    </w:p>
    <w:p>
      <w:pPr>
        <w:spacing w:after="0" w:line="73" w:lineRule="exact"/>
        <w:rPr>
          <w:rFonts w:ascii="Arial" w:cs="Arial" w:eastAsia="Arial" w:hAnsi="Arial"/>
          <w:sz w:val="18"/>
          <w:szCs w:val="18"/>
          <w:color w:val="auto"/>
        </w:rPr>
      </w:pPr>
    </w:p>
    <w:p>
      <w:pPr>
        <w:ind w:left="900" w:right="440" w:hanging="446"/>
        <w:spacing w:after="0" w:line="239"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Investments in mutual funds – includes mutual funds that were selected to generate returns that offset changes in certain liabilities related to deferred compensation arrangements. The mutual funds hold a variety of debt and equity investments.</w:t>
      </w:r>
    </w:p>
    <w:p>
      <w:pPr>
        <w:spacing w:after="0" w:line="155"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Marketable equity investments are stated at fair value and changes in fair value are recorded through other comprehensive income. Non-marketable equity securities and some venture capital funds are stated at cost. Impairments deemed to be other-than-temporary are expensed in net income. Investments in the remaining venture capital funds are stated using the equity method. Investments in mutual funds are stated at fair value. Changes in prices of the mutual fund investments are expected to offset related changes in deferred compensation liabilities such that a 10 percent increase or decrease in investment prices would not materially affect operating results (see Note 4 to the Financial Statements for details of equity and other long-term investments).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120" w:type="dxa"/>
            <w:vAlign w:val="bottom"/>
          </w:tcPr>
          <w:p>
            <w:pPr>
              <w:spacing w:after="0"/>
              <w:rPr>
                <w:sz w:val="20"/>
                <w:szCs w:val="20"/>
                <w:color w:val="auto"/>
              </w:rPr>
            </w:pPr>
            <w:r>
              <w:rPr>
                <w:rFonts w:ascii="Arial" w:cs="Arial" w:eastAsia="Arial" w:hAnsi="Arial"/>
                <w:sz w:val="14"/>
                <w:szCs w:val="14"/>
                <w:color w:val="auto"/>
              </w:rPr>
              <w:t>TEXAS INSTRUMENTS 2007 ANNUAL REPORT</w:t>
            </w:r>
          </w:p>
        </w:tc>
        <w:tc>
          <w:tcPr>
            <w:tcW w:w="4300" w:type="dxa"/>
            <w:vAlign w:val="bottom"/>
          </w:tcPr>
          <w:p>
            <w:pPr>
              <w:jc w:val="right"/>
              <w:spacing w:after="0"/>
              <w:rPr>
                <w:sz w:val="20"/>
                <w:szCs w:val="20"/>
                <w:color w:val="auto"/>
              </w:rPr>
            </w:pPr>
            <w:r>
              <w:rPr>
                <w:rFonts w:ascii="Arial" w:cs="Arial" w:eastAsia="Arial" w:hAnsi="Arial"/>
                <w:sz w:val="14"/>
                <w:szCs w:val="14"/>
                <w:color w:val="auto"/>
              </w:rPr>
              <w:t>59</w:t>
            </w:r>
          </w:p>
        </w:tc>
      </w:tr>
    </w:tbl>
    <w:p>
      <w:pPr>
        <w:sectPr>
          <w:pgSz w:w="11900" w:h="16838" w:orient="portrait"/>
          <w:cols w:equalWidth="0" w:num="1">
            <w:col w:w="11420"/>
          </w:cols>
          <w:pgMar w:left="240" w:top="291" w:right="2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QUARTERLY FINANCIAL DATA</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(Millions of dollars, except per-share amounts)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shd w:val="clear" w:color="auto" w:fill="E5E5E5"/>
          </w:tcPr>
          <w:p>
            <w:pPr>
              <w:spacing w:after="0"/>
              <w:rPr>
                <w:sz w:val="14"/>
                <w:szCs w:val="14"/>
                <w:color w:val="auto"/>
              </w:rPr>
            </w:pPr>
          </w:p>
        </w:tc>
        <w:tc>
          <w:tcPr>
            <w:tcW w:w="22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620" w:type="dxa"/>
            <w:vAlign w:val="bottom"/>
            <w:shd w:val="clear" w:color="auto" w:fill="E5E5E5"/>
          </w:tcPr>
          <w:p>
            <w:pPr>
              <w:spacing w:after="0"/>
              <w:rPr>
                <w:sz w:val="14"/>
                <w:szCs w:val="14"/>
                <w:color w:val="auto"/>
              </w:rPr>
            </w:pPr>
          </w:p>
        </w:tc>
        <w:tc>
          <w:tcPr>
            <w:tcW w:w="260" w:type="dxa"/>
            <w:vAlign w:val="bottom"/>
            <w:shd w:val="clear" w:color="auto" w:fill="E5E5E5"/>
          </w:tcPr>
          <w:p>
            <w:pPr>
              <w:spacing w:after="0"/>
              <w:rPr>
                <w:sz w:val="14"/>
                <w:szCs w:val="14"/>
                <w:color w:val="auto"/>
              </w:rPr>
            </w:pPr>
          </w:p>
        </w:tc>
        <w:tc>
          <w:tcPr>
            <w:tcW w:w="920" w:type="dxa"/>
            <w:vAlign w:val="bottom"/>
            <w:gridSpan w:val="2"/>
            <w:shd w:val="clear" w:color="auto" w:fill="E5E5E5"/>
          </w:tcPr>
          <w:p>
            <w:pPr>
              <w:jc w:val="right"/>
              <w:spacing w:after="0"/>
              <w:rPr>
                <w:sz w:val="20"/>
                <w:szCs w:val="20"/>
                <w:color w:val="auto"/>
              </w:rPr>
            </w:pPr>
            <w:r>
              <w:rPr>
                <w:rFonts w:ascii="Arial" w:cs="Arial" w:eastAsia="Arial" w:hAnsi="Arial"/>
                <w:sz w:val="14"/>
                <w:szCs w:val="14"/>
                <w:b w:val="1"/>
                <w:bCs w:val="1"/>
                <w:color w:val="auto"/>
              </w:rPr>
              <w:t>Quarter</w:t>
            </w:r>
          </w:p>
        </w:tc>
        <w:tc>
          <w:tcPr>
            <w:tcW w:w="640" w:type="dxa"/>
            <w:vAlign w:val="bottom"/>
            <w:shd w:val="clear" w:color="auto" w:fill="E5E5E5"/>
          </w:tcPr>
          <w:p>
            <w:pPr>
              <w:spacing w:after="0"/>
              <w:rPr>
                <w:sz w:val="14"/>
                <w:szCs w:val="14"/>
                <w:color w:val="auto"/>
              </w:rPr>
            </w:pPr>
          </w:p>
        </w:tc>
        <w:tc>
          <w:tcPr>
            <w:tcW w:w="260" w:type="dxa"/>
            <w:vAlign w:val="bottom"/>
            <w:shd w:val="clear" w:color="auto" w:fill="E5E5E5"/>
          </w:tcPr>
          <w:p>
            <w:pPr>
              <w:spacing w:after="0"/>
              <w:rPr>
                <w:sz w:val="14"/>
                <w:szCs w:val="14"/>
                <w:color w:val="auto"/>
              </w:rPr>
            </w:pPr>
          </w:p>
        </w:tc>
        <w:tc>
          <w:tcPr>
            <w:tcW w:w="500" w:type="dxa"/>
            <w:vAlign w:val="bottom"/>
            <w:shd w:val="clear" w:color="auto" w:fill="E5E5E5"/>
          </w:tcPr>
          <w:p>
            <w:pPr>
              <w:spacing w:after="0"/>
              <w:rPr>
                <w:sz w:val="14"/>
                <w:szCs w:val="14"/>
                <w:color w:val="auto"/>
              </w:rPr>
            </w:pPr>
          </w:p>
        </w:tc>
        <w:tc>
          <w:tcPr>
            <w:tcW w:w="20" w:type="dxa"/>
            <w:vAlign w:val="bottom"/>
            <w:shd w:val="clear" w:color="auto" w:fill="E5E5E5"/>
          </w:tcPr>
          <w:p>
            <w:pPr>
              <w:spacing w:after="0"/>
              <w:rPr>
                <w:sz w:val="14"/>
                <w:szCs w:val="14"/>
                <w:color w:val="auto"/>
              </w:rPr>
            </w:pPr>
          </w:p>
        </w:tc>
        <w:tc>
          <w:tcPr>
            <w:tcW w:w="20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E5E5E5"/>
          </w:tcPr>
          <w:p>
            <w:pPr>
              <w:spacing w:after="0" w:line="202" w:lineRule="exact"/>
              <w:rPr>
                <w:sz w:val="20"/>
                <w:szCs w:val="20"/>
                <w:color w:val="auto"/>
              </w:rPr>
            </w:pPr>
            <w:r>
              <w:rPr>
                <w:rFonts w:ascii="Arial" w:cs="Arial" w:eastAsia="Arial" w:hAnsi="Arial"/>
                <w:sz w:val="18"/>
                <w:szCs w:val="18"/>
                <w:b w:val="1"/>
                <w:bCs w:val="1"/>
                <w:color w:val="auto"/>
              </w:rPr>
              <w:t>2007</w:t>
            </w:r>
          </w:p>
        </w:tc>
        <w:tc>
          <w:tcPr>
            <w:tcW w:w="2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620" w:type="dxa"/>
            <w:vAlign w:val="bottom"/>
            <w:shd w:val="clear" w:color="auto" w:fill="E5E5E5"/>
          </w:tcPr>
          <w:p>
            <w:pPr>
              <w:jc w:val="right"/>
              <w:ind w:right="172"/>
              <w:spacing w:after="0" w:line="202" w:lineRule="exact"/>
              <w:rPr>
                <w:sz w:val="20"/>
                <w:szCs w:val="20"/>
                <w:color w:val="auto"/>
              </w:rPr>
            </w:pPr>
            <w:r>
              <w:rPr>
                <w:rFonts w:ascii="Arial" w:cs="Arial" w:eastAsia="Arial" w:hAnsi="Arial"/>
                <w:sz w:val="18"/>
                <w:szCs w:val="18"/>
                <w:b w:val="1"/>
                <w:bCs w:val="1"/>
                <w:color w:val="auto"/>
              </w:rPr>
              <w:t>1st</w:t>
            </w:r>
          </w:p>
        </w:tc>
        <w:tc>
          <w:tcPr>
            <w:tcW w:w="260" w:type="dxa"/>
            <w:vAlign w:val="bottom"/>
            <w:shd w:val="clear" w:color="auto" w:fill="E5E5E5"/>
          </w:tcPr>
          <w:p>
            <w:pPr>
              <w:spacing w:after="0"/>
              <w:rPr>
                <w:sz w:val="17"/>
                <w:szCs w:val="17"/>
                <w:color w:val="auto"/>
              </w:rPr>
            </w:pPr>
          </w:p>
        </w:tc>
        <w:tc>
          <w:tcPr>
            <w:tcW w:w="660" w:type="dxa"/>
            <w:vAlign w:val="bottom"/>
            <w:shd w:val="clear" w:color="auto" w:fill="E5E5E5"/>
          </w:tcPr>
          <w:p>
            <w:pPr>
              <w:jc w:val="right"/>
              <w:ind w:right="195"/>
              <w:spacing w:after="0" w:line="202" w:lineRule="exact"/>
              <w:rPr>
                <w:sz w:val="20"/>
                <w:szCs w:val="20"/>
                <w:color w:val="auto"/>
              </w:rPr>
            </w:pPr>
            <w:r>
              <w:rPr>
                <w:rFonts w:ascii="Arial" w:cs="Arial" w:eastAsia="Arial" w:hAnsi="Arial"/>
                <w:sz w:val="18"/>
                <w:szCs w:val="18"/>
                <w:b w:val="1"/>
                <w:bCs w:val="1"/>
                <w:color w:val="auto"/>
              </w:rPr>
              <w:t>2nd</w:t>
            </w:r>
          </w:p>
        </w:tc>
        <w:tc>
          <w:tcPr>
            <w:tcW w:w="260" w:type="dxa"/>
            <w:vAlign w:val="bottom"/>
            <w:shd w:val="clear" w:color="auto" w:fill="E5E5E5"/>
          </w:tcPr>
          <w:p>
            <w:pPr>
              <w:spacing w:after="0"/>
              <w:rPr>
                <w:sz w:val="17"/>
                <w:szCs w:val="17"/>
                <w:color w:val="auto"/>
              </w:rPr>
            </w:pPr>
          </w:p>
        </w:tc>
        <w:tc>
          <w:tcPr>
            <w:tcW w:w="640" w:type="dxa"/>
            <w:vAlign w:val="bottom"/>
            <w:shd w:val="clear" w:color="auto" w:fill="E5E5E5"/>
          </w:tcPr>
          <w:p>
            <w:pPr>
              <w:jc w:val="right"/>
              <w:ind w:right="192"/>
              <w:spacing w:after="0" w:line="202" w:lineRule="exact"/>
              <w:rPr>
                <w:sz w:val="20"/>
                <w:szCs w:val="20"/>
                <w:color w:val="auto"/>
              </w:rPr>
            </w:pPr>
            <w:r>
              <w:rPr>
                <w:rFonts w:ascii="Arial" w:cs="Arial" w:eastAsia="Arial" w:hAnsi="Arial"/>
                <w:sz w:val="18"/>
                <w:szCs w:val="18"/>
                <w:b w:val="1"/>
                <w:bCs w:val="1"/>
                <w:color w:val="auto"/>
              </w:rPr>
              <w:t>3rd</w:t>
            </w:r>
          </w:p>
        </w:tc>
        <w:tc>
          <w:tcPr>
            <w:tcW w:w="260" w:type="dxa"/>
            <w:vAlign w:val="bottom"/>
            <w:shd w:val="clear" w:color="auto" w:fill="E5E5E5"/>
          </w:tcPr>
          <w:p>
            <w:pPr>
              <w:spacing w:after="0"/>
              <w:rPr>
                <w:sz w:val="17"/>
                <w:szCs w:val="17"/>
                <w:color w:val="auto"/>
              </w:rPr>
            </w:pPr>
          </w:p>
        </w:tc>
        <w:tc>
          <w:tcPr>
            <w:tcW w:w="720" w:type="dxa"/>
            <w:vAlign w:val="bottom"/>
            <w:gridSpan w:val="3"/>
            <w:shd w:val="clear" w:color="auto" w:fill="E5E5E5"/>
          </w:tcPr>
          <w:p>
            <w:pPr>
              <w:jc w:val="right"/>
              <w:ind w:right="360"/>
              <w:spacing w:after="0" w:line="202" w:lineRule="exact"/>
              <w:rPr>
                <w:sz w:val="20"/>
                <w:szCs w:val="20"/>
                <w:color w:val="auto"/>
              </w:rPr>
            </w:pPr>
            <w:r>
              <w:rPr>
                <w:rFonts w:ascii="Arial" w:cs="Arial" w:eastAsia="Arial" w:hAnsi="Arial"/>
                <w:sz w:val="18"/>
                <w:szCs w:val="18"/>
                <w:b w:val="1"/>
                <w:bCs w:val="1"/>
                <w:color w:val="auto"/>
              </w:rPr>
              <w:t>4th</w:t>
            </w:r>
          </w:p>
        </w:tc>
        <w:tc>
          <w:tcPr>
            <w:tcW w:w="0" w:type="dxa"/>
            <w:vAlign w:val="bottom"/>
          </w:tcPr>
          <w:p>
            <w:pPr>
              <w:spacing w:after="0"/>
              <w:rPr>
                <w:sz w:val="1"/>
                <w:szCs w:val="1"/>
                <w:color w:val="auto"/>
              </w:rPr>
            </w:pPr>
          </w:p>
        </w:tc>
      </w:tr>
      <w:tr>
        <w:trPr>
          <w:trHeight w:val="270"/>
        </w:trPr>
        <w:tc>
          <w:tcPr>
            <w:tcW w:w="7640" w:type="dxa"/>
            <w:vAlign w:val="bottom"/>
          </w:tcPr>
          <w:p>
            <w:pPr>
              <w:spacing w:after="0"/>
              <w:rPr>
                <w:sz w:val="20"/>
                <w:szCs w:val="20"/>
                <w:color w:val="auto"/>
              </w:rPr>
            </w:pPr>
            <w:r>
              <w:rPr>
                <w:rFonts w:ascii="Arial" w:cs="Arial" w:eastAsia="Arial" w:hAnsi="Arial"/>
                <w:sz w:val="18"/>
                <w:szCs w:val="18"/>
                <w:b w:val="1"/>
                <w:bCs w:val="1"/>
                <w:color w:val="auto"/>
              </w:rPr>
              <w:t>Net revenue</w:t>
            </w:r>
          </w:p>
        </w:tc>
        <w:tc>
          <w:tcPr>
            <w:tcW w:w="3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ind w:right="32"/>
              <w:spacing w:after="0"/>
              <w:rPr>
                <w:sz w:val="20"/>
                <w:szCs w:val="20"/>
                <w:color w:val="auto"/>
              </w:rPr>
            </w:pPr>
            <w:r>
              <w:rPr>
                <w:rFonts w:ascii="Arial" w:cs="Arial" w:eastAsia="Arial" w:hAnsi="Arial"/>
                <w:sz w:val="18"/>
                <w:szCs w:val="18"/>
                <w:b w:val="1"/>
                <w:bCs w:val="1"/>
                <w:color w:val="auto"/>
              </w:rPr>
              <w:t>3,191</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ind w:right="95"/>
              <w:spacing w:after="0"/>
              <w:rPr>
                <w:sz w:val="20"/>
                <w:szCs w:val="20"/>
                <w:color w:val="auto"/>
              </w:rPr>
            </w:pPr>
            <w:r>
              <w:rPr>
                <w:rFonts w:ascii="Arial" w:cs="Arial" w:eastAsia="Arial" w:hAnsi="Arial"/>
                <w:sz w:val="18"/>
                <w:szCs w:val="18"/>
                <w:b w:val="1"/>
                <w:bCs w:val="1"/>
                <w:color w:val="auto"/>
              </w:rPr>
              <w:t>3,424</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ind w:right="72"/>
              <w:spacing w:after="0"/>
              <w:rPr>
                <w:sz w:val="20"/>
                <w:szCs w:val="20"/>
                <w:color w:val="auto"/>
              </w:rPr>
            </w:pPr>
            <w:r>
              <w:rPr>
                <w:rFonts w:ascii="Arial" w:cs="Arial" w:eastAsia="Arial" w:hAnsi="Arial"/>
                <w:sz w:val="18"/>
                <w:szCs w:val="18"/>
                <w:b w:val="1"/>
                <w:bCs w:val="1"/>
                <w:color w:val="auto"/>
              </w:rPr>
              <w:t>3,663</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3,556</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E5E5E5"/>
          </w:tcPr>
          <w:p>
            <w:pPr>
              <w:spacing w:after="0" w:line="202" w:lineRule="exact"/>
              <w:rPr>
                <w:sz w:val="20"/>
                <w:szCs w:val="20"/>
                <w:color w:val="auto"/>
              </w:rPr>
            </w:pPr>
            <w:r>
              <w:rPr>
                <w:rFonts w:ascii="Arial" w:cs="Arial" w:eastAsia="Arial" w:hAnsi="Arial"/>
                <w:sz w:val="18"/>
                <w:szCs w:val="18"/>
                <w:b w:val="1"/>
                <w:bCs w:val="1"/>
                <w:color w:val="auto"/>
              </w:rPr>
              <w:t>Gross profit</w:t>
            </w:r>
          </w:p>
        </w:tc>
        <w:tc>
          <w:tcPr>
            <w:tcW w:w="2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620" w:type="dxa"/>
            <w:vAlign w:val="bottom"/>
            <w:shd w:val="clear" w:color="auto" w:fill="E5E5E5"/>
          </w:tcPr>
          <w:p>
            <w:pPr>
              <w:jc w:val="right"/>
              <w:ind w:right="32"/>
              <w:spacing w:after="0" w:line="202" w:lineRule="exact"/>
              <w:rPr>
                <w:sz w:val="20"/>
                <w:szCs w:val="20"/>
                <w:color w:val="auto"/>
              </w:rPr>
            </w:pPr>
            <w:r>
              <w:rPr>
                <w:rFonts w:ascii="Arial" w:cs="Arial" w:eastAsia="Arial" w:hAnsi="Arial"/>
                <w:sz w:val="18"/>
                <w:szCs w:val="18"/>
                <w:b w:val="1"/>
                <w:bCs w:val="1"/>
                <w:color w:val="auto"/>
              </w:rPr>
              <w:t>1,637</w:t>
            </w:r>
          </w:p>
        </w:tc>
        <w:tc>
          <w:tcPr>
            <w:tcW w:w="260" w:type="dxa"/>
            <w:vAlign w:val="bottom"/>
            <w:shd w:val="clear" w:color="auto" w:fill="E5E5E5"/>
          </w:tcPr>
          <w:p>
            <w:pPr>
              <w:spacing w:after="0"/>
              <w:rPr>
                <w:sz w:val="17"/>
                <w:szCs w:val="17"/>
                <w:color w:val="auto"/>
              </w:rPr>
            </w:pPr>
          </w:p>
        </w:tc>
        <w:tc>
          <w:tcPr>
            <w:tcW w:w="660" w:type="dxa"/>
            <w:vAlign w:val="bottom"/>
            <w:shd w:val="clear" w:color="auto" w:fill="E5E5E5"/>
          </w:tcPr>
          <w:p>
            <w:pPr>
              <w:jc w:val="right"/>
              <w:ind w:right="95"/>
              <w:spacing w:after="0" w:line="202" w:lineRule="exact"/>
              <w:rPr>
                <w:sz w:val="20"/>
                <w:szCs w:val="20"/>
                <w:color w:val="auto"/>
              </w:rPr>
            </w:pPr>
            <w:r>
              <w:rPr>
                <w:rFonts w:ascii="Arial" w:cs="Arial" w:eastAsia="Arial" w:hAnsi="Arial"/>
                <w:sz w:val="18"/>
                <w:szCs w:val="18"/>
                <w:b w:val="1"/>
                <w:bCs w:val="1"/>
                <w:color w:val="auto"/>
              </w:rPr>
              <w:t>1,784</w:t>
            </w:r>
          </w:p>
        </w:tc>
        <w:tc>
          <w:tcPr>
            <w:tcW w:w="260" w:type="dxa"/>
            <w:vAlign w:val="bottom"/>
            <w:shd w:val="clear" w:color="auto" w:fill="E5E5E5"/>
          </w:tcPr>
          <w:p>
            <w:pPr>
              <w:spacing w:after="0"/>
              <w:rPr>
                <w:sz w:val="17"/>
                <w:szCs w:val="17"/>
                <w:color w:val="auto"/>
              </w:rPr>
            </w:pPr>
          </w:p>
        </w:tc>
        <w:tc>
          <w:tcPr>
            <w:tcW w:w="640" w:type="dxa"/>
            <w:vAlign w:val="bottom"/>
            <w:shd w:val="clear" w:color="auto" w:fill="E5E5E5"/>
          </w:tcPr>
          <w:p>
            <w:pPr>
              <w:jc w:val="right"/>
              <w:ind w:right="72"/>
              <w:spacing w:after="0" w:line="202" w:lineRule="exact"/>
              <w:rPr>
                <w:sz w:val="20"/>
                <w:szCs w:val="20"/>
                <w:color w:val="auto"/>
              </w:rPr>
            </w:pPr>
            <w:r>
              <w:rPr>
                <w:rFonts w:ascii="Arial" w:cs="Arial" w:eastAsia="Arial" w:hAnsi="Arial"/>
                <w:sz w:val="18"/>
                <w:szCs w:val="18"/>
                <w:b w:val="1"/>
                <w:bCs w:val="1"/>
                <w:color w:val="auto"/>
              </w:rPr>
              <w:t>1,984</w:t>
            </w:r>
          </w:p>
        </w:tc>
        <w:tc>
          <w:tcPr>
            <w:tcW w:w="260" w:type="dxa"/>
            <w:vAlign w:val="bottom"/>
            <w:shd w:val="clear" w:color="auto" w:fill="E5E5E5"/>
          </w:tcPr>
          <w:p>
            <w:pPr>
              <w:spacing w:after="0"/>
              <w:rPr>
                <w:sz w:val="17"/>
                <w:szCs w:val="17"/>
                <w:color w:val="auto"/>
              </w:rPr>
            </w:pPr>
          </w:p>
        </w:tc>
        <w:tc>
          <w:tcPr>
            <w:tcW w:w="5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1,926</w:t>
            </w:r>
          </w:p>
        </w:tc>
        <w:tc>
          <w:tcPr>
            <w:tcW w:w="2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spacing w:after="0" w:line="202" w:lineRule="exact"/>
              <w:rPr>
                <w:sz w:val="20"/>
                <w:szCs w:val="20"/>
                <w:color w:val="auto"/>
              </w:rPr>
            </w:pPr>
            <w:r>
              <w:rPr>
                <w:rFonts w:ascii="Arial" w:cs="Arial" w:eastAsia="Arial" w:hAnsi="Arial"/>
                <w:sz w:val="18"/>
                <w:szCs w:val="18"/>
                <w:b w:val="1"/>
                <w:bCs w:val="1"/>
                <w:color w:val="auto"/>
              </w:rPr>
              <w:t>Profit from operations</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680</w:t>
            </w:r>
          </w:p>
        </w:tc>
        <w:tc>
          <w:tcPr>
            <w:tcW w:w="260" w:type="dxa"/>
            <w:vAlign w:val="bottom"/>
          </w:tcPr>
          <w:p>
            <w:pPr>
              <w:spacing w:after="0"/>
              <w:rPr>
                <w:sz w:val="17"/>
                <w:szCs w:val="17"/>
                <w:color w:val="auto"/>
              </w:rPr>
            </w:pPr>
          </w:p>
        </w:tc>
        <w:tc>
          <w:tcPr>
            <w:tcW w:w="660" w:type="dxa"/>
            <w:vAlign w:val="bottom"/>
          </w:tcPr>
          <w:p>
            <w:pPr>
              <w:jc w:val="right"/>
              <w:ind w:right="95"/>
              <w:spacing w:after="0" w:line="202" w:lineRule="exact"/>
              <w:rPr>
                <w:sz w:val="20"/>
                <w:szCs w:val="20"/>
                <w:color w:val="auto"/>
              </w:rPr>
            </w:pPr>
            <w:r>
              <w:rPr>
                <w:rFonts w:ascii="Arial" w:cs="Arial" w:eastAsia="Arial" w:hAnsi="Arial"/>
                <w:sz w:val="18"/>
                <w:szCs w:val="18"/>
                <w:b w:val="1"/>
                <w:bCs w:val="1"/>
                <w:color w:val="auto"/>
              </w:rPr>
              <w:t>809</w:t>
            </w:r>
          </w:p>
        </w:tc>
        <w:tc>
          <w:tcPr>
            <w:tcW w:w="260" w:type="dxa"/>
            <w:vAlign w:val="bottom"/>
          </w:tcPr>
          <w:p>
            <w:pPr>
              <w:spacing w:after="0"/>
              <w:rPr>
                <w:sz w:val="17"/>
                <w:szCs w:val="17"/>
                <w:color w:val="auto"/>
              </w:rPr>
            </w:pPr>
          </w:p>
        </w:tc>
        <w:tc>
          <w:tcPr>
            <w:tcW w:w="640" w:type="dxa"/>
            <w:vAlign w:val="bottom"/>
          </w:tcPr>
          <w:p>
            <w:pPr>
              <w:jc w:val="right"/>
              <w:ind w:right="72"/>
              <w:spacing w:after="0" w:line="202" w:lineRule="exact"/>
              <w:rPr>
                <w:sz w:val="20"/>
                <w:szCs w:val="20"/>
                <w:color w:val="auto"/>
              </w:rPr>
            </w:pPr>
            <w:r>
              <w:rPr>
                <w:rFonts w:ascii="Arial" w:cs="Arial" w:eastAsia="Arial" w:hAnsi="Arial"/>
                <w:sz w:val="18"/>
                <w:szCs w:val="18"/>
                <w:b w:val="1"/>
                <w:bCs w:val="1"/>
                <w:color w:val="auto"/>
              </w:rPr>
              <w:t>1,013</w:t>
            </w:r>
          </w:p>
        </w:tc>
        <w:tc>
          <w:tcPr>
            <w:tcW w:w="26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996</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E5E5E5"/>
          </w:tcPr>
          <w:p>
            <w:pPr>
              <w:spacing w:after="0" w:line="202" w:lineRule="exact"/>
              <w:rPr>
                <w:sz w:val="20"/>
                <w:szCs w:val="20"/>
                <w:color w:val="auto"/>
              </w:rPr>
            </w:pPr>
            <w:r>
              <w:rPr>
                <w:rFonts w:ascii="Arial" w:cs="Arial" w:eastAsia="Arial" w:hAnsi="Arial"/>
                <w:sz w:val="18"/>
                <w:szCs w:val="18"/>
                <w:b w:val="1"/>
                <w:bCs w:val="1"/>
                <w:color w:val="auto"/>
              </w:rPr>
              <w:t>Income from continuing operations</w:t>
            </w:r>
          </w:p>
        </w:tc>
        <w:tc>
          <w:tcPr>
            <w:tcW w:w="36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E5E5E5"/>
          </w:tcPr>
          <w:p>
            <w:pPr>
              <w:jc w:val="right"/>
              <w:ind w:right="32"/>
              <w:spacing w:after="0" w:line="202" w:lineRule="exact"/>
              <w:rPr>
                <w:sz w:val="20"/>
                <w:szCs w:val="20"/>
                <w:color w:val="auto"/>
              </w:rPr>
            </w:pPr>
            <w:r>
              <w:rPr>
                <w:rFonts w:ascii="Arial" w:cs="Arial" w:eastAsia="Arial" w:hAnsi="Arial"/>
                <w:sz w:val="18"/>
                <w:szCs w:val="18"/>
                <w:b w:val="1"/>
                <w:bCs w:val="1"/>
                <w:color w:val="auto"/>
              </w:rPr>
              <w:t>516</w:t>
            </w:r>
          </w:p>
        </w:tc>
        <w:tc>
          <w:tcPr>
            <w:tcW w:w="2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E5E5E5"/>
          </w:tcPr>
          <w:p>
            <w:pPr>
              <w:jc w:val="right"/>
              <w:ind w:right="95"/>
              <w:spacing w:after="0" w:line="202" w:lineRule="exact"/>
              <w:rPr>
                <w:sz w:val="20"/>
                <w:szCs w:val="20"/>
                <w:color w:val="auto"/>
              </w:rPr>
            </w:pPr>
            <w:r>
              <w:rPr>
                <w:rFonts w:ascii="Arial" w:cs="Arial" w:eastAsia="Arial" w:hAnsi="Arial"/>
                <w:sz w:val="18"/>
                <w:szCs w:val="18"/>
                <w:b w:val="1"/>
                <w:bCs w:val="1"/>
                <w:color w:val="auto"/>
              </w:rPr>
              <w:t>614</w:t>
            </w:r>
          </w:p>
        </w:tc>
        <w:tc>
          <w:tcPr>
            <w:tcW w:w="2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E5E5E5"/>
          </w:tcPr>
          <w:p>
            <w:pPr>
              <w:jc w:val="right"/>
              <w:ind w:right="72"/>
              <w:spacing w:after="0" w:line="202" w:lineRule="exact"/>
              <w:rPr>
                <w:sz w:val="20"/>
                <w:szCs w:val="20"/>
                <w:color w:val="auto"/>
              </w:rPr>
            </w:pPr>
            <w:r>
              <w:rPr>
                <w:rFonts w:ascii="Arial" w:cs="Arial" w:eastAsia="Arial" w:hAnsi="Arial"/>
                <w:sz w:val="18"/>
                <w:szCs w:val="18"/>
                <w:b w:val="1"/>
                <w:bCs w:val="1"/>
                <w:color w:val="auto"/>
              </w:rPr>
              <w:t>758</w:t>
            </w:r>
          </w:p>
        </w:tc>
        <w:tc>
          <w:tcPr>
            <w:tcW w:w="2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520" w:type="dxa"/>
            <w:vAlign w:val="bottom"/>
            <w:gridSpan w:val="2"/>
            <w:shd w:val="clear" w:color="auto" w:fill="E5E5E5"/>
          </w:tcPr>
          <w:p>
            <w:pPr>
              <w:jc w:val="right"/>
              <w:ind w:right="20"/>
              <w:spacing w:after="0" w:line="202" w:lineRule="exact"/>
              <w:rPr>
                <w:sz w:val="20"/>
                <w:szCs w:val="20"/>
                <w:color w:val="auto"/>
              </w:rPr>
            </w:pPr>
            <w:r>
              <w:rPr>
                <w:rFonts w:ascii="Arial" w:cs="Arial" w:eastAsia="Arial" w:hAnsi="Arial"/>
                <w:sz w:val="18"/>
                <w:szCs w:val="18"/>
                <w:b w:val="1"/>
                <w:bCs w:val="1"/>
                <w:color w:val="auto"/>
              </w:rPr>
              <w:t>753</w:t>
            </w:r>
          </w:p>
        </w:tc>
        <w:tc>
          <w:tcPr>
            <w:tcW w:w="2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40" w:type="dxa"/>
            <w:vAlign w:val="bottom"/>
            <w:vMerge w:val="restart"/>
          </w:tcPr>
          <w:p>
            <w:pPr>
              <w:spacing w:after="0"/>
              <w:rPr>
                <w:sz w:val="20"/>
                <w:szCs w:val="20"/>
                <w:color w:val="auto"/>
              </w:rPr>
            </w:pPr>
            <w:r>
              <w:rPr>
                <w:rFonts w:ascii="Arial" w:cs="Arial" w:eastAsia="Arial" w:hAnsi="Arial"/>
                <w:sz w:val="18"/>
                <w:szCs w:val="18"/>
                <w:b w:val="1"/>
                <w:bCs w:val="1"/>
                <w:color w:val="auto"/>
              </w:rPr>
              <w:t>Net income</w:t>
            </w: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b w:val="1"/>
                <w:bCs w:val="1"/>
                <w:color w:val="auto"/>
              </w:rPr>
              <w:t>516</w:t>
            </w:r>
          </w:p>
        </w:tc>
        <w:tc>
          <w:tcPr>
            <w:tcW w:w="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ind w:right="95"/>
              <w:spacing w:after="0" w:line="196" w:lineRule="exact"/>
              <w:rPr>
                <w:sz w:val="20"/>
                <w:szCs w:val="20"/>
                <w:color w:val="auto"/>
              </w:rPr>
            </w:pPr>
            <w:r>
              <w:rPr>
                <w:rFonts w:ascii="Arial" w:cs="Arial" w:eastAsia="Arial" w:hAnsi="Arial"/>
                <w:sz w:val="18"/>
                <w:szCs w:val="18"/>
                <w:b w:val="1"/>
                <w:bCs w:val="1"/>
                <w:color w:val="auto"/>
              </w:rPr>
              <w:t>610</w:t>
            </w:r>
          </w:p>
        </w:tc>
        <w:tc>
          <w:tcPr>
            <w:tcW w:w="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ind w:right="72"/>
              <w:spacing w:after="0" w:line="196" w:lineRule="exact"/>
              <w:rPr>
                <w:sz w:val="20"/>
                <w:szCs w:val="20"/>
                <w:color w:val="auto"/>
              </w:rPr>
            </w:pPr>
            <w:r>
              <w:rPr>
                <w:rFonts w:ascii="Arial" w:cs="Arial" w:eastAsia="Arial" w:hAnsi="Arial"/>
                <w:sz w:val="18"/>
                <w:szCs w:val="18"/>
                <w:b w:val="1"/>
                <w:bCs w:val="1"/>
                <w:color w:val="auto"/>
              </w:rPr>
              <w:t>776</w:t>
            </w:r>
          </w:p>
        </w:tc>
        <w:tc>
          <w:tcPr>
            <w:tcW w:w="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756</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40" w:type="dxa"/>
            <w:vAlign w:val="bottom"/>
            <w:shd w:val="clear" w:color="auto" w:fill="E5E5E5"/>
          </w:tcPr>
          <w:p>
            <w:pPr>
              <w:spacing w:after="0" w:line="196" w:lineRule="exact"/>
              <w:rPr>
                <w:sz w:val="20"/>
                <w:szCs w:val="20"/>
                <w:color w:val="auto"/>
              </w:rPr>
            </w:pPr>
            <w:r>
              <w:rPr>
                <w:rFonts w:ascii="Arial" w:cs="Arial" w:eastAsia="Arial" w:hAnsi="Arial"/>
                <w:sz w:val="18"/>
                <w:szCs w:val="18"/>
                <w:b w:val="1"/>
                <w:bCs w:val="1"/>
                <w:color w:val="auto"/>
              </w:rPr>
              <w:t>Diluted earnings per share:</w:t>
            </w:r>
          </w:p>
        </w:tc>
        <w:tc>
          <w:tcPr>
            <w:tcW w:w="2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6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66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64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50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220"/>
              <w:spacing w:after="0" w:line="202" w:lineRule="exact"/>
              <w:rPr>
                <w:sz w:val="20"/>
                <w:szCs w:val="20"/>
                <w:color w:val="auto"/>
              </w:rPr>
            </w:pPr>
            <w:r>
              <w:rPr>
                <w:rFonts w:ascii="Arial" w:cs="Arial" w:eastAsia="Arial" w:hAnsi="Arial"/>
                <w:sz w:val="18"/>
                <w:szCs w:val="18"/>
                <w:b w:val="1"/>
                <w:bCs w:val="1"/>
                <w:color w:val="auto"/>
              </w:rPr>
              <w:t>Income from continuing operations</w:t>
            </w: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2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0.35</w:t>
            </w:r>
          </w:p>
        </w:tc>
        <w:tc>
          <w:tcPr>
            <w:tcW w:w="2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60" w:type="dxa"/>
            <w:vAlign w:val="bottom"/>
          </w:tcPr>
          <w:p>
            <w:pPr>
              <w:jc w:val="right"/>
              <w:ind w:right="95"/>
              <w:spacing w:after="0" w:line="202" w:lineRule="exact"/>
              <w:rPr>
                <w:sz w:val="20"/>
                <w:szCs w:val="20"/>
                <w:color w:val="auto"/>
              </w:rPr>
            </w:pPr>
            <w:r>
              <w:rPr>
                <w:rFonts w:ascii="Arial" w:cs="Arial" w:eastAsia="Arial" w:hAnsi="Arial"/>
                <w:sz w:val="18"/>
                <w:szCs w:val="18"/>
                <w:b w:val="1"/>
                <w:bCs w:val="1"/>
                <w:color w:val="auto"/>
              </w:rPr>
              <w:t>0.42</w:t>
            </w:r>
          </w:p>
        </w:tc>
        <w:tc>
          <w:tcPr>
            <w:tcW w:w="2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40" w:type="dxa"/>
            <w:vAlign w:val="bottom"/>
          </w:tcPr>
          <w:p>
            <w:pPr>
              <w:jc w:val="right"/>
              <w:ind w:right="72"/>
              <w:spacing w:after="0" w:line="202" w:lineRule="exact"/>
              <w:rPr>
                <w:sz w:val="20"/>
                <w:szCs w:val="20"/>
                <w:color w:val="auto"/>
              </w:rPr>
            </w:pPr>
            <w:r>
              <w:rPr>
                <w:rFonts w:ascii="Arial" w:cs="Arial" w:eastAsia="Arial" w:hAnsi="Arial"/>
                <w:sz w:val="18"/>
                <w:szCs w:val="18"/>
                <w:b w:val="1"/>
                <w:bCs w:val="1"/>
                <w:color w:val="auto"/>
              </w:rPr>
              <w:t>0.52</w:t>
            </w:r>
          </w:p>
        </w:tc>
        <w:tc>
          <w:tcPr>
            <w:tcW w:w="2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52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0.54</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40" w:type="dxa"/>
            <w:vAlign w:val="bottom"/>
            <w:shd w:val="clear" w:color="auto" w:fill="E5E5E5"/>
          </w:tcPr>
          <w:p>
            <w:pPr>
              <w:ind w:left="220"/>
              <w:spacing w:after="0" w:line="196" w:lineRule="exact"/>
              <w:rPr>
                <w:sz w:val="20"/>
                <w:szCs w:val="20"/>
                <w:color w:val="auto"/>
              </w:rPr>
            </w:pPr>
            <w:r>
              <w:rPr>
                <w:rFonts w:ascii="Arial" w:cs="Arial" w:eastAsia="Arial" w:hAnsi="Arial"/>
                <w:sz w:val="18"/>
                <w:szCs w:val="18"/>
                <w:b w:val="1"/>
                <w:bCs w:val="1"/>
                <w:color w:val="auto"/>
              </w:rPr>
              <w:t>Net income</w:t>
            </w:r>
          </w:p>
        </w:tc>
        <w:tc>
          <w:tcPr>
            <w:tcW w:w="220" w:type="dxa"/>
            <w:vAlign w:val="bottom"/>
            <w:shd w:val="clear" w:color="auto" w:fill="E5E5E5"/>
          </w:tcPr>
          <w:p>
            <w:pPr>
              <w:spacing w:after="0"/>
              <w:rPr>
                <w:sz w:val="17"/>
                <w:szCs w:val="17"/>
                <w:color w:val="auto"/>
              </w:rPr>
            </w:pPr>
          </w:p>
        </w:tc>
        <w:tc>
          <w:tcPr>
            <w:tcW w:w="140" w:type="dxa"/>
            <w:vAlign w:val="bottom"/>
            <w:tcBorders>
              <w:top w:val="single" w:sz="8" w:color="auto"/>
              <w:bottom w:val="single" w:sz="8" w:color="auto"/>
            </w:tcBorders>
            <w:shd w:val="clear" w:color="auto" w:fill="E5E5E5"/>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620" w:type="dxa"/>
            <w:vAlign w:val="bottom"/>
            <w:tcBorders>
              <w:top w:val="single" w:sz="8" w:color="auto"/>
              <w:bottom w:val="single" w:sz="8" w:color="auto"/>
            </w:tcBorders>
            <w:shd w:val="clear" w:color="auto" w:fill="E5E5E5"/>
          </w:tcPr>
          <w:p>
            <w:pPr>
              <w:jc w:val="right"/>
              <w:ind w:right="32"/>
              <w:spacing w:after="0" w:line="196" w:lineRule="exact"/>
              <w:rPr>
                <w:sz w:val="20"/>
                <w:szCs w:val="20"/>
                <w:color w:val="auto"/>
              </w:rPr>
            </w:pPr>
            <w:r>
              <w:rPr>
                <w:rFonts w:ascii="Arial" w:cs="Arial" w:eastAsia="Arial" w:hAnsi="Arial"/>
                <w:sz w:val="18"/>
                <w:szCs w:val="18"/>
                <w:b w:val="1"/>
                <w:bCs w:val="1"/>
                <w:color w:val="auto"/>
              </w:rPr>
              <w:t>0.35</w:t>
            </w:r>
          </w:p>
        </w:tc>
        <w:tc>
          <w:tcPr>
            <w:tcW w:w="260" w:type="dxa"/>
            <w:vAlign w:val="bottom"/>
            <w:tcBorders>
              <w:top w:val="single" w:sz="8" w:color="auto"/>
              <w:bottom w:val="single" w:sz="8" w:color="auto"/>
            </w:tcBorders>
            <w:shd w:val="clear" w:color="auto" w:fill="E5E5E5"/>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shd w:val="clear" w:color="auto" w:fill="E5E5E5"/>
          </w:tcPr>
          <w:p>
            <w:pPr>
              <w:jc w:val="right"/>
              <w:ind w:right="95"/>
              <w:spacing w:after="0" w:line="196" w:lineRule="exact"/>
              <w:rPr>
                <w:sz w:val="20"/>
                <w:szCs w:val="20"/>
                <w:color w:val="auto"/>
              </w:rPr>
            </w:pPr>
            <w:r>
              <w:rPr>
                <w:rFonts w:ascii="Arial" w:cs="Arial" w:eastAsia="Arial" w:hAnsi="Arial"/>
                <w:sz w:val="18"/>
                <w:szCs w:val="18"/>
                <w:b w:val="1"/>
                <w:bCs w:val="1"/>
                <w:color w:val="auto"/>
              </w:rPr>
              <w:t>0.</w:t>
            </w:r>
            <w:r>
              <w:rPr>
                <w:rFonts w:ascii="Arial" w:cs="Arial" w:eastAsia="Arial" w:hAnsi="Arial"/>
                <w:sz w:val="18"/>
                <w:szCs w:val="18"/>
                <w:b w:val="1"/>
                <w:bCs w:val="1"/>
                <w:u w:val="single" w:color="auto"/>
                <w:color w:val="auto"/>
              </w:rPr>
              <w:t>42</w:t>
            </w:r>
          </w:p>
        </w:tc>
        <w:tc>
          <w:tcPr>
            <w:tcW w:w="260" w:type="dxa"/>
            <w:vAlign w:val="bottom"/>
            <w:tcBorders>
              <w:top w:val="single" w:sz="8" w:color="auto"/>
              <w:bottom w:val="single" w:sz="8" w:color="auto"/>
            </w:tcBorders>
            <w:shd w:val="clear" w:color="auto" w:fill="E5E5E5"/>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auto"/>
              <w:bottom w:val="single" w:sz="8" w:color="auto"/>
            </w:tcBorders>
            <w:shd w:val="clear" w:color="auto" w:fill="E5E5E5"/>
          </w:tcPr>
          <w:p>
            <w:pPr>
              <w:jc w:val="right"/>
              <w:ind w:right="72"/>
              <w:spacing w:after="0" w:line="196" w:lineRule="exact"/>
              <w:rPr>
                <w:sz w:val="20"/>
                <w:szCs w:val="20"/>
                <w:color w:val="auto"/>
              </w:rPr>
            </w:pPr>
            <w:r>
              <w:rPr>
                <w:rFonts w:ascii="Arial" w:cs="Arial" w:eastAsia="Arial" w:hAnsi="Arial"/>
                <w:sz w:val="18"/>
                <w:szCs w:val="18"/>
                <w:b w:val="1"/>
                <w:bCs w:val="1"/>
                <w:color w:val="auto"/>
              </w:rPr>
              <w:t>0.</w:t>
            </w:r>
            <w:r>
              <w:rPr>
                <w:rFonts w:ascii="Arial" w:cs="Arial" w:eastAsia="Arial" w:hAnsi="Arial"/>
                <w:sz w:val="18"/>
                <w:szCs w:val="18"/>
                <w:b w:val="1"/>
                <w:bCs w:val="1"/>
                <w:u w:val="single" w:color="auto"/>
                <w:color w:val="auto"/>
              </w:rPr>
              <w:t>54</w:t>
            </w:r>
          </w:p>
        </w:tc>
        <w:tc>
          <w:tcPr>
            <w:tcW w:w="260" w:type="dxa"/>
            <w:vAlign w:val="bottom"/>
            <w:tcBorders>
              <w:top w:val="single" w:sz="8" w:color="auto"/>
              <w:bottom w:val="single" w:sz="8" w:color="auto"/>
            </w:tcBorders>
            <w:shd w:val="clear" w:color="auto" w:fill="E5E5E5"/>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500" w:type="dxa"/>
            <w:vAlign w:val="bottom"/>
            <w:tcBorders>
              <w:top w:val="single" w:sz="8" w:color="auto"/>
              <w:bottom w:val="single" w:sz="8" w:color="auto"/>
            </w:tcBorders>
            <w:shd w:val="clear" w:color="auto" w:fill="E5E5E5"/>
          </w:tcPr>
          <w:p>
            <w:pPr>
              <w:jc w:val="right"/>
              <w:spacing w:after="0" w:line="196" w:lineRule="exact"/>
              <w:rPr>
                <w:sz w:val="20"/>
                <w:szCs w:val="20"/>
                <w:color w:val="auto"/>
              </w:rPr>
            </w:pPr>
            <w:r>
              <w:rPr>
                <w:rFonts w:ascii="Arial" w:cs="Arial" w:eastAsia="Arial" w:hAnsi="Arial"/>
                <w:sz w:val="18"/>
                <w:szCs w:val="18"/>
                <w:b w:val="1"/>
                <w:bCs w:val="1"/>
                <w:color w:val="auto"/>
              </w:rPr>
              <w:t>0.54</w:t>
            </w:r>
          </w:p>
        </w:tc>
        <w:tc>
          <w:tcPr>
            <w:tcW w:w="2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2"/>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40" w:type="dxa"/>
            <w:vAlign w:val="bottom"/>
            <w:shd w:val="clear" w:color="auto" w:fill="E5E5E5"/>
          </w:tcPr>
          <w:p>
            <w:pPr>
              <w:spacing w:after="0"/>
              <w:rPr>
                <w:sz w:val="12"/>
                <w:szCs w:val="12"/>
                <w:color w:val="auto"/>
              </w:rPr>
            </w:pPr>
          </w:p>
        </w:tc>
        <w:tc>
          <w:tcPr>
            <w:tcW w:w="220" w:type="dxa"/>
            <w:vAlign w:val="bottom"/>
            <w:shd w:val="clear" w:color="auto" w:fill="E5E5E5"/>
          </w:tcPr>
          <w:p>
            <w:pPr>
              <w:spacing w:after="0"/>
              <w:rPr>
                <w:sz w:val="12"/>
                <w:szCs w:val="12"/>
                <w:color w:val="auto"/>
              </w:rPr>
            </w:pPr>
          </w:p>
        </w:tc>
        <w:tc>
          <w:tcPr>
            <w:tcW w:w="140" w:type="dxa"/>
            <w:vAlign w:val="bottom"/>
            <w:shd w:val="clear" w:color="auto" w:fill="E5E5E5"/>
          </w:tcPr>
          <w:p>
            <w:pPr>
              <w:spacing w:after="0"/>
              <w:rPr>
                <w:sz w:val="12"/>
                <w:szCs w:val="12"/>
                <w:color w:val="auto"/>
              </w:rPr>
            </w:pPr>
          </w:p>
        </w:tc>
        <w:tc>
          <w:tcPr>
            <w:tcW w:w="620" w:type="dxa"/>
            <w:vAlign w:val="bottom"/>
            <w:shd w:val="clear" w:color="auto" w:fill="E5E5E5"/>
          </w:tcPr>
          <w:p>
            <w:pPr>
              <w:spacing w:after="0"/>
              <w:rPr>
                <w:sz w:val="12"/>
                <w:szCs w:val="12"/>
                <w:color w:val="auto"/>
              </w:rPr>
            </w:pPr>
          </w:p>
        </w:tc>
        <w:tc>
          <w:tcPr>
            <w:tcW w:w="260" w:type="dxa"/>
            <w:vAlign w:val="bottom"/>
            <w:shd w:val="clear" w:color="auto" w:fill="E5E5E5"/>
          </w:tcPr>
          <w:p>
            <w:pPr>
              <w:spacing w:after="0"/>
              <w:rPr>
                <w:sz w:val="12"/>
                <w:szCs w:val="12"/>
                <w:color w:val="auto"/>
              </w:rPr>
            </w:pPr>
          </w:p>
        </w:tc>
        <w:tc>
          <w:tcPr>
            <w:tcW w:w="920" w:type="dxa"/>
            <w:vAlign w:val="bottom"/>
            <w:gridSpan w:val="2"/>
            <w:shd w:val="clear" w:color="auto" w:fill="E5E5E5"/>
          </w:tcPr>
          <w:p>
            <w:pPr>
              <w:jc w:val="right"/>
              <w:spacing w:after="0" w:line="149" w:lineRule="exact"/>
              <w:rPr>
                <w:sz w:val="20"/>
                <w:szCs w:val="20"/>
                <w:color w:val="auto"/>
              </w:rPr>
            </w:pPr>
            <w:r>
              <w:rPr>
                <w:rFonts w:ascii="Arial" w:cs="Arial" w:eastAsia="Arial" w:hAnsi="Arial"/>
                <w:sz w:val="14"/>
                <w:szCs w:val="14"/>
                <w:b w:val="1"/>
                <w:bCs w:val="1"/>
                <w:color w:val="auto"/>
              </w:rPr>
              <w:t>Quarter</w:t>
            </w:r>
          </w:p>
        </w:tc>
        <w:tc>
          <w:tcPr>
            <w:tcW w:w="640" w:type="dxa"/>
            <w:vAlign w:val="bottom"/>
            <w:shd w:val="clear" w:color="auto" w:fill="E5E5E5"/>
          </w:tcPr>
          <w:p>
            <w:pPr>
              <w:spacing w:after="0"/>
              <w:rPr>
                <w:sz w:val="12"/>
                <w:szCs w:val="12"/>
                <w:color w:val="auto"/>
              </w:rPr>
            </w:pPr>
          </w:p>
        </w:tc>
        <w:tc>
          <w:tcPr>
            <w:tcW w:w="260" w:type="dxa"/>
            <w:vAlign w:val="bottom"/>
            <w:shd w:val="clear" w:color="auto" w:fill="E5E5E5"/>
          </w:tcPr>
          <w:p>
            <w:pPr>
              <w:spacing w:after="0"/>
              <w:rPr>
                <w:sz w:val="12"/>
                <w:szCs w:val="12"/>
                <w:color w:val="auto"/>
              </w:rPr>
            </w:pPr>
          </w:p>
        </w:tc>
        <w:tc>
          <w:tcPr>
            <w:tcW w:w="500" w:type="dxa"/>
            <w:vAlign w:val="bottom"/>
            <w:shd w:val="clear" w:color="auto" w:fill="E5E5E5"/>
          </w:tcPr>
          <w:p>
            <w:pPr>
              <w:spacing w:after="0"/>
              <w:rPr>
                <w:sz w:val="12"/>
                <w:szCs w:val="12"/>
                <w:color w:val="auto"/>
              </w:rPr>
            </w:pPr>
          </w:p>
        </w:tc>
        <w:tc>
          <w:tcPr>
            <w:tcW w:w="20" w:type="dxa"/>
            <w:vAlign w:val="bottom"/>
            <w:shd w:val="clear" w:color="auto" w:fill="E5E5E5"/>
          </w:tcPr>
          <w:p>
            <w:pPr>
              <w:spacing w:after="0"/>
              <w:rPr>
                <w:sz w:val="12"/>
                <w:szCs w:val="12"/>
                <w:color w:val="auto"/>
              </w:rPr>
            </w:pPr>
          </w:p>
        </w:tc>
        <w:tc>
          <w:tcPr>
            <w:tcW w:w="200" w:type="dxa"/>
            <w:vAlign w:val="bottom"/>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E5E5E5"/>
          </w:tcPr>
          <w:p>
            <w:pPr>
              <w:spacing w:after="0" w:line="202" w:lineRule="exact"/>
              <w:rPr>
                <w:sz w:val="20"/>
                <w:szCs w:val="20"/>
                <w:color w:val="auto"/>
              </w:rPr>
            </w:pPr>
            <w:r>
              <w:rPr>
                <w:rFonts w:ascii="Arial" w:cs="Arial" w:eastAsia="Arial" w:hAnsi="Arial"/>
                <w:sz w:val="18"/>
                <w:szCs w:val="18"/>
                <w:b w:val="1"/>
                <w:bCs w:val="1"/>
                <w:color w:val="auto"/>
              </w:rPr>
              <w:t>2006</w:t>
            </w:r>
          </w:p>
        </w:tc>
        <w:tc>
          <w:tcPr>
            <w:tcW w:w="2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620" w:type="dxa"/>
            <w:vAlign w:val="bottom"/>
            <w:shd w:val="clear" w:color="auto" w:fill="E5E5E5"/>
          </w:tcPr>
          <w:p>
            <w:pPr>
              <w:jc w:val="right"/>
              <w:ind w:right="172"/>
              <w:spacing w:after="0" w:line="202" w:lineRule="exact"/>
              <w:rPr>
                <w:sz w:val="20"/>
                <w:szCs w:val="20"/>
                <w:color w:val="auto"/>
              </w:rPr>
            </w:pPr>
            <w:r>
              <w:rPr>
                <w:rFonts w:ascii="Arial" w:cs="Arial" w:eastAsia="Arial" w:hAnsi="Arial"/>
                <w:sz w:val="18"/>
                <w:szCs w:val="18"/>
                <w:b w:val="1"/>
                <w:bCs w:val="1"/>
                <w:color w:val="auto"/>
              </w:rPr>
              <w:t>1st</w:t>
            </w:r>
          </w:p>
        </w:tc>
        <w:tc>
          <w:tcPr>
            <w:tcW w:w="260" w:type="dxa"/>
            <w:vAlign w:val="bottom"/>
            <w:shd w:val="clear" w:color="auto" w:fill="E5E5E5"/>
          </w:tcPr>
          <w:p>
            <w:pPr>
              <w:spacing w:after="0"/>
              <w:rPr>
                <w:sz w:val="17"/>
                <w:szCs w:val="17"/>
                <w:color w:val="auto"/>
              </w:rPr>
            </w:pPr>
          </w:p>
        </w:tc>
        <w:tc>
          <w:tcPr>
            <w:tcW w:w="660" w:type="dxa"/>
            <w:vAlign w:val="bottom"/>
            <w:shd w:val="clear" w:color="auto" w:fill="E5E5E5"/>
          </w:tcPr>
          <w:p>
            <w:pPr>
              <w:jc w:val="right"/>
              <w:ind w:right="195"/>
              <w:spacing w:after="0" w:line="202" w:lineRule="exact"/>
              <w:rPr>
                <w:sz w:val="20"/>
                <w:szCs w:val="20"/>
                <w:color w:val="auto"/>
              </w:rPr>
            </w:pPr>
            <w:r>
              <w:rPr>
                <w:rFonts w:ascii="Arial" w:cs="Arial" w:eastAsia="Arial" w:hAnsi="Arial"/>
                <w:sz w:val="18"/>
                <w:szCs w:val="18"/>
                <w:b w:val="1"/>
                <w:bCs w:val="1"/>
                <w:color w:val="auto"/>
              </w:rPr>
              <w:t>2nd</w:t>
            </w:r>
          </w:p>
        </w:tc>
        <w:tc>
          <w:tcPr>
            <w:tcW w:w="260" w:type="dxa"/>
            <w:vAlign w:val="bottom"/>
            <w:shd w:val="clear" w:color="auto" w:fill="E5E5E5"/>
          </w:tcPr>
          <w:p>
            <w:pPr>
              <w:spacing w:after="0"/>
              <w:rPr>
                <w:sz w:val="17"/>
                <w:szCs w:val="17"/>
                <w:color w:val="auto"/>
              </w:rPr>
            </w:pPr>
          </w:p>
        </w:tc>
        <w:tc>
          <w:tcPr>
            <w:tcW w:w="640" w:type="dxa"/>
            <w:vAlign w:val="bottom"/>
            <w:shd w:val="clear" w:color="auto" w:fill="E5E5E5"/>
          </w:tcPr>
          <w:p>
            <w:pPr>
              <w:jc w:val="right"/>
              <w:ind w:right="192"/>
              <w:spacing w:after="0" w:line="202" w:lineRule="exact"/>
              <w:rPr>
                <w:sz w:val="20"/>
                <w:szCs w:val="20"/>
                <w:color w:val="auto"/>
              </w:rPr>
            </w:pPr>
            <w:r>
              <w:rPr>
                <w:rFonts w:ascii="Arial" w:cs="Arial" w:eastAsia="Arial" w:hAnsi="Arial"/>
                <w:sz w:val="18"/>
                <w:szCs w:val="18"/>
                <w:b w:val="1"/>
                <w:bCs w:val="1"/>
                <w:color w:val="auto"/>
              </w:rPr>
              <w:t>3rd</w:t>
            </w:r>
          </w:p>
        </w:tc>
        <w:tc>
          <w:tcPr>
            <w:tcW w:w="260" w:type="dxa"/>
            <w:vAlign w:val="bottom"/>
            <w:shd w:val="clear" w:color="auto" w:fill="E5E5E5"/>
          </w:tcPr>
          <w:p>
            <w:pPr>
              <w:spacing w:after="0"/>
              <w:rPr>
                <w:sz w:val="17"/>
                <w:szCs w:val="17"/>
                <w:color w:val="auto"/>
              </w:rPr>
            </w:pPr>
          </w:p>
        </w:tc>
        <w:tc>
          <w:tcPr>
            <w:tcW w:w="720" w:type="dxa"/>
            <w:vAlign w:val="bottom"/>
            <w:gridSpan w:val="3"/>
            <w:shd w:val="clear" w:color="auto" w:fill="E5E5E5"/>
          </w:tcPr>
          <w:p>
            <w:pPr>
              <w:jc w:val="right"/>
              <w:ind w:right="360"/>
              <w:spacing w:after="0" w:line="202" w:lineRule="exact"/>
              <w:rPr>
                <w:sz w:val="20"/>
                <w:szCs w:val="20"/>
                <w:color w:val="auto"/>
              </w:rPr>
            </w:pPr>
            <w:r>
              <w:rPr>
                <w:rFonts w:ascii="Arial" w:cs="Arial" w:eastAsia="Arial" w:hAnsi="Arial"/>
                <w:sz w:val="18"/>
                <w:szCs w:val="18"/>
                <w:b w:val="1"/>
                <w:bCs w:val="1"/>
                <w:color w:val="auto"/>
              </w:rPr>
              <w:t>4th</w:t>
            </w:r>
          </w:p>
        </w:tc>
        <w:tc>
          <w:tcPr>
            <w:tcW w:w="0" w:type="dxa"/>
            <w:vAlign w:val="bottom"/>
          </w:tcPr>
          <w:p>
            <w:pPr>
              <w:spacing w:after="0"/>
              <w:rPr>
                <w:sz w:val="1"/>
                <w:szCs w:val="1"/>
                <w:color w:val="auto"/>
              </w:rPr>
            </w:pPr>
          </w:p>
        </w:tc>
      </w:tr>
      <w:tr>
        <w:trPr>
          <w:trHeight w:val="311"/>
        </w:trPr>
        <w:tc>
          <w:tcPr>
            <w:tcW w:w="7640" w:type="dxa"/>
            <w:vAlign w:val="bottom"/>
          </w:tcPr>
          <w:p>
            <w:pPr>
              <w:spacing w:after="0"/>
              <w:rPr>
                <w:sz w:val="20"/>
                <w:szCs w:val="20"/>
                <w:color w:val="auto"/>
              </w:rPr>
            </w:pPr>
            <w:r>
              <w:rPr>
                <w:rFonts w:ascii="Arial" w:cs="Arial" w:eastAsia="Arial" w:hAnsi="Arial"/>
                <w:sz w:val="18"/>
                <w:szCs w:val="18"/>
                <w:color w:val="auto"/>
              </w:rPr>
              <w:t>Net revenue</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3,334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95"/>
              <w:spacing w:after="0"/>
              <w:rPr>
                <w:sz w:val="20"/>
                <w:szCs w:val="20"/>
                <w:color w:val="auto"/>
              </w:rPr>
            </w:pPr>
            <w:r>
              <w:rPr>
                <w:rFonts w:ascii="Arial" w:cs="Arial" w:eastAsia="Arial" w:hAnsi="Arial"/>
                <w:sz w:val="18"/>
                <w:szCs w:val="18"/>
                <w:color w:val="auto"/>
              </w:rPr>
              <w:t>3,697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72"/>
              <w:spacing w:after="0"/>
              <w:rPr>
                <w:sz w:val="20"/>
                <w:szCs w:val="20"/>
                <w:color w:val="auto"/>
              </w:rPr>
            </w:pPr>
            <w:r>
              <w:rPr>
                <w:rFonts w:ascii="Arial" w:cs="Arial" w:eastAsia="Arial" w:hAnsi="Arial"/>
                <w:sz w:val="18"/>
                <w:szCs w:val="18"/>
                <w:color w:val="auto"/>
              </w:rPr>
              <w:t>3,761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3,463</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Gross profit</w:t>
            </w:r>
          </w:p>
        </w:tc>
        <w:tc>
          <w:tcPr>
            <w:tcW w:w="2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620" w:type="dxa"/>
            <w:vAlign w:val="bottom"/>
            <w:shd w:val="clear" w:color="auto" w:fill="E5E5E5"/>
          </w:tcPr>
          <w:p>
            <w:pPr>
              <w:jc w:val="right"/>
              <w:ind w:right="32"/>
              <w:spacing w:after="0" w:line="202" w:lineRule="exact"/>
              <w:rPr>
                <w:sz w:val="20"/>
                <w:szCs w:val="20"/>
                <w:color w:val="auto"/>
              </w:rPr>
            </w:pPr>
            <w:r>
              <w:rPr>
                <w:rFonts w:ascii="Arial" w:cs="Arial" w:eastAsia="Arial" w:hAnsi="Arial"/>
                <w:sz w:val="18"/>
                <w:szCs w:val="18"/>
                <w:color w:val="auto"/>
              </w:rPr>
              <w:t>1,672</w:t>
            </w:r>
          </w:p>
        </w:tc>
        <w:tc>
          <w:tcPr>
            <w:tcW w:w="260" w:type="dxa"/>
            <w:vAlign w:val="bottom"/>
            <w:shd w:val="clear" w:color="auto" w:fill="E5E5E5"/>
          </w:tcPr>
          <w:p>
            <w:pPr>
              <w:spacing w:after="0"/>
              <w:rPr>
                <w:sz w:val="17"/>
                <w:szCs w:val="17"/>
                <w:color w:val="auto"/>
              </w:rPr>
            </w:pPr>
          </w:p>
        </w:tc>
        <w:tc>
          <w:tcPr>
            <w:tcW w:w="660" w:type="dxa"/>
            <w:vAlign w:val="bottom"/>
            <w:shd w:val="clear" w:color="auto" w:fill="E5E5E5"/>
          </w:tcPr>
          <w:p>
            <w:pPr>
              <w:jc w:val="right"/>
              <w:ind w:right="95"/>
              <w:spacing w:after="0" w:line="202" w:lineRule="exact"/>
              <w:rPr>
                <w:sz w:val="20"/>
                <w:szCs w:val="20"/>
                <w:color w:val="auto"/>
              </w:rPr>
            </w:pPr>
            <w:r>
              <w:rPr>
                <w:rFonts w:ascii="Arial" w:cs="Arial" w:eastAsia="Arial" w:hAnsi="Arial"/>
                <w:sz w:val="18"/>
                <w:szCs w:val="18"/>
                <w:color w:val="auto"/>
              </w:rPr>
              <w:t>1,907</w:t>
            </w:r>
          </w:p>
        </w:tc>
        <w:tc>
          <w:tcPr>
            <w:tcW w:w="260" w:type="dxa"/>
            <w:vAlign w:val="bottom"/>
            <w:shd w:val="clear" w:color="auto" w:fill="E5E5E5"/>
          </w:tcPr>
          <w:p>
            <w:pPr>
              <w:spacing w:after="0"/>
              <w:rPr>
                <w:sz w:val="17"/>
                <w:szCs w:val="17"/>
                <w:color w:val="auto"/>
              </w:rPr>
            </w:pPr>
          </w:p>
        </w:tc>
        <w:tc>
          <w:tcPr>
            <w:tcW w:w="640" w:type="dxa"/>
            <w:vAlign w:val="bottom"/>
            <w:shd w:val="clear" w:color="auto" w:fill="E5E5E5"/>
          </w:tcPr>
          <w:p>
            <w:pPr>
              <w:jc w:val="right"/>
              <w:ind w:right="72"/>
              <w:spacing w:after="0" w:line="202" w:lineRule="exact"/>
              <w:rPr>
                <w:sz w:val="20"/>
                <w:szCs w:val="20"/>
                <w:color w:val="auto"/>
              </w:rPr>
            </w:pPr>
            <w:r>
              <w:rPr>
                <w:rFonts w:ascii="Arial" w:cs="Arial" w:eastAsia="Arial" w:hAnsi="Arial"/>
                <w:sz w:val="18"/>
                <w:szCs w:val="18"/>
                <w:color w:val="auto"/>
              </w:rPr>
              <w:t>1,932</w:t>
            </w:r>
          </w:p>
        </w:tc>
        <w:tc>
          <w:tcPr>
            <w:tcW w:w="260" w:type="dxa"/>
            <w:vAlign w:val="bottom"/>
            <w:shd w:val="clear" w:color="auto" w:fill="E5E5E5"/>
          </w:tcPr>
          <w:p>
            <w:pPr>
              <w:spacing w:after="0"/>
              <w:rPr>
                <w:sz w:val="17"/>
                <w:szCs w:val="17"/>
                <w:color w:val="auto"/>
              </w:rPr>
            </w:pPr>
          </w:p>
        </w:tc>
        <w:tc>
          <w:tcPr>
            <w:tcW w:w="5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1,748</w:t>
            </w:r>
          </w:p>
        </w:tc>
        <w:tc>
          <w:tcPr>
            <w:tcW w:w="2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spacing w:after="0" w:line="202" w:lineRule="exact"/>
              <w:rPr>
                <w:sz w:val="20"/>
                <w:szCs w:val="20"/>
                <w:color w:val="auto"/>
              </w:rPr>
            </w:pPr>
            <w:r>
              <w:rPr>
                <w:rFonts w:ascii="Arial" w:cs="Arial" w:eastAsia="Arial" w:hAnsi="Arial"/>
                <w:sz w:val="18"/>
                <w:szCs w:val="18"/>
                <w:color w:val="auto"/>
              </w:rPr>
              <w:t>Profit from operations</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718</w:t>
            </w:r>
          </w:p>
        </w:tc>
        <w:tc>
          <w:tcPr>
            <w:tcW w:w="260" w:type="dxa"/>
            <w:vAlign w:val="bottom"/>
          </w:tcPr>
          <w:p>
            <w:pPr>
              <w:spacing w:after="0"/>
              <w:rPr>
                <w:sz w:val="17"/>
                <w:szCs w:val="17"/>
                <w:color w:val="auto"/>
              </w:rPr>
            </w:pPr>
          </w:p>
        </w:tc>
        <w:tc>
          <w:tcPr>
            <w:tcW w:w="660" w:type="dxa"/>
            <w:vAlign w:val="bottom"/>
          </w:tcPr>
          <w:p>
            <w:pPr>
              <w:jc w:val="right"/>
              <w:ind w:right="95"/>
              <w:spacing w:after="0" w:line="202" w:lineRule="exact"/>
              <w:rPr>
                <w:sz w:val="20"/>
                <w:szCs w:val="20"/>
                <w:color w:val="auto"/>
              </w:rPr>
            </w:pPr>
            <w:r>
              <w:rPr>
                <w:rFonts w:ascii="Arial" w:cs="Arial" w:eastAsia="Arial" w:hAnsi="Arial"/>
                <w:sz w:val="18"/>
                <w:szCs w:val="18"/>
                <w:color w:val="auto"/>
              </w:rPr>
              <w:t>953</w:t>
            </w:r>
          </w:p>
        </w:tc>
        <w:tc>
          <w:tcPr>
            <w:tcW w:w="260" w:type="dxa"/>
            <w:vAlign w:val="bottom"/>
          </w:tcPr>
          <w:p>
            <w:pPr>
              <w:spacing w:after="0"/>
              <w:rPr>
                <w:sz w:val="17"/>
                <w:szCs w:val="17"/>
                <w:color w:val="auto"/>
              </w:rPr>
            </w:pPr>
          </w:p>
        </w:tc>
        <w:tc>
          <w:tcPr>
            <w:tcW w:w="640" w:type="dxa"/>
            <w:vAlign w:val="bottom"/>
          </w:tcPr>
          <w:p>
            <w:pPr>
              <w:jc w:val="right"/>
              <w:ind w:right="72"/>
              <w:spacing w:after="0" w:line="202" w:lineRule="exact"/>
              <w:rPr>
                <w:sz w:val="20"/>
                <w:szCs w:val="20"/>
                <w:color w:val="auto"/>
              </w:rPr>
            </w:pPr>
            <w:r>
              <w:rPr>
                <w:rFonts w:ascii="Arial" w:cs="Arial" w:eastAsia="Arial" w:hAnsi="Arial"/>
                <w:sz w:val="18"/>
                <w:szCs w:val="18"/>
                <w:color w:val="auto"/>
              </w:rPr>
              <w:t>930</w:t>
            </w:r>
          </w:p>
        </w:tc>
        <w:tc>
          <w:tcPr>
            <w:tcW w:w="26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767</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Income from continuing operations</w:t>
            </w:r>
          </w:p>
        </w:tc>
        <w:tc>
          <w:tcPr>
            <w:tcW w:w="36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E5E5E5"/>
          </w:tcPr>
          <w:p>
            <w:pPr>
              <w:jc w:val="right"/>
              <w:ind w:right="32"/>
              <w:spacing w:after="0" w:line="202" w:lineRule="exact"/>
              <w:rPr>
                <w:sz w:val="20"/>
                <w:szCs w:val="20"/>
                <w:color w:val="auto"/>
              </w:rPr>
            </w:pPr>
            <w:r>
              <w:rPr>
                <w:rFonts w:ascii="Arial" w:cs="Arial" w:eastAsia="Arial" w:hAnsi="Arial"/>
                <w:sz w:val="18"/>
                <w:szCs w:val="18"/>
                <w:color w:val="auto"/>
              </w:rPr>
              <w:t>542</w:t>
            </w:r>
          </w:p>
        </w:tc>
        <w:tc>
          <w:tcPr>
            <w:tcW w:w="2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E5E5E5"/>
          </w:tcPr>
          <w:p>
            <w:pPr>
              <w:jc w:val="right"/>
              <w:ind w:right="95"/>
              <w:spacing w:after="0" w:line="202" w:lineRule="exact"/>
              <w:rPr>
                <w:sz w:val="20"/>
                <w:szCs w:val="20"/>
                <w:color w:val="auto"/>
              </w:rPr>
            </w:pPr>
            <w:r>
              <w:rPr>
                <w:rFonts w:ascii="Arial" w:cs="Arial" w:eastAsia="Arial" w:hAnsi="Arial"/>
                <w:sz w:val="18"/>
                <w:szCs w:val="18"/>
                <w:color w:val="auto"/>
              </w:rPr>
              <w:t>739</w:t>
            </w:r>
          </w:p>
        </w:tc>
        <w:tc>
          <w:tcPr>
            <w:tcW w:w="2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E5E5E5"/>
          </w:tcPr>
          <w:p>
            <w:pPr>
              <w:jc w:val="right"/>
              <w:ind w:right="72"/>
              <w:spacing w:after="0" w:line="202" w:lineRule="exact"/>
              <w:rPr>
                <w:sz w:val="20"/>
                <w:szCs w:val="20"/>
                <w:color w:val="auto"/>
              </w:rPr>
            </w:pPr>
            <w:r>
              <w:rPr>
                <w:rFonts w:ascii="Arial" w:cs="Arial" w:eastAsia="Arial" w:hAnsi="Arial"/>
                <w:sz w:val="18"/>
                <w:szCs w:val="18"/>
                <w:color w:val="auto"/>
              </w:rPr>
              <w:t>686</w:t>
            </w:r>
          </w:p>
        </w:tc>
        <w:tc>
          <w:tcPr>
            <w:tcW w:w="2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gridSpan w:val="2"/>
            <w:shd w:val="clear" w:color="auto" w:fill="E5E5E5"/>
          </w:tcPr>
          <w:p>
            <w:pPr>
              <w:jc w:val="right"/>
              <w:ind w:right="20"/>
              <w:spacing w:after="0" w:line="202" w:lineRule="exact"/>
              <w:rPr>
                <w:sz w:val="20"/>
                <w:szCs w:val="20"/>
                <w:color w:val="auto"/>
              </w:rPr>
            </w:pPr>
            <w:r>
              <w:rPr>
                <w:rFonts w:ascii="Arial" w:cs="Arial" w:eastAsia="Arial" w:hAnsi="Arial"/>
                <w:sz w:val="18"/>
                <w:szCs w:val="18"/>
                <w:color w:val="auto"/>
              </w:rPr>
              <w:t>671</w:t>
            </w:r>
          </w:p>
        </w:tc>
        <w:tc>
          <w:tcPr>
            <w:tcW w:w="2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40" w:type="dxa"/>
            <w:vAlign w:val="bottom"/>
          </w:tcPr>
          <w:p>
            <w:pPr>
              <w:spacing w:after="0" w:line="196" w:lineRule="exact"/>
              <w:rPr>
                <w:sz w:val="20"/>
                <w:szCs w:val="20"/>
                <w:color w:val="auto"/>
              </w:rPr>
            </w:pPr>
            <w:r>
              <w:rPr>
                <w:rFonts w:ascii="Arial" w:cs="Arial" w:eastAsia="Arial" w:hAnsi="Arial"/>
                <w:sz w:val="18"/>
                <w:szCs w:val="18"/>
                <w:color w:val="auto"/>
              </w:rPr>
              <w:t>Net income</w:t>
            </w:r>
          </w:p>
        </w:tc>
        <w:tc>
          <w:tcPr>
            <w:tcW w:w="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620" w:type="dxa"/>
            <w:vAlign w:val="bottom"/>
          </w:tcPr>
          <w:p>
            <w:pPr>
              <w:jc w:val="right"/>
              <w:ind w:right="32"/>
              <w:spacing w:after="0" w:line="196" w:lineRule="exact"/>
              <w:rPr>
                <w:sz w:val="20"/>
                <w:szCs w:val="20"/>
                <w:color w:val="auto"/>
              </w:rPr>
            </w:pPr>
            <w:r>
              <w:rPr>
                <w:rFonts w:ascii="Arial" w:cs="Arial" w:eastAsia="Arial" w:hAnsi="Arial"/>
                <w:sz w:val="18"/>
                <w:szCs w:val="18"/>
                <w:color w:val="auto"/>
              </w:rPr>
              <w:t>585</w:t>
            </w: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660" w:type="dxa"/>
            <w:vAlign w:val="bottom"/>
          </w:tcPr>
          <w:p>
            <w:pPr>
              <w:jc w:val="right"/>
              <w:ind w:right="95"/>
              <w:spacing w:after="0" w:line="196" w:lineRule="exact"/>
              <w:rPr>
                <w:sz w:val="20"/>
                <w:szCs w:val="20"/>
                <w:color w:val="auto"/>
              </w:rPr>
            </w:pPr>
            <w:r>
              <w:rPr>
                <w:rFonts w:ascii="Arial" w:cs="Arial" w:eastAsia="Arial" w:hAnsi="Arial"/>
                <w:sz w:val="18"/>
                <w:szCs w:val="18"/>
                <w:color w:val="auto"/>
              </w:rPr>
              <w:t>2,387</w:t>
            </w: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640" w:type="dxa"/>
            <w:vAlign w:val="bottom"/>
          </w:tcPr>
          <w:p>
            <w:pPr>
              <w:jc w:val="right"/>
              <w:ind w:right="72"/>
              <w:spacing w:after="0" w:line="196" w:lineRule="exact"/>
              <w:rPr>
                <w:sz w:val="20"/>
                <w:szCs w:val="20"/>
                <w:color w:val="auto"/>
              </w:rPr>
            </w:pPr>
            <w:r>
              <w:rPr>
                <w:rFonts w:ascii="Arial" w:cs="Arial" w:eastAsia="Arial" w:hAnsi="Arial"/>
                <w:sz w:val="18"/>
                <w:szCs w:val="18"/>
                <w:color w:val="auto"/>
              </w:rPr>
              <w:t>702</w:t>
            </w: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668</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40" w:type="dxa"/>
            <w:vAlign w:val="bottom"/>
            <w:shd w:val="clear" w:color="auto" w:fill="E5E5E5"/>
          </w:tcPr>
          <w:p>
            <w:pPr>
              <w:spacing w:after="0" w:line="196" w:lineRule="exact"/>
              <w:rPr>
                <w:sz w:val="20"/>
                <w:szCs w:val="20"/>
                <w:color w:val="auto"/>
              </w:rPr>
            </w:pPr>
            <w:r>
              <w:rPr>
                <w:rFonts w:ascii="Arial" w:cs="Arial" w:eastAsia="Arial" w:hAnsi="Arial"/>
                <w:sz w:val="18"/>
                <w:szCs w:val="18"/>
                <w:color w:val="auto"/>
              </w:rPr>
              <w:t>Diluted earnings per share:</w:t>
            </w:r>
          </w:p>
        </w:tc>
        <w:tc>
          <w:tcPr>
            <w:tcW w:w="2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6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66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64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50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220"/>
              <w:spacing w:after="0" w:line="202" w:lineRule="exact"/>
              <w:rPr>
                <w:sz w:val="20"/>
                <w:szCs w:val="20"/>
                <w:color w:val="auto"/>
              </w:rPr>
            </w:pPr>
            <w:r>
              <w:rPr>
                <w:rFonts w:ascii="Arial" w:cs="Arial" w:eastAsia="Arial" w:hAnsi="Arial"/>
                <w:sz w:val="18"/>
                <w:szCs w:val="18"/>
                <w:color w:val="auto"/>
              </w:rPr>
              <w:t>Income from continuing operations</w:t>
            </w: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0.33</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ind w:right="95"/>
              <w:spacing w:after="0" w:line="202" w:lineRule="exact"/>
              <w:rPr>
                <w:sz w:val="20"/>
                <w:szCs w:val="20"/>
                <w:color w:val="auto"/>
              </w:rPr>
            </w:pPr>
            <w:r>
              <w:rPr>
                <w:rFonts w:ascii="Arial" w:cs="Arial" w:eastAsia="Arial" w:hAnsi="Arial"/>
                <w:sz w:val="18"/>
                <w:szCs w:val="18"/>
                <w:color w:val="auto"/>
              </w:rPr>
              <w:t>0.47</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ind w:right="72"/>
              <w:spacing w:after="0" w:line="202" w:lineRule="exact"/>
              <w:rPr>
                <w:sz w:val="20"/>
                <w:szCs w:val="20"/>
                <w:color w:val="auto"/>
              </w:rPr>
            </w:pPr>
            <w:r>
              <w:rPr>
                <w:rFonts w:ascii="Arial" w:cs="Arial" w:eastAsia="Arial" w:hAnsi="Arial"/>
                <w:sz w:val="18"/>
                <w:szCs w:val="18"/>
                <w:color w:val="auto"/>
              </w:rPr>
              <w:t>0.45</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0.45</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40" w:type="dxa"/>
            <w:vAlign w:val="bottom"/>
            <w:shd w:val="clear" w:color="auto" w:fill="E5E5E5"/>
          </w:tcPr>
          <w:p>
            <w:pPr>
              <w:ind w:left="220"/>
              <w:spacing w:after="0" w:line="196" w:lineRule="exact"/>
              <w:rPr>
                <w:sz w:val="20"/>
                <w:szCs w:val="20"/>
                <w:color w:val="auto"/>
              </w:rPr>
            </w:pPr>
            <w:r>
              <w:rPr>
                <w:rFonts w:ascii="Arial" w:cs="Arial" w:eastAsia="Arial" w:hAnsi="Arial"/>
                <w:sz w:val="18"/>
                <w:szCs w:val="18"/>
                <w:color w:val="auto"/>
              </w:rPr>
              <w:t>Net income</w:t>
            </w:r>
          </w:p>
        </w:tc>
        <w:tc>
          <w:tcPr>
            <w:tcW w:w="360" w:type="dxa"/>
            <w:vAlign w:val="bottom"/>
            <w:gridSpan w:val="2"/>
            <w:shd w:val="clear" w:color="auto" w:fill="E5E5E5"/>
          </w:tcPr>
          <w:p>
            <w:pPr>
              <w:jc w:val="right"/>
              <w:spacing w:after="0" w:line="196" w:lineRule="exact"/>
              <w:rPr>
                <w:sz w:val="20"/>
                <w:szCs w:val="20"/>
                <w:color w:val="auto"/>
              </w:rPr>
            </w:pPr>
            <w:r>
              <w:rPr>
                <w:rFonts w:ascii="Arial" w:cs="Arial" w:eastAsia="Arial" w:hAnsi="Arial"/>
                <w:sz w:val="18"/>
                <w:szCs w:val="18"/>
                <w:color w:val="auto"/>
              </w:rPr>
              <w:t>$</w:t>
            </w:r>
          </w:p>
        </w:tc>
        <w:tc>
          <w:tcPr>
            <w:tcW w:w="620" w:type="dxa"/>
            <w:vAlign w:val="bottom"/>
            <w:shd w:val="clear" w:color="auto" w:fill="E5E5E5"/>
          </w:tcPr>
          <w:p>
            <w:pPr>
              <w:jc w:val="right"/>
              <w:ind w:right="32"/>
              <w:spacing w:after="0" w:line="196" w:lineRule="exact"/>
              <w:rPr>
                <w:sz w:val="20"/>
                <w:szCs w:val="20"/>
                <w:color w:val="auto"/>
              </w:rPr>
            </w:pPr>
            <w:r>
              <w:rPr>
                <w:rFonts w:ascii="Arial" w:cs="Arial" w:eastAsia="Arial" w:hAnsi="Arial"/>
                <w:sz w:val="18"/>
                <w:szCs w:val="18"/>
                <w:color w:val="auto"/>
              </w:rPr>
              <w:t>0.36</w:t>
            </w:r>
          </w:p>
        </w:tc>
        <w:tc>
          <w:tcPr>
            <w:tcW w:w="26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rPr>
              <w:t>$</w:t>
            </w:r>
          </w:p>
        </w:tc>
        <w:tc>
          <w:tcPr>
            <w:tcW w:w="660" w:type="dxa"/>
            <w:vAlign w:val="bottom"/>
            <w:shd w:val="clear" w:color="auto" w:fill="E5E5E5"/>
          </w:tcPr>
          <w:p>
            <w:pPr>
              <w:jc w:val="right"/>
              <w:ind w:right="95"/>
              <w:spacing w:after="0" w:line="196" w:lineRule="exact"/>
              <w:rPr>
                <w:sz w:val="20"/>
                <w:szCs w:val="20"/>
                <w:color w:val="auto"/>
              </w:rPr>
            </w:pPr>
            <w:r>
              <w:rPr>
                <w:rFonts w:ascii="Arial" w:cs="Arial" w:eastAsia="Arial" w:hAnsi="Arial"/>
                <w:sz w:val="18"/>
                <w:szCs w:val="18"/>
                <w:color w:val="auto"/>
              </w:rPr>
              <w:t>1.50</w:t>
            </w:r>
          </w:p>
        </w:tc>
        <w:tc>
          <w:tcPr>
            <w:tcW w:w="26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rPr>
              <w:t>$</w:t>
            </w:r>
          </w:p>
        </w:tc>
        <w:tc>
          <w:tcPr>
            <w:tcW w:w="640" w:type="dxa"/>
            <w:vAlign w:val="bottom"/>
            <w:shd w:val="clear" w:color="auto" w:fill="E5E5E5"/>
          </w:tcPr>
          <w:p>
            <w:pPr>
              <w:jc w:val="right"/>
              <w:ind w:right="72"/>
              <w:spacing w:after="0" w:line="196" w:lineRule="exact"/>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46</w:t>
            </w:r>
          </w:p>
        </w:tc>
        <w:tc>
          <w:tcPr>
            <w:tcW w:w="26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rPr>
              <w:t>$</w:t>
            </w:r>
          </w:p>
        </w:tc>
        <w:tc>
          <w:tcPr>
            <w:tcW w:w="520" w:type="dxa"/>
            <w:vAlign w:val="bottom"/>
            <w:gridSpan w:val="2"/>
            <w:shd w:val="clear" w:color="auto" w:fill="E5E5E5"/>
          </w:tcPr>
          <w:p>
            <w:pPr>
              <w:jc w:val="right"/>
              <w:ind w:right="20"/>
              <w:spacing w:after="0" w:line="196" w:lineRule="exact"/>
              <w:rPr>
                <w:sz w:val="20"/>
                <w:szCs w:val="20"/>
                <w:color w:val="auto"/>
              </w:rPr>
            </w:pPr>
            <w:r>
              <w:rPr>
                <w:rFonts w:ascii="Arial" w:cs="Arial" w:eastAsia="Arial" w:hAnsi="Arial"/>
                <w:sz w:val="18"/>
                <w:szCs w:val="18"/>
                <w:color w:val="auto"/>
              </w:rPr>
              <w:t>0.45</w:t>
            </w:r>
          </w:p>
        </w:tc>
        <w:tc>
          <w:tcPr>
            <w:tcW w:w="2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40" w:type="dxa"/>
            <w:vAlign w:val="bottom"/>
            <w:vMerge w:val="restart"/>
          </w:tcPr>
          <w:p>
            <w:pPr>
              <w:spacing w:after="0"/>
              <w:rPr>
                <w:sz w:val="20"/>
                <w:szCs w:val="20"/>
                <w:color w:val="auto"/>
              </w:rPr>
            </w:pPr>
            <w:r>
              <w:rPr>
                <w:rFonts w:ascii="Arial" w:cs="Arial" w:eastAsia="Arial" w:hAnsi="Arial"/>
                <w:sz w:val="18"/>
                <w:szCs w:val="18"/>
                <w:color w:val="auto"/>
              </w:rPr>
              <w:t>Included in the results above were the following items:</w:t>
            </w: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76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7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gridSpan w:val="2"/>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7640" w:type="dxa"/>
            <w:vAlign w:val="bottom"/>
            <w:shd w:val="clear" w:color="auto" w:fill="E5E5E5"/>
          </w:tcPr>
          <w:p>
            <w:pPr>
              <w:spacing w:after="0"/>
              <w:rPr>
                <w:sz w:val="12"/>
                <w:szCs w:val="12"/>
                <w:color w:val="auto"/>
              </w:rPr>
            </w:pPr>
          </w:p>
        </w:tc>
        <w:tc>
          <w:tcPr>
            <w:tcW w:w="220" w:type="dxa"/>
            <w:vAlign w:val="bottom"/>
            <w:shd w:val="clear" w:color="auto" w:fill="E5E5E5"/>
          </w:tcPr>
          <w:p>
            <w:pPr>
              <w:spacing w:after="0"/>
              <w:rPr>
                <w:sz w:val="12"/>
                <w:szCs w:val="12"/>
                <w:color w:val="auto"/>
              </w:rPr>
            </w:pPr>
          </w:p>
        </w:tc>
        <w:tc>
          <w:tcPr>
            <w:tcW w:w="140" w:type="dxa"/>
            <w:vAlign w:val="bottom"/>
            <w:shd w:val="clear" w:color="auto" w:fill="E5E5E5"/>
          </w:tcPr>
          <w:p>
            <w:pPr>
              <w:spacing w:after="0"/>
              <w:rPr>
                <w:sz w:val="12"/>
                <w:szCs w:val="12"/>
                <w:color w:val="auto"/>
              </w:rPr>
            </w:pPr>
          </w:p>
        </w:tc>
        <w:tc>
          <w:tcPr>
            <w:tcW w:w="620" w:type="dxa"/>
            <w:vAlign w:val="bottom"/>
            <w:shd w:val="clear" w:color="auto" w:fill="E5E5E5"/>
          </w:tcPr>
          <w:p>
            <w:pPr>
              <w:spacing w:after="0"/>
              <w:rPr>
                <w:sz w:val="12"/>
                <w:szCs w:val="12"/>
                <w:color w:val="auto"/>
              </w:rPr>
            </w:pPr>
          </w:p>
        </w:tc>
        <w:tc>
          <w:tcPr>
            <w:tcW w:w="260" w:type="dxa"/>
            <w:vAlign w:val="bottom"/>
            <w:shd w:val="clear" w:color="auto" w:fill="E5E5E5"/>
          </w:tcPr>
          <w:p>
            <w:pPr>
              <w:spacing w:after="0"/>
              <w:rPr>
                <w:sz w:val="12"/>
                <w:szCs w:val="12"/>
                <w:color w:val="auto"/>
              </w:rPr>
            </w:pPr>
          </w:p>
        </w:tc>
        <w:tc>
          <w:tcPr>
            <w:tcW w:w="920" w:type="dxa"/>
            <w:vAlign w:val="bottom"/>
            <w:gridSpan w:val="2"/>
            <w:shd w:val="clear" w:color="auto" w:fill="E5E5E5"/>
          </w:tcPr>
          <w:p>
            <w:pPr>
              <w:jc w:val="right"/>
              <w:spacing w:after="0" w:line="149" w:lineRule="exact"/>
              <w:rPr>
                <w:sz w:val="20"/>
                <w:szCs w:val="20"/>
                <w:color w:val="auto"/>
              </w:rPr>
            </w:pPr>
            <w:r>
              <w:rPr>
                <w:rFonts w:ascii="Arial" w:cs="Arial" w:eastAsia="Arial" w:hAnsi="Arial"/>
                <w:sz w:val="14"/>
                <w:szCs w:val="14"/>
                <w:b w:val="1"/>
                <w:bCs w:val="1"/>
                <w:color w:val="auto"/>
              </w:rPr>
              <w:t>Quarter</w:t>
            </w:r>
          </w:p>
        </w:tc>
        <w:tc>
          <w:tcPr>
            <w:tcW w:w="640" w:type="dxa"/>
            <w:vAlign w:val="bottom"/>
            <w:shd w:val="clear" w:color="auto" w:fill="E5E5E5"/>
          </w:tcPr>
          <w:p>
            <w:pPr>
              <w:spacing w:after="0"/>
              <w:rPr>
                <w:sz w:val="12"/>
                <w:szCs w:val="12"/>
                <w:color w:val="auto"/>
              </w:rPr>
            </w:pPr>
          </w:p>
        </w:tc>
        <w:tc>
          <w:tcPr>
            <w:tcW w:w="260" w:type="dxa"/>
            <w:vAlign w:val="bottom"/>
            <w:shd w:val="clear" w:color="auto" w:fill="E5E5E5"/>
          </w:tcPr>
          <w:p>
            <w:pPr>
              <w:spacing w:after="0"/>
              <w:rPr>
                <w:sz w:val="12"/>
                <w:szCs w:val="12"/>
                <w:color w:val="auto"/>
              </w:rPr>
            </w:pPr>
          </w:p>
        </w:tc>
        <w:tc>
          <w:tcPr>
            <w:tcW w:w="500" w:type="dxa"/>
            <w:vAlign w:val="bottom"/>
            <w:shd w:val="clear" w:color="auto" w:fill="E5E5E5"/>
          </w:tcPr>
          <w:p>
            <w:pPr>
              <w:spacing w:after="0"/>
              <w:rPr>
                <w:sz w:val="12"/>
                <w:szCs w:val="12"/>
                <w:color w:val="auto"/>
              </w:rPr>
            </w:pPr>
          </w:p>
        </w:tc>
        <w:tc>
          <w:tcPr>
            <w:tcW w:w="20" w:type="dxa"/>
            <w:vAlign w:val="bottom"/>
            <w:shd w:val="clear" w:color="auto" w:fill="E5E5E5"/>
          </w:tcPr>
          <w:p>
            <w:pPr>
              <w:spacing w:after="0"/>
              <w:rPr>
                <w:sz w:val="12"/>
                <w:szCs w:val="12"/>
                <w:color w:val="auto"/>
              </w:rPr>
            </w:pPr>
          </w:p>
        </w:tc>
        <w:tc>
          <w:tcPr>
            <w:tcW w:w="200" w:type="dxa"/>
            <w:vAlign w:val="bottom"/>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E5E5E5"/>
          </w:tcPr>
          <w:p>
            <w:pPr>
              <w:spacing w:after="0" w:line="202" w:lineRule="exact"/>
              <w:rPr>
                <w:sz w:val="20"/>
                <w:szCs w:val="20"/>
                <w:color w:val="auto"/>
              </w:rPr>
            </w:pPr>
            <w:r>
              <w:rPr>
                <w:rFonts w:ascii="Arial" w:cs="Arial" w:eastAsia="Arial" w:hAnsi="Arial"/>
                <w:sz w:val="18"/>
                <w:szCs w:val="18"/>
                <w:b w:val="1"/>
                <w:bCs w:val="1"/>
                <w:color w:val="auto"/>
              </w:rPr>
              <w:t>2007</w:t>
            </w:r>
          </w:p>
        </w:tc>
        <w:tc>
          <w:tcPr>
            <w:tcW w:w="2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620" w:type="dxa"/>
            <w:vAlign w:val="bottom"/>
            <w:shd w:val="clear" w:color="auto" w:fill="E5E5E5"/>
          </w:tcPr>
          <w:p>
            <w:pPr>
              <w:jc w:val="right"/>
              <w:ind w:right="32"/>
              <w:spacing w:after="0" w:line="202" w:lineRule="exact"/>
              <w:rPr>
                <w:sz w:val="20"/>
                <w:szCs w:val="20"/>
                <w:color w:val="auto"/>
              </w:rPr>
            </w:pPr>
            <w:r>
              <w:rPr>
                <w:rFonts w:ascii="Arial" w:cs="Arial" w:eastAsia="Arial" w:hAnsi="Arial"/>
                <w:sz w:val="18"/>
                <w:szCs w:val="18"/>
                <w:b w:val="1"/>
                <w:bCs w:val="1"/>
                <w:color w:val="auto"/>
              </w:rPr>
              <w:t>1st</w:t>
            </w:r>
          </w:p>
        </w:tc>
        <w:tc>
          <w:tcPr>
            <w:tcW w:w="260" w:type="dxa"/>
            <w:vAlign w:val="bottom"/>
            <w:shd w:val="clear" w:color="auto" w:fill="E5E5E5"/>
          </w:tcPr>
          <w:p>
            <w:pPr>
              <w:spacing w:after="0"/>
              <w:rPr>
                <w:sz w:val="17"/>
                <w:szCs w:val="17"/>
                <w:color w:val="auto"/>
              </w:rPr>
            </w:pPr>
          </w:p>
        </w:tc>
        <w:tc>
          <w:tcPr>
            <w:tcW w:w="660" w:type="dxa"/>
            <w:vAlign w:val="bottom"/>
            <w:shd w:val="clear" w:color="auto" w:fill="E5E5E5"/>
          </w:tcPr>
          <w:p>
            <w:pPr>
              <w:jc w:val="right"/>
              <w:ind w:right="95"/>
              <w:spacing w:after="0" w:line="202" w:lineRule="exact"/>
              <w:rPr>
                <w:sz w:val="20"/>
                <w:szCs w:val="20"/>
                <w:color w:val="auto"/>
              </w:rPr>
            </w:pPr>
            <w:r>
              <w:rPr>
                <w:rFonts w:ascii="Arial" w:cs="Arial" w:eastAsia="Arial" w:hAnsi="Arial"/>
                <w:sz w:val="18"/>
                <w:szCs w:val="18"/>
                <w:b w:val="1"/>
                <w:bCs w:val="1"/>
                <w:color w:val="auto"/>
              </w:rPr>
              <w:t>2nd</w:t>
            </w:r>
          </w:p>
        </w:tc>
        <w:tc>
          <w:tcPr>
            <w:tcW w:w="260" w:type="dxa"/>
            <w:vAlign w:val="bottom"/>
            <w:shd w:val="clear" w:color="auto" w:fill="E5E5E5"/>
          </w:tcPr>
          <w:p>
            <w:pPr>
              <w:spacing w:after="0"/>
              <w:rPr>
                <w:sz w:val="17"/>
                <w:szCs w:val="17"/>
                <w:color w:val="auto"/>
              </w:rPr>
            </w:pPr>
          </w:p>
        </w:tc>
        <w:tc>
          <w:tcPr>
            <w:tcW w:w="640" w:type="dxa"/>
            <w:vAlign w:val="bottom"/>
            <w:shd w:val="clear" w:color="auto" w:fill="E5E5E5"/>
          </w:tcPr>
          <w:p>
            <w:pPr>
              <w:jc w:val="right"/>
              <w:ind w:right="72"/>
              <w:spacing w:after="0" w:line="202" w:lineRule="exact"/>
              <w:rPr>
                <w:sz w:val="20"/>
                <w:szCs w:val="20"/>
                <w:color w:val="auto"/>
              </w:rPr>
            </w:pPr>
            <w:r>
              <w:rPr>
                <w:rFonts w:ascii="Arial" w:cs="Arial" w:eastAsia="Arial" w:hAnsi="Arial"/>
                <w:sz w:val="18"/>
                <w:szCs w:val="18"/>
                <w:b w:val="1"/>
                <w:bCs w:val="1"/>
                <w:color w:val="auto"/>
              </w:rPr>
              <w:t>3rd</w:t>
            </w:r>
          </w:p>
        </w:tc>
        <w:tc>
          <w:tcPr>
            <w:tcW w:w="260" w:type="dxa"/>
            <w:vAlign w:val="bottom"/>
            <w:shd w:val="clear" w:color="auto" w:fill="E5E5E5"/>
          </w:tcPr>
          <w:p>
            <w:pPr>
              <w:spacing w:after="0"/>
              <w:rPr>
                <w:sz w:val="17"/>
                <w:szCs w:val="17"/>
                <w:color w:val="auto"/>
              </w:rPr>
            </w:pPr>
          </w:p>
        </w:tc>
        <w:tc>
          <w:tcPr>
            <w:tcW w:w="720" w:type="dxa"/>
            <w:vAlign w:val="bottom"/>
            <w:gridSpan w:val="3"/>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4th</w:t>
            </w:r>
          </w:p>
        </w:tc>
        <w:tc>
          <w:tcPr>
            <w:tcW w:w="0" w:type="dxa"/>
            <w:vAlign w:val="bottom"/>
          </w:tcPr>
          <w:p>
            <w:pPr>
              <w:spacing w:after="0"/>
              <w:rPr>
                <w:sz w:val="1"/>
                <w:szCs w:val="1"/>
                <w:color w:val="auto"/>
              </w:rPr>
            </w:pPr>
          </w:p>
        </w:tc>
      </w:tr>
      <w:tr>
        <w:trPr>
          <w:trHeight w:val="282"/>
        </w:trPr>
        <w:tc>
          <w:tcPr>
            <w:tcW w:w="7640" w:type="dxa"/>
            <w:vAlign w:val="bottom"/>
          </w:tcPr>
          <w:p>
            <w:pPr>
              <w:spacing w:after="0"/>
              <w:rPr>
                <w:sz w:val="20"/>
                <w:szCs w:val="20"/>
                <w:color w:val="auto"/>
              </w:rPr>
            </w:pPr>
            <w:r>
              <w:rPr>
                <w:rFonts w:ascii="Arial" w:cs="Arial" w:eastAsia="Arial" w:hAnsi="Arial"/>
                <w:sz w:val="18"/>
                <w:szCs w:val="18"/>
                <w:b w:val="1"/>
                <w:bCs w:val="1"/>
                <w:color w:val="auto"/>
              </w:rPr>
              <w:t>Gain on sale of asset (a)</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95"/>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(39)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3"/>
        </w:trPr>
        <w:tc>
          <w:tcPr>
            <w:tcW w:w="7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gridSpan w:val="2"/>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7640" w:type="dxa"/>
            <w:vAlign w:val="bottom"/>
            <w:shd w:val="clear" w:color="auto" w:fill="E5E5E5"/>
          </w:tcPr>
          <w:p>
            <w:pPr>
              <w:spacing w:after="0"/>
              <w:rPr>
                <w:sz w:val="12"/>
                <w:szCs w:val="12"/>
                <w:color w:val="auto"/>
              </w:rPr>
            </w:pPr>
          </w:p>
        </w:tc>
        <w:tc>
          <w:tcPr>
            <w:tcW w:w="220" w:type="dxa"/>
            <w:vAlign w:val="bottom"/>
            <w:shd w:val="clear" w:color="auto" w:fill="E5E5E5"/>
          </w:tcPr>
          <w:p>
            <w:pPr>
              <w:spacing w:after="0"/>
              <w:rPr>
                <w:sz w:val="12"/>
                <w:szCs w:val="12"/>
                <w:color w:val="auto"/>
              </w:rPr>
            </w:pPr>
          </w:p>
        </w:tc>
        <w:tc>
          <w:tcPr>
            <w:tcW w:w="140" w:type="dxa"/>
            <w:vAlign w:val="bottom"/>
            <w:shd w:val="clear" w:color="auto" w:fill="E5E5E5"/>
          </w:tcPr>
          <w:p>
            <w:pPr>
              <w:spacing w:after="0"/>
              <w:rPr>
                <w:sz w:val="12"/>
                <w:szCs w:val="12"/>
                <w:color w:val="auto"/>
              </w:rPr>
            </w:pPr>
          </w:p>
        </w:tc>
        <w:tc>
          <w:tcPr>
            <w:tcW w:w="620" w:type="dxa"/>
            <w:vAlign w:val="bottom"/>
            <w:shd w:val="clear" w:color="auto" w:fill="E5E5E5"/>
          </w:tcPr>
          <w:p>
            <w:pPr>
              <w:spacing w:after="0"/>
              <w:rPr>
                <w:sz w:val="12"/>
                <w:szCs w:val="12"/>
                <w:color w:val="auto"/>
              </w:rPr>
            </w:pPr>
          </w:p>
        </w:tc>
        <w:tc>
          <w:tcPr>
            <w:tcW w:w="260" w:type="dxa"/>
            <w:vAlign w:val="bottom"/>
            <w:shd w:val="clear" w:color="auto" w:fill="E5E5E5"/>
          </w:tcPr>
          <w:p>
            <w:pPr>
              <w:spacing w:after="0"/>
              <w:rPr>
                <w:sz w:val="12"/>
                <w:szCs w:val="12"/>
                <w:color w:val="auto"/>
              </w:rPr>
            </w:pPr>
          </w:p>
        </w:tc>
        <w:tc>
          <w:tcPr>
            <w:tcW w:w="920" w:type="dxa"/>
            <w:vAlign w:val="bottom"/>
            <w:gridSpan w:val="2"/>
            <w:shd w:val="clear" w:color="auto" w:fill="E5E5E5"/>
          </w:tcPr>
          <w:p>
            <w:pPr>
              <w:jc w:val="right"/>
              <w:spacing w:after="0" w:line="149" w:lineRule="exact"/>
              <w:rPr>
                <w:sz w:val="20"/>
                <w:szCs w:val="20"/>
                <w:color w:val="auto"/>
              </w:rPr>
            </w:pPr>
            <w:r>
              <w:rPr>
                <w:rFonts w:ascii="Arial" w:cs="Arial" w:eastAsia="Arial" w:hAnsi="Arial"/>
                <w:sz w:val="14"/>
                <w:szCs w:val="14"/>
                <w:b w:val="1"/>
                <w:bCs w:val="1"/>
                <w:color w:val="auto"/>
              </w:rPr>
              <w:t>Quarter</w:t>
            </w:r>
          </w:p>
        </w:tc>
        <w:tc>
          <w:tcPr>
            <w:tcW w:w="640" w:type="dxa"/>
            <w:vAlign w:val="bottom"/>
            <w:shd w:val="clear" w:color="auto" w:fill="E5E5E5"/>
          </w:tcPr>
          <w:p>
            <w:pPr>
              <w:spacing w:after="0"/>
              <w:rPr>
                <w:sz w:val="12"/>
                <w:szCs w:val="12"/>
                <w:color w:val="auto"/>
              </w:rPr>
            </w:pPr>
          </w:p>
        </w:tc>
        <w:tc>
          <w:tcPr>
            <w:tcW w:w="260" w:type="dxa"/>
            <w:vAlign w:val="bottom"/>
            <w:shd w:val="clear" w:color="auto" w:fill="E5E5E5"/>
          </w:tcPr>
          <w:p>
            <w:pPr>
              <w:spacing w:after="0"/>
              <w:rPr>
                <w:sz w:val="12"/>
                <w:szCs w:val="12"/>
                <w:color w:val="auto"/>
              </w:rPr>
            </w:pPr>
          </w:p>
        </w:tc>
        <w:tc>
          <w:tcPr>
            <w:tcW w:w="500" w:type="dxa"/>
            <w:vAlign w:val="bottom"/>
            <w:shd w:val="clear" w:color="auto" w:fill="E5E5E5"/>
          </w:tcPr>
          <w:p>
            <w:pPr>
              <w:spacing w:after="0"/>
              <w:rPr>
                <w:sz w:val="12"/>
                <w:szCs w:val="12"/>
                <w:color w:val="auto"/>
              </w:rPr>
            </w:pPr>
          </w:p>
        </w:tc>
        <w:tc>
          <w:tcPr>
            <w:tcW w:w="20" w:type="dxa"/>
            <w:vAlign w:val="bottom"/>
            <w:shd w:val="clear" w:color="auto" w:fill="E5E5E5"/>
          </w:tcPr>
          <w:p>
            <w:pPr>
              <w:spacing w:after="0"/>
              <w:rPr>
                <w:sz w:val="12"/>
                <w:szCs w:val="12"/>
                <w:color w:val="auto"/>
              </w:rPr>
            </w:pPr>
          </w:p>
        </w:tc>
        <w:tc>
          <w:tcPr>
            <w:tcW w:w="200" w:type="dxa"/>
            <w:vAlign w:val="bottom"/>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E5E5E5"/>
          </w:tcPr>
          <w:p>
            <w:pPr>
              <w:spacing w:after="0" w:line="202" w:lineRule="exact"/>
              <w:rPr>
                <w:sz w:val="20"/>
                <w:szCs w:val="20"/>
                <w:color w:val="auto"/>
              </w:rPr>
            </w:pPr>
            <w:r>
              <w:rPr>
                <w:rFonts w:ascii="Arial" w:cs="Arial" w:eastAsia="Arial" w:hAnsi="Arial"/>
                <w:sz w:val="18"/>
                <w:szCs w:val="18"/>
                <w:b w:val="1"/>
                <w:bCs w:val="1"/>
                <w:color w:val="auto"/>
              </w:rPr>
              <w:t>2006</w:t>
            </w:r>
          </w:p>
        </w:tc>
        <w:tc>
          <w:tcPr>
            <w:tcW w:w="2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620" w:type="dxa"/>
            <w:vAlign w:val="bottom"/>
            <w:shd w:val="clear" w:color="auto" w:fill="E5E5E5"/>
          </w:tcPr>
          <w:p>
            <w:pPr>
              <w:jc w:val="right"/>
              <w:ind w:right="32"/>
              <w:spacing w:after="0" w:line="202" w:lineRule="exact"/>
              <w:rPr>
                <w:sz w:val="20"/>
                <w:szCs w:val="20"/>
                <w:color w:val="auto"/>
              </w:rPr>
            </w:pPr>
            <w:r>
              <w:rPr>
                <w:rFonts w:ascii="Arial" w:cs="Arial" w:eastAsia="Arial" w:hAnsi="Arial"/>
                <w:sz w:val="18"/>
                <w:szCs w:val="18"/>
                <w:b w:val="1"/>
                <w:bCs w:val="1"/>
                <w:color w:val="auto"/>
              </w:rPr>
              <w:t>1st</w:t>
            </w:r>
          </w:p>
        </w:tc>
        <w:tc>
          <w:tcPr>
            <w:tcW w:w="260" w:type="dxa"/>
            <w:vAlign w:val="bottom"/>
            <w:shd w:val="clear" w:color="auto" w:fill="E5E5E5"/>
          </w:tcPr>
          <w:p>
            <w:pPr>
              <w:spacing w:after="0"/>
              <w:rPr>
                <w:sz w:val="17"/>
                <w:szCs w:val="17"/>
                <w:color w:val="auto"/>
              </w:rPr>
            </w:pPr>
          </w:p>
        </w:tc>
        <w:tc>
          <w:tcPr>
            <w:tcW w:w="660" w:type="dxa"/>
            <w:vAlign w:val="bottom"/>
            <w:shd w:val="clear" w:color="auto" w:fill="E5E5E5"/>
          </w:tcPr>
          <w:p>
            <w:pPr>
              <w:jc w:val="right"/>
              <w:ind w:right="95"/>
              <w:spacing w:after="0" w:line="202" w:lineRule="exact"/>
              <w:rPr>
                <w:sz w:val="20"/>
                <w:szCs w:val="20"/>
                <w:color w:val="auto"/>
              </w:rPr>
            </w:pPr>
            <w:r>
              <w:rPr>
                <w:rFonts w:ascii="Arial" w:cs="Arial" w:eastAsia="Arial" w:hAnsi="Arial"/>
                <w:sz w:val="18"/>
                <w:szCs w:val="18"/>
                <w:b w:val="1"/>
                <w:bCs w:val="1"/>
                <w:color w:val="auto"/>
              </w:rPr>
              <w:t>2nd</w:t>
            </w:r>
          </w:p>
        </w:tc>
        <w:tc>
          <w:tcPr>
            <w:tcW w:w="260" w:type="dxa"/>
            <w:vAlign w:val="bottom"/>
            <w:shd w:val="clear" w:color="auto" w:fill="E5E5E5"/>
          </w:tcPr>
          <w:p>
            <w:pPr>
              <w:spacing w:after="0"/>
              <w:rPr>
                <w:sz w:val="17"/>
                <w:szCs w:val="17"/>
                <w:color w:val="auto"/>
              </w:rPr>
            </w:pPr>
          </w:p>
        </w:tc>
        <w:tc>
          <w:tcPr>
            <w:tcW w:w="640" w:type="dxa"/>
            <w:vAlign w:val="bottom"/>
            <w:shd w:val="clear" w:color="auto" w:fill="E5E5E5"/>
          </w:tcPr>
          <w:p>
            <w:pPr>
              <w:jc w:val="right"/>
              <w:ind w:right="72"/>
              <w:spacing w:after="0" w:line="202" w:lineRule="exact"/>
              <w:rPr>
                <w:sz w:val="20"/>
                <w:szCs w:val="20"/>
                <w:color w:val="auto"/>
              </w:rPr>
            </w:pPr>
            <w:r>
              <w:rPr>
                <w:rFonts w:ascii="Arial" w:cs="Arial" w:eastAsia="Arial" w:hAnsi="Arial"/>
                <w:sz w:val="18"/>
                <w:szCs w:val="18"/>
                <w:b w:val="1"/>
                <w:bCs w:val="1"/>
                <w:color w:val="auto"/>
              </w:rPr>
              <w:t>3rd</w:t>
            </w:r>
          </w:p>
        </w:tc>
        <w:tc>
          <w:tcPr>
            <w:tcW w:w="260" w:type="dxa"/>
            <w:vAlign w:val="bottom"/>
            <w:shd w:val="clear" w:color="auto" w:fill="E5E5E5"/>
          </w:tcPr>
          <w:p>
            <w:pPr>
              <w:spacing w:after="0"/>
              <w:rPr>
                <w:sz w:val="17"/>
                <w:szCs w:val="17"/>
                <w:color w:val="auto"/>
              </w:rPr>
            </w:pPr>
          </w:p>
        </w:tc>
        <w:tc>
          <w:tcPr>
            <w:tcW w:w="720" w:type="dxa"/>
            <w:vAlign w:val="bottom"/>
            <w:gridSpan w:val="3"/>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4th</w:t>
            </w:r>
          </w:p>
        </w:tc>
        <w:tc>
          <w:tcPr>
            <w:tcW w:w="0" w:type="dxa"/>
            <w:vAlign w:val="bottom"/>
          </w:tcPr>
          <w:p>
            <w:pPr>
              <w:spacing w:after="0"/>
              <w:rPr>
                <w:sz w:val="1"/>
                <w:szCs w:val="1"/>
                <w:color w:val="auto"/>
              </w:rPr>
            </w:pPr>
          </w:p>
        </w:tc>
      </w:tr>
      <w:tr>
        <w:trPr>
          <w:trHeight w:val="203"/>
        </w:trPr>
        <w:tc>
          <w:tcPr>
            <w:tcW w:w="7640" w:type="dxa"/>
            <w:vAlign w:val="bottom"/>
          </w:tcPr>
          <w:p>
            <w:pPr>
              <w:spacing w:after="0" w:line="202" w:lineRule="exact"/>
              <w:rPr>
                <w:sz w:val="20"/>
                <w:szCs w:val="20"/>
                <w:color w:val="auto"/>
              </w:rPr>
            </w:pPr>
            <w:r>
              <w:rPr>
                <w:rFonts w:ascii="Arial" w:cs="Arial" w:eastAsia="Arial" w:hAnsi="Arial"/>
                <w:sz w:val="18"/>
                <w:szCs w:val="18"/>
                <w:color w:val="auto"/>
              </w:rPr>
              <w:t>Royalty settlement benefit (b)</w:t>
            </w: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ind w:right="35"/>
              <w:spacing w:after="0" w:line="202" w:lineRule="exact"/>
              <w:rPr>
                <w:sz w:val="20"/>
                <w:szCs w:val="20"/>
                <w:color w:val="auto"/>
              </w:rPr>
            </w:pPr>
            <w:r>
              <w:rPr>
                <w:rFonts w:ascii="Arial" w:cs="Arial" w:eastAsia="Arial" w:hAnsi="Arial"/>
                <w:sz w:val="18"/>
                <w:szCs w:val="18"/>
                <w:color w:val="auto"/>
              </w:rPr>
              <w:t>(60)</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6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Sales tax refund benefit (c)</w:t>
            </w:r>
          </w:p>
        </w:tc>
        <w:tc>
          <w:tcPr>
            <w:tcW w:w="2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620" w:type="dxa"/>
            <w:vAlign w:val="bottom"/>
            <w:shd w:val="clear" w:color="auto" w:fill="E5E5E5"/>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7"/>
                <w:szCs w:val="17"/>
                <w:color w:val="auto"/>
              </w:rPr>
            </w:pPr>
          </w:p>
        </w:tc>
        <w:tc>
          <w:tcPr>
            <w:tcW w:w="660" w:type="dxa"/>
            <w:vAlign w:val="bottom"/>
            <w:shd w:val="clear" w:color="auto" w:fill="E5E5E5"/>
          </w:tcPr>
          <w:p>
            <w:pPr>
              <w:jc w:val="right"/>
              <w:ind w:right="35"/>
              <w:spacing w:after="0" w:line="202" w:lineRule="exact"/>
              <w:rPr>
                <w:sz w:val="20"/>
                <w:szCs w:val="20"/>
                <w:color w:val="auto"/>
              </w:rPr>
            </w:pPr>
            <w:r>
              <w:rPr>
                <w:rFonts w:ascii="Arial" w:cs="Arial" w:eastAsia="Arial" w:hAnsi="Arial"/>
                <w:sz w:val="18"/>
                <w:szCs w:val="18"/>
                <w:color w:val="auto"/>
              </w:rPr>
              <w:t>(77)</w:t>
            </w:r>
          </w:p>
        </w:tc>
        <w:tc>
          <w:tcPr>
            <w:tcW w:w="260" w:type="dxa"/>
            <w:vAlign w:val="bottom"/>
            <w:shd w:val="clear" w:color="auto" w:fill="E5E5E5"/>
          </w:tcPr>
          <w:p>
            <w:pPr>
              <w:spacing w:after="0"/>
              <w:rPr>
                <w:sz w:val="17"/>
                <w:szCs w:val="17"/>
                <w:color w:val="auto"/>
              </w:rPr>
            </w:pPr>
          </w:p>
        </w:tc>
        <w:tc>
          <w:tcPr>
            <w:tcW w:w="640" w:type="dxa"/>
            <w:vAlign w:val="bottom"/>
            <w:shd w:val="clear" w:color="auto" w:fill="E5E5E5"/>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7"/>
                <w:szCs w:val="17"/>
                <w:color w:val="auto"/>
              </w:rPr>
            </w:pPr>
          </w:p>
        </w:tc>
        <w:tc>
          <w:tcPr>
            <w:tcW w:w="720" w:type="dxa"/>
            <w:vAlign w:val="bottom"/>
            <w:gridSpan w:val="3"/>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7640" w:type="dxa"/>
            <w:vAlign w:val="bottom"/>
          </w:tcPr>
          <w:p>
            <w:pPr>
              <w:spacing w:after="0"/>
              <w:rPr>
                <w:sz w:val="20"/>
                <w:szCs w:val="20"/>
                <w:color w:val="auto"/>
              </w:rPr>
            </w:pPr>
            <w:r>
              <w:rPr>
                <w:rFonts w:ascii="Arial" w:cs="Arial" w:eastAsia="Arial" w:hAnsi="Arial"/>
                <w:sz w:val="18"/>
                <w:szCs w:val="18"/>
                <w:color w:val="auto"/>
              </w:rPr>
              <w:t>Research tax credit (d)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60" w:type="dxa"/>
            <w:vAlign w:val="bottom"/>
          </w:tcPr>
          <w:p>
            <w:pPr>
              <w:jc w:val="right"/>
              <w:ind w:right="95"/>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340" w:right="200" w:hanging="332"/>
        <w:spacing w:after="0" w:line="231" w:lineRule="auto"/>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 the third quarter of 2007, we sold our broadband digital subscriber line (DSL) customer-premises equipment semiconductor product line to Infineon Technologies AG for $61 million. The amount in the above table is the pretax gain on this sale, which was recognized in cost of revenue.</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Settlement of patent-related litigation with Conexant Systems, Inc.</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Settlement of an audit of Texas state sales and use taxes paid on various purchases over a nine-year period.</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2006 U.S. federal research tax credit was reinstated in December 2006 and was retroactive to the beginning of 2006.</w:t>
      </w:r>
    </w:p>
    <w:p>
      <w:pPr>
        <w:spacing w:after="0" w:line="136" w:lineRule="exact"/>
        <w:rPr>
          <w:sz w:val="20"/>
          <w:szCs w:val="20"/>
          <w:color w:val="auto"/>
        </w:rPr>
      </w:pPr>
    </w:p>
    <w:p>
      <w:pPr>
        <w:spacing w:after="0"/>
        <w:tabs>
          <w:tab w:leader="none" w:pos="8420" w:val="left"/>
        </w:tabs>
        <w:rPr>
          <w:sz w:val="20"/>
          <w:szCs w:val="20"/>
          <w:color w:val="auto"/>
        </w:rPr>
      </w:pPr>
      <w:r>
        <w:rPr>
          <w:rFonts w:ascii="Arial" w:cs="Arial" w:eastAsia="Arial" w:hAnsi="Arial"/>
          <w:sz w:val="12"/>
          <w:szCs w:val="12"/>
          <w:color w:val="auto"/>
        </w:rPr>
        <w:t>60</w:t>
      </w:r>
      <w:r>
        <w:rPr>
          <w:sz w:val="20"/>
          <w:szCs w:val="20"/>
          <w:color w:val="auto"/>
        </w:rPr>
        <w:tab/>
      </w:r>
      <w:r>
        <w:rPr>
          <w:rFonts w:ascii="Arial" w:cs="Arial" w:eastAsia="Arial" w:hAnsi="Arial"/>
          <w:sz w:val="12"/>
          <w:szCs w:val="12"/>
          <w:color w:val="auto"/>
        </w:rPr>
        <w:t>TEXAS INSTRUMENTS 2007 ANNUAL REPORT</w:t>
      </w:r>
    </w:p>
    <w:p>
      <w:pPr>
        <w:sectPr>
          <w:pgSz w:w="11900" w:h="16838" w:orient="portrait"/>
          <w:cols w:equalWidth="0" w:num="1">
            <w:col w:w="11420"/>
          </w:cols>
          <w:pgMar w:left="240" w:top="269" w:right="2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COMMON STOCK PRICES AND DIVIDENDS</w:t>
      </w:r>
    </w:p>
    <w:p>
      <w:pPr>
        <w:spacing w:after="0" w:line="180" w:lineRule="exact"/>
        <w:rPr>
          <w:sz w:val="20"/>
          <w:szCs w:val="20"/>
          <w:color w:val="auto"/>
        </w:rPr>
      </w:pPr>
    </w:p>
    <w:p>
      <w:pPr>
        <w:ind w:right="160"/>
        <w:spacing w:after="0" w:line="299" w:lineRule="auto"/>
        <w:rPr>
          <w:sz w:val="20"/>
          <w:szCs w:val="20"/>
          <w:color w:val="auto"/>
        </w:rPr>
      </w:pPr>
      <w:r>
        <w:rPr>
          <w:rFonts w:ascii="Arial" w:cs="Arial" w:eastAsia="Arial" w:hAnsi="Arial"/>
          <w:sz w:val="16"/>
          <w:szCs w:val="16"/>
          <w:color w:val="auto"/>
        </w:rPr>
        <w:t>TI common stock is listed on the New York Stock Exchange and traded principally in that market. The table below shows the high and low closing prices of TI common stock as reported by Bloomberg L.P. and the dividends paid per common share for each quarter during the past two years.</w:t>
      </w:r>
    </w:p>
    <w:p>
      <w:pPr>
        <w:spacing w:after="0" w:line="127" w:lineRule="exact"/>
        <w:rPr>
          <w:sz w:val="20"/>
          <w:szCs w:val="20"/>
          <w:color w:val="auto"/>
        </w:rPr>
      </w:pPr>
    </w:p>
    <w:p>
      <w:pPr>
        <w:ind w:left="9640"/>
        <w:spacing w:after="0"/>
        <w:rPr>
          <w:sz w:val="20"/>
          <w:szCs w:val="20"/>
          <w:color w:val="auto"/>
        </w:rPr>
      </w:pPr>
      <w:r>
        <w:rPr>
          <w:rFonts w:ascii="Arial" w:cs="Arial" w:eastAsia="Arial" w:hAnsi="Arial"/>
          <w:sz w:val="18"/>
          <w:szCs w:val="18"/>
          <w:b w:val="1"/>
          <w:bCs w:val="1"/>
          <w:color w:val="auto"/>
        </w:rPr>
        <w:t>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246620" cy="3003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300355"/>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 w:type="dxa"/>
            <w:vAlign w:val="bottom"/>
          </w:tcPr>
          <w:p>
            <w:pPr>
              <w:spacing w:after="0"/>
              <w:rPr>
                <w:sz w:val="17"/>
                <w:szCs w:val="17"/>
                <w:color w:val="auto"/>
              </w:rPr>
            </w:pPr>
          </w:p>
        </w:tc>
        <w:tc>
          <w:tcPr>
            <w:tcW w:w="5120" w:type="dxa"/>
            <w:vAlign w:val="bottom"/>
            <w:shd w:val="clear" w:color="auto" w:fill="E5E5E5"/>
          </w:tcPr>
          <w:p>
            <w:pPr>
              <w:spacing w:after="0"/>
              <w:rPr>
                <w:sz w:val="17"/>
                <w:szCs w:val="17"/>
                <w:color w:val="auto"/>
              </w:rPr>
            </w:pPr>
          </w:p>
        </w:tc>
        <w:tc>
          <w:tcPr>
            <w:tcW w:w="2920" w:type="dxa"/>
            <w:vAlign w:val="bottom"/>
            <w:shd w:val="clear" w:color="auto" w:fill="E5E5E5"/>
          </w:tcPr>
          <w:p>
            <w:pPr>
              <w:spacing w:after="0"/>
              <w:rPr>
                <w:sz w:val="17"/>
                <w:szCs w:val="17"/>
                <w:color w:val="auto"/>
              </w:rPr>
            </w:pPr>
          </w:p>
        </w:tc>
        <w:tc>
          <w:tcPr>
            <w:tcW w:w="540" w:type="dxa"/>
            <w:vAlign w:val="bottom"/>
            <w:shd w:val="clear" w:color="auto" w:fill="E5E5E5"/>
          </w:tcPr>
          <w:p>
            <w:pPr>
              <w:jc w:val="right"/>
              <w:ind w:right="152"/>
              <w:spacing w:after="0"/>
              <w:rPr>
                <w:sz w:val="20"/>
                <w:szCs w:val="20"/>
                <w:color w:val="auto"/>
              </w:rPr>
            </w:pPr>
            <w:r>
              <w:rPr>
                <w:rFonts w:ascii="Arial" w:cs="Arial" w:eastAsia="Arial" w:hAnsi="Arial"/>
                <w:sz w:val="18"/>
                <w:szCs w:val="18"/>
                <w:b w:val="1"/>
                <w:bCs w:val="1"/>
                <w:color w:val="auto"/>
              </w:rPr>
              <w:t>1st</w:t>
            </w:r>
          </w:p>
        </w:tc>
        <w:tc>
          <w:tcPr>
            <w:tcW w:w="200" w:type="dxa"/>
            <w:vAlign w:val="bottom"/>
            <w:shd w:val="clear" w:color="auto" w:fill="E5E5E5"/>
          </w:tcPr>
          <w:p>
            <w:pPr>
              <w:spacing w:after="0"/>
              <w:rPr>
                <w:sz w:val="17"/>
                <w:szCs w:val="17"/>
                <w:color w:val="auto"/>
              </w:rPr>
            </w:pPr>
          </w:p>
        </w:tc>
        <w:tc>
          <w:tcPr>
            <w:tcW w:w="560" w:type="dxa"/>
            <w:vAlign w:val="bottom"/>
            <w:shd w:val="clear" w:color="auto" w:fill="E5E5E5"/>
          </w:tcPr>
          <w:p>
            <w:pPr>
              <w:jc w:val="right"/>
              <w:ind w:right="132"/>
              <w:spacing w:after="0"/>
              <w:rPr>
                <w:sz w:val="20"/>
                <w:szCs w:val="20"/>
                <w:color w:val="auto"/>
              </w:rPr>
            </w:pPr>
            <w:r>
              <w:rPr>
                <w:rFonts w:ascii="Arial" w:cs="Arial" w:eastAsia="Arial" w:hAnsi="Arial"/>
                <w:sz w:val="18"/>
                <w:szCs w:val="18"/>
                <w:b w:val="1"/>
                <w:bCs w:val="1"/>
                <w:color w:val="auto"/>
                <w:w w:val="99"/>
              </w:rPr>
              <w:t>2nd</w:t>
            </w:r>
          </w:p>
        </w:tc>
        <w:tc>
          <w:tcPr>
            <w:tcW w:w="200" w:type="dxa"/>
            <w:vAlign w:val="bottom"/>
            <w:shd w:val="clear" w:color="auto" w:fill="E5E5E5"/>
          </w:tcPr>
          <w:p>
            <w:pPr>
              <w:spacing w:after="0"/>
              <w:rPr>
                <w:sz w:val="17"/>
                <w:szCs w:val="17"/>
                <w:color w:val="auto"/>
              </w:rPr>
            </w:pPr>
          </w:p>
        </w:tc>
        <w:tc>
          <w:tcPr>
            <w:tcW w:w="560" w:type="dxa"/>
            <w:vAlign w:val="bottom"/>
            <w:shd w:val="clear" w:color="auto" w:fill="E5E5E5"/>
          </w:tcPr>
          <w:p>
            <w:pPr>
              <w:jc w:val="right"/>
              <w:ind w:right="152"/>
              <w:spacing w:after="0"/>
              <w:rPr>
                <w:sz w:val="20"/>
                <w:szCs w:val="20"/>
                <w:color w:val="auto"/>
              </w:rPr>
            </w:pPr>
            <w:r>
              <w:rPr>
                <w:rFonts w:ascii="Arial" w:cs="Arial" w:eastAsia="Arial" w:hAnsi="Arial"/>
                <w:sz w:val="18"/>
                <w:szCs w:val="18"/>
                <w:b w:val="1"/>
                <w:bCs w:val="1"/>
                <w:color w:val="auto"/>
              </w:rPr>
              <w:t>3rd</w:t>
            </w:r>
          </w:p>
        </w:tc>
        <w:tc>
          <w:tcPr>
            <w:tcW w:w="200" w:type="dxa"/>
            <w:vAlign w:val="bottom"/>
            <w:shd w:val="clear" w:color="auto" w:fill="E5E5E5"/>
          </w:tcPr>
          <w:p>
            <w:pPr>
              <w:spacing w:after="0"/>
              <w:rPr>
                <w:sz w:val="17"/>
                <w:szCs w:val="17"/>
                <w:color w:val="auto"/>
              </w:rPr>
            </w:pPr>
          </w:p>
        </w:tc>
        <w:tc>
          <w:tcPr>
            <w:tcW w:w="500" w:type="dxa"/>
            <w:vAlign w:val="bottom"/>
            <w:shd w:val="clear" w:color="auto" w:fill="E5E5E5"/>
          </w:tcPr>
          <w:p>
            <w:pPr>
              <w:jc w:val="right"/>
              <w:ind w:right="115"/>
              <w:spacing w:after="0"/>
              <w:rPr>
                <w:sz w:val="20"/>
                <w:szCs w:val="20"/>
                <w:color w:val="auto"/>
              </w:rPr>
            </w:pPr>
            <w:r>
              <w:rPr>
                <w:rFonts w:ascii="Arial" w:cs="Arial" w:eastAsia="Arial" w:hAnsi="Arial"/>
                <w:sz w:val="18"/>
                <w:szCs w:val="18"/>
                <w:b w:val="1"/>
                <w:bCs w:val="1"/>
                <w:color w:val="auto"/>
              </w:rPr>
              <w:t>4th</w:t>
            </w:r>
          </w:p>
        </w:tc>
      </w:tr>
      <w:tr>
        <w:trPr>
          <w:trHeight w:val="203"/>
        </w:trPr>
        <w:tc>
          <w:tcPr>
            <w:tcW w:w="5740" w:type="dxa"/>
            <w:vAlign w:val="bottom"/>
            <w:gridSpan w:val="2"/>
          </w:tcPr>
          <w:p>
            <w:pPr>
              <w:spacing w:after="0" w:line="202" w:lineRule="exact"/>
              <w:rPr>
                <w:sz w:val="20"/>
                <w:szCs w:val="20"/>
                <w:color w:val="auto"/>
              </w:rPr>
            </w:pPr>
            <w:r>
              <w:rPr>
                <w:rFonts w:ascii="Arial" w:cs="Arial" w:eastAsia="Arial" w:hAnsi="Arial"/>
                <w:sz w:val="18"/>
                <w:szCs w:val="18"/>
                <w:color w:val="auto"/>
              </w:rPr>
              <w:t>Stock prices:</w:t>
            </w:r>
          </w:p>
        </w:tc>
        <w:tc>
          <w:tcPr>
            <w:tcW w:w="29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203"/>
        </w:trPr>
        <w:tc>
          <w:tcPr>
            <w:tcW w:w="6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2007</w:t>
            </w:r>
          </w:p>
        </w:tc>
        <w:tc>
          <w:tcPr>
            <w:tcW w:w="5120" w:type="dxa"/>
            <w:vAlign w:val="bottom"/>
            <w:shd w:val="clear" w:color="auto" w:fill="E5E5E5"/>
          </w:tcPr>
          <w:p>
            <w:pPr>
              <w:ind w:left="100"/>
              <w:spacing w:after="0" w:line="202" w:lineRule="exact"/>
              <w:rPr>
                <w:sz w:val="20"/>
                <w:szCs w:val="20"/>
                <w:color w:val="auto"/>
              </w:rPr>
            </w:pPr>
            <w:r>
              <w:rPr>
                <w:rFonts w:ascii="Arial" w:cs="Arial" w:eastAsia="Arial" w:hAnsi="Arial"/>
                <w:sz w:val="18"/>
                <w:szCs w:val="18"/>
                <w:b w:val="1"/>
                <w:bCs w:val="1"/>
                <w:color w:val="auto"/>
              </w:rPr>
              <w:t>High</w:t>
            </w:r>
          </w:p>
        </w:tc>
        <w:tc>
          <w:tcPr>
            <w:tcW w:w="29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32.59</w:t>
            </w:r>
          </w:p>
        </w:tc>
        <w:tc>
          <w:tcPr>
            <w:tcW w:w="2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37.78</w:t>
            </w:r>
          </w:p>
        </w:tc>
        <w:tc>
          <w:tcPr>
            <w:tcW w:w="2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39.18</w:t>
            </w:r>
          </w:p>
        </w:tc>
        <w:tc>
          <w:tcPr>
            <w:tcW w:w="2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36.81</w:t>
            </w:r>
          </w:p>
        </w:tc>
      </w:tr>
      <w:tr>
        <w:trPr>
          <w:trHeight w:val="203"/>
        </w:trPr>
        <w:tc>
          <w:tcPr>
            <w:tcW w:w="620" w:type="dxa"/>
            <w:vAlign w:val="bottom"/>
          </w:tcPr>
          <w:p>
            <w:pPr>
              <w:spacing w:after="0"/>
              <w:rPr>
                <w:sz w:val="17"/>
                <w:szCs w:val="17"/>
                <w:color w:val="auto"/>
              </w:rPr>
            </w:pPr>
          </w:p>
        </w:tc>
        <w:tc>
          <w:tcPr>
            <w:tcW w:w="5120" w:type="dxa"/>
            <w:vAlign w:val="bottom"/>
          </w:tcPr>
          <w:p>
            <w:pPr>
              <w:ind w:left="100"/>
              <w:spacing w:after="0" w:line="202" w:lineRule="exact"/>
              <w:rPr>
                <w:sz w:val="20"/>
                <w:szCs w:val="20"/>
                <w:color w:val="auto"/>
              </w:rPr>
            </w:pPr>
            <w:r>
              <w:rPr>
                <w:rFonts w:ascii="Arial" w:cs="Arial" w:eastAsia="Arial" w:hAnsi="Arial"/>
                <w:sz w:val="18"/>
                <w:szCs w:val="18"/>
                <w:b w:val="1"/>
                <w:bCs w:val="1"/>
                <w:color w:val="auto"/>
              </w:rPr>
              <w:t>Low</w:t>
            </w:r>
          </w:p>
        </w:tc>
        <w:tc>
          <w:tcPr>
            <w:tcW w:w="292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28.32</w:t>
            </w:r>
          </w:p>
        </w:tc>
        <w:tc>
          <w:tcPr>
            <w:tcW w:w="2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29.90</w:t>
            </w:r>
          </w:p>
        </w:tc>
        <w:tc>
          <w:tcPr>
            <w:tcW w:w="2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32.32</w:t>
            </w:r>
          </w:p>
        </w:tc>
        <w:tc>
          <w:tcPr>
            <w:tcW w:w="20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30.41</w:t>
            </w:r>
          </w:p>
        </w:tc>
      </w:tr>
      <w:tr>
        <w:trPr>
          <w:trHeight w:val="203"/>
        </w:trPr>
        <w:tc>
          <w:tcPr>
            <w:tcW w:w="6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2006</w:t>
            </w:r>
          </w:p>
        </w:tc>
        <w:tc>
          <w:tcPr>
            <w:tcW w:w="5120" w:type="dxa"/>
            <w:vAlign w:val="bottom"/>
            <w:shd w:val="clear" w:color="auto" w:fill="E5E5E5"/>
          </w:tcPr>
          <w:p>
            <w:pPr>
              <w:ind w:left="100"/>
              <w:spacing w:after="0" w:line="202" w:lineRule="exact"/>
              <w:rPr>
                <w:sz w:val="20"/>
                <w:szCs w:val="20"/>
                <w:color w:val="auto"/>
              </w:rPr>
            </w:pPr>
            <w:r>
              <w:rPr>
                <w:rFonts w:ascii="Arial" w:cs="Arial" w:eastAsia="Arial" w:hAnsi="Arial"/>
                <w:sz w:val="18"/>
                <w:szCs w:val="18"/>
                <w:color w:val="auto"/>
              </w:rPr>
              <w:t>High</w:t>
            </w:r>
          </w:p>
        </w:tc>
        <w:tc>
          <w:tcPr>
            <w:tcW w:w="29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34.45</w:t>
            </w:r>
          </w:p>
        </w:tc>
        <w:tc>
          <w:tcPr>
            <w:tcW w:w="2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35.56</w:t>
            </w:r>
          </w:p>
        </w:tc>
        <w:tc>
          <w:tcPr>
            <w:tcW w:w="2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33.89</w:t>
            </w:r>
          </w:p>
        </w:tc>
        <w:tc>
          <w:tcPr>
            <w:tcW w:w="2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33.06</w:t>
            </w:r>
          </w:p>
        </w:tc>
      </w:tr>
      <w:tr>
        <w:trPr>
          <w:trHeight w:val="203"/>
        </w:trPr>
        <w:tc>
          <w:tcPr>
            <w:tcW w:w="620" w:type="dxa"/>
            <w:vAlign w:val="bottom"/>
          </w:tcPr>
          <w:p>
            <w:pPr>
              <w:spacing w:after="0"/>
              <w:rPr>
                <w:sz w:val="17"/>
                <w:szCs w:val="17"/>
                <w:color w:val="auto"/>
              </w:rPr>
            </w:pPr>
          </w:p>
        </w:tc>
        <w:tc>
          <w:tcPr>
            <w:tcW w:w="5120" w:type="dxa"/>
            <w:vAlign w:val="bottom"/>
          </w:tcPr>
          <w:p>
            <w:pPr>
              <w:ind w:left="100"/>
              <w:spacing w:after="0" w:line="202" w:lineRule="exact"/>
              <w:rPr>
                <w:sz w:val="20"/>
                <w:szCs w:val="20"/>
                <w:color w:val="auto"/>
              </w:rPr>
            </w:pPr>
            <w:r>
              <w:rPr>
                <w:rFonts w:ascii="Arial" w:cs="Arial" w:eastAsia="Arial" w:hAnsi="Arial"/>
                <w:sz w:val="18"/>
                <w:szCs w:val="18"/>
                <w:color w:val="auto"/>
              </w:rPr>
              <w:t>Low</w:t>
            </w:r>
          </w:p>
        </w:tc>
        <w:tc>
          <w:tcPr>
            <w:tcW w:w="292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29.23</w:t>
            </w:r>
          </w:p>
        </w:tc>
        <w:tc>
          <w:tcPr>
            <w:tcW w:w="2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28.90</w:t>
            </w:r>
          </w:p>
        </w:tc>
        <w:tc>
          <w:tcPr>
            <w:tcW w:w="2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27.00</w:t>
            </w:r>
          </w:p>
        </w:tc>
        <w:tc>
          <w:tcPr>
            <w:tcW w:w="20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28.55</w:t>
            </w:r>
          </w:p>
        </w:tc>
      </w:tr>
      <w:tr>
        <w:trPr>
          <w:trHeight w:val="203"/>
        </w:trPr>
        <w:tc>
          <w:tcPr>
            <w:tcW w:w="5740" w:type="dxa"/>
            <w:vAlign w:val="bottom"/>
            <w:gridSpan w:val="2"/>
            <w:shd w:val="clear" w:color="auto" w:fill="E5E5E5"/>
          </w:tcPr>
          <w:p>
            <w:pPr>
              <w:spacing w:after="0" w:line="202" w:lineRule="exact"/>
              <w:rPr>
                <w:sz w:val="20"/>
                <w:szCs w:val="20"/>
                <w:color w:val="auto"/>
              </w:rPr>
            </w:pPr>
            <w:r>
              <w:rPr>
                <w:rFonts w:ascii="Arial" w:cs="Arial" w:eastAsia="Arial" w:hAnsi="Arial"/>
                <w:sz w:val="18"/>
                <w:szCs w:val="18"/>
                <w:color w:val="auto"/>
              </w:rPr>
              <w:t>Dividends paid:</w:t>
            </w:r>
          </w:p>
        </w:tc>
        <w:tc>
          <w:tcPr>
            <w:tcW w:w="2920" w:type="dxa"/>
            <w:vAlign w:val="bottom"/>
            <w:shd w:val="clear" w:color="auto" w:fill="E5E5E5"/>
          </w:tcPr>
          <w:p>
            <w:pPr>
              <w:spacing w:after="0"/>
              <w:rPr>
                <w:sz w:val="17"/>
                <w:szCs w:val="17"/>
                <w:color w:val="auto"/>
              </w:rPr>
            </w:pPr>
          </w:p>
        </w:tc>
        <w:tc>
          <w:tcPr>
            <w:tcW w:w="54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56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56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500" w:type="dxa"/>
            <w:vAlign w:val="bottom"/>
            <w:shd w:val="clear" w:color="auto" w:fill="E5E5E5"/>
          </w:tcPr>
          <w:p>
            <w:pPr>
              <w:spacing w:after="0"/>
              <w:rPr>
                <w:sz w:val="17"/>
                <w:szCs w:val="17"/>
                <w:color w:val="auto"/>
              </w:rPr>
            </w:pPr>
          </w:p>
        </w:tc>
      </w:tr>
      <w:tr>
        <w:trPr>
          <w:trHeight w:val="203"/>
        </w:trPr>
        <w:tc>
          <w:tcPr>
            <w:tcW w:w="6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2007</w:t>
            </w:r>
          </w:p>
        </w:tc>
        <w:tc>
          <w:tcPr>
            <w:tcW w:w="5120" w:type="dxa"/>
            <w:vAlign w:val="bottom"/>
          </w:tcPr>
          <w:p>
            <w:pPr>
              <w:spacing w:after="0"/>
              <w:rPr>
                <w:sz w:val="17"/>
                <w:szCs w:val="17"/>
                <w:color w:val="auto"/>
              </w:rPr>
            </w:pPr>
          </w:p>
        </w:tc>
        <w:tc>
          <w:tcPr>
            <w:tcW w:w="29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5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0.04</w:t>
            </w:r>
          </w:p>
        </w:tc>
        <w:tc>
          <w:tcPr>
            <w:tcW w:w="2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0.08</w:t>
            </w:r>
          </w:p>
        </w:tc>
        <w:tc>
          <w:tcPr>
            <w:tcW w:w="2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0.08</w:t>
            </w:r>
          </w:p>
        </w:tc>
        <w:tc>
          <w:tcPr>
            <w:tcW w:w="2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0.10</w:t>
            </w:r>
          </w:p>
        </w:tc>
      </w:tr>
      <w:tr>
        <w:trPr>
          <w:trHeight w:val="203"/>
        </w:trPr>
        <w:tc>
          <w:tcPr>
            <w:tcW w:w="6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2006</w:t>
            </w:r>
          </w:p>
        </w:tc>
        <w:tc>
          <w:tcPr>
            <w:tcW w:w="5120" w:type="dxa"/>
            <w:vAlign w:val="bottom"/>
            <w:shd w:val="clear" w:color="auto" w:fill="E5E5E5"/>
          </w:tcPr>
          <w:p>
            <w:pPr>
              <w:spacing w:after="0"/>
              <w:rPr>
                <w:sz w:val="17"/>
                <w:szCs w:val="17"/>
                <w:color w:val="auto"/>
              </w:rPr>
            </w:pPr>
          </w:p>
        </w:tc>
        <w:tc>
          <w:tcPr>
            <w:tcW w:w="29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0.03</w:t>
            </w:r>
          </w:p>
        </w:tc>
        <w:tc>
          <w:tcPr>
            <w:tcW w:w="2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0.03</w:t>
            </w:r>
          </w:p>
        </w:tc>
        <w:tc>
          <w:tcPr>
            <w:tcW w:w="2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0.03</w:t>
            </w:r>
          </w:p>
        </w:tc>
        <w:tc>
          <w:tcPr>
            <w:tcW w:w="2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0.04</w:t>
            </w:r>
          </w:p>
        </w:tc>
      </w:tr>
      <w:tr>
        <w:trPr>
          <w:trHeight w:val="310"/>
        </w:trPr>
        <w:tc>
          <w:tcPr>
            <w:tcW w:w="5740" w:type="dxa"/>
            <w:vAlign w:val="bottom"/>
            <w:gridSpan w:val="2"/>
          </w:tcPr>
          <w:p>
            <w:pPr>
              <w:spacing w:after="0"/>
              <w:rPr>
                <w:sz w:val="20"/>
                <w:szCs w:val="20"/>
                <w:color w:val="auto"/>
              </w:rPr>
            </w:pPr>
            <w:r>
              <w:rPr>
                <w:rFonts w:ascii="Arial" w:cs="Arial" w:eastAsia="Arial" w:hAnsi="Arial"/>
                <w:sz w:val="14"/>
                <w:szCs w:val="14"/>
                <w:color w:val="auto"/>
              </w:rPr>
              <w:t>TEXAS INSTRUMENTS 2007 ANNUAL REPORT</w:t>
            </w:r>
          </w:p>
        </w:tc>
        <w:tc>
          <w:tcPr>
            <w:tcW w:w="2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61</w:t>
            </w:r>
          </w:p>
        </w:tc>
      </w:tr>
    </w:tbl>
    <w:p>
      <w:pPr>
        <w:sectPr>
          <w:pgSz w:w="11900" w:h="16838" w:orient="portrait"/>
          <w:cols w:equalWidth="0" w:num="1">
            <w:col w:w="11420"/>
          </w:cols>
          <w:pgMar w:left="240" w:top="269" w:right="2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COMPARISON OF TOTAL SHAREHOLDER RETURN</w:t>
      </w:r>
    </w:p>
    <w:p>
      <w:pPr>
        <w:spacing w:after="0" w:line="180"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This graph compares TI’s total shareholder return with the S&amp;P 500 Index and the S&amp;P Information Technology Index over a five-year period, beginning December 31, 2002, and ending December 31, 2007. The total shareholder return assumes $100 invested at the beginning of the period in TI common stock, the S&amp;P 500 Index and the S&amp;P Information Technology Index. It also assumes reinvestment of all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95885</wp:posOffset>
            </wp:positionV>
            <wp:extent cx="5866130" cy="30784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866130" cy="307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shd w:val="clear" w:color="auto" w:fill="E5E5E5"/>
          </w:tcPr>
          <w:p>
            <w:pPr>
              <w:spacing w:after="0"/>
              <w:rPr>
                <w:sz w:val="14"/>
                <w:szCs w:val="14"/>
                <w:color w:val="auto"/>
              </w:rPr>
            </w:pPr>
          </w:p>
        </w:tc>
        <w:tc>
          <w:tcPr>
            <w:tcW w:w="2740" w:type="dxa"/>
            <w:vAlign w:val="bottom"/>
            <w:gridSpan w:val="2"/>
            <w:shd w:val="clear" w:color="auto" w:fill="E5E5E5"/>
          </w:tcPr>
          <w:p>
            <w:pPr>
              <w:jc w:val="right"/>
              <w:ind w:right="252"/>
              <w:spacing w:after="0"/>
              <w:rPr>
                <w:sz w:val="20"/>
                <w:szCs w:val="20"/>
                <w:color w:val="auto"/>
              </w:rPr>
            </w:pPr>
            <w:r>
              <w:rPr>
                <w:rFonts w:ascii="Arial" w:cs="Arial" w:eastAsia="Arial" w:hAnsi="Arial"/>
                <w:sz w:val="14"/>
                <w:szCs w:val="14"/>
                <w:b w:val="1"/>
                <w:bCs w:val="1"/>
                <w:color w:val="auto"/>
              </w:rPr>
              <w:t>Dec-02</w:t>
            </w:r>
          </w:p>
        </w:tc>
        <w:tc>
          <w:tcPr>
            <w:tcW w:w="840" w:type="dxa"/>
            <w:vAlign w:val="bottom"/>
            <w:gridSpan w:val="2"/>
            <w:shd w:val="clear" w:color="auto" w:fill="E5E5E5"/>
          </w:tcPr>
          <w:p>
            <w:pPr>
              <w:jc w:val="right"/>
              <w:ind w:right="132"/>
              <w:spacing w:after="0"/>
              <w:rPr>
                <w:sz w:val="20"/>
                <w:szCs w:val="20"/>
                <w:color w:val="auto"/>
              </w:rPr>
            </w:pPr>
            <w:r>
              <w:rPr>
                <w:rFonts w:ascii="Arial" w:cs="Arial" w:eastAsia="Arial" w:hAnsi="Arial"/>
                <w:sz w:val="14"/>
                <w:szCs w:val="14"/>
                <w:b w:val="1"/>
                <w:bCs w:val="1"/>
                <w:color w:val="auto"/>
              </w:rPr>
              <w:t>Dec-03</w:t>
            </w:r>
          </w:p>
        </w:tc>
        <w:tc>
          <w:tcPr>
            <w:tcW w:w="820" w:type="dxa"/>
            <w:vAlign w:val="bottom"/>
            <w:gridSpan w:val="2"/>
            <w:shd w:val="clear" w:color="auto" w:fill="E5E5E5"/>
          </w:tcPr>
          <w:p>
            <w:pPr>
              <w:jc w:val="right"/>
              <w:ind w:right="132"/>
              <w:spacing w:after="0"/>
              <w:rPr>
                <w:sz w:val="20"/>
                <w:szCs w:val="20"/>
                <w:color w:val="auto"/>
              </w:rPr>
            </w:pPr>
            <w:r>
              <w:rPr>
                <w:rFonts w:ascii="Arial" w:cs="Arial" w:eastAsia="Arial" w:hAnsi="Arial"/>
                <w:sz w:val="14"/>
                <w:szCs w:val="14"/>
                <w:b w:val="1"/>
                <w:bCs w:val="1"/>
                <w:color w:val="auto"/>
              </w:rPr>
              <w:t>Dec-04</w:t>
            </w:r>
          </w:p>
        </w:tc>
        <w:tc>
          <w:tcPr>
            <w:tcW w:w="800" w:type="dxa"/>
            <w:vAlign w:val="bottom"/>
            <w:gridSpan w:val="2"/>
            <w:shd w:val="clear" w:color="auto" w:fill="E5E5E5"/>
          </w:tcPr>
          <w:p>
            <w:pPr>
              <w:jc w:val="right"/>
              <w:ind w:right="132"/>
              <w:spacing w:after="0"/>
              <w:rPr>
                <w:sz w:val="20"/>
                <w:szCs w:val="20"/>
                <w:color w:val="auto"/>
              </w:rPr>
            </w:pPr>
            <w:r>
              <w:rPr>
                <w:rFonts w:ascii="Arial" w:cs="Arial" w:eastAsia="Arial" w:hAnsi="Arial"/>
                <w:sz w:val="14"/>
                <w:szCs w:val="14"/>
                <w:b w:val="1"/>
                <w:bCs w:val="1"/>
                <w:color w:val="auto"/>
              </w:rPr>
              <w:t>Dec-05</w:t>
            </w:r>
          </w:p>
        </w:tc>
        <w:tc>
          <w:tcPr>
            <w:tcW w:w="820" w:type="dxa"/>
            <w:vAlign w:val="bottom"/>
            <w:gridSpan w:val="2"/>
            <w:shd w:val="clear" w:color="auto" w:fill="E5E5E5"/>
          </w:tcPr>
          <w:p>
            <w:pPr>
              <w:jc w:val="right"/>
              <w:ind w:right="132"/>
              <w:spacing w:after="0"/>
              <w:rPr>
                <w:sz w:val="20"/>
                <w:szCs w:val="20"/>
                <w:color w:val="auto"/>
              </w:rPr>
            </w:pPr>
            <w:r>
              <w:rPr>
                <w:rFonts w:ascii="Arial" w:cs="Arial" w:eastAsia="Arial" w:hAnsi="Arial"/>
                <w:sz w:val="14"/>
                <w:szCs w:val="14"/>
                <w:b w:val="1"/>
                <w:bCs w:val="1"/>
                <w:color w:val="auto"/>
              </w:rPr>
              <w:t>Dec-06</w:t>
            </w:r>
          </w:p>
        </w:tc>
        <w:tc>
          <w:tcPr>
            <w:tcW w:w="660" w:type="dxa"/>
            <w:vAlign w:val="bottom"/>
            <w:gridSpan w:val="2"/>
            <w:shd w:val="clear" w:color="auto" w:fill="E5E5E5"/>
          </w:tcPr>
          <w:p>
            <w:pPr>
              <w:jc w:val="right"/>
              <w:spacing w:after="0"/>
              <w:rPr>
                <w:sz w:val="20"/>
                <w:szCs w:val="20"/>
                <w:color w:val="auto"/>
              </w:rPr>
            </w:pPr>
            <w:r>
              <w:rPr>
                <w:rFonts w:ascii="Arial" w:cs="Arial" w:eastAsia="Arial" w:hAnsi="Arial"/>
                <w:sz w:val="14"/>
                <w:szCs w:val="14"/>
                <w:b w:val="1"/>
                <w:bCs w:val="1"/>
                <w:color w:val="auto"/>
              </w:rPr>
              <w:t>Dec-07</w:t>
            </w:r>
          </w:p>
        </w:tc>
      </w:tr>
      <w:tr>
        <w:trPr>
          <w:trHeight w:val="311"/>
        </w:trPr>
        <w:tc>
          <w:tcPr>
            <w:tcW w:w="4740" w:type="dxa"/>
            <w:vAlign w:val="bottom"/>
          </w:tcPr>
          <w:p>
            <w:pPr>
              <w:spacing w:after="0"/>
              <w:rPr>
                <w:sz w:val="20"/>
                <w:szCs w:val="20"/>
                <w:color w:val="auto"/>
              </w:rPr>
            </w:pPr>
            <w:r>
              <w:rPr>
                <w:rFonts w:ascii="Arial" w:cs="Arial" w:eastAsia="Arial" w:hAnsi="Arial"/>
                <w:sz w:val="18"/>
                <w:szCs w:val="18"/>
                <w:color w:val="auto"/>
              </w:rPr>
              <w:t>Texas Instruments</w:t>
            </w:r>
          </w:p>
        </w:tc>
        <w:tc>
          <w:tcPr>
            <w:tcW w:w="22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12"/>
              <w:spacing w:after="0"/>
              <w:rPr>
                <w:sz w:val="20"/>
                <w:szCs w:val="20"/>
                <w:color w:val="auto"/>
              </w:rPr>
            </w:pPr>
            <w:r>
              <w:rPr>
                <w:rFonts w:ascii="Arial" w:cs="Arial" w:eastAsia="Arial" w:hAnsi="Arial"/>
                <w:sz w:val="18"/>
                <w:szCs w:val="18"/>
                <w:color w:val="auto"/>
              </w:rPr>
              <w:t>100</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52"/>
              <w:spacing w:after="0"/>
              <w:rPr>
                <w:sz w:val="20"/>
                <w:szCs w:val="20"/>
                <w:color w:val="auto"/>
              </w:rPr>
            </w:pPr>
            <w:r>
              <w:rPr>
                <w:rFonts w:ascii="Arial" w:cs="Arial" w:eastAsia="Arial" w:hAnsi="Arial"/>
                <w:sz w:val="18"/>
                <w:szCs w:val="18"/>
                <w:color w:val="auto"/>
              </w:rPr>
              <w:t>197</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72"/>
              <w:spacing w:after="0"/>
              <w:rPr>
                <w:sz w:val="20"/>
                <w:szCs w:val="20"/>
                <w:color w:val="auto"/>
              </w:rPr>
            </w:pPr>
            <w:r>
              <w:rPr>
                <w:rFonts w:ascii="Arial" w:cs="Arial" w:eastAsia="Arial" w:hAnsi="Arial"/>
                <w:sz w:val="18"/>
                <w:szCs w:val="18"/>
                <w:color w:val="auto"/>
              </w:rPr>
              <w:t>165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52"/>
              <w:spacing w:after="0"/>
              <w:rPr>
                <w:sz w:val="20"/>
                <w:szCs w:val="20"/>
                <w:color w:val="auto"/>
              </w:rPr>
            </w:pPr>
            <w:r>
              <w:rPr>
                <w:rFonts w:ascii="Arial" w:cs="Arial" w:eastAsia="Arial" w:hAnsi="Arial"/>
                <w:sz w:val="18"/>
                <w:szCs w:val="18"/>
                <w:color w:val="auto"/>
              </w:rPr>
              <w:t>216</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72"/>
              <w:spacing w:after="0"/>
              <w:rPr>
                <w:sz w:val="20"/>
                <w:szCs w:val="20"/>
                <w:color w:val="auto"/>
              </w:rPr>
            </w:pPr>
            <w:r>
              <w:rPr>
                <w:rFonts w:ascii="Arial" w:cs="Arial" w:eastAsia="Arial" w:hAnsi="Arial"/>
                <w:sz w:val="18"/>
                <w:szCs w:val="18"/>
                <w:color w:val="auto"/>
              </w:rPr>
              <w:t>195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228</w:t>
            </w:r>
          </w:p>
        </w:tc>
      </w:tr>
      <w:tr>
        <w:trPr>
          <w:trHeight w:val="203"/>
        </w:trPr>
        <w:tc>
          <w:tcPr>
            <w:tcW w:w="4740" w:type="dxa"/>
            <w:vAlign w:val="bottom"/>
            <w:shd w:val="clear" w:color="auto" w:fill="E5E5E5"/>
          </w:tcPr>
          <w:p>
            <w:pPr>
              <w:spacing w:after="0" w:line="203" w:lineRule="exact"/>
              <w:rPr>
                <w:sz w:val="20"/>
                <w:szCs w:val="20"/>
                <w:color w:val="auto"/>
              </w:rPr>
            </w:pPr>
            <w:r>
              <w:rPr>
                <w:rFonts w:ascii="Arial" w:cs="Arial" w:eastAsia="Arial" w:hAnsi="Arial"/>
                <w:sz w:val="18"/>
                <w:szCs w:val="18"/>
                <w:color w:val="auto"/>
              </w:rPr>
              <w:t>S&amp;P 500</w:t>
            </w:r>
            <w:r>
              <w:rPr>
                <w:rFonts w:ascii="Arial" w:cs="Arial" w:eastAsia="Arial" w:hAnsi="Arial"/>
                <w:sz w:val="22"/>
                <w:szCs w:val="22"/>
                <w:color w:val="auto"/>
                <w:vertAlign w:val="superscript"/>
              </w:rPr>
              <w:t>®</w:t>
            </w:r>
          </w:p>
        </w:tc>
        <w:tc>
          <w:tcPr>
            <w:tcW w:w="22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E5E5E5"/>
          </w:tcPr>
          <w:p>
            <w:pPr>
              <w:jc w:val="right"/>
              <w:ind w:right="112"/>
              <w:spacing w:after="0" w:line="202" w:lineRule="exact"/>
              <w:rPr>
                <w:sz w:val="20"/>
                <w:szCs w:val="20"/>
                <w:color w:val="auto"/>
              </w:rPr>
            </w:pPr>
            <w:r>
              <w:rPr>
                <w:rFonts w:ascii="Arial" w:cs="Arial" w:eastAsia="Arial" w:hAnsi="Arial"/>
                <w:sz w:val="18"/>
                <w:szCs w:val="18"/>
                <w:color w:val="auto"/>
              </w:rPr>
              <w:t>100</w:t>
            </w:r>
          </w:p>
        </w:tc>
        <w:tc>
          <w:tcPr>
            <w:tcW w:w="3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480" w:type="dxa"/>
            <w:vAlign w:val="bottom"/>
            <w:shd w:val="clear" w:color="auto" w:fill="E5E5E5"/>
          </w:tcPr>
          <w:p>
            <w:pPr>
              <w:jc w:val="right"/>
              <w:ind w:right="52"/>
              <w:spacing w:after="0" w:line="202" w:lineRule="exact"/>
              <w:rPr>
                <w:sz w:val="20"/>
                <w:szCs w:val="20"/>
                <w:color w:val="auto"/>
              </w:rPr>
            </w:pPr>
            <w:r>
              <w:rPr>
                <w:rFonts w:ascii="Arial" w:cs="Arial" w:eastAsia="Arial" w:hAnsi="Arial"/>
                <w:sz w:val="18"/>
                <w:szCs w:val="18"/>
                <w:color w:val="auto"/>
              </w:rPr>
              <w:t>129</w:t>
            </w:r>
          </w:p>
        </w:tc>
        <w:tc>
          <w:tcPr>
            <w:tcW w:w="3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E5E5E5"/>
          </w:tcPr>
          <w:p>
            <w:pPr>
              <w:jc w:val="right"/>
              <w:ind w:right="72"/>
              <w:spacing w:after="0" w:line="202" w:lineRule="exact"/>
              <w:rPr>
                <w:sz w:val="20"/>
                <w:szCs w:val="20"/>
                <w:color w:val="auto"/>
              </w:rPr>
            </w:pPr>
            <w:r>
              <w:rPr>
                <w:rFonts w:ascii="Arial" w:cs="Arial" w:eastAsia="Arial" w:hAnsi="Arial"/>
                <w:sz w:val="18"/>
                <w:szCs w:val="18"/>
                <w:color w:val="auto"/>
              </w:rPr>
              <w:t>143</w:t>
            </w:r>
          </w:p>
        </w:tc>
        <w:tc>
          <w:tcPr>
            <w:tcW w:w="3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480" w:type="dxa"/>
            <w:vAlign w:val="bottom"/>
            <w:shd w:val="clear" w:color="auto" w:fill="E5E5E5"/>
          </w:tcPr>
          <w:p>
            <w:pPr>
              <w:jc w:val="right"/>
              <w:ind w:right="52"/>
              <w:spacing w:after="0" w:line="202" w:lineRule="exact"/>
              <w:rPr>
                <w:sz w:val="20"/>
                <w:szCs w:val="20"/>
                <w:color w:val="auto"/>
              </w:rPr>
            </w:pPr>
            <w:r>
              <w:rPr>
                <w:rFonts w:ascii="Arial" w:cs="Arial" w:eastAsia="Arial" w:hAnsi="Arial"/>
                <w:sz w:val="18"/>
                <w:szCs w:val="18"/>
                <w:color w:val="auto"/>
              </w:rPr>
              <w:t>150</w:t>
            </w:r>
          </w:p>
        </w:tc>
        <w:tc>
          <w:tcPr>
            <w:tcW w:w="3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E5E5E5"/>
          </w:tcPr>
          <w:p>
            <w:pPr>
              <w:jc w:val="right"/>
              <w:ind w:right="72"/>
              <w:spacing w:after="0" w:line="202" w:lineRule="exact"/>
              <w:rPr>
                <w:sz w:val="20"/>
                <w:szCs w:val="20"/>
                <w:color w:val="auto"/>
              </w:rPr>
            </w:pPr>
            <w:r>
              <w:rPr>
                <w:rFonts w:ascii="Arial" w:cs="Arial" w:eastAsia="Arial" w:hAnsi="Arial"/>
                <w:sz w:val="18"/>
                <w:szCs w:val="18"/>
                <w:color w:val="auto"/>
              </w:rPr>
              <w:t>173</w:t>
            </w:r>
          </w:p>
        </w:tc>
        <w:tc>
          <w:tcPr>
            <w:tcW w:w="3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183</w:t>
            </w:r>
          </w:p>
        </w:tc>
      </w:tr>
      <w:tr>
        <w:trPr>
          <w:trHeight w:val="293"/>
        </w:trPr>
        <w:tc>
          <w:tcPr>
            <w:tcW w:w="4740" w:type="dxa"/>
            <w:vAlign w:val="bottom"/>
          </w:tcPr>
          <w:p>
            <w:pPr>
              <w:spacing w:after="0"/>
              <w:rPr>
                <w:sz w:val="20"/>
                <w:szCs w:val="20"/>
                <w:color w:val="auto"/>
              </w:rPr>
            </w:pPr>
            <w:r>
              <w:rPr>
                <w:rFonts w:ascii="Arial" w:cs="Arial" w:eastAsia="Arial" w:hAnsi="Arial"/>
                <w:sz w:val="18"/>
                <w:szCs w:val="18"/>
                <w:color w:val="auto"/>
              </w:rPr>
              <w:t>S&amp;P</w:t>
            </w:r>
            <w:r>
              <w:rPr>
                <w:rFonts w:ascii="Arial" w:cs="Arial" w:eastAsia="Arial" w:hAnsi="Arial"/>
                <w:sz w:val="22"/>
                <w:szCs w:val="22"/>
                <w:color w:val="auto"/>
                <w:vertAlign w:val="superscript"/>
              </w:rPr>
              <w:t>®</w:t>
            </w:r>
            <w:r>
              <w:rPr>
                <w:rFonts w:ascii="Arial" w:cs="Arial" w:eastAsia="Arial" w:hAnsi="Arial"/>
                <w:sz w:val="18"/>
                <w:szCs w:val="18"/>
                <w:color w:val="auto"/>
              </w:rPr>
              <w:t xml:space="preserve"> Information Technology Index</w:t>
            </w:r>
          </w:p>
        </w:tc>
        <w:tc>
          <w:tcPr>
            <w:tcW w:w="22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12"/>
              <w:spacing w:after="0"/>
              <w:rPr>
                <w:sz w:val="20"/>
                <w:szCs w:val="20"/>
                <w:color w:val="auto"/>
              </w:rPr>
            </w:pPr>
            <w:r>
              <w:rPr>
                <w:rFonts w:ascii="Arial" w:cs="Arial" w:eastAsia="Arial" w:hAnsi="Arial"/>
                <w:sz w:val="18"/>
                <w:szCs w:val="18"/>
                <w:color w:val="auto"/>
              </w:rPr>
              <w:t>100</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52"/>
              <w:spacing w:after="0"/>
              <w:rPr>
                <w:sz w:val="20"/>
                <w:szCs w:val="20"/>
                <w:color w:val="auto"/>
              </w:rPr>
            </w:pPr>
            <w:r>
              <w:rPr>
                <w:rFonts w:ascii="Arial" w:cs="Arial" w:eastAsia="Arial" w:hAnsi="Arial"/>
                <w:sz w:val="18"/>
                <w:szCs w:val="18"/>
                <w:color w:val="auto"/>
              </w:rPr>
              <w:t>147</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72"/>
              <w:spacing w:after="0"/>
              <w:rPr>
                <w:sz w:val="20"/>
                <w:szCs w:val="20"/>
                <w:color w:val="auto"/>
              </w:rPr>
            </w:pPr>
            <w:r>
              <w:rPr>
                <w:rFonts w:ascii="Arial" w:cs="Arial" w:eastAsia="Arial" w:hAnsi="Arial"/>
                <w:sz w:val="18"/>
                <w:szCs w:val="18"/>
                <w:color w:val="auto"/>
              </w:rPr>
              <w:t>151</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52"/>
              <w:spacing w:after="0"/>
              <w:rPr>
                <w:sz w:val="20"/>
                <w:szCs w:val="20"/>
                <w:color w:val="auto"/>
              </w:rPr>
            </w:pPr>
            <w:r>
              <w:rPr>
                <w:rFonts w:ascii="Arial" w:cs="Arial" w:eastAsia="Arial" w:hAnsi="Arial"/>
                <w:sz w:val="18"/>
                <w:szCs w:val="18"/>
                <w:color w:val="auto"/>
              </w:rPr>
              <w:t>152</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72"/>
              <w:spacing w:after="0"/>
              <w:rPr>
                <w:sz w:val="20"/>
                <w:szCs w:val="20"/>
                <w:color w:val="auto"/>
              </w:rPr>
            </w:pPr>
            <w:r>
              <w:rPr>
                <w:rFonts w:ascii="Arial" w:cs="Arial" w:eastAsia="Arial" w:hAnsi="Arial"/>
                <w:sz w:val="18"/>
                <w:szCs w:val="18"/>
                <w:color w:val="auto"/>
              </w:rPr>
              <w:t>165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192</w:t>
            </w:r>
          </w:p>
        </w:tc>
      </w:tr>
      <w:tr>
        <w:trPr>
          <w:trHeight w:val="220"/>
        </w:trPr>
        <w:tc>
          <w:tcPr>
            <w:tcW w:w="4740" w:type="dxa"/>
            <w:vAlign w:val="bottom"/>
          </w:tcPr>
          <w:p>
            <w:pPr>
              <w:spacing w:after="0"/>
              <w:rPr>
                <w:sz w:val="20"/>
                <w:szCs w:val="20"/>
                <w:color w:val="auto"/>
              </w:rPr>
            </w:pPr>
            <w:r>
              <w:rPr>
                <w:rFonts w:ascii="Arial" w:cs="Arial" w:eastAsia="Arial" w:hAnsi="Arial"/>
                <w:sz w:val="14"/>
                <w:szCs w:val="14"/>
                <w:color w:val="auto"/>
              </w:rPr>
              <w:t>62</w:t>
            </w:r>
          </w:p>
        </w:tc>
        <w:tc>
          <w:tcPr>
            <w:tcW w:w="2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100" w:type="dxa"/>
            <w:vAlign w:val="bottom"/>
            <w:gridSpan w:val="8"/>
          </w:tcPr>
          <w:p>
            <w:pPr>
              <w:jc w:val="right"/>
              <w:spacing w:after="0"/>
              <w:rPr>
                <w:sz w:val="20"/>
                <w:szCs w:val="20"/>
                <w:color w:val="auto"/>
              </w:rPr>
            </w:pPr>
            <w:r>
              <w:rPr>
                <w:rFonts w:ascii="Arial" w:cs="Arial" w:eastAsia="Arial" w:hAnsi="Arial"/>
                <w:sz w:val="14"/>
                <w:szCs w:val="14"/>
                <w:color w:val="auto"/>
                <w:w w:val="99"/>
              </w:rPr>
              <w:t>TEXAS INSTRUMENTS 2007 ANNUAL REPORT</w:t>
            </w:r>
          </w:p>
        </w:tc>
      </w:tr>
    </w:tbl>
    <w:p>
      <w:pPr>
        <w:sectPr>
          <w:pgSz w:w="11900" w:h="16838" w:orient="portrait"/>
          <w:cols w:equalWidth="0" w:num="1">
            <w:col w:w="11420"/>
          </w:cols>
          <w:pgMar w:left="240" w:top="269" w:right="2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SAFE HARBOR STATEMENT</w:t>
      </w:r>
    </w:p>
    <w:p>
      <w:pPr>
        <w:spacing w:after="0" w:line="18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“Safe Harbor” Statement under the Private Securities Litigation Reform Act of 1995: 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in this report that describe our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56"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74" w:lineRule="exact"/>
        <w:rPr>
          <w:sz w:val="20"/>
          <w:szCs w:val="20"/>
          <w:color w:val="auto"/>
        </w:rPr>
      </w:pPr>
    </w:p>
    <w:p>
      <w:pPr>
        <w:ind w:left="900" w:right="80" w:hanging="446"/>
        <w:spacing w:after="0" w:line="234"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Market demand for semiconductors, particularly for analog chips and digital signal processors in key markets such as communications, entertainment electronics and computing;</w:t>
      </w:r>
    </w:p>
    <w:p>
      <w:pPr>
        <w:spacing w:after="0" w:line="1" w:lineRule="exact"/>
        <w:rPr>
          <w:rFonts w:ascii="Arial" w:cs="Arial" w:eastAsia="Arial" w:hAnsi="Arial"/>
          <w:sz w:val="18"/>
          <w:szCs w:val="18"/>
          <w:color w:val="auto"/>
        </w:rPr>
      </w:pPr>
    </w:p>
    <w:p>
      <w:pPr>
        <w:ind w:left="900" w:right="260" w:hanging="446"/>
        <w:spacing w:after="0" w:line="234"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1" w:lineRule="exact"/>
        <w:rPr>
          <w:rFonts w:ascii="Arial" w:cs="Arial" w:eastAsia="Arial" w:hAnsi="Arial"/>
          <w:sz w:val="18"/>
          <w:szCs w:val="18"/>
          <w:color w:val="auto"/>
        </w:rPr>
      </w:pPr>
    </w:p>
    <w:p>
      <w:pPr>
        <w:ind w:left="900" w:hanging="446"/>
        <w:spacing w:after="0" w:line="234"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ind w:left="900" w:hanging="446"/>
        <w:spacing w:after="0" w:line="234"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ind w:left="900" w:hanging="446"/>
        <w:spacing w:after="0" w:line="234"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ind w:left="900" w:hanging="446"/>
        <w:spacing w:after="0" w:line="234"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ind w:left="900" w:right="400" w:hanging="446"/>
        <w:spacing w:after="0" w:line="234"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spacing w:after="0" w:line="1" w:lineRule="exact"/>
        <w:rPr>
          <w:rFonts w:ascii="Arial" w:cs="Arial" w:eastAsia="Arial" w:hAnsi="Arial"/>
          <w:sz w:val="18"/>
          <w:szCs w:val="18"/>
          <w:color w:val="auto"/>
        </w:rPr>
      </w:pPr>
    </w:p>
    <w:p>
      <w:pPr>
        <w:ind w:left="900" w:hanging="446"/>
        <w:spacing w:after="0" w:line="234"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ind w:left="900" w:right="740" w:hanging="446"/>
        <w:spacing w:after="0" w:line="234"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Availability and cost of raw materials, utilities, manufacturing equipment, third-party manufacturing services and manufacturing technology;</w:t>
      </w:r>
    </w:p>
    <w:p>
      <w:pPr>
        <w:spacing w:after="0" w:line="1" w:lineRule="exact"/>
        <w:rPr>
          <w:rFonts w:ascii="Arial" w:cs="Arial" w:eastAsia="Arial" w:hAnsi="Arial"/>
          <w:sz w:val="18"/>
          <w:szCs w:val="18"/>
          <w:color w:val="auto"/>
        </w:rPr>
      </w:pPr>
    </w:p>
    <w:p>
      <w:pPr>
        <w:ind w:left="900" w:hanging="446"/>
        <w:spacing w:after="0" w:line="234"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spacing w:after="0" w:line="1" w:lineRule="exact"/>
        <w:rPr>
          <w:rFonts w:ascii="Arial" w:cs="Arial" w:eastAsia="Arial" w:hAnsi="Arial"/>
          <w:sz w:val="18"/>
          <w:szCs w:val="18"/>
          <w:color w:val="auto"/>
        </w:rPr>
      </w:pPr>
    </w:p>
    <w:p>
      <w:pPr>
        <w:ind w:left="900" w:right="660" w:hanging="446"/>
        <w:spacing w:after="0" w:line="234"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Losses or curtailments of purchases from key customers and the timing and amount of distributor and other customer inventory adjustments;</w:t>
      </w:r>
    </w:p>
    <w:p>
      <w:pPr>
        <w:spacing w:after="0" w:line="1" w:lineRule="exact"/>
        <w:rPr>
          <w:rFonts w:ascii="Arial" w:cs="Arial" w:eastAsia="Arial" w:hAnsi="Arial"/>
          <w:sz w:val="18"/>
          <w:szCs w:val="18"/>
          <w:color w:val="auto"/>
        </w:rPr>
      </w:pPr>
    </w:p>
    <w:p>
      <w:pPr>
        <w:ind w:left="900" w:hanging="446"/>
        <w:spacing w:after="0" w:line="234"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ind w:left="900" w:hanging="446"/>
        <w:spacing w:after="0" w:line="234"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ind w:left="900" w:hanging="446"/>
        <w:spacing w:after="0" w:line="234"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TI’s ability to access its bank accounts and lines of credit or otherwise access the capital markets;</w:t>
      </w:r>
    </w:p>
    <w:p>
      <w:pPr>
        <w:ind w:left="900" w:right="80" w:hanging="446"/>
        <w:spacing w:after="0" w:line="234"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Product liability or warranty claims, claims based on epidemic or delivery failure or recalls by TI customers for a product containing a TI part;</w:t>
      </w:r>
    </w:p>
    <w:p>
      <w:pPr>
        <w:spacing w:after="0" w:line="1" w:lineRule="exact"/>
        <w:rPr>
          <w:rFonts w:ascii="Arial" w:cs="Arial" w:eastAsia="Arial" w:hAnsi="Arial"/>
          <w:sz w:val="18"/>
          <w:szCs w:val="18"/>
          <w:color w:val="auto"/>
        </w:rPr>
      </w:pPr>
    </w:p>
    <w:p>
      <w:pPr>
        <w:ind w:left="900" w:hanging="446"/>
        <w:spacing w:after="0" w:line="234"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ind w:left="900" w:right="360" w:hanging="446"/>
        <w:spacing w:after="0" w:line="239"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155"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For a more detailed discussion of these factors, see the text under the heading “Risk Factors” in Item 1A of our most recent Form 10-K. The forward-looking statements included in this report are made only as of the date of publication (February 2008), and we undertake no obligation to update the forward-looking statements to reflect subsequent events or circumstances.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120" w:type="dxa"/>
            <w:vAlign w:val="bottom"/>
          </w:tcPr>
          <w:p>
            <w:pPr>
              <w:spacing w:after="0"/>
              <w:rPr>
                <w:sz w:val="20"/>
                <w:szCs w:val="20"/>
                <w:color w:val="auto"/>
              </w:rPr>
            </w:pPr>
            <w:r>
              <w:rPr>
                <w:rFonts w:ascii="Arial" w:cs="Arial" w:eastAsia="Arial" w:hAnsi="Arial"/>
                <w:sz w:val="14"/>
                <w:szCs w:val="14"/>
                <w:color w:val="auto"/>
              </w:rPr>
              <w:t>TEXAS INSTRUMENTS 2007 ANNUAL REPORT</w:t>
            </w:r>
          </w:p>
        </w:tc>
        <w:tc>
          <w:tcPr>
            <w:tcW w:w="4300" w:type="dxa"/>
            <w:vAlign w:val="bottom"/>
          </w:tcPr>
          <w:p>
            <w:pPr>
              <w:jc w:val="right"/>
              <w:spacing w:after="0"/>
              <w:rPr>
                <w:sz w:val="20"/>
                <w:szCs w:val="20"/>
                <w:color w:val="auto"/>
              </w:rPr>
            </w:pPr>
            <w:r>
              <w:rPr>
                <w:rFonts w:ascii="Arial" w:cs="Arial" w:eastAsia="Arial" w:hAnsi="Arial"/>
                <w:sz w:val="14"/>
                <w:szCs w:val="14"/>
                <w:color w:val="auto"/>
              </w:rPr>
              <w:t>63</w:t>
            </w:r>
          </w:p>
        </w:tc>
      </w:tr>
    </w:tbl>
    <w:p>
      <w:pPr>
        <w:sectPr>
          <w:pgSz w:w="11900" w:h="16838" w:orient="portrait"/>
          <w:cols w:equalWidth="0" w:num="1">
            <w:col w:w="11420"/>
          </w:cols>
          <w:pgMar w:left="240" w:top="269"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u w:val="single" w:color="auto"/>
          <w:color w:val="auto"/>
        </w:rPr>
        <w:t>Exhibit 21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20" w:type="dxa"/>
            <w:vAlign w:val="bottom"/>
            <w:gridSpan w:val="3"/>
          </w:tcPr>
          <w:p>
            <w:pPr>
              <w:ind w:left="3280"/>
              <w:spacing w:after="0"/>
              <w:rPr>
                <w:sz w:val="20"/>
                <w:szCs w:val="20"/>
                <w:color w:val="auto"/>
              </w:rPr>
            </w:pPr>
            <w:r>
              <w:rPr>
                <w:rFonts w:ascii="Arial" w:cs="Arial" w:eastAsia="Arial" w:hAnsi="Arial"/>
                <w:sz w:val="18"/>
                <w:szCs w:val="18"/>
                <w:color w:val="auto"/>
              </w:rPr>
              <w:t>TEXAS INSTRUMENTS INCORPORATED AND SUBSIDIARIES</w:t>
            </w:r>
          </w:p>
        </w:tc>
      </w:tr>
      <w:tr>
        <w:trPr>
          <w:trHeight w:val="222"/>
        </w:trPr>
        <w:tc>
          <w:tcPr>
            <w:tcW w:w="11420" w:type="dxa"/>
            <w:vAlign w:val="bottom"/>
            <w:gridSpan w:val="3"/>
          </w:tcPr>
          <w:p>
            <w:pPr>
              <w:ind w:left="3880"/>
              <w:spacing w:after="0"/>
              <w:rPr>
                <w:sz w:val="20"/>
                <w:szCs w:val="20"/>
                <w:color w:val="auto"/>
              </w:rPr>
            </w:pPr>
            <w:r>
              <w:rPr>
                <w:rFonts w:ascii="Arial" w:cs="Arial" w:eastAsia="Arial" w:hAnsi="Arial"/>
                <w:sz w:val="18"/>
                <w:szCs w:val="18"/>
                <w:color w:val="auto"/>
              </w:rPr>
              <w:t>LIST OF SUBSIDIARIES OF THE REGISTRANT</w:t>
            </w:r>
          </w:p>
        </w:tc>
      </w:tr>
      <w:tr>
        <w:trPr>
          <w:trHeight w:val="378"/>
        </w:trPr>
        <w:tc>
          <w:tcPr>
            <w:tcW w:w="7200" w:type="dxa"/>
            <w:vAlign w:val="bottom"/>
          </w:tcPr>
          <w:p>
            <w:pPr>
              <w:spacing w:after="0"/>
              <w:rPr>
                <w:sz w:val="20"/>
                <w:szCs w:val="20"/>
                <w:color w:val="auto"/>
              </w:rPr>
            </w:pPr>
            <w:r>
              <w:rPr>
                <w:rFonts w:ascii="Arial" w:cs="Arial" w:eastAsia="Arial" w:hAnsi="Arial"/>
                <w:sz w:val="18"/>
                <w:szCs w:val="18"/>
                <w:color w:val="auto"/>
              </w:rPr>
              <w:t>The following are current subsidiaries of the Registrant.</w:t>
            </w:r>
          </w:p>
        </w:tc>
        <w:tc>
          <w:tcPr>
            <w:tcW w:w="240" w:type="dxa"/>
            <w:vAlign w:val="bottom"/>
          </w:tcPr>
          <w:p>
            <w:pPr>
              <w:spacing w:after="0"/>
              <w:rPr>
                <w:sz w:val="24"/>
                <w:szCs w:val="24"/>
                <w:color w:val="auto"/>
              </w:rPr>
            </w:pPr>
          </w:p>
        </w:tc>
        <w:tc>
          <w:tcPr>
            <w:tcW w:w="3980" w:type="dxa"/>
            <w:vAlign w:val="bottom"/>
          </w:tcPr>
          <w:p>
            <w:pPr>
              <w:spacing w:after="0"/>
              <w:rPr>
                <w:sz w:val="24"/>
                <w:szCs w:val="24"/>
                <w:color w:val="auto"/>
              </w:rPr>
            </w:pPr>
          </w:p>
        </w:tc>
      </w:tr>
      <w:tr>
        <w:trPr>
          <w:trHeight w:val="366"/>
        </w:trPr>
        <w:tc>
          <w:tcPr>
            <w:tcW w:w="7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Subsidiary and Name Under Which Business is Done</w:t>
            </w:r>
          </w:p>
        </w:tc>
        <w:tc>
          <w:tcPr>
            <w:tcW w:w="240" w:type="dxa"/>
            <w:vAlign w:val="bottom"/>
          </w:tcPr>
          <w:p>
            <w:pPr>
              <w:spacing w:after="0"/>
              <w:rPr>
                <w:sz w:val="24"/>
                <w:szCs w:val="24"/>
                <w:color w:val="auto"/>
              </w:rPr>
            </w:pPr>
          </w:p>
        </w:tc>
        <w:tc>
          <w:tcPr>
            <w:tcW w:w="3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Where Organized</w:t>
            </w:r>
          </w:p>
        </w:tc>
      </w:tr>
      <w:tr>
        <w:trPr>
          <w:trHeight w:val="201"/>
        </w:trPr>
        <w:tc>
          <w:tcPr>
            <w:tcW w:w="7200" w:type="dxa"/>
            <w:vAlign w:val="bottom"/>
          </w:tcPr>
          <w:p>
            <w:pPr>
              <w:spacing w:after="0" w:line="201" w:lineRule="exact"/>
              <w:rPr>
                <w:sz w:val="20"/>
                <w:szCs w:val="20"/>
                <w:color w:val="auto"/>
              </w:rPr>
            </w:pPr>
            <w:r>
              <w:rPr>
                <w:rFonts w:ascii="Arial" w:cs="Arial" w:eastAsia="Arial" w:hAnsi="Arial"/>
                <w:sz w:val="18"/>
                <w:szCs w:val="18"/>
                <w:color w:val="auto"/>
              </w:rPr>
              <w:t>Auto Circuits, Inc.</w:t>
            </w:r>
          </w:p>
        </w:tc>
        <w:tc>
          <w:tcPr>
            <w:tcW w:w="240" w:type="dxa"/>
            <w:vAlign w:val="bottom"/>
          </w:tcPr>
          <w:p>
            <w:pPr>
              <w:spacing w:after="0"/>
              <w:rPr>
                <w:sz w:val="17"/>
                <w:szCs w:val="17"/>
                <w:color w:val="auto"/>
              </w:rPr>
            </w:pPr>
          </w:p>
        </w:tc>
        <w:tc>
          <w:tcPr>
            <w:tcW w:w="3980" w:type="dxa"/>
            <w:vAlign w:val="bottom"/>
          </w:tcPr>
          <w:p>
            <w:pPr>
              <w:spacing w:after="0" w:line="201" w:lineRule="exact"/>
              <w:rPr>
                <w:sz w:val="20"/>
                <w:szCs w:val="20"/>
                <w:color w:val="auto"/>
              </w:rPr>
            </w:pPr>
            <w:r>
              <w:rPr>
                <w:rFonts w:ascii="Arial" w:cs="Arial" w:eastAsia="Arial" w:hAnsi="Arial"/>
                <w:sz w:val="18"/>
                <w:szCs w:val="18"/>
                <w:color w:val="auto"/>
              </w:rPr>
              <w:t>Massachusetts</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Benchmarq Microelectronics Corporation of South Korea</w:t>
            </w:r>
          </w:p>
        </w:tc>
        <w:tc>
          <w:tcPr>
            <w:tcW w:w="2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Burr-Brown Europe Limited</w:t>
            </w:r>
          </w:p>
        </w:tc>
        <w:tc>
          <w:tcPr>
            <w:tcW w:w="2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Burr-Brown International Holding Corporation</w:t>
            </w:r>
          </w:p>
        </w:tc>
        <w:tc>
          <w:tcPr>
            <w:tcW w:w="2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Butterfly Communications Inc.</w:t>
            </w:r>
          </w:p>
        </w:tc>
        <w:tc>
          <w:tcPr>
            <w:tcW w:w="2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Chipcon, Inc.</w:t>
            </w:r>
          </w:p>
        </w:tc>
        <w:tc>
          <w:tcPr>
            <w:tcW w:w="2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Condat Edinburgh Ltd.</w:t>
            </w:r>
          </w:p>
        </w:tc>
        <w:tc>
          <w:tcPr>
            <w:tcW w:w="2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Integrated Circuit Designs, Inc.</w:t>
            </w:r>
          </w:p>
        </w:tc>
        <w:tc>
          <w:tcPr>
            <w:tcW w:w="2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Maryland</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Telogy Networks, Inc.</w:t>
            </w:r>
          </w:p>
        </w:tc>
        <w:tc>
          <w:tcPr>
            <w:tcW w:w="2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Texas Instruments Asia Limited</w:t>
            </w:r>
          </w:p>
        </w:tc>
        <w:tc>
          <w:tcPr>
            <w:tcW w:w="2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Texas Instruments Australia Pty Limited</w:t>
            </w:r>
          </w:p>
        </w:tc>
        <w:tc>
          <w:tcPr>
            <w:tcW w:w="2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Australia</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Texas Instruments (Bahamas) Limited</w:t>
            </w:r>
          </w:p>
        </w:tc>
        <w:tc>
          <w:tcPr>
            <w:tcW w:w="2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Bahamas</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Texas Instruments Belgium S.A.</w:t>
            </w:r>
          </w:p>
        </w:tc>
        <w:tc>
          <w:tcPr>
            <w:tcW w:w="2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Belgium</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Texas Instruments Berlin GmbH</w:t>
            </w:r>
          </w:p>
        </w:tc>
        <w:tc>
          <w:tcPr>
            <w:tcW w:w="2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Germany</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Texas Instruments Business Expansion GmbH</w:t>
            </w:r>
          </w:p>
        </w:tc>
        <w:tc>
          <w:tcPr>
            <w:tcW w:w="2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Germany</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Texas Instruments Canada Limited</w:t>
            </w:r>
          </w:p>
        </w:tc>
        <w:tc>
          <w:tcPr>
            <w:tcW w:w="2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Canada</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Texas Instruments China Incorporated</w:t>
            </w:r>
          </w:p>
        </w:tc>
        <w:tc>
          <w:tcPr>
            <w:tcW w:w="2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Texas Instruments China Trading Limited</w:t>
            </w:r>
          </w:p>
        </w:tc>
        <w:tc>
          <w:tcPr>
            <w:tcW w:w="2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Hong Kong</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Texas Instruments de Mexico, S. de R.L. de C.V.</w:t>
            </w:r>
          </w:p>
        </w:tc>
        <w:tc>
          <w:tcPr>
            <w:tcW w:w="2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Mexico</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Texas Instruments Denmark A/S</w:t>
            </w:r>
          </w:p>
        </w:tc>
        <w:tc>
          <w:tcPr>
            <w:tcW w:w="2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Denmark</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Texas Instruments Deutschland GmbH</w:t>
            </w:r>
          </w:p>
        </w:tc>
        <w:tc>
          <w:tcPr>
            <w:tcW w:w="2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Germany</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Texas Instruments Espana, S.A.</w:t>
            </w:r>
          </w:p>
        </w:tc>
        <w:tc>
          <w:tcPr>
            <w:tcW w:w="2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Spain</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Texas Instruments Foreign Sales Corporation</w:t>
            </w:r>
          </w:p>
        </w:tc>
        <w:tc>
          <w:tcPr>
            <w:tcW w:w="2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Barbados</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Texas Instruments France S.A.</w:t>
            </w:r>
          </w:p>
        </w:tc>
        <w:tc>
          <w:tcPr>
            <w:tcW w:w="2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France</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Texas Instruments Gesellschaft m.b.H.</w:t>
            </w:r>
          </w:p>
        </w:tc>
        <w:tc>
          <w:tcPr>
            <w:tcW w:w="2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Austria</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Texas Instruments Holland B.V.</w:t>
            </w:r>
          </w:p>
        </w:tc>
        <w:tc>
          <w:tcPr>
            <w:tcW w:w="2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Netherlands</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Texas Instruments Hong Kong Limited</w:t>
            </w:r>
          </w:p>
        </w:tc>
        <w:tc>
          <w:tcPr>
            <w:tcW w:w="2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Hong Kong</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Texas Instruments (India) Private Limited</w:t>
            </w:r>
          </w:p>
        </w:tc>
        <w:tc>
          <w:tcPr>
            <w:tcW w:w="2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India</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Texas Instruments Insurance (Bermuda) Limited</w:t>
            </w:r>
          </w:p>
        </w:tc>
        <w:tc>
          <w:tcPr>
            <w:tcW w:w="2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Bermuda</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Texas Instruments International Capital Corporation</w:t>
            </w:r>
          </w:p>
        </w:tc>
        <w:tc>
          <w:tcPr>
            <w:tcW w:w="2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Texas Instruments International Management Company S.à R.L.</w:t>
            </w:r>
          </w:p>
        </w:tc>
        <w:tc>
          <w:tcPr>
            <w:tcW w:w="2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Luxembourg</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Texas Instruments International (Overseas) Limited</w:t>
            </w:r>
          </w:p>
        </w:tc>
        <w:tc>
          <w:tcPr>
            <w:tcW w:w="2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Texas Instruments International Trade Corporation</w:t>
            </w:r>
          </w:p>
        </w:tc>
        <w:tc>
          <w:tcPr>
            <w:tcW w:w="2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Texas Instruments International (U.S.A.) Inc.</w:t>
            </w:r>
          </w:p>
        </w:tc>
        <w:tc>
          <w:tcPr>
            <w:tcW w:w="2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Texas Instruments (Ireland) Limited</w:t>
            </w:r>
          </w:p>
        </w:tc>
        <w:tc>
          <w:tcPr>
            <w:tcW w:w="2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Ireland</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Texas Instruments Israel Ltd.</w:t>
            </w:r>
          </w:p>
        </w:tc>
        <w:tc>
          <w:tcPr>
            <w:tcW w:w="2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Israel</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Texas Instruments Israel Trading (2003) Ltd.</w:t>
            </w:r>
          </w:p>
        </w:tc>
        <w:tc>
          <w:tcPr>
            <w:tcW w:w="2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Israel</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Texas Instruments Japan Limited</w:t>
            </w:r>
          </w:p>
        </w:tc>
        <w:tc>
          <w:tcPr>
            <w:tcW w:w="2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Japan</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Texas Instruments Korea Limited</w:t>
            </w:r>
          </w:p>
        </w:tc>
        <w:tc>
          <w:tcPr>
            <w:tcW w:w="2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Korea</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Texas Instruments Limited</w:t>
            </w:r>
          </w:p>
        </w:tc>
        <w:tc>
          <w:tcPr>
            <w:tcW w:w="2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Texas Instruments Low Power Wireless San Diego Incorporated</w:t>
            </w:r>
          </w:p>
        </w:tc>
        <w:tc>
          <w:tcPr>
            <w:tcW w:w="2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Texas Instruments Malaysia Sdn. Bhd.</w:t>
            </w:r>
          </w:p>
        </w:tc>
        <w:tc>
          <w:tcPr>
            <w:tcW w:w="2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Malaysia</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Texas Instruments Marketing &amp; Finance GmbH &amp; Co. KG</w:t>
            </w:r>
          </w:p>
        </w:tc>
        <w:tc>
          <w:tcPr>
            <w:tcW w:w="2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Germany</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Texas Instruments Northern Virginia Incorporated</w:t>
            </w:r>
          </w:p>
        </w:tc>
        <w:tc>
          <w:tcPr>
            <w:tcW w:w="2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Texas Instruments Norway AS</w:t>
            </w:r>
          </w:p>
        </w:tc>
        <w:tc>
          <w:tcPr>
            <w:tcW w:w="2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Norway</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Texas Instruments Norway ASA</w:t>
            </w:r>
          </w:p>
        </w:tc>
        <w:tc>
          <w:tcPr>
            <w:tcW w:w="2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Norway</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Texas Instruments Oy</w:t>
            </w:r>
          </w:p>
        </w:tc>
        <w:tc>
          <w:tcPr>
            <w:tcW w:w="2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Finland</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Texas Instruments Palo Alto Incorporated</w:t>
            </w:r>
          </w:p>
        </w:tc>
        <w:tc>
          <w:tcPr>
            <w:tcW w:w="2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Texas Instruments (Philippines) Incorporated</w:t>
            </w:r>
          </w:p>
        </w:tc>
        <w:tc>
          <w:tcPr>
            <w:tcW w:w="2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Delaware</w:t>
            </w:r>
          </w:p>
        </w:tc>
      </w:tr>
      <w:tr>
        <w:trPr>
          <w:trHeight w:val="222"/>
        </w:trPr>
        <w:tc>
          <w:tcPr>
            <w:tcW w:w="7200" w:type="dxa"/>
            <w:vAlign w:val="bottom"/>
          </w:tcPr>
          <w:p>
            <w:pPr>
              <w:spacing w:after="0"/>
              <w:rPr>
                <w:sz w:val="20"/>
                <w:szCs w:val="20"/>
                <w:color w:val="auto"/>
              </w:rPr>
            </w:pPr>
            <w:r>
              <w:rPr>
                <w:rFonts w:ascii="Arial" w:cs="Arial" w:eastAsia="Arial" w:hAnsi="Arial"/>
                <w:sz w:val="18"/>
                <w:szCs w:val="18"/>
                <w:color w:val="auto"/>
              </w:rPr>
              <w:t>Texas Instruments Richardson LLC</w:t>
            </w:r>
          </w:p>
        </w:tc>
        <w:tc>
          <w:tcPr>
            <w:tcW w:w="24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420"/>
          </w:cols>
          <w:pgMar w:left="240" w:top="131" w:right="239" w:bottom="1440" w:gutter="0" w:footer="0" w:header="0"/>
        </w:sectPr>
      </w:pPr>
    </w:p>
    <w:bookmarkStart w:id="84" w:name="page85"/>
    <w:bookmarkEnd w:id="8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Texas Instruments Santa Rosa Incorporated</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Texas Instruments Semiconductor Technologies (Shanghai) Co., Ltd.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Semiconductores e Tecnologias Ltda.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(Shanghai)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Singapore (Pte)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Sunnyvale 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Taiwan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Trade &amp; Investment Company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Tucson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 Europe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 (Philippines),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Unitrode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Unitrode-Maine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Brazil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Taiwan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Panama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Philippines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Maryland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Maine</w:t>
      </w:r>
    </w:p>
    <w:p>
      <w:pPr>
        <w:sectPr>
          <w:pgSz w:w="11900" w:h="16838" w:orient="portrait"/>
          <w:cols w:equalWidth="0" w:num="2">
            <w:col w:w="6720" w:space="720"/>
            <w:col w:w="2779"/>
          </w:cols>
          <w:pgMar w:left="240" w:top="280" w:right="1440"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u w:val="single" w:color="auto"/>
          <w:color w:val="auto"/>
        </w:rPr>
        <w:t>Exhibit 23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71"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We consent to the incorporation by reference in this Annual Report on Form 10-K of Texas Instruments Incorporated of our reports dated February 22, 2008, with respect to the consolidated financial statements of Texas Instruments Incorporated and the effectiveness of internal control over financial reporting of Texas Instruments Incorporated, included in the 2007 Annual Report to Stockholders of Texas Instruments Incorporated.</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We also consent to the incorporation by reference in the following registration statements, and in the related prospectuses thereto, of our reports dated</w:t>
      </w:r>
    </w:p>
    <w:p>
      <w:pPr>
        <w:spacing w:after="0" w:line="38"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February 22, 2008, with respect to the consolidated financial statements of Texas Instruments Incorporated, and the effectiveness of internal control over financial reporting of Texas Instruments Incorporated, incorporated by reference in this Annual Report on Form 10-K for the year ended December 31, 2007: Registration Statements (Forms S-8) No. 33-42172, No. 33-54615, No. 333-07127 (as amended), No. 333-41913, No. 333-41919, No. 333-31321 (as amended), No. 333-31323, No. 333-48389, No. 333-44662, No. 333-107759, No. 333-107760, No. 333-107761, and No. 333-127021; Registration Statements (Forms S-3) No. 33-48840, No. 33-39628 and No. 333-141048; and Registration Statements (Forms S-4) No. 333-89433 (as amended), No. 333-87199, No. 333-80157 (as amended), and No. 333-41030 (as amended).</w:t>
      </w:r>
    </w:p>
    <w:p>
      <w:pPr>
        <w:spacing w:after="0" w:line="18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ERNST &amp; YOUNG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22, 2008</w:t>
      </w:r>
    </w:p>
    <w:p>
      <w:pPr>
        <w:sectPr>
          <w:pgSz w:w="11900" w:h="16838" w:orient="portrait"/>
          <w:cols w:equalWidth="0" w:num="1">
            <w:col w:w="11420"/>
          </w:cols>
          <w:pgMar w:left="240" w:top="131"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u w:val="single" w:color="auto"/>
          <w:color w:val="auto"/>
        </w:rPr>
        <w:t>Exhibit 31(a)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Richard K. Templeton, certify that:</w:t>
      </w:r>
    </w:p>
    <w:p>
      <w:pPr>
        <w:spacing w:after="0" w:line="90"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report on Form 10-K of Texas Instruments Incorporated;</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3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3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6"/>
          <w:szCs w:val="16"/>
          <w:color w:val="auto"/>
        </w:rPr>
      </w:pPr>
    </w:p>
    <w:p>
      <w:pPr>
        <w:ind w:left="460" w:right="820" w:firstLine="443"/>
        <w:spacing w:after="0" w:line="332" w:lineRule="auto"/>
        <w:tabs>
          <w:tab w:leader="none" w:pos="1137"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220" w:firstLine="443"/>
        <w:spacing w:after="0" w:line="259" w:lineRule="auto"/>
        <w:tabs>
          <w:tab w:leader="none" w:pos="1147"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220" w:firstLine="443"/>
        <w:spacing w:after="0" w:line="268" w:lineRule="auto"/>
        <w:tabs>
          <w:tab w:leader="none" w:pos="1137"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180" w:firstLine="443"/>
        <w:spacing w:after="0" w:line="268" w:lineRule="auto"/>
        <w:tabs>
          <w:tab w:leader="none" w:pos="1147"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26, 2008</w:t>
      </w:r>
    </w:p>
    <w:p>
      <w:pPr>
        <w:spacing w:after="0" w:line="212"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 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Richard K. Templeton</w:t>
      </w:r>
    </w:p>
    <w:p>
      <w:pPr>
        <w:jc w:val="center"/>
        <w:ind w:left="6860"/>
        <w:spacing w:after="0" w:line="223" w:lineRule="auto"/>
        <w:rPr>
          <w:sz w:val="20"/>
          <w:szCs w:val="20"/>
          <w:color w:val="auto"/>
        </w:rPr>
      </w:pPr>
      <w:r>
        <w:rPr>
          <w:rFonts w:ascii="Arial" w:cs="Arial" w:eastAsia="Arial" w:hAnsi="Arial"/>
          <w:sz w:val="14"/>
          <w:szCs w:val="14"/>
          <w:b w:val="1"/>
          <w:bCs w:val="1"/>
          <w:color w:val="auto"/>
        </w:rPr>
        <w:t>President and</w:t>
      </w:r>
    </w:p>
    <w:p>
      <w:pPr>
        <w:jc w:val="center"/>
        <w:ind w:left="6860"/>
        <w:spacing w:after="0"/>
        <w:rPr>
          <w:sz w:val="20"/>
          <w:szCs w:val="20"/>
          <w:color w:val="auto"/>
        </w:rPr>
      </w:pPr>
      <w:r>
        <w:rPr>
          <w:rFonts w:ascii="Arial" w:cs="Arial" w:eastAsia="Arial" w:hAnsi="Arial"/>
          <w:sz w:val="14"/>
          <w:szCs w:val="14"/>
          <w:b w:val="1"/>
          <w:bCs w:val="1"/>
          <w:color w:val="auto"/>
        </w:rPr>
        <w:t>Chief Executive Officer</w:t>
      </w:r>
    </w:p>
    <w:p>
      <w:pPr>
        <w:sectPr>
          <w:pgSz w:w="11900" w:h="16838" w:orient="portrait"/>
          <w:cols w:equalWidth="0" w:num="1">
            <w:col w:w="11420"/>
          </w:cols>
          <w:pgMar w:left="240" w:top="131" w:right="2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u w:val="single" w:color="auto"/>
          <w:color w:val="auto"/>
        </w:rPr>
        <w:t>Exhibit 31(b)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Kevin P. March, certify that:</w:t>
      </w:r>
    </w:p>
    <w:p>
      <w:pPr>
        <w:spacing w:after="0" w:line="90"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report on Form 10-K of Texas Instruments Incorporated;</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3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3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6"/>
          <w:szCs w:val="16"/>
          <w:color w:val="auto"/>
        </w:rPr>
      </w:pPr>
    </w:p>
    <w:p>
      <w:pPr>
        <w:ind w:left="460" w:right="820" w:firstLine="443"/>
        <w:spacing w:after="0" w:line="332" w:lineRule="auto"/>
        <w:tabs>
          <w:tab w:leader="none" w:pos="1137"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220" w:firstLine="443"/>
        <w:spacing w:after="0" w:line="259" w:lineRule="auto"/>
        <w:tabs>
          <w:tab w:leader="none" w:pos="1147"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220" w:firstLine="443"/>
        <w:spacing w:after="0" w:line="268" w:lineRule="auto"/>
        <w:tabs>
          <w:tab w:leader="none" w:pos="1137"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180" w:firstLine="443"/>
        <w:spacing w:after="0" w:line="268" w:lineRule="auto"/>
        <w:tabs>
          <w:tab w:leader="none" w:pos="1147"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26, 2008</w:t>
      </w:r>
    </w:p>
    <w:p>
      <w:pPr>
        <w:spacing w:after="0" w:line="212"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Kevin P. March</w:t>
      </w:r>
    </w:p>
    <w:p>
      <w:pPr>
        <w:jc w:val="center"/>
        <w:ind w:left="6860"/>
        <w:spacing w:after="0" w:line="223" w:lineRule="auto"/>
        <w:rPr>
          <w:sz w:val="20"/>
          <w:szCs w:val="20"/>
          <w:color w:val="auto"/>
        </w:rPr>
      </w:pPr>
      <w:r>
        <w:rPr>
          <w:rFonts w:ascii="Arial" w:cs="Arial" w:eastAsia="Arial" w:hAnsi="Arial"/>
          <w:sz w:val="14"/>
          <w:szCs w:val="14"/>
          <w:b w:val="1"/>
          <w:bCs w:val="1"/>
          <w:color w:val="auto"/>
        </w:rPr>
        <w:t>Senior Vice President and</w:t>
      </w:r>
    </w:p>
    <w:p>
      <w:pPr>
        <w:jc w:val="center"/>
        <w:ind w:left="6860"/>
        <w:spacing w:after="0"/>
        <w:rPr>
          <w:sz w:val="20"/>
          <w:szCs w:val="20"/>
          <w:color w:val="auto"/>
        </w:rPr>
      </w:pPr>
      <w:r>
        <w:rPr>
          <w:rFonts w:ascii="Arial" w:cs="Arial" w:eastAsia="Arial" w:hAnsi="Arial"/>
          <w:sz w:val="14"/>
          <w:szCs w:val="14"/>
          <w:b w:val="1"/>
          <w:bCs w:val="1"/>
          <w:color w:val="auto"/>
        </w:rPr>
        <w:t>Chief Financial Officer</w:t>
      </w:r>
    </w:p>
    <w:p>
      <w:pPr>
        <w:sectPr>
          <w:pgSz w:w="11900" w:h="16838" w:orient="portrait"/>
          <w:cols w:equalWidth="0" w:num="1">
            <w:col w:w="11420"/>
          </w:cols>
          <w:pgMar w:left="240" w:top="131" w:right="2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u w:val="single" w:color="auto"/>
          <w:color w:val="auto"/>
        </w:rPr>
        <w:t>Exhibit 32(a)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165" w:lineRule="exact"/>
        <w:rPr>
          <w:sz w:val="20"/>
          <w:szCs w:val="20"/>
          <w:color w:val="auto"/>
        </w:rPr>
      </w:pPr>
    </w:p>
    <w:p>
      <w:pPr>
        <w:ind w:right="680"/>
        <w:spacing w:after="0" w:line="332" w:lineRule="auto"/>
        <w:rPr>
          <w:sz w:val="20"/>
          <w:szCs w:val="20"/>
          <w:color w:val="auto"/>
        </w:rPr>
      </w:pPr>
      <w:r>
        <w:rPr>
          <w:rFonts w:ascii="Arial" w:cs="Arial" w:eastAsia="Arial" w:hAnsi="Arial"/>
          <w:sz w:val="16"/>
          <w:szCs w:val="16"/>
          <w:color w:val="auto"/>
        </w:rPr>
        <w:t>For purposes of 18 U.S.C. Section 1350, as adopted pursuant to Section 906 of the Sarbanes-Oxley Act of 2002, the undersigned, Richard K. Templeton, President and Chief Executive Officer of Texas Instruments Incorporated (the “Company”), hereby certifies that, to his knowledge:</w:t>
      </w:r>
    </w:p>
    <w:p>
      <w:pPr>
        <w:spacing w:after="0" w:line="85" w:lineRule="exact"/>
        <w:rPr>
          <w:sz w:val="20"/>
          <w:szCs w:val="20"/>
          <w:color w:val="auto"/>
        </w:rPr>
      </w:pPr>
    </w:p>
    <w:p>
      <w:pPr>
        <w:ind w:right="100" w:firstLine="464"/>
        <w:spacing w:after="0" w:line="332" w:lineRule="auto"/>
        <w:tabs>
          <w:tab w:leader="none" w:pos="666"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Annual Report on Form 10-K of the Company for the year ended December 31, 2007, as filed with the Securities and Exchange Commission on the date hereof (the “Report”) fully complies with the requirements of Section 13(a) or 15(d) of the Securities Exchange Act of 1934; and</w:t>
      </w:r>
    </w:p>
    <w:p>
      <w:pPr>
        <w:spacing w:after="0" w:line="85" w:lineRule="exact"/>
        <w:rPr>
          <w:rFonts w:ascii="Arial" w:cs="Arial" w:eastAsia="Arial" w:hAnsi="Arial"/>
          <w:sz w:val="16"/>
          <w:szCs w:val="16"/>
          <w:color w:val="auto"/>
        </w:rPr>
      </w:pPr>
    </w:p>
    <w:p>
      <w:pPr>
        <w:ind w:left="20" w:right="560" w:firstLine="444"/>
        <w:spacing w:after="0" w:line="456" w:lineRule="auto"/>
        <w:tabs>
          <w:tab w:leader="none" w:pos="73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Dated: February 26, 2008</w:t>
      </w:r>
    </w:p>
    <w:p>
      <w:pPr>
        <w:spacing w:after="0" w:line="10"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 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Richard K. Templeton</w:t>
      </w:r>
    </w:p>
    <w:p>
      <w:pPr>
        <w:jc w:val="center"/>
        <w:ind w:left="6860"/>
        <w:spacing w:after="0" w:line="223" w:lineRule="auto"/>
        <w:rPr>
          <w:sz w:val="20"/>
          <w:szCs w:val="20"/>
          <w:color w:val="auto"/>
        </w:rPr>
      </w:pPr>
      <w:r>
        <w:rPr>
          <w:rFonts w:ascii="Arial" w:cs="Arial" w:eastAsia="Arial" w:hAnsi="Arial"/>
          <w:sz w:val="14"/>
          <w:szCs w:val="14"/>
          <w:b w:val="1"/>
          <w:bCs w:val="1"/>
          <w:color w:val="auto"/>
        </w:rPr>
        <w:t>President and</w:t>
      </w:r>
    </w:p>
    <w:p>
      <w:pPr>
        <w:jc w:val="center"/>
        <w:ind w:left="6860"/>
        <w:spacing w:after="0"/>
        <w:rPr>
          <w:sz w:val="20"/>
          <w:szCs w:val="20"/>
          <w:color w:val="auto"/>
        </w:rPr>
      </w:pPr>
      <w:r>
        <w:rPr>
          <w:rFonts w:ascii="Arial" w:cs="Arial" w:eastAsia="Arial" w:hAnsi="Arial"/>
          <w:sz w:val="14"/>
          <w:szCs w:val="14"/>
          <w:b w:val="1"/>
          <w:bCs w:val="1"/>
          <w:color w:val="auto"/>
        </w:rPr>
        <w:t>Chief Executive Officer</w:t>
      </w:r>
    </w:p>
    <w:p>
      <w:pPr>
        <w:sectPr>
          <w:pgSz w:w="11900" w:h="16838" w:orient="portrait"/>
          <w:cols w:equalWidth="0" w:num="1">
            <w:col w:w="11420"/>
          </w:cols>
          <w:pgMar w:left="240" w:top="131" w:right="2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u w:val="single" w:color="auto"/>
          <w:color w:val="auto"/>
        </w:rPr>
        <w:t>Exhibit 32(b)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165"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For purposes of 18 U.S.C. Section 1350, as adopted pursuant to Section 906 of the Sarbanes-Oxley Act of 2002, the undersigned, Kevin P. March, Senior Vice President and Chief Financial Officer of Texas Instruments Incorporated (the “Company”), hereby certifies that, to his knowledge:</w:t>
      </w:r>
    </w:p>
    <w:p>
      <w:pPr>
        <w:spacing w:after="0" w:line="85" w:lineRule="exact"/>
        <w:rPr>
          <w:sz w:val="20"/>
          <w:szCs w:val="20"/>
          <w:color w:val="auto"/>
        </w:rPr>
      </w:pPr>
    </w:p>
    <w:p>
      <w:pPr>
        <w:ind w:right="100" w:firstLine="464"/>
        <w:spacing w:after="0" w:line="332" w:lineRule="auto"/>
        <w:tabs>
          <w:tab w:leader="none" w:pos="666"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Annual Report on Form 10-K of the Company for the year ended December 31, 2007, as filed with the Securities and Exchange Commission on the date hereof (the “Report”) fully complies with the requirements of Section 13(a) or 15(d) of the Securities Exchange Act of 1934; and</w:t>
      </w:r>
    </w:p>
    <w:p>
      <w:pPr>
        <w:spacing w:after="0" w:line="85" w:lineRule="exact"/>
        <w:rPr>
          <w:rFonts w:ascii="Arial" w:cs="Arial" w:eastAsia="Arial" w:hAnsi="Arial"/>
          <w:sz w:val="16"/>
          <w:szCs w:val="16"/>
          <w:color w:val="auto"/>
        </w:rPr>
      </w:pPr>
    </w:p>
    <w:p>
      <w:pPr>
        <w:ind w:left="20" w:right="560" w:firstLine="444"/>
        <w:spacing w:after="0" w:line="456" w:lineRule="auto"/>
        <w:tabs>
          <w:tab w:leader="none" w:pos="73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Dated: February 26, 2008</w:t>
      </w:r>
    </w:p>
    <w:p>
      <w:pPr>
        <w:spacing w:after="0" w:line="10"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Kevin P. March</w:t>
      </w:r>
    </w:p>
    <w:p>
      <w:pPr>
        <w:jc w:val="center"/>
        <w:ind w:left="6860"/>
        <w:spacing w:after="0" w:line="223" w:lineRule="auto"/>
        <w:rPr>
          <w:sz w:val="20"/>
          <w:szCs w:val="20"/>
          <w:color w:val="auto"/>
        </w:rPr>
      </w:pPr>
      <w:r>
        <w:rPr>
          <w:rFonts w:ascii="Arial" w:cs="Arial" w:eastAsia="Arial" w:hAnsi="Arial"/>
          <w:sz w:val="14"/>
          <w:szCs w:val="14"/>
          <w:b w:val="1"/>
          <w:bCs w:val="1"/>
          <w:color w:val="auto"/>
        </w:rPr>
        <w:t>Senior Vice President and</w:t>
      </w:r>
    </w:p>
    <w:p>
      <w:pPr>
        <w:jc w:val="center"/>
        <w:ind w:left="6860"/>
        <w:spacing w:after="0"/>
        <w:rPr>
          <w:sz w:val="20"/>
          <w:szCs w:val="20"/>
          <w:color w:val="auto"/>
        </w:rPr>
      </w:pPr>
      <w:r>
        <w:rPr>
          <w:rFonts w:ascii="Arial" w:cs="Arial" w:eastAsia="Arial" w:hAnsi="Arial"/>
          <w:sz w:val="14"/>
          <w:szCs w:val="14"/>
          <w:b w:val="1"/>
          <w:bCs w:val="1"/>
          <w:color w:val="auto"/>
        </w:rPr>
        <w:t>Chief Financial Officer</w:t>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1)"/>
      <w:numFmt w:val="decimal"/>
      <w:start w:val="1"/>
    </w:lvl>
  </w:abstractNum>
  <w:abstractNum w:abstractNumId="3">
    <w:nsid w:val="7C83E458"/>
    <w:multiLevelType w:val="hybridMultilevel"/>
    <w:lvl w:ilvl="0">
      <w:lvlJc w:val="left"/>
      <w:lvlText w:val="(%1)"/>
      <w:numFmt w:val="decimal"/>
      <w:start w:val="1"/>
    </w:lvl>
    <w:lvl w:ilvl="1">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1)"/>
      <w:numFmt w:val="decimal"/>
      <w:start w:val="2"/>
    </w:lvl>
  </w:abstractNum>
  <w:abstractNum w:abstractNumId="6">
    <w:nsid w:val="436C6125"/>
    <w:multiLevelType w:val="hybridMultilevel"/>
    <w:lvl w:ilvl="0">
      <w:lvlJc w:val="left"/>
      <w:lvlText w:val="(%1)"/>
      <w:numFmt w:val="decimal"/>
      <w:start w:val="5"/>
    </w:lvl>
  </w:abstractNum>
  <w:abstractNum w:abstractNumId="7">
    <w:nsid w:val="628C895D"/>
    <w:multiLevelType w:val="hybridMultilevel"/>
    <w:lvl w:ilvl="0">
      <w:lvlJc w:val="left"/>
      <w:lvlText w:val="(%1)"/>
      <w:numFmt w:val="lowerLetter"/>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1)"/>
      <w:numFmt w:val="lowerLetter"/>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1)"/>
      <w:numFmt w:val="lowerLetter"/>
      <w:start w:val="1"/>
    </w:lvl>
  </w:abstractNum>
  <w:abstractNum w:abstractNumId="14">
    <w:nsid w:val="8EDBDAB"/>
    <w:multiLevelType w:val="hybridMultilevel"/>
    <w:lvl w:ilvl="0">
      <w:lvlJc w:val="left"/>
      <w:lvlText w:val="(%1)"/>
      <w:numFmt w:val="lowerLetter"/>
      <w:start w:val="1"/>
    </w:lvl>
  </w:abstractNum>
  <w:abstractNum w:abstractNumId="15">
    <w:nsid w:val="79838CB2"/>
    <w:multiLevelType w:val="hybridMultilevel"/>
    <w:lvl w:ilvl="0">
      <w:lvlJc w:val="left"/>
      <w:lvlText w:val="(%1)"/>
      <w:numFmt w:val="lowerLetter"/>
      <w:start w:val="1"/>
    </w:lvl>
  </w:abstractNum>
  <w:abstractNum w:abstractNumId="16">
    <w:nsid w:val="4353D0CD"/>
    <w:multiLevelType w:val="hybridMultilevel"/>
    <w:lvl w:ilvl="0">
      <w:lvlJc w:val="left"/>
      <w:lvlText w:val="(%1)"/>
      <w:numFmt w:val="lowerLetter"/>
      <w:start w:val="1"/>
    </w:lvl>
  </w:abstractNum>
  <w:abstractNum w:abstractNumId="17">
    <w:nsid w:val="B03E0C6"/>
    <w:multiLevelType w:val="hybridMultilevel"/>
    <w:lvl w:ilvl="0">
      <w:lvlJc w:val="left"/>
      <w:lvlText w:val="(%1)"/>
      <w:numFmt w:val="lowerLetter"/>
      <w:start w:val="1"/>
    </w:lvl>
  </w:abstractNum>
  <w:abstractNum w:abstractNumId="18">
    <w:nsid w:val="189A769B"/>
    <w:multiLevelType w:val="hybridMultilevel"/>
    <w:lvl w:ilvl="0">
      <w:lvlJc w:val="left"/>
      <w:lvlText w:val="(%1)"/>
      <w:numFmt w:val="lowerLetter"/>
      <w:start w:val="1"/>
    </w:lvl>
  </w:abstractNum>
  <w:abstractNum w:abstractNumId="19">
    <w:nsid w:val="54E49EB4"/>
    <w:multiLevelType w:val="hybridMultilevel"/>
    <w:lvl w:ilvl="0">
      <w:lvlJc w:val="left"/>
      <w:lvlText w:val="(%1)"/>
      <w:numFmt w:val="lowerLetter"/>
      <w:start w:val="1"/>
    </w:lvl>
  </w:abstractNum>
  <w:abstractNum w:abstractNumId="20">
    <w:nsid w:val="71F32454"/>
    <w:multiLevelType w:val="hybridMultilevel"/>
    <w:lvl w:ilvl="0">
      <w:lvlJc w:val="left"/>
      <w:lvlText w:val="%1."/>
      <w:numFmt w:val="decimal"/>
      <w:start w:val="14"/>
    </w:lvl>
  </w:abstractNum>
  <w:abstractNum w:abstractNumId="21">
    <w:nsid w:val="2CA88611"/>
    <w:multiLevelType w:val="hybridMultilevel"/>
    <w:lvl w:ilvl="0">
      <w:lvlJc w:val="left"/>
      <w:lvlText w:val="(%1)"/>
      <w:numFmt w:val="lowerLetter"/>
      <w:start w:val="1"/>
    </w:lvl>
  </w:abstractNum>
  <w:abstractNum w:abstractNumId="22">
    <w:nsid w:val="836C40E"/>
    <w:multiLevelType w:val="hybridMultilevel"/>
    <w:lvl w:ilvl="0">
      <w:lvlJc w:val="left"/>
      <w:lvlText w:val="%1."/>
      <w:numFmt w:val="decimal"/>
      <w:start w:val="15"/>
    </w:lvl>
  </w:abstractNum>
  <w:abstractNum w:abstractNumId="23">
    <w:nsid w:val="2901D82"/>
    <w:multiLevelType w:val="hybridMultilevel"/>
    <w:lvl w:ilvl="0">
      <w:lvlJc w:val="left"/>
      <w:lvlText w:val="%1."/>
      <w:numFmt w:val="decimal"/>
      <w:start w:val="16"/>
    </w:lvl>
  </w:abstractNum>
  <w:abstractNum w:abstractNumId="24">
    <w:nsid w:val="3A95F874"/>
    <w:multiLevelType w:val="hybridMultilevel"/>
    <w:lvl w:ilvl="0">
      <w:lvlJc w:val="left"/>
      <w:lvlText w:val="%1."/>
      <w:numFmt w:val="decimal"/>
      <w:start w:val="17"/>
    </w:lvl>
  </w:abstractNum>
  <w:abstractNum w:abstractNumId="25">
    <w:nsid w:val="8138641"/>
    <w:multiLevelType w:val="hybridMultilevel"/>
    <w:lvl w:ilvl="0">
      <w:lvlJc w:val="left"/>
      <w:lvlText w:val="(%1)"/>
      <w:numFmt w:val="lowerLetter"/>
      <w:start w:val="1"/>
    </w:lvl>
  </w:abstractNum>
  <w:abstractNum w:abstractNumId="26">
    <w:nsid w:val="1E7FF521"/>
    <w:multiLevelType w:val="hybridMultilevel"/>
    <w:lvl w:ilvl="0">
      <w:lvlJc w:val="left"/>
      <w:lvlText w:val="(%1)"/>
      <w:numFmt w:val="lowerLetter"/>
      <w:start w:val="1"/>
    </w:lvl>
  </w:abstractNum>
  <w:abstractNum w:abstractNumId="27">
    <w:nsid w:val="7C3DBD3D"/>
    <w:multiLevelType w:val="hybridMultilevel"/>
    <w:lvl w:ilvl="0">
      <w:lvlJc w:val="left"/>
      <w:lvlText w:val="•"/>
      <w:numFmt w:val="bullet"/>
      <w:start w:val="1"/>
    </w:lvl>
  </w:abstractNum>
  <w:abstractNum w:abstractNumId="28">
    <w:nsid w:val="737B8DDC"/>
    <w:multiLevelType w:val="hybridMultilevel"/>
    <w:lvl w:ilvl="0">
      <w:lvlJc w:val="left"/>
      <w:lvlText w:val="%1)"/>
      <w:numFmt w:val="lowerLetter"/>
      <w:start w:val="1"/>
    </w:lvl>
  </w:abstractNum>
  <w:abstractNum w:abstractNumId="29">
    <w:nsid w:val="6CEAF087"/>
    <w:multiLevelType w:val="hybridMultilevel"/>
    <w:lvl w:ilvl="0">
      <w:lvlJc w:val="left"/>
      <w:lvlText w:val="•"/>
      <w:numFmt w:val="bullet"/>
      <w:start w:val="1"/>
    </w:lvl>
  </w:abstractNum>
  <w:abstractNum w:abstractNumId="30">
    <w:nsid w:val="22221A70"/>
    <w:multiLevelType w:val="hybridMultilevel"/>
    <w:lvl w:ilvl="0">
      <w:lvlJc w:val="left"/>
      <w:lvlText w:val="%1."/>
      <w:numFmt w:val="decimal"/>
      <w:start w:val="1"/>
    </w:lvl>
    <w:lvl w:ilvl="1">
      <w:lvlJc w:val="left"/>
      <w:lvlText w:val="(%2)"/>
      <w:numFmt w:val="lowerLetter"/>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lowerRoman"/>
      <w:start w:val="1"/>
    </w:lvl>
  </w:abstractNum>
  <w:abstractNum w:abstractNumId="33">
    <w:nsid w:val="614FD4A1"/>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2019-12-11T13:54:41Z</dcterms:created>
  <dcterms:modified xsi:type="dcterms:W3CDTF">2019-12-11T13:54:41Z</dcterms:modified>
</cp:coreProperties>
</file>