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May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4" w:lineRule="exact"/>
        <w:rPr>
          <w:sz w:val="24"/>
          <w:szCs w:val="24"/>
          <w:color w:val="auto"/>
        </w:rPr>
      </w:pPr>
    </w:p>
    <w:tbl>
      <w:tblPr>
        <w:tblLayout w:type="fixed"/>
        <w:tblInd w:w="1180" w:type="dxa"/>
        <w:tblCellMar>
          <w:top w:w="0" w:type="dxa"/>
          <w:left w:w="0" w:type="dxa"/>
          <w:bottom w:w="0" w:type="dxa"/>
          <w:right w:w="0" w:type="dxa"/>
        </w:tblCellMar>
      </w:tblPr>
      <w:tr>
        <w:trPr>
          <w:trHeight w:val="228"/>
        </w:trPr>
        <w:tc>
          <w:tcPr>
            <w:tcW w:w="1780" w:type="dxa"/>
            <w:vAlign w:val="bottom"/>
          </w:tcPr>
          <w:p>
            <w:pPr>
              <w:spacing w:after="0"/>
              <w:rPr>
                <w:sz w:val="19"/>
                <w:szCs w:val="19"/>
                <w:color w:val="auto"/>
              </w:rPr>
            </w:pPr>
          </w:p>
        </w:tc>
        <w:tc>
          <w:tcPr>
            <w:tcW w:w="5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(Exact name of registrant as specified in charter)</w:t>
            </w:r>
          </w:p>
        </w:tc>
        <w:tc>
          <w:tcPr>
            <w:tcW w:w="1440" w:type="dxa"/>
            <w:vAlign w:val="bottom"/>
          </w:tcPr>
          <w:p>
            <w:pPr>
              <w:spacing w:after="0"/>
              <w:rPr>
                <w:sz w:val="19"/>
                <w:szCs w:val="19"/>
                <w:color w:val="auto"/>
              </w:rPr>
            </w:pPr>
          </w:p>
        </w:tc>
      </w:tr>
      <w:tr>
        <w:trPr>
          <w:trHeight w:val="158"/>
        </w:trPr>
        <w:tc>
          <w:tcPr>
            <w:tcW w:w="1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5"/>
        </w:trPr>
        <w:tc>
          <w:tcPr>
            <w:tcW w:w="1780" w:type="dxa"/>
            <w:vAlign w:val="bottom"/>
          </w:tcPr>
          <w:p>
            <w:pPr>
              <w:jc w:val="center"/>
              <w:ind w:right="146"/>
              <w:spacing w:after="0"/>
              <w:rPr>
                <w:sz w:val="20"/>
                <w:szCs w:val="20"/>
                <w:color w:val="auto"/>
              </w:rPr>
            </w:pPr>
            <w:r>
              <w:rPr>
                <w:rFonts w:ascii="Arial" w:cs="Arial" w:eastAsia="Arial" w:hAnsi="Arial"/>
                <w:sz w:val="18"/>
                <w:szCs w:val="18"/>
                <w:b w:val="1"/>
                <w:bCs w:val="1"/>
                <w:color w:val="auto"/>
                <w:w w:val="96"/>
              </w:rPr>
              <w:t>DELAWARE</w:t>
            </w:r>
          </w:p>
        </w:tc>
        <w:tc>
          <w:tcPr>
            <w:tcW w:w="3940" w:type="dxa"/>
            <w:vAlign w:val="bottom"/>
            <w:gridSpan w:val="2"/>
          </w:tcPr>
          <w:p>
            <w:pPr>
              <w:ind w:left="2500"/>
              <w:spacing w:after="0"/>
              <w:rPr>
                <w:sz w:val="20"/>
                <w:szCs w:val="20"/>
                <w:color w:val="auto"/>
              </w:rPr>
            </w:pPr>
            <w:r>
              <w:rPr>
                <w:rFonts w:ascii="Arial" w:cs="Arial" w:eastAsia="Arial" w:hAnsi="Arial"/>
                <w:sz w:val="18"/>
                <w:szCs w:val="18"/>
                <w:b w:val="1"/>
                <w:bCs w:val="1"/>
                <w:color w:val="auto"/>
              </w:rPr>
              <w:t>001-03761</w:t>
            </w:r>
          </w:p>
        </w:tc>
        <w:tc>
          <w:tcPr>
            <w:tcW w:w="1760" w:type="dxa"/>
            <w:vAlign w:val="bottom"/>
          </w:tcPr>
          <w:p>
            <w:pPr>
              <w:spacing w:after="0"/>
              <w:rPr>
                <w:sz w:val="24"/>
                <w:szCs w:val="24"/>
                <w:color w:val="auto"/>
              </w:rPr>
            </w:pPr>
          </w:p>
        </w:tc>
        <w:tc>
          <w:tcPr>
            <w:tcW w:w="1440" w:type="dxa"/>
            <w:vAlign w:val="bottom"/>
          </w:tcPr>
          <w:p>
            <w:pPr>
              <w:jc w:val="center"/>
              <w:ind w:left="366"/>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178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560" w:type="dxa"/>
            <w:vAlign w:val="bottom"/>
          </w:tcPr>
          <w:p>
            <w:pPr>
              <w:spacing w:after="0"/>
              <w:rPr>
                <w:sz w:val="12"/>
                <w:szCs w:val="12"/>
                <w:color w:val="auto"/>
              </w:rPr>
            </w:pPr>
          </w:p>
        </w:tc>
        <w:tc>
          <w:tcPr>
            <w:tcW w:w="4140" w:type="dxa"/>
            <w:vAlign w:val="bottom"/>
            <w:gridSpan w:val="2"/>
          </w:tcPr>
          <w:p>
            <w:pPr>
              <w:ind w:left="940"/>
              <w:spacing w:after="0" w:line="149" w:lineRule="exact"/>
              <w:rPr>
                <w:sz w:val="20"/>
                <w:szCs w:val="20"/>
                <w:color w:val="auto"/>
              </w:rPr>
            </w:pPr>
            <w:r>
              <w:rPr>
                <w:rFonts w:ascii="Arial" w:cs="Arial" w:eastAsia="Arial" w:hAnsi="Arial"/>
                <w:sz w:val="14"/>
                <w:szCs w:val="14"/>
                <w:b w:val="1"/>
                <w:bCs w:val="1"/>
                <w:color w:val="auto"/>
              </w:rPr>
              <w:t>(Commission</w:t>
            </w:r>
          </w:p>
        </w:tc>
        <w:tc>
          <w:tcPr>
            <w:tcW w:w="1440" w:type="dxa"/>
            <w:vAlign w:val="bottom"/>
          </w:tcPr>
          <w:p>
            <w:pPr>
              <w:jc w:val="center"/>
              <w:ind w:left="34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1780" w:type="dxa"/>
            <w:vAlign w:val="bottom"/>
          </w:tcPr>
          <w:p>
            <w:pPr>
              <w:jc w:val="center"/>
              <w:ind w:right="166"/>
              <w:spacing w:after="0"/>
              <w:rPr>
                <w:sz w:val="20"/>
                <w:szCs w:val="20"/>
                <w:color w:val="auto"/>
              </w:rPr>
            </w:pPr>
            <w:r>
              <w:rPr>
                <w:rFonts w:ascii="Arial" w:cs="Arial" w:eastAsia="Arial" w:hAnsi="Arial"/>
                <w:sz w:val="14"/>
                <w:szCs w:val="14"/>
                <w:b w:val="1"/>
                <w:bCs w:val="1"/>
                <w:color w:val="auto"/>
                <w:w w:val="87"/>
              </w:rPr>
              <w:t>of incorporation)</w:t>
            </w:r>
          </w:p>
        </w:tc>
        <w:tc>
          <w:tcPr>
            <w:tcW w:w="1560" w:type="dxa"/>
            <w:vAlign w:val="bottom"/>
          </w:tcPr>
          <w:p>
            <w:pPr>
              <w:spacing w:after="0"/>
              <w:rPr>
                <w:sz w:val="15"/>
                <w:szCs w:val="15"/>
                <w:color w:val="auto"/>
              </w:rPr>
            </w:pPr>
          </w:p>
        </w:tc>
        <w:tc>
          <w:tcPr>
            <w:tcW w:w="4140" w:type="dxa"/>
            <w:vAlign w:val="bottom"/>
            <w:gridSpan w:val="2"/>
          </w:tcPr>
          <w:p>
            <w:pPr>
              <w:ind w:left="960"/>
              <w:spacing w:after="0"/>
              <w:rPr>
                <w:sz w:val="20"/>
                <w:szCs w:val="20"/>
                <w:color w:val="auto"/>
              </w:rPr>
            </w:pPr>
            <w:r>
              <w:rPr>
                <w:rFonts w:ascii="Arial" w:cs="Arial" w:eastAsia="Arial" w:hAnsi="Arial"/>
                <w:sz w:val="14"/>
                <w:szCs w:val="14"/>
                <w:b w:val="1"/>
                <w:bCs w:val="1"/>
                <w:color w:val="auto"/>
              </w:rPr>
              <w:t>file number)</w:t>
            </w:r>
          </w:p>
        </w:tc>
        <w:tc>
          <w:tcPr>
            <w:tcW w:w="1440" w:type="dxa"/>
            <w:vAlign w:val="bottom"/>
          </w:tcPr>
          <w:p>
            <w:pPr>
              <w:jc w:val="center"/>
              <w:ind w:left="346"/>
              <w:spacing w:after="0"/>
              <w:rPr>
                <w:sz w:val="20"/>
                <w:szCs w:val="20"/>
                <w:color w:val="auto"/>
              </w:rPr>
            </w:pPr>
            <w:r>
              <w:rPr>
                <w:rFonts w:ascii="Arial" w:cs="Arial" w:eastAsia="Arial" w:hAnsi="Arial"/>
                <w:sz w:val="14"/>
                <w:szCs w:val="14"/>
                <w:b w:val="1"/>
                <w:bCs w:val="1"/>
                <w:color w:val="auto"/>
                <w:w w:val="87"/>
              </w:rPr>
              <w:t>identification no.)</w:t>
            </w:r>
          </w:p>
        </w:tc>
      </w:tr>
      <w:tr>
        <w:trPr>
          <w:trHeight w:val="364"/>
        </w:trPr>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5"/>
              </w:rPr>
              <w:t>12500 TI BOULEVARD</w:t>
            </w:r>
          </w:p>
        </w:tc>
        <w:tc>
          <w:tcPr>
            <w:tcW w:w="1440" w:type="dxa"/>
            <w:vAlign w:val="bottom"/>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89"/>
              </w:rPr>
              <w:t>P.O. BOX 660199</w:t>
            </w:r>
          </w:p>
        </w:tc>
        <w:tc>
          <w:tcPr>
            <w:tcW w:w="1440" w:type="dxa"/>
            <w:vAlign w:val="bottom"/>
          </w:tcPr>
          <w:p>
            <w:pPr>
              <w:spacing w:after="0"/>
              <w:rPr>
                <w:sz w:val="18"/>
                <w:szCs w:val="18"/>
                <w:color w:val="auto"/>
              </w:rPr>
            </w:pPr>
          </w:p>
        </w:tc>
      </w:tr>
      <w:tr>
        <w:trPr>
          <w:trHeight w:val="218"/>
        </w:trPr>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3"/>
              </w:rPr>
              <w:t>DALLAS, TEXAS 75266-0199</w:t>
            </w:r>
          </w:p>
        </w:tc>
        <w:tc>
          <w:tcPr>
            <w:tcW w:w="1440" w:type="dxa"/>
            <w:vAlign w:val="bottom"/>
          </w:tcPr>
          <w:p>
            <w:pPr>
              <w:spacing w:after="0"/>
              <w:rPr>
                <w:sz w:val="18"/>
                <w:szCs w:val="18"/>
                <w:color w:val="auto"/>
              </w:rPr>
            </w:pPr>
          </w:p>
        </w:tc>
      </w:tr>
      <w:tr>
        <w:trPr>
          <w:trHeight w:val="174"/>
        </w:trPr>
        <w:tc>
          <w:tcPr>
            <w:tcW w:w="1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1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40" w:type="dxa"/>
            <w:vAlign w:val="bottom"/>
          </w:tcPr>
          <w:p>
            <w:pPr>
              <w:spacing w:after="0"/>
              <w:rPr>
                <w:sz w:val="15"/>
                <w:szCs w:val="15"/>
                <w:color w:val="auto"/>
              </w:rPr>
            </w:pPr>
          </w:p>
        </w:tc>
      </w:tr>
      <w:tr>
        <w:trPr>
          <w:trHeight w:val="363"/>
        </w:trPr>
        <w:tc>
          <w:tcPr>
            <w:tcW w:w="1780" w:type="dxa"/>
            <w:vAlign w:val="bottom"/>
          </w:tcPr>
          <w:p>
            <w:pPr>
              <w:spacing w:after="0"/>
              <w:rPr>
                <w:sz w:val="24"/>
                <w:szCs w:val="24"/>
                <w:color w:val="auto"/>
              </w:rPr>
            </w:pPr>
          </w:p>
        </w:tc>
        <w:tc>
          <w:tcPr>
            <w:tcW w:w="57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color w:val="auto"/>
        </w:rPr>
        <w:t>Financial Statements and Exhibits.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unaudited pro forma condensed combined financial statements give effect to the planned acquisition of National Semiconductor Corporation (National) by Texas Instruments Incorporated (TI), which is more fully described in TI’s current report on Form 8-K dated April 4, 2011. Due to the estimated significance of the proposed investment in National by TI compared to TI’s total assets as of December 31, 2010, and the probable nature of the acquisition occurring, these unaudited pro forma condensed combined financial statements are presented in this document even though the acquisition of National has not yet been consummated.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90" w:lineRule="exact"/>
        <w:rPr>
          <w:sz w:val="20"/>
          <w:szCs w:val="20"/>
          <w:color w:val="auto"/>
        </w:rPr>
      </w:pPr>
    </w:p>
    <w:p>
      <w:pPr>
        <w:ind w:right="200" w:firstLine="8"/>
        <w:spacing w:after="0" w:line="268"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National’s audited consolidated financial statements and financial statement schedule as of May 30, 2010 and May 31, 2009 and for each of the years in the three-year period ended May 30, 2010, are attached as Exhibit 99.1.</w:t>
      </w:r>
    </w:p>
    <w:p>
      <w:pPr>
        <w:spacing w:after="0" w:line="50" w:lineRule="exact"/>
        <w:rPr>
          <w:rFonts w:ascii="Arial" w:cs="Arial" w:eastAsia="Arial" w:hAnsi="Arial"/>
          <w:sz w:val="18"/>
          <w:szCs w:val="18"/>
          <w:color w:val="auto"/>
        </w:rPr>
      </w:pPr>
    </w:p>
    <w:p>
      <w:pPr>
        <w:ind w:right="500" w:firstLine="8"/>
        <w:spacing w:after="0" w:line="268"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National’s condensed consolidated financial statements (unaudited) as of February 27, 2011 and May 30, 2010 and for the three and nine months ended February 27, 2011 and February 28, 2010 are attached as Exhibit 99.2.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unaudited pro forma condensed consolidated financial information related to the National transaction is attached as Exhibit 99.3 to this Form 8-K.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The consolidated financial statements and related financial statement schedule of National Semiconductor Corporation and subsidiaries as of May 30,</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2010 and May 31, 2009 and for each of the years in the three-year period ended May 30, 2010</w:t>
      </w:r>
    </w:p>
    <w:p>
      <w:pPr>
        <w:spacing w:after="0" w:line="111" w:lineRule="exact"/>
        <w:rPr>
          <w:sz w:val="20"/>
          <w:szCs w:val="20"/>
          <w:color w:val="auto"/>
        </w:rPr>
      </w:pPr>
    </w:p>
    <w:p>
      <w:pPr>
        <w:ind w:left="700" w:right="260" w:hanging="688"/>
        <w:spacing w:after="0" w:line="268" w:lineRule="auto"/>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The condensed consolidated financial statements (unaudited) of National Semiconductor and subsidiaries as of February 27, 2011 and May 30, 2010 and for the three and nine months ended February 27, 2011 and February 28, 2010</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Unaudited Pro Forma Condensed Consolidated Financial Information</w:t>
      </w:r>
    </w:p>
    <w:p>
      <w:pPr>
        <w:sectPr>
          <w:pgSz w:w="11900" w:h="16838" w:orient="portrait"/>
          <w:cols w:equalWidth="0" w:num="1">
            <w:col w:w="11380"/>
          </w:cols>
          <w:pgMar w:left="240" w:top="280"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16, 2011</w:t>
      </w:r>
      <w:r>
        <w:rPr>
          <w:sz w:val="20"/>
          <w:szCs w:val="20"/>
          <w:color w:val="auto"/>
        </w:rPr>
        <w:tab/>
      </w:r>
      <w:r>
        <w:rPr>
          <w:rFonts w:ascii="Arial" w:cs="Arial" w:eastAsia="Arial" w:hAnsi="Arial"/>
          <w:sz w:val="16"/>
          <w:szCs w:val="16"/>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000"/>
          </w:cols>
          <w:pgMar w:left="240" w:top="280"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Corporation:</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consent to the incorporation by reference in the registration statements (No. 333-158933, No. 333-158934, No. 33-42172, No. 33-54615, No. 33-61154, No. 333-07127 (as amended), No. 333-41913, No. 333-41919, No. 333-31321 (as amended), No. 333-31323, No. 333-48389, No. 333-44662, No. 333-107759, No. 333-107760, No. 333-107761, and No. 333-127021) on Form S-8; registration statement (No. 333-165045) on Form S-3; and registration statements (No. 333-89433 (as amended), No. 333-87199, No. 333-80157 (as amended), and No. 333-41030 (as amended)) on Form S-4 of Texas Instruments Incorporated of our report dated July 20, 2010, with respect to the consolidated balance sheets of National Semiconductor Corporation and subsidiaries (the Company) as of May 30, 2010 and May 31, 2009, and the related consolidated statements of income, comprehensive income, shareholders’ equity and cash flows for each of the years in the three-year period ended May 30, 2010, and the accompanying financial statement schedule, which report appears in the Form 8-K of Texas Instruments Incorporated dated May 16, 2011, and to the reference to our firm under the heading “Experts” in the prospectus supplement dated May 16, 2011.</w:t>
      </w:r>
    </w:p>
    <w:p>
      <w:pPr>
        <w:spacing w:after="0" w:line="118"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Our report on the consolidated financial statements refers to changes in the Company’s method of accounting for the valuation of financial assets and liabilities and the measurement date of its defined benefit pension plans at the beginning of fiscal year 2009, and its method of accounting for uncertain tax positions at the beginning of fiscal 2008 resulting from the adoption of new accounting pronouncements.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(signed)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16, 2011</w:t>
      </w:r>
    </w:p>
    <w:p>
      <w:pPr>
        <w:sectPr>
          <w:pgSz w:w="11900" w:h="16838" w:orient="portrait"/>
          <w:cols w:equalWidth="0" w:num="1">
            <w:col w:w="11420"/>
          </w:cols>
          <w:pgMar w:left="240" w:top="1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S</w:t>
      </w:r>
      <w:r>
        <w:rPr>
          <w:rFonts w:ascii="Arial" w:cs="Arial" w:eastAsia="Arial" w:hAnsi="Arial"/>
          <w:sz w:val="14"/>
          <w:szCs w:val="14"/>
          <w:color w:val="auto"/>
        </w:rPr>
        <w:t>EMICONDUCTOR</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UDITED</w:t>
      </w:r>
      <w:r>
        <w:rPr>
          <w:rFonts w:ascii="Arial" w:cs="Arial" w:eastAsia="Arial" w:hAnsi="Arial"/>
          <w:sz w:val="18"/>
          <w:szCs w:val="18"/>
          <w:color w:val="auto"/>
        </w:rPr>
        <w:t xml:space="preserve"> 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S</w:t>
      </w:r>
      <w:r>
        <w:rPr>
          <w:rFonts w:ascii="Arial" w:cs="Arial" w:eastAsia="Arial" w:hAnsi="Arial"/>
          <w:sz w:val="14"/>
          <w:szCs w:val="14"/>
          <w:color w:val="auto"/>
        </w:rPr>
        <w:t>TATEMENTS</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 xml:space="preserve">AS OF </w:t>
      </w:r>
      <w:r>
        <w:rPr>
          <w:rFonts w:ascii="Arial" w:cs="Arial" w:eastAsia="Arial" w:hAnsi="Arial"/>
          <w:sz w:val="17"/>
          <w:szCs w:val="17"/>
          <w:color w:val="auto"/>
        </w:rPr>
        <w:t>M</w:t>
      </w:r>
      <w:r>
        <w:rPr>
          <w:rFonts w:ascii="Arial" w:cs="Arial" w:eastAsia="Arial" w:hAnsi="Arial"/>
          <w:sz w:val="15"/>
          <w:szCs w:val="15"/>
          <w:color w:val="auto"/>
        </w:rPr>
        <w:t xml:space="preserve">AY </w:t>
      </w:r>
      <w:r>
        <w:rPr>
          <w:rFonts w:ascii="Arial" w:cs="Arial" w:eastAsia="Arial" w:hAnsi="Arial"/>
          <w:sz w:val="17"/>
          <w:szCs w:val="17"/>
          <w:color w:val="auto"/>
        </w:rPr>
        <w:t>30, 2010</w:t>
      </w:r>
      <w:r>
        <w:rPr>
          <w:rFonts w:ascii="Arial" w:cs="Arial" w:eastAsia="Arial" w:hAnsi="Arial"/>
          <w:sz w:val="15"/>
          <w:szCs w:val="15"/>
          <w:color w:val="auto"/>
        </w:rPr>
        <w:t xml:space="preserve"> AND </w:t>
      </w:r>
      <w:r>
        <w:rPr>
          <w:rFonts w:ascii="Arial" w:cs="Arial" w:eastAsia="Arial" w:hAnsi="Arial"/>
          <w:sz w:val="17"/>
          <w:szCs w:val="17"/>
          <w:color w:val="auto"/>
        </w:rPr>
        <w:t>M</w:t>
      </w:r>
      <w:r>
        <w:rPr>
          <w:rFonts w:ascii="Arial" w:cs="Arial" w:eastAsia="Arial" w:hAnsi="Arial"/>
          <w:sz w:val="15"/>
          <w:szCs w:val="15"/>
          <w:color w:val="auto"/>
        </w:rPr>
        <w:t xml:space="preserve">AY </w:t>
      </w:r>
      <w:r>
        <w:rPr>
          <w:rFonts w:ascii="Arial" w:cs="Arial" w:eastAsia="Arial" w:hAnsi="Arial"/>
          <w:sz w:val="17"/>
          <w:szCs w:val="17"/>
          <w:color w:val="auto"/>
        </w:rPr>
        <w:t>31, 2009</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4"/>
          <w:szCs w:val="14"/>
          <w:color w:val="auto"/>
        </w:rPr>
        <w:t xml:space="preserve">AND FOR THE </w:t>
      </w:r>
      <w:r>
        <w:rPr>
          <w:rFonts w:ascii="Arial" w:cs="Arial" w:eastAsia="Arial" w:hAnsi="Arial"/>
          <w:sz w:val="16"/>
          <w:szCs w:val="16"/>
          <w:color w:val="auto"/>
        </w:rPr>
        <w:t>Y</w:t>
      </w:r>
      <w:r>
        <w:rPr>
          <w:rFonts w:ascii="Arial" w:cs="Arial" w:eastAsia="Arial" w:hAnsi="Arial"/>
          <w:sz w:val="14"/>
          <w:szCs w:val="14"/>
          <w:color w:val="auto"/>
        </w:rPr>
        <w:t xml:space="preserve">EARS </w:t>
      </w:r>
      <w:r>
        <w:rPr>
          <w:rFonts w:ascii="Arial" w:cs="Arial" w:eastAsia="Arial" w:hAnsi="Arial"/>
          <w:sz w:val="16"/>
          <w:szCs w:val="16"/>
          <w:color w:val="auto"/>
        </w:rPr>
        <w:t>E</w:t>
      </w:r>
      <w:r>
        <w:rPr>
          <w:rFonts w:ascii="Arial" w:cs="Arial" w:eastAsia="Arial" w:hAnsi="Arial"/>
          <w:sz w:val="14"/>
          <w:szCs w:val="14"/>
          <w:color w:val="auto"/>
        </w:rPr>
        <w:t xml:space="preserve">NDED </w:t>
      </w:r>
      <w:r>
        <w:rPr>
          <w:rFonts w:ascii="Arial" w:cs="Arial" w:eastAsia="Arial" w:hAnsi="Arial"/>
          <w:sz w:val="16"/>
          <w:szCs w:val="16"/>
          <w:color w:val="auto"/>
        </w:rPr>
        <w:t>M</w:t>
      </w:r>
      <w:r>
        <w:rPr>
          <w:rFonts w:ascii="Arial" w:cs="Arial" w:eastAsia="Arial" w:hAnsi="Arial"/>
          <w:sz w:val="14"/>
          <w:szCs w:val="14"/>
          <w:color w:val="auto"/>
        </w:rPr>
        <w:t xml:space="preserve">AY </w:t>
      </w:r>
      <w:r>
        <w:rPr>
          <w:rFonts w:ascii="Arial" w:cs="Arial" w:eastAsia="Arial" w:hAnsi="Arial"/>
          <w:sz w:val="16"/>
          <w:szCs w:val="16"/>
          <w:color w:val="auto"/>
        </w:rPr>
        <w:t>30, 2010, M</w:t>
      </w:r>
      <w:r>
        <w:rPr>
          <w:rFonts w:ascii="Arial" w:cs="Arial" w:eastAsia="Arial" w:hAnsi="Arial"/>
          <w:sz w:val="14"/>
          <w:szCs w:val="14"/>
          <w:color w:val="auto"/>
        </w:rPr>
        <w:t xml:space="preserve">AY </w:t>
      </w:r>
      <w:r>
        <w:rPr>
          <w:rFonts w:ascii="Arial" w:cs="Arial" w:eastAsia="Arial" w:hAnsi="Arial"/>
          <w:sz w:val="16"/>
          <w:szCs w:val="16"/>
          <w:color w:val="auto"/>
        </w:rPr>
        <w:t>31, 2009</w:t>
      </w:r>
      <w:r>
        <w:rPr>
          <w:rFonts w:ascii="Arial" w:cs="Arial" w:eastAsia="Arial" w:hAnsi="Arial"/>
          <w:sz w:val="14"/>
          <w:szCs w:val="14"/>
          <w:color w:val="auto"/>
        </w:rPr>
        <w:t xml:space="preserve"> AND </w:t>
      </w:r>
      <w:r>
        <w:rPr>
          <w:rFonts w:ascii="Arial" w:cs="Arial" w:eastAsia="Arial" w:hAnsi="Arial"/>
          <w:sz w:val="16"/>
          <w:szCs w:val="16"/>
          <w:color w:val="auto"/>
        </w:rPr>
        <w:t>M</w:t>
      </w:r>
      <w:r>
        <w:rPr>
          <w:rFonts w:ascii="Arial" w:cs="Arial" w:eastAsia="Arial" w:hAnsi="Arial"/>
          <w:sz w:val="14"/>
          <w:szCs w:val="14"/>
          <w:color w:val="auto"/>
        </w:rPr>
        <w:t xml:space="preserve">AY </w:t>
      </w:r>
      <w:r>
        <w:rPr>
          <w:rFonts w:ascii="Arial" w:cs="Arial" w:eastAsia="Arial" w:hAnsi="Arial"/>
          <w:sz w:val="16"/>
          <w:szCs w:val="16"/>
          <w:color w:val="auto"/>
        </w:rPr>
        <w:t>25, 2008</w:t>
      </w:r>
    </w:p>
    <w:p>
      <w:pPr>
        <w:sectPr>
          <w:pgSz w:w="11900" w:h="16838" w:orient="portrait"/>
          <w:cols w:equalWidth="0" w:num="1">
            <w:col w:w="10220"/>
          </w:cols>
          <w:pgMar w:left="1440" w:top="125" w:right="2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CONSOLIDATED FINANCIAL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3"/>
            <w:vMerge w:val="restart"/>
          </w:tcPr>
          <w:p>
            <w:pPr>
              <w:spacing w:after="0"/>
              <w:rPr>
                <w:sz w:val="20"/>
                <w:szCs w:val="20"/>
                <w:color w:val="auto"/>
              </w:rPr>
            </w:pPr>
            <w:r>
              <w:rPr>
                <w:rFonts w:ascii="Arial" w:cs="Arial" w:eastAsia="Arial" w:hAnsi="Arial"/>
                <w:sz w:val="18"/>
                <w:szCs w:val="18"/>
                <w:color w:val="auto"/>
              </w:rPr>
              <w:t>Financial Statements of National Semiconductor Corporation and Subsidiaries: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9"/>
        </w:trPr>
        <w:tc>
          <w:tcPr>
            <w:tcW w:w="109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3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24"/>
        </w:trPr>
        <w:tc>
          <w:tcPr>
            <w:tcW w:w="10940" w:type="dxa"/>
            <w:vAlign w:val="bottom"/>
            <w:gridSpan w:val="3"/>
          </w:tcPr>
          <w:p>
            <w:pPr>
              <w:spacing w:after="0"/>
              <w:rPr>
                <w:sz w:val="20"/>
                <w:szCs w:val="20"/>
                <w:color w:val="auto"/>
              </w:rPr>
            </w:pPr>
            <w:r>
              <w:rPr>
                <w:rFonts w:ascii="Arial" w:cs="Arial" w:eastAsia="Arial" w:hAnsi="Arial"/>
                <w:sz w:val="18"/>
                <w:szCs w:val="18"/>
                <w:color w:val="auto"/>
              </w:rPr>
              <w:t>Consolidated Balance Sheets at May 30, 2010 and May 31, 2009</w:t>
            </w:r>
          </w:p>
        </w:tc>
        <w:tc>
          <w:tcPr>
            <w:tcW w:w="38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18"/>
        </w:trPr>
        <w:tc>
          <w:tcPr>
            <w:tcW w:w="10940" w:type="dxa"/>
            <w:vAlign w:val="bottom"/>
            <w:gridSpan w:val="3"/>
          </w:tcPr>
          <w:p>
            <w:pPr>
              <w:spacing w:after="0"/>
              <w:rPr>
                <w:sz w:val="20"/>
                <w:szCs w:val="20"/>
                <w:color w:val="auto"/>
              </w:rPr>
            </w:pPr>
            <w:r>
              <w:rPr>
                <w:rFonts w:ascii="Arial" w:cs="Arial" w:eastAsia="Arial" w:hAnsi="Arial"/>
                <w:sz w:val="18"/>
                <w:szCs w:val="18"/>
                <w:color w:val="auto"/>
              </w:rPr>
              <w:t>Consolidated Statements of Income for each of the years in the three-year period ended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940" w:type="dxa"/>
            <w:vAlign w:val="bottom"/>
            <w:gridSpan w:val="3"/>
          </w:tcPr>
          <w:p>
            <w:pPr>
              <w:spacing w:after="0"/>
              <w:rPr>
                <w:sz w:val="20"/>
                <w:szCs w:val="20"/>
                <w:color w:val="auto"/>
              </w:rPr>
            </w:pPr>
            <w:r>
              <w:rPr>
                <w:rFonts w:ascii="Arial" w:cs="Arial" w:eastAsia="Arial" w:hAnsi="Arial"/>
                <w:sz w:val="18"/>
                <w:szCs w:val="18"/>
                <w:color w:val="auto"/>
              </w:rPr>
              <w:t>May 30, 2010</w:t>
            </w:r>
          </w:p>
        </w:tc>
        <w:tc>
          <w:tcPr>
            <w:tcW w:w="38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24"/>
        </w:trPr>
        <w:tc>
          <w:tcPr>
            <w:tcW w:w="10940" w:type="dxa"/>
            <w:vAlign w:val="bottom"/>
            <w:gridSpan w:val="3"/>
          </w:tcPr>
          <w:p>
            <w:pPr>
              <w:spacing w:after="0"/>
              <w:rPr>
                <w:sz w:val="20"/>
                <w:szCs w:val="20"/>
                <w:color w:val="auto"/>
              </w:rPr>
            </w:pPr>
            <w:r>
              <w:rPr>
                <w:rFonts w:ascii="Arial" w:cs="Arial" w:eastAsia="Arial" w:hAnsi="Arial"/>
                <w:sz w:val="18"/>
                <w:szCs w:val="18"/>
                <w:color w:val="auto"/>
              </w:rPr>
              <w:t>Consolidated Statements of Comprehensive Income for each of the years in the three-year period ended May 30, 2010</w:t>
            </w:r>
          </w:p>
        </w:tc>
        <w:tc>
          <w:tcPr>
            <w:tcW w:w="38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24"/>
        </w:trPr>
        <w:tc>
          <w:tcPr>
            <w:tcW w:w="10940" w:type="dxa"/>
            <w:vAlign w:val="bottom"/>
            <w:gridSpan w:val="3"/>
          </w:tcPr>
          <w:p>
            <w:pPr>
              <w:spacing w:after="0"/>
              <w:rPr>
                <w:sz w:val="20"/>
                <w:szCs w:val="20"/>
                <w:color w:val="auto"/>
              </w:rPr>
            </w:pPr>
            <w:r>
              <w:rPr>
                <w:rFonts w:ascii="Arial" w:cs="Arial" w:eastAsia="Arial" w:hAnsi="Arial"/>
                <w:sz w:val="18"/>
                <w:szCs w:val="18"/>
                <w:color w:val="auto"/>
              </w:rPr>
              <w:t>Consolidated Statements of Shareholders’ Equity for each of the years in the three-year period ended May 30, 2010</w:t>
            </w:r>
          </w:p>
        </w:tc>
        <w:tc>
          <w:tcPr>
            <w:tcW w:w="38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24"/>
        </w:trPr>
        <w:tc>
          <w:tcPr>
            <w:tcW w:w="10940" w:type="dxa"/>
            <w:vAlign w:val="bottom"/>
            <w:gridSpan w:val="3"/>
          </w:tcPr>
          <w:p>
            <w:pPr>
              <w:spacing w:after="0"/>
              <w:rPr>
                <w:sz w:val="20"/>
                <w:szCs w:val="20"/>
                <w:color w:val="auto"/>
              </w:rPr>
            </w:pPr>
            <w:r>
              <w:rPr>
                <w:rFonts w:ascii="Arial" w:cs="Arial" w:eastAsia="Arial" w:hAnsi="Arial"/>
                <w:sz w:val="18"/>
                <w:szCs w:val="18"/>
                <w:color w:val="auto"/>
              </w:rPr>
              <w:t>Consolidated Statements of Cash Flows for each of the years in the three-year period ended May 30, 2010</w:t>
            </w:r>
          </w:p>
        </w:tc>
        <w:tc>
          <w:tcPr>
            <w:tcW w:w="38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24"/>
        </w:trPr>
        <w:tc>
          <w:tcPr>
            <w:tcW w:w="10940" w:type="dxa"/>
            <w:vAlign w:val="bottom"/>
            <w:gridSpan w:val="3"/>
          </w:tcPr>
          <w:p>
            <w:pPr>
              <w:spacing w:after="0"/>
              <w:rPr>
                <w:sz w:val="20"/>
                <w:szCs w:val="20"/>
                <w:color w:val="auto"/>
              </w:rPr>
            </w:pPr>
            <w:r>
              <w:rPr>
                <w:rFonts w:ascii="Arial" w:cs="Arial" w:eastAsia="Arial" w:hAnsi="Arial"/>
                <w:sz w:val="18"/>
                <w:szCs w:val="18"/>
                <w:color w:val="auto"/>
              </w:rPr>
              <w:t>Notes to Consolidated Financial Statements</w:t>
            </w:r>
          </w:p>
        </w:tc>
        <w:tc>
          <w:tcPr>
            <w:tcW w:w="38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86"/>
        </w:trPr>
        <w:tc>
          <w:tcPr>
            <w:tcW w:w="10940" w:type="dxa"/>
            <w:vAlign w:val="bottom"/>
            <w:gridSpan w:val="3"/>
          </w:tcPr>
          <w:p>
            <w:pPr>
              <w:spacing w:after="0"/>
              <w:rPr>
                <w:sz w:val="20"/>
                <w:szCs w:val="20"/>
                <w:color w:val="auto"/>
              </w:rPr>
            </w:pPr>
            <w:r>
              <w:rPr>
                <w:rFonts w:ascii="Arial" w:cs="Arial" w:eastAsia="Arial" w:hAnsi="Arial"/>
                <w:sz w:val="18"/>
                <w:szCs w:val="18"/>
                <w:color w:val="auto"/>
              </w:rPr>
              <w:t>Financial Statement Schedule: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940" w:type="dxa"/>
            <w:vAlign w:val="bottom"/>
            <w:gridSpan w:val="3"/>
          </w:tcPr>
          <w:p>
            <w:pPr>
              <w:spacing w:after="0"/>
              <w:rPr>
                <w:sz w:val="20"/>
                <w:szCs w:val="20"/>
                <w:color w:val="auto"/>
              </w:rPr>
            </w:pPr>
            <w:r>
              <w:rPr>
                <w:rFonts w:ascii="Arial" w:cs="Arial" w:eastAsia="Arial" w:hAnsi="Arial"/>
                <w:sz w:val="18"/>
                <w:szCs w:val="18"/>
                <w:color w:val="auto"/>
              </w:rPr>
              <w:t>Schedule II — Valuation and Qualifying Accounts for each of the years in the three-year period ended May 30, 2010</w:t>
            </w:r>
          </w:p>
        </w:tc>
        <w:tc>
          <w:tcPr>
            <w:tcW w:w="380" w:type="dxa"/>
            <w:vAlign w:val="bottom"/>
          </w:tcPr>
          <w:p>
            <w:pPr>
              <w:jc w:val="right"/>
              <w:spacing w:after="0"/>
              <w:rPr>
                <w:sz w:val="20"/>
                <w:szCs w:val="20"/>
                <w:color w:val="auto"/>
              </w:rPr>
            </w:pPr>
            <w:r>
              <w:rPr>
                <w:rFonts w:ascii="Arial" w:cs="Arial" w:eastAsia="Arial" w:hAnsi="Arial"/>
                <w:sz w:val="18"/>
                <w:szCs w:val="18"/>
                <w:color w:val="auto"/>
                <w:w w:val="97"/>
              </w:rPr>
              <w:t>F-46</w:t>
            </w:r>
          </w:p>
        </w:tc>
        <w:tc>
          <w:tcPr>
            <w:tcW w:w="0" w:type="dxa"/>
            <w:vAlign w:val="bottom"/>
          </w:tcPr>
          <w:p>
            <w:pPr>
              <w:spacing w:after="0"/>
              <w:rPr>
                <w:sz w:val="1"/>
                <w:szCs w:val="1"/>
                <w:color w:val="auto"/>
              </w:rPr>
            </w:pPr>
          </w:p>
        </w:tc>
      </w:tr>
      <w:tr>
        <w:trPr>
          <w:trHeight w:val="365"/>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80" w:type="dxa"/>
            <w:vAlign w:val="bottom"/>
          </w:tcPr>
          <w:p>
            <w:pPr>
              <w:ind w:left="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Corporation:</w:t>
      </w:r>
    </w:p>
    <w:p>
      <w:pPr>
        <w:spacing w:after="0" w:line="16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audited the accompanying consolidated balance sheets of National Semiconductor Corporation and subsidiaries (the Company) as of May 30, 2010 and May 31, 2009, and the related consolidated statements of income, comprehensive income, shareholders’ equity, and cash flows for each of the years in the three year period ended May 30, 2010. In connection with our audits of the consolidated financial statements, we also have audited the accompanying financial statement schedule included in Item 15(a)2.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National Semiconductor Corporation and subsidiaries as of May 30, 2010 and May 31, 2009, and the results of their operations and their cash flows for each of the years in the three year period ended May 30, 2010,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As discussed in note 2 to the consolidated financial statements, the Company has changed its method of accounting for the valuation of financial assets and liabilities at the beginning of fiscal year 2009 due to the adoption of Financial Accounting Standards Board Accounting Standards Codification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and, as discussed in note 12 to the consolidated financial statements, the Company has changed its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the measurement date of its defined benefit pension plans in fiscal year 2009 due to the adoption of ASC Topic 715, </w:t>
      </w:r>
      <w:r>
        <w:rPr>
          <w:rFonts w:ascii="Arial" w:cs="Arial" w:eastAsia="Arial" w:hAnsi="Arial"/>
          <w:sz w:val="16"/>
          <w:szCs w:val="16"/>
          <w:i w:val="1"/>
          <w:iCs w:val="1"/>
          <w:color w:val="auto"/>
        </w:rPr>
        <w:t>Compensation–Retirement</w:t>
      </w:r>
      <w:r>
        <w:rPr>
          <w:rFonts w:ascii="Arial" w:cs="Arial" w:eastAsia="Arial" w:hAnsi="Arial"/>
          <w:sz w:val="16"/>
          <w:szCs w:val="16"/>
          <w:color w:val="auto"/>
        </w:rPr>
        <w:t xml:space="preserve"> </w:t>
      </w:r>
      <w:r>
        <w:rPr>
          <w:rFonts w:ascii="Arial" w:cs="Arial" w:eastAsia="Arial" w:hAnsi="Arial"/>
          <w:sz w:val="16"/>
          <w:szCs w:val="16"/>
          <w:i w:val="1"/>
          <w:iCs w:val="1"/>
          <w:color w:val="auto"/>
        </w:rPr>
        <w:t>Benefits</w:t>
      </w:r>
      <w:r>
        <w:rPr>
          <w:rFonts w:ascii="Arial" w:cs="Arial" w:eastAsia="Arial" w:hAnsi="Arial"/>
          <w:sz w:val="16"/>
          <w:szCs w:val="16"/>
          <w:color w:val="auto"/>
        </w:rPr>
        <w:t>. Also, as discussed in note 11 to the consolidated financial statements, the Company changed its method of accounting for uncertain tax positions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beginning of fiscal year 2008 as a result of the adoption of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May 30, 2010,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 Commission (COSO), and our report dated July 20, 2010 expressed an unqualified opinion on the effectiveness of the Company’s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20,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rPr>
              <w:t>May 30,</w:t>
            </w:r>
          </w:p>
        </w:tc>
        <w:tc>
          <w:tcPr>
            <w:tcW w:w="14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May 31,</w:t>
            </w:r>
          </w:p>
        </w:tc>
        <w:tc>
          <w:tcPr>
            <w:tcW w:w="0" w:type="dxa"/>
            <w:vAlign w:val="bottom"/>
          </w:tcPr>
          <w:p>
            <w:pPr>
              <w:spacing w:after="0"/>
              <w:rPr>
                <w:sz w:val="1"/>
                <w:szCs w:val="1"/>
                <w:color w:val="auto"/>
              </w:rPr>
            </w:pPr>
          </w:p>
        </w:tc>
      </w:tr>
      <w:tr>
        <w:trPr>
          <w:trHeight w:val="159"/>
        </w:trPr>
        <w:tc>
          <w:tcPr>
            <w:tcW w:w="97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Amounts)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1,027.0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Receivables, less allowances of $30.0 in 2010 and $18.7 in 2009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1,470.9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1,087.2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2,274.8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1,963.3</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Long-term income taxes payable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1,848.9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of $0.50 par value. Authorized 1,000,000 shares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Common stock of $0.50 par value. Authorized 850,000,000 shares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Issued and outstanding 239,071,512 in 2010 and 232,605,355 in 2009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2,274.8</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sz w:val="20"/>
                <w:szCs w:val="20"/>
                <w:color w:val="auto"/>
              </w:rPr>
            </w:pPr>
            <w:r>
              <w:rPr>
                <w:rFonts w:ascii="Arial" w:cs="Arial" w:eastAsia="Arial" w:hAnsi="Arial"/>
                <w:sz w:val="14"/>
                <w:szCs w:val="14"/>
                <w:color w:val="auto"/>
              </w:rPr>
              <w:t>Years Ended</w:t>
            </w:r>
          </w:p>
        </w:tc>
        <w:tc>
          <w:tcPr>
            <w:tcW w:w="940" w:type="dxa"/>
            <w:vAlign w:val="bottom"/>
            <w:gridSpan w:val="3"/>
          </w:tcPr>
          <w:p>
            <w:pPr>
              <w:jc w:val="right"/>
              <w:ind w:right="400"/>
              <w:spacing w:after="0"/>
              <w:rPr>
                <w:sz w:val="20"/>
                <w:szCs w:val="20"/>
                <w:color w:val="auto"/>
              </w:rPr>
            </w:pPr>
            <w:r>
              <w:rPr>
                <w:rFonts w:ascii="Arial" w:cs="Arial" w:eastAsia="Arial" w:hAnsi="Arial"/>
                <w:sz w:val="14"/>
                <w:szCs w:val="14"/>
                <w:color w:val="auto"/>
              </w:rPr>
              <w:t>May 30,</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color w:val="auto"/>
                <w:w w:val="88"/>
              </w:rPr>
              <w:t>May 31,</w:t>
            </w:r>
          </w:p>
        </w:tc>
        <w:tc>
          <w:tcPr>
            <w:tcW w:w="14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May 25,</w:t>
            </w:r>
          </w:p>
        </w:tc>
        <w:tc>
          <w:tcPr>
            <w:tcW w:w="0" w:type="dxa"/>
            <w:vAlign w:val="bottom"/>
          </w:tcPr>
          <w:p>
            <w:pPr>
              <w:spacing w:after="0"/>
              <w:rPr>
                <w:sz w:val="1"/>
                <w:szCs w:val="1"/>
                <w:color w:val="auto"/>
              </w:rPr>
            </w:pPr>
          </w:p>
        </w:tc>
      </w:tr>
      <w:tr>
        <w:trPr>
          <w:trHeight w:val="159"/>
        </w:trPr>
        <w:tc>
          <w:tcPr>
            <w:tcW w:w="880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Amounts)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1,419.4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1,460.4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544.1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1,214.4</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8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306.0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Severance and restructuring expenses</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charge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operating income, net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23"/>
        </w:trPr>
        <w:tc>
          <w:tcPr>
            <w:tcW w:w="8800" w:type="dxa"/>
            <w:vAlign w:val="bottom"/>
            <w:gridSpan w:val="2"/>
          </w:tcPr>
          <w:p>
            <w:pPr>
              <w:spacing w:after="0"/>
              <w:rPr>
                <w:sz w:val="20"/>
                <w:szCs w:val="20"/>
                <w:color w:val="auto"/>
              </w:rPr>
            </w:pPr>
            <w:r>
              <w:rPr>
                <w:rFonts w:ascii="Arial" w:cs="Arial" w:eastAsia="Arial" w:hAnsi="Arial"/>
                <w:sz w:val="18"/>
                <w:szCs w:val="18"/>
                <w:color w:val="auto"/>
              </w:rPr>
              <w:t>Weighted-average common and potential common shares outstanding:</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2"/>
          </w:tcPr>
          <w:p>
            <w:pPr>
              <w:spacing w:after="0"/>
              <w:rPr>
                <w:sz w:val="20"/>
                <w:szCs w:val="20"/>
                <w:color w:val="auto"/>
              </w:rPr>
            </w:pPr>
            <w:r>
              <w:rPr>
                <w:rFonts w:ascii="Arial" w:cs="Arial" w:eastAsia="Arial" w:hAnsi="Arial"/>
                <w:sz w:val="14"/>
                <w:szCs w:val="14"/>
                <w:color w:val="auto"/>
              </w:rPr>
              <w:t>Years Ended</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May 30,</w:t>
            </w:r>
          </w:p>
        </w:tc>
        <w:tc>
          <w:tcPr>
            <w:tcW w:w="14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May 31,</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May 25,</w:t>
            </w:r>
          </w:p>
        </w:tc>
        <w:tc>
          <w:tcPr>
            <w:tcW w:w="0" w:type="dxa"/>
            <w:vAlign w:val="bottom"/>
          </w:tcPr>
          <w:p>
            <w:pPr>
              <w:spacing w:after="0"/>
              <w:rPr>
                <w:sz w:val="1"/>
                <w:szCs w:val="1"/>
                <w:color w:val="auto"/>
              </w:rPr>
            </w:pPr>
          </w:p>
        </w:tc>
      </w:tr>
      <w:tr>
        <w:trPr>
          <w:trHeight w:val="159"/>
        </w:trPr>
        <w:tc>
          <w:tcPr>
            <w:tcW w:w="92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500" w:type="dxa"/>
            <w:vAlign w:val="bottom"/>
          </w:tcPr>
          <w:p>
            <w:pPr>
              <w:jc w:val="right"/>
              <w:ind w:right="36"/>
              <w:spacing w:after="0" w:line="159"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3"/>
                <w:szCs w:val="13"/>
                <w:color w:val="auto"/>
              </w:rPr>
            </w:pPr>
          </w:p>
        </w:tc>
        <w:tc>
          <w:tcPr>
            <w:tcW w:w="600" w:type="dxa"/>
            <w:vAlign w:val="bottom"/>
            <w:gridSpan w:val="2"/>
          </w:tcPr>
          <w:p>
            <w:pPr>
              <w:jc w:val="right"/>
              <w:ind w:right="17"/>
              <w:spacing w:after="0" w:line="159"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3"/>
                <w:szCs w:val="13"/>
                <w:color w:val="auto"/>
              </w:rPr>
            </w:pPr>
          </w:p>
        </w:tc>
        <w:tc>
          <w:tcPr>
            <w:tcW w:w="640" w:type="dxa"/>
            <w:vAlign w:val="bottom"/>
            <w:gridSpan w:val="2"/>
          </w:tcPr>
          <w:p>
            <w:pPr>
              <w:jc w:val="right"/>
              <w:ind w:right="37"/>
              <w:spacing w:after="0" w:line="15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$209.2</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$ 73.3</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323"/>
        </w:trPr>
        <w:tc>
          <w:tcPr>
            <w:tcW w:w="920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Defined benefit pension plans: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Reclassification adjustment for the amortization of transition asset included in net periodic pension cost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(0.2)</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Recognition of actuarial (loss) gain arising during the period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Plan settlement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Retirement health plan: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Recognition of prior service costs upon implementation of new plan</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Recognition of actuarial loss arising during the period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Derivative instruments: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cash flow hedges</w:t>
            </w: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(36.9)</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200.7</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$ 36.4</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w w:val="94"/>
              </w:rPr>
              <w:t>Common Stock</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color w:val="auto"/>
                <w:w w:val="88"/>
              </w:rPr>
              <w:t>Accumulated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4"/>
                <w:szCs w:val="14"/>
                <w:color w:val="auto"/>
                <w:w w:val="91"/>
              </w:rPr>
              <w:t>Additional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480"/>
              <w:spacing w:after="0" w:line="131" w:lineRule="exact"/>
              <w:rPr>
                <w:sz w:val="20"/>
                <w:szCs w:val="20"/>
                <w:color w:val="auto"/>
              </w:rPr>
            </w:pPr>
            <w:r>
              <w:rPr>
                <w:rFonts w:ascii="Arial" w:cs="Arial" w:eastAsia="Arial" w:hAnsi="Arial"/>
                <w:sz w:val="14"/>
                <w:szCs w:val="14"/>
                <w:color w:val="auto"/>
                <w:w w:val="85"/>
              </w:rPr>
              <w:t>Other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Par</w:t>
            </w:r>
          </w:p>
        </w:tc>
        <w:tc>
          <w:tcPr>
            <w:tcW w:w="8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5"/>
              </w:rPr>
              <w:t>Paid-In</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2"/>
              </w:rPr>
              <w:t>Retained</w:t>
            </w:r>
          </w:p>
        </w:tc>
        <w:tc>
          <w:tcPr>
            <w:tcW w:w="12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7"/>
              </w:rPr>
              <w:t>Comprehensive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00" w:type="dxa"/>
            <w:vAlign w:val="bottom"/>
          </w:tcPr>
          <w:p>
            <w:pPr>
              <w:spacing w:after="0" w:line="159" w:lineRule="exact"/>
              <w:rPr>
                <w:sz w:val="20"/>
                <w:szCs w:val="20"/>
                <w:color w:val="auto"/>
              </w:rPr>
            </w:pPr>
            <w:r>
              <w:rPr>
                <w:rFonts w:ascii="Arial" w:cs="Arial" w:eastAsia="Arial" w:hAnsi="Arial"/>
                <w:sz w:val="14"/>
                <w:szCs w:val="14"/>
                <w:color w:val="auto"/>
              </w:rPr>
              <w:t>(In Millions, Except Per Share Amount)</w:t>
            </w: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ind w:right="14"/>
              <w:spacing w:after="0" w:line="159" w:lineRule="exact"/>
              <w:rPr>
                <w:sz w:val="20"/>
                <w:szCs w:val="20"/>
                <w:color w:val="auto"/>
              </w:rPr>
            </w:pPr>
            <w:r>
              <w:rPr>
                <w:rFonts w:ascii="Arial" w:cs="Arial" w:eastAsia="Arial" w:hAnsi="Arial"/>
                <w:sz w:val="14"/>
                <w:szCs w:val="14"/>
                <w:color w:val="auto"/>
              </w:rPr>
              <w:t>Value</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w w:val="87"/>
              </w:rPr>
              <w:t>Capital</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w w:val="83"/>
              </w:rPr>
              <w:t>Earnings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3"/>
              <w:spacing w:after="0" w:line="159" w:lineRule="exact"/>
              <w:rPr>
                <w:sz w:val="20"/>
                <w:szCs w:val="20"/>
                <w:color w:val="auto"/>
              </w:rPr>
            </w:pPr>
            <w:r>
              <w:rPr>
                <w:rFonts w:ascii="Arial" w:cs="Arial" w:eastAsia="Arial" w:hAnsi="Arial"/>
                <w:sz w:val="14"/>
                <w:szCs w:val="14"/>
                <w:color w:val="auto"/>
                <w:w w:val="87"/>
              </w:rPr>
              <w:t>Loss</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27, 2007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310.3</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1,727.2</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1,768.5</w:t>
            </w:r>
          </w:p>
        </w:tc>
        <w:tc>
          <w:tcPr>
            <w:tcW w:w="0" w:type="dxa"/>
            <w:vAlign w:val="bottom"/>
          </w:tcPr>
          <w:p>
            <w:pPr>
              <w:spacing w:after="0"/>
              <w:rPr>
                <w:sz w:val="1"/>
                <w:szCs w:val="1"/>
                <w:color w:val="auto"/>
              </w:rPr>
            </w:pPr>
          </w:p>
        </w:tc>
      </w:tr>
      <w:tr>
        <w:trPr>
          <w:trHeight w:val="316"/>
        </w:trPr>
        <w:tc>
          <w:tcPr>
            <w:tcW w:w="6000" w:type="dxa"/>
            <w:vAlign w:val="bottom"/>
          </w:tcPr>
          <w:p>
            <w:pPr>
              <w:ind w:left="440"/>
              <w:spacing w:after="0"/>
              <w:rPr>
                <w:sz w:val="20"/>
                <w:szCs w:val="20"/>
                <w:color w:val="auto"/>
              </w:rPr>
            </w:pPr>
            <w:r>
              <w:rPr>
                <w:rFonts w:ascii="Arial" w:cs="Arial" w:eastAsia="Arial" w:hAnsi="Arial"/>
                <w:sz w:val="18"/>
                <w:szCs w:val="18"/>
                <w:color w:val="auto"/>
              </w:rPr>
              <w:t>Cumulative effect adjustment upon the adoption of new accounting</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660"/>
              <w:spacing w:after="0"/>
              <w:rPr>
                <w:sz w:val="20"/>
                <w:szCs w:val="20"/>
                <w:color w:val="auto"/>
              </w:rPr>
            </w:pPr>
            <w:r>
              <w:rPr>
                <w:rFonts w:ascii="Arial" w:cs="Arial" w:eastAsia="Arial" w:hAnsi="Arial"/>
                <w:sz w:val="18"/>
                <w:szCs w:val="18"/>
                <w:color w:val="auto"/>
              </w:rPr>
              <w:t>standards for uncertain income tax positions</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Cash dividend declared and paid ($0.20 per share)</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common stock under option and purchase plans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Issuance of stock under Executive Officer Equity Plan</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Cancellation of restricted stock</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Share-based compensation cost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benefit associated with stock options</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Purchase and retirement of treasury stock</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(85.9)</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(1,878.6)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(2,123.5)</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w:t>
            </w: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Balance at May 25, 2008</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232.6</w:t>
            </w:r>
          </w:p>
        </w:tc>
        <w:tc>
          <w:tcPr>
            <w:tcW w:w="120" w:type="dxa"/>
            <w:vAlign w:val="bottom"/>
          </w:tcPr>
          <w:p>
            <w:pPr>
              <w:spacing w:after="0"/>
              <w:rPr>
                <w:sz w:val="19"/>
                <w:szCs w:val="19"/>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Effect upon the adoption of new accounting standards for change in defined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 plan measurement date, net of tax</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dividend declared and paid ($0.28 per share)</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Issuance of common stock under option and purchase plans</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Cancellation of restricted stock</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Share-based compensation cost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benefit associated with stock options</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Purchase and retirement of treasury stock</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w:t>
            </w: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Balance at May 31, 2009</w:t>
            </w: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Cash dividend declared and paid ($0.32 per share)</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common stock under option and purchase plans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Issuance of stock under Executive Officer Equity Plan</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Cancellation of restricted stock</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Share-based compensation cost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deficiency associated with stock options</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Stock option exchange program</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w:t>
            </w: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Balance at May 30, 2010</w:t>
            </w: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$ 119.5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188.3</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250.3</w:t>
            </w:r>
          </w:p>
        </w:tc>
        <w:tc>
          <w:tcPr>
            <w:tcW w:w="180" w:type="dxa"/>
            <w:vAlign w:val="bottom"/>
          </w:tcPr>
          <w:p>
            <w:pPr>
              <w:spacing w:after="0"/>
              <w:rPr>
                <w:sz w:val="19"/>
                <w:szCs w:val="19"/>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sz w:val="20"/>
                <w:szCs w:val="20"/>
                <w:color w:val="auto"/>
              </w:rPr>
            </w:pPr>
            <w:r>
              <w:rPr>
                <w:rFonts w:ascii="Arial" w:cs="Arial" w:eastAsia="Arial" w:hAnsi="Arial"/>
                <w:sz w:val="14"/>
                <w:szCs w:val="14"/>
                <w:color w:val="auto"/>
              </w:rPr>
              <w:t>Years Ended</w:t>
            </w:r>
          </w:p>
        </w:tc>
        <w:tc>
          <w:tcPr>
            <w:tcW w:w="880" w:type="dxa"/>
            <w:vAlign w:val="bottom"/>
            <w:gridSpan w:val="3"/>
          </w:tcPr>
          <w:p>
            <w:pPr>
              <w:jc w:val="right"/>
              <w:ind w:right="340"/>
              <w:spacing w:after="0"/>
              <w:rPr>
                <w:sz w:val="20"/>
                <w:szCs w:val="20"/>
                <w:color w:val="auto"/>
              </w:rPr>
            </w:pPr>
            <w:r>
              <w:rPr>
                <w:rFonts w:ascii="Arial" w:cs="Arial" w:eastAsia="Arial" w:hAnsi="Arial"/>
                <w:sz w:val="14"/>
                <w:szCs w:val="14"/>
                <w:color w:val="auto"/>
              </w:rPr>
              <w:t>May 30,</w:t>
            </w:r>
          </w:p>
        </w:tc>
        <w:tc>
          <w:tcPr>
            <w:tcW w:w="18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w w:val="96"/>
              </w:rPr>
              <w:t>May 31,</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May 25,</w:t>
            </w:r>
          </w:p>
        </w:tc>
        <w:tc>
          <w:tcPr>
            <w:tcW w:w="0" w:type="dxa"/>
            <w:vAlign w:val="bottom"/>
          </w:tcPr>
          <w:p>
            <w:pPr>
              <w:spacing w:after="0"/>
              <w:rPr>
                <w:sz w:val="1"/>
                <w:szCs w:val="1"/>
                <w:color w:val="auto"/>
              </w:rPr>
            </w:pPr>
          </w:p>
        </w:tc>
      </w:tr>
      <w:tr>
        <w:trPr>
          <w:trHeight w:val="159"/>
        </w:trPr>
        <w:tc>
          <w:tcPr>
            <w:tcW w:w="85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w w:val="89"/>
              </w:rPr>
              <w:t>2009</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209.2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with net cash provided by operating activities: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119.8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Excess tax benefit from share-based payment arrangements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(deficiency) benefit associated with stock options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Deferred tax provision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Loss (gain) on disposal of equipment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(Recovery) impairment of equipment and other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Non-cash restructuring recovery</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 charge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Changes in certain assets and liabilities, net: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and deferred income taxes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360.8</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Sale of equipment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net of cash acquired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Funding of benefit plan</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Redemption and realized net losses (gains) of benefit plan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unsecured senior notes, net of issuance costs of $2.4 in fiscal 2010 and $7.1 in fiscal 2008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Proceeds from bank borrowings, net of issuance costs of $3.5</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Repayment of bank borrowings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(265.6)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(187.6)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Payment on software license obligations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share-based payment arrangements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Payroll taxes paid on behalf of employees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Purchase and retirement of treasury stock</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(128.4)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 connection with stock option exchange program</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dividends declared and paid</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(315.6)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(634.1)</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736.8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1,027.0</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700.3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90"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We design, develop, manufacture and market a wide range of semiconductor products, most of which are analog and mixed-signal integrated circuits. Our goal is to be the premier provider of high-performance energy-efficient analog and mixed-signal solutions. These solutions are marketed under our PowerWise® brand. Energy-efficiency is our overarching theme, and our PowerWise® products enable systems that consume less power, extend battery life and generate less heat.</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leading-edge products include power management circuits and sub-systems, audio and operational amplifiers, communication interface products and data conversion solutions.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 consolidated financial statements include National Semiconductor Corporation and our majority-owned subsidiaries. All significant intercompany transactions are eliminated in consolidation.</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fiscal year ends on the last Sunday of May and for our fiscal year ended May 30, 2010, we had a 52-week year. For our fiscal year ended May 31, 2009, we had a 53-week year. Operating results for the additional week in fiscal 2009 were considered immaterial to our consolidated results of operations for fiscal 2009. Our fiscal year ended May 25, 2008 was a 52-week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recognize revenue from the sale of semiconductor products upon shipment, provided we have persuasive evidence of an arrangement typically in the form of a purchase order, title and risk of loss have passed to the customer, the amount is fixed or determinable and collection of the revenue is reasonably assured. We record a provision for estimated future returns at the time of shipment. Approximately 64 percent of our semiconductor product sales were made to distributors in fiscal 2010, which includes approximately 9 percent of sales made through dairitens in Japan under local business practices. This compares to approximately 53 percent in fiscal 2009 and approximately 54 percent in fiscal 2008, which includes sales made through dairitens in Japan of approximately 8 percent in fiscal 2009 and 11 percent in fiscal 2008. We have agreements with our distributors that cover various programs, including pricing adjustments based on resale pricing and volume, price protection for inventory and scrap allowances.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line with industry practices, we generally credit distributors for the effect of price reductions on their inventory of our products and, under specific conditions, we repurchase products that we have discontinued. In general, distributors do not have the right to return product, except under customary warranty provisions. The programs we offer to our distributors could include one or both of the following:</w:t>
      </w:r>
    </w:p>
    <w:p>
      <w:pPr>
        <w:spacing w:after="0" w:line="5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Allowances involving pricing and volume. </w:t>
      </w:r>
      <w:r>
        <w:rPr>
          <w:rFonts w:ascii="Arial" w:cs="Arial" w:eastAsia="Arial" w:hAnsi="Arial"/>
          <w:sz w:val="18"/>
          <w:szCs w:val="18"/>
          <w:color w:val="auto"/>
        </w:rPr>
        <w:t>We refer to this as the “contract sales debit” program.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Allowance for inventory scrap. </w:t>
      </w:r>
      <w:r>
        <w:rPr>
          <w:rFonts w:ascii="Arial" w:cs="Arial" w:eastAsia="Arial" w:hAnsi="Arial"/>
          <w:sz w:val="18"/>
          <w:szCs w:val="18"/>
          <w:color w:val="auto"/>
        </w:rPr>
        <w:t>We refer to this as the “scrap allowance” program.</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the contract sales debit program, products are sold to distributors at standard published prices that are contained in price books that are broadly provided to our various distributors. Distributors are required to pay for this product within our standard commercial terms. After the initial purchase of the product, the distributor has the opportunity to request a price allowance for a particular part number depending on the current market conditions for that specific part as well as volume considerations. This request is made prior to the distributor reselling the part. Once we have approved an allowance to the distributor, the distributor proceeds with the resale of the product and credits are issued to the distributor in accordance with the specific allowance that we approved. Periodically, we issue new distributor price books. For those parts for which the standard prices have been reduced, we provide an immediate credit to distributors for inventory quantities they have on hand.</w:t>
      </w:r>
    </w:p>
    <w:p>
      <w:pPr>
        <w:spacing w:after="0" w:line="14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the scrap allowance program, certain distributors are given a contractually defined allowance to cover the cost of any scrap they might incur. The amount of the allowance is specifically agreed upon with each distributor.</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revenue we record for these distribution sales is net of estimated provisions for these programs. Our estimates are based upon historical experience rates by geography and product family, inventory levels in the distribution channel, current economic trends and other related factors. We continuously monitor the claimed allowances against the rates assumed in our estimates of the allowances. Actual distributor claims activity has been materially consistent with the provisions we have made based on our estimates.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80" w:right="239" w:bottom="1440" w:gutter="0" w:footer="0" w:header="0"/>
        </w:sectPr>
      </w:pPr>
    </w:p>
    <w:bookmarkStart w:id="13" w:name="page14"/>
    <w:bookmarkEnd w:id="13"/>
    <w:p>
      <w:pPr>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revenues are recognized as the services are provided or as milestones are achieved, depending on the terms of the arrangement. These revenues are included in net sales and totaled $19.6 million in fiscal 2010, $17.4 million in fiscal 2009 and $25.1 million in fiscal 2008.</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intellectual property income is classified as revenue if it meets specified criteria established by company policy that defines whether it is considered a source of income from our primary operations. These revenues are included in net sales and totaled $1.3 million in fiscal 2010, $2.6 million in fiscal 2009 and $1.6 million in fiscal 2008. All other intellectual property income that does not meet the specified criteria is not considered a source of income from primary operations and is therefore classified as a component of other operating income, net, in the consolidated statement of income. Intellectual property income is recognized when the license is delivered, the fee is fixed or determinable, collection of the fee is reasonably assured and remaining obligations are perfunctory or inconsequential to the other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Inventories are stated at the lower of standard cost, which approximates actual cost on a first-in, first-out basis, or market. The total carrying value of our inventory is reduced for any difference between cost and estimated market value of inventory that is determined to be obsolete or unmarketable, based upon assumptions about future demand and market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Property, plant and equipment are recorded at cost. We use the straight-line method to depreciate machinery and equipment over their estimated useful life (3-9 years). Buildings and improvements are depreciated using both straight-line and declining-balance methods over the assets’ remaining estimated useful life (3-50 years), or, in the case of leasehold improvements, over the lesser of the estimated useful life or lease term.</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capitalize eligible costs to acquire software used internally. We use the straight-line method to amortize software used internally over its estimated useful life (generally 3-5 years). Internal-use software is included in the property, plant and equipment balance.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Goodwill represents the excess of the purchase price over the fair value of identifiable net tangible and intangible assets acquired in a business combination.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Goodwill is assigned to reporting units and as of May 30, 2010, we have six reporting units that contain goodwill.</w:t>
      </w:r>
    </w:p>
    <w:p>
      <w:pPr>
        <w:spacing w:after="0" w:line="16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We evaluate goodwill for impairment on an annual basis and whenever events or changes in circumstance indicate that it is more likely than not that an impairment loss has been incurred. We assess the impairment of goodwill annually in our fourth fiscal quarter, which has been selected as the period for our recurring evaluation for all reporting units. Our impairment evaluation of goodwill is based on comparing the fair value to the carrying value of our reporting units containing goodwill. The fair value of a reporting unit is measured at the business unit level using a discounted cash flow approach that incorporates our estimates of future revenues and costs for those business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their carrying value may not be recoverable from the estimated future cash flows expected to result from their use and eventual disposition. Our long-lived assets subject to this evaluation include property, plant and equipment and amortizable intangible assets. Amortizable intangible assets subject to this evaluation include developed technology we have acquired, patents and technology licenses. Our impairment evaluation of long-lived assets includes an analysis of estimated future undiscounted net cash flows expected to be generated by the assets over their remaining estimated useful lives. If our estimate of future undiscounted net cash flows is insufficient to recover the carrying value of the assets over the remaining estimated useful lives, we record an impairment loss in the amount by which the carrying value of the assets exceeds the fair value. If assets are determined to be recoverable, but the useful lives are shorter than we originally estimated, we depreciate or amortize the net book value of the asset over the newly determined remaining useful lives.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classify long-lived assets as assets held for sale when the criteria have been met, in accordance with ASC Topic 360, “Property, Plant, and Equipment.” Upon classification of an asset as held for sale, we cease depreciation of the asset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80" w:right="239" w:bottom="1440" w:gutter="0" w:footer="0" w:header="0"/>
        </w:sectPr>
      </w:pPr>
    </w:p>
    <w:bookmarkStart w:id="14" w:name="page15"/>
    <w:bookmarkEnd w:id="14"/>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classify the asset as a current asset at the lower of its carrying value or fair value (less cost to sell). If an asset is held for sale as a result of a restructuring of operations, any write down to fair value (less cost to sell) is included as a restructuring expense in the consolidated statement of income. When we commit to a plan to abandon a long-lived asset before the end of its previously estimated useful life, we revise depreciation estimates to reflect the use of the asset over its shortened useful life. We review depreciation estimates periodically, including both estimated useful lives and estimated salvage values. These reviews may result in changes to historical depreciation rates, which are considered to be changes in accounting estimates and are accounted for on a prospective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We determine deferred tax assets and liabilities based on the future tax consequences that can be attributed to net operating loss and credit carryovers and differences between the financial statement carrying amounts of existing assets and liabilities and their respective tax bases, using the enacted tax rates expected to be applied when the taxes are actually paid or realized. The recognition of deferred tax assets is reduced by a valuation allowance if it is more likely than not that the tax benefits will not be realized. The ultimate realization of deferred tax assets depends upon the generation of future taxable income during the periods in which the net operating loss and credit carryovers and differences between financial statement carrying amounts and their respective tax bases become deductible.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compute basic earnings per share using the weighted-average number of common shares outstanding. Diluted earnings per share are computed using the weighted-average common shares outstanding after giving effect to potential common shares from stock options, restricted stock and restricted stock units based on the treasury stock method.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all years presented, the reported net income was used as the numerator in our computation of basic and diluted earnings per share. A reconciliation of the shares used in the computation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00" w:type="dxa"/>
            <w:vAlign w:val="bottom"/>
          </w:tcPr>
          <w:p>
            <w:pPr>
              <w:spacing w:after="0"/>
              <w:rPr>
                <w:sz w:val="20"/>
                <w:szCs w:val="20"/>
                <w:color w:val="auto"/>
              </w:rPr>
            </w:pPr>
            <w:r>
              <w:rPr>
                <w:rFonts w:ascii="Arial" w:cs="Arial" w:eastAsia="Arial" w:hAnsi="Arial"/>
                <w:sz w:val="14"/>
                <w:szCs w:val="14"/>
                <w:color w:val="auto"/>
              </w:rPr>
              <w:t>(In Millions, Except Exercise Prices)</w:t>
            </w:r>
          </w:p>
        </w:tc>
        <w:tc>
          <w:tcPr>
            <w:tcW w:w="500" w:type="dxa"/>
            <w:vAlign w:val="bottom"/>
          </w:tcPr>
          <w:p>
            <w:pPr>
              <w:jc w:val="right"/>
              <w:ind w:right="36"/>
              <w:spacing w:after="0"/>
              <w:rPr>
                <w:sz w:val="20"/>
                <w:szCs w:val="20"/>
                <w:color w:val="auto"/>
              </w:rPr>
            </w:pPr>
            <w:r>
              <w:rPr>
                <w:rFonts w:ascii="Arial" w:cs="Arial" w:eastAsia="Arial" w:hAnsi="Arial"/>
                <w:sz w:val="14"/>
                <w:szCs w:val="14"/>
                <w:color w:val="auto"/>
              </w:rPr>
              <w:t>2010</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color w:val="auto"/>
              </w:rPr>
              <w:t>2009</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02"/>
        </w:trPr>
        <w:tc>
          <w:tcPr>
            <w:tcW w:w="7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used for basic earnings per share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 restricted stock and restricted stock units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323"/>
        </w:trPr>
        <w:tc>
          <w:tcPr>
            <w:tcW w:w="7100" w:type="dxa"/>
            <w:vAlign w:val="bottom"/>
          </w:tcPr>
          <w:p>
            <w:pPr>
              <w:spacing w:after="0"/>
              <w:rPr>
                <w:sz w:val="20"/>
                <w:szCs w:val="20"/>
                <w:color w:val="auto"/>
              </w:rPr>
            </w:pPr>
            <w:r>
              <w:rPr>
                <w:rFonts w:ascii="Arial" w:cs="Arial" w:eastAsia="Arial" w:hAnsi="Arial"/>
                <w:sz w:val="18"/>
                <w:szCs w:val="18"/>
                <w:color w:val="auto"/>
                <w:w w:val="92"/>
              </w:rPr>
              <w:t>Weighted-average common and potential common shares outstanding used for diluted earnings</w:t>
            </w:r>
          </w:p>
        </w:tc>
        <w:tc>
          <w:tcPr>
            <w:tcW w:w="5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500" w:type="dxa"/>
            <w:vAlign w:val="bottom"/>
          </w:tcPr>
          <w:p>
            <w:pPr>
              <w:jc w:val="right"/>
              <w:spacing w:after="0"/>
              <w:rPr>
                <w:sz w:val="20"/>
                <w:szCs w:val="20"/>
                <w:color w:val="auto"/>
              </w:rPr>
            </w:pPr>
            <w:r>
              <w:rPr>
                <w:rFonts w:ascii="Arial" w:cs="Arial" w:eastAsia="Arial" w:hAnsi="Arial"/>
                <w:sz w:val="18"/>
                <w:szCs w:val="18"/>
                <w:color w:val="auto"/>
              </w:rPr>
              <w:t>241.3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7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Anti-dilutive common equivalent shares:</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 of shares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7100" w:type="dxa"/>
            <w:vAlign w:val="bottom"/>
          </w:tcPr>
          <w:p>
            <w:pPr>
              <w:ind w:left="880"/>
              <w:spacing w:after="0"/>
              <w:rPr>
                <w:sz w:val="20"/>
                <w:szCs w:val="20"/>
                <w:color w:val="auto"/>
              </w:rPr>
            </w:pPr>
            <w:r>
              <w:rPr>
                <w:rFonts w:ascii="Arial" w:cs="Arial" w:eastAsia="Arial" w:hAnsi="Arial"/>
                <w:sz w:val="18"/>
                <w:szCs w:val="18"/>
                <w:color w:val="auto"/>
              </w:rPr>
              <w:t>Weighted-average exercise price</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21.68</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23.25</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27.26</w:t>
            </w:r>
          </w:p>
        </w:tc>
        <w:tc>
          <w:tcPr>
            <w:tcW w:w="100" w:type="dxa"/>
            <w:vAlign w:val="bottom"/>
          </w:tcPr>
          <w:p>
            <w:pPr>
              <w:spacing w:after="0"/>
              <w:rPr>
                <w:sz w:val="24"/>
                <w:szCs w:val="24"/>
                <w:color w:val="auto"/>
              </w:rPr>
            </w:pPr>
          </w:p>
        </w:tc>
      </w:tr>
      <w:tr>
        <w:trPr>
          <w:trHeight w:val="20"/>
        </w:trPr>
        <w:tc>
          <w:tcPr>
            <w:tcW w:w="7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Anti-dilutive common equivalent shares are not included in the calculation of diluted earnings per share. For fiscal 2010, 2009 and 2008, respectively, the effect of these shares was anti-dilutive because the exercise price of the related stock options exceeded the average market price during the year. Shares related to outstanding stock options at May 30, 2010 that were anti-dilutive could potentially dilute basic earnings per share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Currencies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functional currency for all operations worldwide is the U.S. dollar. We include gains and losses arising from remeasurement of foreign currency financial statement balances into U.S. dollars and gains and losses resulting from foreign currency transactions in selling, general and administrative expenses. Included in net income were net foreign currency losses of $3.9 million in fiscal 2010 and $3.4 million in fiscal 2009. Net income in fiscal 2008 included a net foreign currency gain of $2.1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Instruments</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Cash and Cash Equivalents. Cash equivalents are highly liquid instruments with an original maturity of three months or less. We maintain cash equivalents in various currencies and in a variety of financial instruments.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Deferred Compensation Plan Assets. Employee contributions under the deferred compensation plan (See Note 12 to the Consolidated Financial Statements) are maintained in a rabbi trust and are not readily available to us. Participants can direct the investment of their deferred compensation plan accounts in the same investments funds offered by the 401(k) plan. Although participants direct the investment of these funds, they are classified as trading securities and are included in other assets because they remain assets of the company until they are actually paid out to the participants. We had deferred compensation plan assets of $40.3 million at May 30, 2010 and $40.9 million at May 31, 2009, which are included in other assets. In connection with these trading securities, we recorded a net gain of $5.3 million in fiscal 2010, and net losses of $7.7 million in fiscal 2009 and $6.2 million in fiscal 2008. There is an offset for the same amounts included in SG&amp;A expenses in fiscal 2010, 2009 and 2008, respectively, that represents the corresponding change in the liability associated with the employee deferred compensation plan due to the change in market value of these trading securities.</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Derivative Financial Instruments. As part of our risk management strategy we use derivative financial instruments, including forwards, swaps and purchased options, to hedge certain foreign currency and interest rate exposures. Our intent is to offset gains and losses that occur from our underlying exposure with gains and losses on the derivative contracts used to hedge them. As a matter of company policy, we do not enter into speculative positions with derivative instruments. The criteria we use for designating an instrument as a hedge include the instrument’s effectiveness in risk reduction and direct matching of the financial instrument to the underlying transaction.</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record all derivative instruments on the balance sheet at fair value. Gains or losses resulting from changes in the values of these derivatives are accounted for based on the use of the derivative and whether it qualifies for hedge accounting. See Note 3 to the Consolidated Financial Statements for a full description of our hedging activities and related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measure and record compensation expense for all share-based payment awards based on estimated fair values in accordance with ASC Topic 718, “Compensation-Stock Compensation.” We provide share-based awards to our employees, executive officers and directors through various equity compensation plans including our employee equity, stock option, stock purchase and restricted stock plans.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fair value of stock option and stock purchase equity awards is measured at the date of grant using a Black-Scholes option pricing model and the fair value of restricted stock awards is based on the market price of our common stock on the date of grant. The fair value of these awards is recognized on a straight-line basis over the vesting period. The cash awards to be paid in connection with retention arrangements with each of our executive officers (approved by the Compensation Committee of our Board of Directors in November 2008) is considered a share-based payment award and measured at fair value since the award is indexed to the price of our common stock. The fair value of these cash awards is measured each reporting period and is calculated using the Monte Carlo valuation method.</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expense for share-based awards is based on awards that are expected to vest and is reduced for estimated forfeitures. We apply an annual forfeiture rate that is determined based on historical forfeiture activity. Our estimated forfeiture rate is evaluated each reporting period and, taking into consideration all available evidence both before and after the reporting date, we make appropriate adjustments. This forfeiture rate represents the awards expected to be forfeited each year and results in the recognition of share-based compensation expense over the vesting period for those awards that vest. For fiscal 2010, 2009 and 2008, forfeiture rates of 6.5 percent, 7.7 percent and 6.2 percent, respectively, were applied for share-based compensation expense related to employee stock options (excluding officers).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280" w:right="25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Share-based compensation expense included in operating results for fiscal 2010, 2009 and 2008 is presented in the following table:</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20"/>
                <w:szCs w:val="20"/>
                <w:color w:val="auto"/>
              </w:rPr>
            </w:pPr>
            <w:r>
              <w:rPr>
                <w:rFonts w:ascii="Arial" w:cs="Arial" w:eastAsia="Arial" w:hAnsi="Arial"/>
                <w:sz w:val="14"/>
                <w:szCs w:val="14"/>
                <w:color w:val="auto"/>
              </w:rPr>
              <w:t>(In Millions, Except Per Share Amounts)</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3"/>
              </w:rPr>
              <w:t>2010</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3"/>
              </w:rPr>
              <w:t>2009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3"/>
              </w:rPr>
              <w:t>2008</w:t>
            </w:r>
          </w:p>
        </w:tc>
        <w:tc>
          <w:tcPr>
            <w:tcW w:w="100" w:type="dxa"/>
            <w:vAlign w:val="bottom"/>
          </w:tcPr>
          <w:p>
            <w:pPr>
              <w:spacing w:after="0"/>
              <w:rPr>
                <w:sz w:val="14"/>
                <w:szCs w:val="14"/>
                <w:color w:val="auto"/>
              </w:rPr>
            </w:pPr>
          </w:p>
        </w:tc>
      </w:tr>
      <w:tr>
        <w:trPr>
          <w:trHeight w:val="102"/>
        </w:trPr>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Gross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 in inventory during the period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(16.0)</w:t>
            </w: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Realized from inventory during the period</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Total share-based compensation included in income before taxes</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r>
      <w:tr>
        <w:trPr>
          <w:trHeight w:val="21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(26.7)</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Total share-based compensation, net of tax, included in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effects on earnings per share: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r>
      <w:tr>
        <w:trPr>
          <w:trHeight w:val="323"/>
        </w:trPr>
        <w:tc>
          <w:tcPr>
            <w:tcW w:w="6980" w:type="dxa"/>
            <w:vAlign w:val="bottom"/>
          </w:tcPr>
          <w:p>
            <w:pPr>
              <w:spacing w:after="0"/>
              <w:rPr>
                <w:sz w:val="20"/>
                <w:szCs w:val="20"/>
                <w:color w:val="auto"/>
              </w:rPr>
            </w:pPr>
            <w:r>
              <w:rPr>
                <w:rFonts w:ascii="Arial" w:cs="Arial" w:eastAsia="Arial" w:hAnsi="Arial"/>
                <w:sz w:val="18"/>
                <w:szCs w:val="18"/>
                <w:color w:val="auto"/>
              </w:rPr>
              <w:t>Share-based compensation capitalized in inventory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gross share-based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fair value of share-based awards to employees in connection with equity compensation plans was estimated using a Black-Scholes option pricing model that used the following weighted-average assumptions: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2010</w:t>
            </w:r>
          </w:p>
        </w:tc>
        <w:tc>
          <w:tcPr>
            <w:tcW w:w="6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2009</w:t>
            </w:r>
          </w:p>
        </w:tc>
        <w:tc>
          <w:tcPr>
            <w:tcW w:w="6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2008</w:t>
            </w:r>
          </w:p>
        </w:tc>
        <w:tc>
          <w:tcPr>
            <w:tcW w:w="200" w:type="dxa"/>
            <w:vAlign w:val="bottom"/>
          </w:tcPr>
          <w:p>
            <w:pPr>
              <w:spacing w:after="0"/>
              <w:rPr>
                <w:sz w:val="14"/>
                <w:szCs w:val="14"/>
                <w:color w:val="auto"/>
              </w:rPr>
            </w:pPr>
          </w:p>
        </w:tc>
      </w:tr>
      <w:tr>
        <w:trPr>
          <w:trHeight w:val="102"/>
        </w:trPr>
        <w:tc>
          <w:tcPr>
            <w:tcW w:w="7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Stock Option Plan:</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3.8</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3.7</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4.6%</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0.6%</w:t>
            </w:r>
          </w:p>
        </w:tc>
      </w:tr>
      <w:tr>
        <w:trPr>
          <w:trHeight w:val="323"/>
        </w:trPr>
        <w:tc>
          <w:tcPr>
            <w:tcW w:w="7280" w:type="dxa"/>
            <w:vAlign w:val="bottom"/>
          </w:tcPr>
          <w:p>
            <w:pPr>
              <w:spacing w:after="0"/>
              <w:rPr>
                <w:sz w:val="20"/>
                <w:szCs w:val="20"/>
                <w:color w:val="auto"/>
              </w:rPr>
            </w:pPr>
            <w:r>
              <w:rPr>
                <w:rFonts w:ascii="Arial" w:cs="Arial" w:eastAsia="Arial" w:hAnsi="Arial"/>
                <w:sz w:val="18"/>
                <w:szCs w:val="18"/>
                <w:color w:val="auto"/>
              </w:rPr>
              <w:t>Stock Purchase Plan:</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3.5%</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Dividend yield</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0.8%</w:t>
            </w:r>
          </w:p>
        </w:tc>
      </w:tr>
    </w:tbl>
    <w:p>
      <w:pPr>
        <w:spacing w:after="0" w:line="14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weighted-average fair value of stock options granted during fiscal 2010, 2009 and 2008 was $4.01, $5.83 and $8.49 per share, respectively. The weighted-average fair value of rights granted under the stock purchase plans was $4.06, $5.05 and $6.78 per share for fiscal 2010, 2009 and 2008, respectively.</w:t>
      </w:r>
    </w:p>
    <w:p>
      <w:pPr>
        <w:spacing w:after="0" w:line="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280" w:right="459" w:bottom="1440" w:gutter="0" w:footer="0" w:header="0"/>
        </w:sectPr>
      </w:pPr>
    </w:p>
    <w:bookmarkStart w:id="17" w:name="page18"/>
    <w:bookmarkEnd w:id="17"/>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value of cash awards in connection with the executive officer retention arrangements was estimated using the Monte Carlo valuation method that used the following weighted-average assumptions as of May 30, 2010 and May 31,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620" w:type="dxa"/>
            <w:vAlign w:val="bottom"/>
            <w:gridSpan w:val="2"/>
          </w:tcPr>
          <w:p>
            <w:pPr>
              <w:jc w:val="right"/>
              <w:ind w:right="120"/>
              <w:spacing w:after="0"/>
              <w:rPr>
                <w:sz w:val="20"/>
                <w:szCs w:val="20"/>
                <w:color w:val="auto"/>
              </w:rPr>
            </w:pPr>
            <w:r>
              <w:rPr>
                <w:rFonts w:ascii="Arial" w:cs="Arial" w:eastAsia="Arial" w:hAnsi="Arial"/>
                <w:sz w:val="14"/>
                <w:szCs w:val="14"/>
                <w:color w:val="auto"/>
              </w:rPr>
              <w:t>2010</w:t>
            </w:r>
          </w:p>
        </w:tc>
        <w:tc>
          <w:tcPr>
            <w:tcW w:w="3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 Retention Awards:</w:t>
            </w: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Closing stock price</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$14.05</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Remaining term (in years)</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Expected volatility</w:t>
            </w:r>
          </w:p>
        </w:tc>
        <w:tc>
          <w:tcPr>
            <w:tcW w:w="300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Risk-free interest rate</w:t>
            </w:r>
          </w:p>
        </w:tc>
        <w:tc>
          <w:tcPr>
            <w:tcW w:w="3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Dividend yield</w:t>
            </w:r>
          </w:p>
        </w:tc>
        <w:tc>
          <w:tcPr>
            <w:tcW w:w="3000" w:type="dxa"/>
            <w:vAlign w:val="bottom"/>
            <w:gridSpan w:val="3"/>
          </w:tcPr>
          <w:p>
            <w:pPr>
              <w:jc w:val="right"/>
              <w:ind w:right="240"/>
              <w:spacing w:after="0"/>
              <w:rPr>
                <w:sz w:val="20"/>
                <w:szCs w:val="20"/>
                <w:color w:val="auto"/>
              </w:rPr>
            </w:pPr>
            <w:r>
              <w:rPr>
                <w:rFonts w:ascii="Arial" w:cs="Arial" w:eastAsia="Arial" w:hAnsi="Arial"/>
                <w:sz w:val="18"/>
                <w:szCs w:val="18"/>
                <w:color w:val="auto"/>
              </w:rPr>
              <w:t>2.3%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all options granted after December 31, 2007, we determine expected life based on historical stock option exercise experience for the last four years, adjusted for our expectation of future exercise activity. For options granted prior to January 1, 2008, we use the simplified method specified by SEC’s Staff Accounting Bulletin (SAB) No. 107 to determine the expected life of stock options. The expected volatility is based on implied volatility, as management has determined that implied volatility better reflects the market’s expectation of future volatility than historical volatility, and is determined based on our traded options, which are actively traded on several exchanges. We derive the implied volatility using the closing prices of traded options during a period that closely matches the timing of the option grant for the stock option and stock purchase plans, and on the last day of the quarter for the cash awards under the executive officer retention arrangements. The traded options selected for our measurement for the stock option and stock purchase plans are near-the-money and close to the exercise price of the option grants and have terms ranging from one to two years. The traded options selected for our measurement of the cash awards under the executive officer retention arrangements are near-the-money and at the closing price of our common stock on the last day of the quarter and have similar remaining terms (in years). The risk-free interest rate is based upon interest rates that match the expected life of the outstanding options under our employee stock option plans, the expected life of the purchase rights under our employee stock purchase plan and the retention period under the executive officer retention arrangements, as applicable. The dividend yield is based on recent history and our expectation of dividend payouts.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our equity compensation plans, employees who retire from the company and meet certain conditions set forth in the plans and related stock option grant agreements continue to vest in their stock options after retirement. During that post-retirement period of continued vesting, no service is required of the employee. Prior to fiscal 2007, we historically recognized compensation costs of these options using the nominal vesting period approach for pro forma reporting purposes. The FASB guidance specifies that a stock option award is considered to be vested when the employee’s retention of the option is no longer contingent on the obligation to provide continuous service (the “non-substantive vesting period approach”). Under the non-substantive vesting period approach, the compensation cost should be recognized immediately for options granted to employees who are eligible for retirement at the time the option is granted. If an employee is not currently eligible for retirement, but is expected to become eligible during the nominal vesting period, then the compensation expense for the option should be recognized over the period from the grant date to the date retirement eligibility occurs. Beginning in fiscal 2007, we changed the method for recognizing the compensation cost for these options to the non-substantive vesting period approach for those options that were granted beginning in fiscal 2007. If we had used the non-substantive vesting period approach in calculating the amounts for unvested option grants prior to fiscal 2007, the pre-tax share-based compensation expense would have been lower by $1.3 million in fiscal 2010, $6.8 million in fiscal 2009 and $14.2 million in fiscal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Preparation of Financial Statements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the reported amounts of assets and liabilities and the disclosure of contingent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Reclassifications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Certain amounts in the consolidated financial statements and notes to consolidated financial statements for prior years have been reclassified to conform to the fiscal 2010 presentation. Net operating results have not been affected by these reclassifications.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Measurements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measure and report our financial assets and liabilities under the provisions of ASC Topic 820, “Fair Value Measurements and Disclosures,” which we adopted in fiscal 2009. Effective at the beginning of fiscal 2010, we adopted the FASB authoritative guidance for non-financial assets and non-financial liabilities. The adoption for non-financial assets and non-financial liabilities had no significant effect on either our financial position or results of operations. Our non-financial assets subject to fair value measurements include goodwill, amortizable intangible assets, and property, plant and equipment, which are measured and recorded at fair value in the period they are determined to be impaired. As permitted under the FASB guidance, we did not apply its provisions to non-financial assets and non-financial liabilities prior to fiscal 2010.</w:t>
      </w:r>
    </w:p>
    <w:p>
      <w:pPr>
        <w:spacing w:after="0" w:line="14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measure fair value to record our cash equivalents, derivative financial instruments and the deferred compensation plan assets. The measurement of fair value for our long-term debt is used to provide disclosure and is not used to record the carrying value of our long-term debt.</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 fair value measurement assumes that the transaction to sell the asset or transfer the liability occurs in the principal market for the asset or liability.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FASB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5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Valuations based on quoted prices in active markets for identical assets or liabilities that an entity has the ability to access.</w:t>
      </w:r>
    </w:p>
    <w:p>
      <w:pPr>
        <w:spacing w:after="0" w:line="90" w:lineRule="exact"/>
        <w:rPr>
          <w:sz w:val="20"/>
          <w:szCs w:val="20"/>
          <w:color w:val="auto"/>
        </w:rPr>
      </w:pPr>
    </w:p>
    <w:p>
      <w:pPr>
        <w:ind w:left="460" w:right="200" w:firstLine="438"/>
        <w:spacing w:after="0" w:line="259" w:lineRule="auto"/>
        <w:rPr>
          <w:sz w:val="20"/>
          <w:szCs w:val="20"/>
          <w:color w:val="auto"/>
        </w:rPr>
      </w:pPr>
      <w:r>
        <w:rPr>
          <w:rFonts w:ascii="Arial" w:cs="Arial" w:eastAsia="Arial" w:hAnsi="Arial"/>
          <w:sz w:val="18"/>
          <w:szCs w:val="18"/>
          <w:color w:val="auto"/>
        </w:rPr>
        <w:t>Level 1 assets and liabilities include our investments in institutional money-market funds that are classified as cash equivalents and the investment funds of the deferred compensation plan assets, where the respective financial instruments are traded in an active market with sufficient volume and frequency of activity.</w:t>
      </w:r>
    </w:p>
    <w:p>
      <w:pPr>
        <w:spacing w:after="0" w:line="59" w:lineRule="exact"/>
        <w:rPr>
          <w:sz w:val="20"/>
          <w:szCs w:val="20"/>
          <w:color w:val="auto"/>
        </w:rPr>
      </w:pPr>
    </w:p>
    <w:p>
      <w:pPr>
        <w:ind w:left="460" w:right="26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Valuations based on quoted prices for similar assets or liabilities, quoted prices for identical assets or liabilities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data for substantially the full term of the assets or liabilities.</w:t>
      </w:r>
    </w:p>
    <w:p>
      <w:pPr>
        <w:spacing w:after="0" w:line="4"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Level 2 assets and liabilities include our investments in commercial paper that are classified as cash equivalents, derivative financial instruments and our senior notes that represent long-term debt instruments that are less actively traded in the market, but where quoted market prices exist for similar instruments that are actively traded.</w:t>
      </w:r>
    </w:p>
    <w:p>
      <w:pPr>
        <w:spacing w:after="0" w:line="5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Valuations based on inputs that are supported by little or no market activity and that are significant to the fair value of the assets or liabilities.</w:t>
      </w:r>
    </w:p>
    <w:p>
      <w:pPr>
        <w:spacing w:after="0" w:line="113" w:lineRule="exact"/>
        <w:rPr>
          <w:sz w:val="20"/>
          <w:szCs w:val="20"/>
          <w:color w:val="auto"/>
        </w:rPr>
      </w:pPr>
    </w:p>
    <w:p>
      <w:pPr>
        <w:ind w:left="460" w:right="120" w:firstLine="438"/>
        <w:spacing w:after="0" w:line="256" w:lineRule="auto"/>
        <w:rPr>
          <w:sz w:val="20"/>
          <w:szCs w:val="20"/>
          <w:color w:val="auto"/>
        </w:rPr>
      </w:pPr>
      <w:r>
        <w:rPr>
          <w:rFonts w:ascii="Arial" w:cs="Arial" w:eastAsia="Arial" w:hAnsi="Arial"/>
          <w:sz w:val="18"/>
          <w:szCs w:val="18"/>
          <w:color w:val="auto"/>
        </w:rPr>
        <w:t>Level 3 assets and liabilities include goodwill, amortizable intangible assets, and property, plant and equipment, which are measured at fair value using a discounted cash flow approach when they are determined to be impaired, and our unsecured term loan with a bank, where we determine fair value based on unobservable inputs using the best information available in the circumstances and take into consideration assumptions that market participants would use in pricing the liability.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280" w:right="25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Assets measured at fair value on a recurring basis include the following:</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w w:val="83"/>
              </w:rPr>
              <w:t>Quoted Prices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color w:val="auto"/>
                <w:w w:val="90"/>
              </w:rPr>
              <w:t>in Active</w:t>
            </w:r>
          </w:p>
        </w:tc>
        <w:tc>
          <w:tcPr>
            <w:tcW w:w="5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9"/>
              </w:rPr>
              <w:t>Significant</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Markets for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85"/>
              </w:rPr>
              <w:t>Other</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color w:val="auto"/>
                <w:w w:val="91"/>
              </w:rPr>
              <w:t>Identical</w:t>
            </w:r>
          </w:p>
        </w:tc>
        <w:tc>
          <w:tcPr>
            <w:tcW w:w="5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color w:val="auto"/>
                <w:w w:val="83"/>
              </w:rPr>
              <w:t>Observable</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Instruments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89"/>
              </w:rPr>
              <w:t>Inputs</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36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5"/>
              <w:spacing w:after="0" w:line="159" w:lineRule="exact"/>
              <w:rPr>
                <w:sz w:val="20"/>
                <w:szCs w:val="20"/>
                <w:color w:val="auto"/>
              </w:rPr>
            </w:pPr>
            <w:r>
              <w:rPr>
                <w:rFonts w:ascii="Arial" w:cs="Arial" w:eastAsia="Arial" w:hAnsi="Arial"/>
                <w:sz w:val="14"/>
                <w:szCs w:val="14"/>
                <w:color w:val="auto"/>
                <w:w w:val="88"/>
              </w:rPr>
              <w:t>(Level 1)</w:t>
            </w:r>
          </w:p>
        </w:tc>
        <w:tc>
          <w:tcPr>
            <w:tcW w:w="580" w:type="dxa"/>
            <w:vAlign w:val="bottom"/>
          </w:tcPr>
          <w:p>
            <w:pPr>
              <w:spacing w:after="0"/>
              <w:rPr>
                <w:sz w:val="13"/>
                <w:szCs w:val="13"/>
                <w:color w:val="auto"/>
              </w:rPr>
            </w:pPr>
          </w:p>
        </w:tc>
        <w:tc>
          <w:tcPr>
            <w:tcW w:w="6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1"/>
              </w:rPr>
              <w:t>(Level 2)</w:t>
            </w:r>
          </w:p>
        </w:tc>
        <w:tc>
          <w:tcPr>
            <w:tcW w:w="580" w:type="dxa"/>
            <w:vAlign w:val="bottom"/>
          </w:tcPr>
          <w:p>
            <w:pPr>
              <w:spacing w:after="0"/>
              <w:rPr>
                <w:sz w:val="13"/>
                <w:szCs w:val="13"/>
                <w:color w:val="auto"/>
              </w:rPr>
            </w:pPr>
          </w:p>
        </w:tc>
        <w:tc>
          <w:tcPr>
            <w:tcW w:w="6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2"/>
        </w:trPr>
        <w:tc>
          <w:tcPr>
            <w:tcW w:w="5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Balances at May 30, 2010:</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Institutional money-market funds</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current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assets - Forward contracts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funds - Deferred compensation plan assets: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880"/>
              <w:spacing w:after="0"/>
              <w:rPr>
                <w:sz w:val="20"/>
                <w:szCs w:val="20"/>
                <w:color w:val="auto"/>
              </w:rPr>
            </w:pPr>
            <w:r>
              <w:rPr>
                <w:rFonts w:ascii="Arial" w:cs="Arial" w:eastAsia="Arial" w:hAnsi="Arial"/>
                <w:sz w:val="18"/>
                <w:szCs w:val="18"/>
                <w:color w:val="auto"/>
              </w:rPr>
              <w:t>Institutional money-market funds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880"/>
              <w:spacing w:after="0"/>
              <w:rPr>
                <w:sz w:val="20"/>
                <w:szCs w:val="20"/>
                <w:color w:val="auto"/>
              </w:rPr>
            </w:pPr>
            <w:r>
              <w:rPr>
                <w:rFonts w:ascii="Arial" w:cs="Arial" w:eastAsia="Arial" w:hAnsi="Arial"/>
                <w:sz w:val="18"/>
                <w:szCs w:val="18"/>
                <w:color w:val="auto"/>
              </w:rPr>
              <w:t>Marketable equity securities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440"/>
              <w:spacing w:after="0"/>
              <w:rPr>
                <w:sz w:val="20"/>
                <w:szCs w:val="20"/>
                <w:color w:val="auto"/>
              </w:rPr>
            </w:pPr>
            <w:r>
              <w:rPr>
                <w:rFonts w:ascii="Arial" w:cs="Arial" w:eastAsia="Arial" w:hAnsi="Arial"/>
                <w:sz w:val="18"/>
                <w:szCs w:val="18"/>
                <w:color w:val="auto"/>
              </w:rPr>
              <w:t>Derivative assets - Interest rate swap</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Balances at May 31, 2009:</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3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Institutional money-market funds</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368.4</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Investment funds - Deferred compensation plan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Institutional money-market funds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880"/>
              <w:spacing w:after="0"/>
              <w:rPr>
                <w:sz w:val="20"/>
                <w:szCs w:val="20"/>
                <w:color w:val="auto"/>
              </w:rPr>
            </w:pPr>
            <w:r>
              <w:rPr>
                <w:rFonts w:ascii="Arial" w:cs="Arial" w:eastAsia="Arial" w:hAnsi="Arial"/>
                <w:sz w:val="18"/>
                <w:szCs w:val="18"/>
                <w:color w:val="auto"/>
              </w:rPr>
              <w:t>Mutual funds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Marketable equity securities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level 1 and level 2 financial assets in fiscal 2010 and 2009.</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institutional money-market funds and the various investment funds within our deferred compensation plan assets are traded in an active market and the net asset value of each fund on the last day of the quarter is used to determine its fair value. We determine fair value of our commercial paper by obtaining non-binding market prices from our broker on the last day of each quarter. We then corroborate these market prices by comparison to quoted market prices for similar instruments. The fair value of forward foreign currency exchange contracts represents the present value difference between the stated forward contract rate and the current market forward rate at settlement. The fair value of foreign currency option contracts represents the probable weighted net amount we would expect to receive at maturity. The fair value of the interest rate swap is determined using a standard valuation model that includes significant observable inputs, such as interest rate yield curves and discount rates commensurate with the six-month LIBOR interest rates, as well as the creditworthiness of the counterparties and our own nonperformance risk.</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fair value of our long-term debt (including the current portion) at May 30, 2010 was $1,339.2 million and at May 31, 2009 was $1,201.2 million. The fair value measurements for our long-term debt instruments take into consideration credit rating changes, equity price movements, interest rate changes and other economic variables.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2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3. Financial Instruments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policy is to diversify our investment portfolio to minimize the exposure of our principal to credit, geographic and investment sector risk. At May 30, 2010, investments were placed with a variety of different financial institutions and other issuers. Investments with maturity of one year or less have a rating of A1/P1 or better.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consisted of the following as of May 30, 2010 and May 31, 2009:</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00" w:type="dxa"/>
            <w:vAlign w:val="bottom"/>
          </w:tcPr>
          <w:p>
            <w:pPr>
              <w:jc w:val="right"/>
              <w:ind w:right="36"/>
              <w:spacing w:after="0"/>
              <w:rPr>
                <w:sz w:val="20"/>
                <w:szCs w:val="20"/>
                <w:color w:val="auto"/>
              </w:rPr>
            </w:pPr>
            <w:r>
              <w:rPr>
                <w:rFonts w:ascii="Arial" w:cs="Arial" w:eastAsia="Arial" w:hAnsi="Arial"/>
                <w:sz w:val="14"/>
                <w:szCs w:val="14"/>
                <w:color w:val="auto"/>
              </w:rPr>
              <w:t>2010</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Institutional money market funds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Commercial paper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Held-to-maturity securities:</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time deposits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Total cash equivalents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826.5</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our non-marketable investments had no carrying value at May 30, 2010 and May 31, 2009, we still hold stock in certain non-publicly traded companies. As a result, we recognized gross realized gains of $0.3 million in fiscal 2010, $0.4 million in fiscal 2009 and $0.2 million in fiscal 2008 from certain of our non-marketable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objective of our foreign exchange risk management policy is to preserve the U.S. dollar value of after-tax cash inflow in relation to non-U.S. dollar currency movements. We are exposed to foreign currency exchange rate risk that is inherent in orders, sales, cost of sales, expenses, and assets and liabilities denominated in currencies other than the U.S. dollar. We enter into foreign exchange contracts, primarily forwards and purchased options, to hedge against exposure to changes in foreign currency exchange rates. These contracts are matched at inception to the related foreign currency exposures that are being hedged. Exposures which are hedged include sales by subsidiaries, and assets and liabilities denominated in currencies other than the U.S. dollar. Our foreign currency hedges typically mature within six months.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Derivative instruments used to hedge exposures to variability in expected future foreign denominated cash flows are not designated as cash flow hedges.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Gains or losses on these derivative instruments are immediately recorded in earnings.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the issuance of the $250 million principal amount of senior unsecured notes in April 2010, we entered into an interest rate swap agreement with a notional principal of $250 million which effectively converts the fixed interest rate of the debt to a floating interest rate. The terms of the swap agreement substantially match the terms of the debt. Under the terms of the swap agreement, we will receive interest payments semi-annually at an annual rate of 3.95 percent on the notional principal and we will pay interest semi-annually at an annual rate of 0.84 percent over the six-month LIBOR on the notional principal. The LIBOR reference rate is set in arrears on each semi-annual date when the interest payments are due. We have designated this swap agreement as a fair value hedge and recognize the changes in the fair value of both the swap and the related debt, which we record as gains or losses on the derivative instrument in fair value hedge included in other non-operating income (expense), net.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274" w:right="25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information about gains (losses) associated with our derivative financial instruments: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Amount of Gains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7"/>
          </w:tcPr>
          <w:p>
            <w:pPr>
              <w:jc w:val="center"/>
              <w:ind w:right="180"/>
              <w:spacing w:after="0" w:line="149" w:lineRule="exact"/>
              <w:rPr>
                <w:sz w:val="20"/>
                <w:szCs w:val="20"/>
                <w:color w:val="auto"/>
              </w:rPr>
            </w:pPr>
            <w:r>
              <w:rPr>
                <w:rFonts w:ascii="Arial" w:cs="Arial" w:eastAsia="Arial" w:hAnsi="Arial"/>
                <w:sz w:val="14"/>
                <w:szCs w:val="14"/>
                <w:color w:val="auto"/>
                <w:w w:val="88"/>
              </w:rPr>
              <w:t>Amount of Gains (Losses)</w:t>
            </w:r>
          </w:p>
        </w:tc>
        <w:tc>
          <w:tcPr>
            <w:tcW w:w="1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(Losses) 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color w:val="auto"/>
                <w:w w:val="87"/>
              </w:rPr>
              <w:t>Location of Gains (Losses)</w:t>
            </w:r>
          </w:p>
        </w:tc>
        <w:tc>
          <w:tcPr>
            <w:tcW w:w="200" w:type="dxa"/>
            <w:vAlign w:val="bottom"/>
          </w:tcPr>
          <w:p>
            <w:pPr>
              <w:spacing w:after="0"/>
              <w:rPr>
                <w:sz w:val="12"/>
                <w:szCs w:val="12"/>
                <w:color w:val="auto"/>
              </w:rPr>
            </w:pPr>
          </w:p>
        </w:tc>
        <w:tc>
          <w:tcPr>
            <w:tcW w:w="1900" w:type="dxa"/>
            <w:vAlign w:val="bottom"/>
            <w:gridSpan w:val="7"/>
          </w:tcPr>
          <w:p>
            <w:pPr>
              <w:jc w:val="center"/>
              <w:ind w:right="160"/>
              <w:spacing w:after="0" w:line="149" w:lineRule="exact"/>
              <w:rPr>
                <w:sz w:val="20"/>
                <w:szCs w:val="20"/>
                <w:color w:val="auto"/>
              </w:rPr>
            </w:pPr>
            <w:r>
              <w:rPr>
                <w:rFonts w:ascii="Arial" w:cs="Arial" w:eastAsia="Arial" w:hAnsi="Arial"/>
                <w:sz w:val="14"/>
                <w:szCs w:val="14"/>
                <w:color w:val="auto"/>
                <w:w w:val="87"/>
              </w:rPr>
              <w:t>Recognized in Income on</w:t>
            </w:r>
          </w:p>
        </w:tc>
        <w:tc>
          <w:tcPr>
            <w:tcW w:w="1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color w:val="auto"/>
                <w:w w:val="89"/>
              </w:rPr>
              <w:t>Location of Gains</w:t>
            </w:r>
          </w:p>
        </w:tc>
        <w:tc>
          <w:tcPr>
            <w:tcW w:w="2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in Income on Hedged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80" w:type="dxa"/>
            <w:vAlign w:val="bottom"/>
          </w:tcPr>
          <w:p>
            <w:pPr>
              <w:jc w:val="center"/>
              <w:spacing w:after="0" w:line="159" w:lineRule="exact"/>
              <w:rPr>
                <w:sz w:val="20"/>
                <w:szCs w:val="20"/>
                <w:color w:val="auto"/>
              </w:rPr>
            </w:pPr>
            <w:r>
              <w:rPr>
                <w:rFonts w:ascii="Arial" w:cs="Arial" w:eastAsia="Arial" w:hAnsi="Arial"/>
                <w:sz w:val="14"/>
                <w:szCs w:val="14"/>
                <w:color w:val="auto"/>
                <w:w w:val="87"/>
              </w:rPr>
              <w:t>Recognized in Income on</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9"/>
              </w:rPr>
              <w:t>Derivative</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jc w:val="center"/>
              <w:spacing w:after="0" w:line="159" w:lineRule="exact"/>
              <w:rPr>
                <w:sz w:val="20"/>
                <w:szCs w:val="20"/>
                <w:color w:val="auto"/>
              </w:rPr>
            </w:pPr>
            <w:r>
              <w:rPr>
                <w:rFonts w:ascii="Arial" w:cs="Arial" w:eastAsia="Arial" w:hAnsi="Arial"/>
                <w:sz w:val="14"/>
                <w:szCs w:val="14"/>
                <w:color w:val="auto"/>
                <w:w w:val="86"/>
              </w:rPr>
              <w:t>(losses) Recognized in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7"/>
              </w:rPr>
              <w:t>Item</w:t>
            </w:r>
          </w:p>
        </w:tc>
        <w:tc>
          <w:tcPr>
            <w:tcW w:w="0" w:type="dxa"/>
            <w:vAlign w:val="bottom"/>
          </w:tcPr>
          <w:p>
            <w:pPr>
              <w:spacing w:after="0"/>
              <w:rPr>
                <w:sz w:val="1"/>
                <w:szCs w:val="1"/>
                <w:color w:val="auto"/>
              </w:rPr>
            </w:pPr>
          </w:p>
        </w:tc>
      </w:tr>
      <w:tr>
        <w:trPr>
          <w:trHeight w:val="142"/>
        </w:trPr>
        <w:tc>
          <w:tcPr>
            <w:tcW w:w="29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380" w:type="dxa"/>
            <w:vAlign w:val="bottom"/>
          </w:tcPr>
          <w:p>
            <w:pPr>
              <w:jc w:val="center"/>
              <w:spacing w:after="0" w:line="142" w:lineRule="exact"/>
              <w:rPr>
                <w:sz w:val="20"/>
                <w:szCs w:val="20"/>
                <w:color w:val="auto"/>
              </w:rPr>
            </w:pPr>
            <w:r>
              <w:rPr>
                <w:rFonts w:ascii="Arial" w:cs="Arial" w:eastAsia="Arial" w:hAnsi="Arial"/>
                <w:sz w:val="14"/>
                <w:szCs w:val="14"/>
                <w:color w:val="auto"/>
                <w:w w:val="93"/>
              </w:rPr>
              <w:t>Derivative</w:t>
            </w:r>
          </w:p>
        </w:tc>
        <w:tc>
          <w:tcPr>
            <w:tcW w:w="2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2010</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ind w:left="80"/>
              <w:spacing w:after="0" w:line="142" w:lineRule="exact"/>
              <w:rPr>
                <w:sz w:val="20"/>
                <w:szCs w:val="20"/>
                <w:color w:val="auto"/>
              </w:rPr>
            </w:pPr>
            <w:r>
              <w:rPr>
                <w:rFonts w:ascii="Arial" w:cs="Arial" w:eastAsia="Arial" w:hAnsi="Arial"/>
                <w:sz w:val="14"/>
                <w:szCs w:val="14"/>
                <w:color w:val="auto"/>
                <w:w w:val="89"/>
              </w:rPr>
              <w:t>2009</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w w:val="96"/>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spacing w:after="0" w:line="142" w:lineRule="exact"/>
              <w:rPr>
                <w:sz w:val="20"/>
                <w:szCs w:val="20"/>
                <w:color w:val="auto"/>
              </w:rPr>
            </w:pPr>
            <w:r>
              <w:rPr>
                <w:rFonts w:ascii="Arial" w:cs="Arial" w:eastAsia="Arial" w:hAnsi="Arial"/>
                <w:sz w:val="14"/>
                <w:szCs w:val="14"/>
                <w:color w:val="auto"/>
                <w:w w:val="86"/>
              </w:rPr>
              <w:t>Income on Hedged Item</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44"/>
              <w:spacing w:after="0" w:line="142"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3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Interest rate swap</w:t>
            </w:r>
          </w:p>
        </w:tc>
        <w:tc>
          <w:tcPr>
            <w:tcW w:w="238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Other non-operating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380" w:type="dxa"/>
            <w:vAlign w:val="bottom"/>
          </w:tcPr>
          <w:p>
            <w:pPr>
              <w:jc w:val="center"/>
              <w:ind w:right="879"/>
              <w:spacing w:after="0"/>
              <w:rPr>
                <w:sz w:val="20"/>
                <w:szCs w:val="20"/>
                <w:color w:val="auto"/>
              </w:rPr>
            </w:pPr>
            <w:r>
              <w:rPr>
                <w:rFonts w:ascii="Arial" w:cs="Arial" w:eastAsia="Arial" w:hAnsi="Arial"/>
                <w:sz w:val="18"/>
                <w:szCs w:val="18"/>
                <w:color w:val="auto"/>
                <w:w w:val="85"/>
              </w:rPr>
              <w:t>(expense), net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w w:val="78"/>
              </w:rPr>
              <w:t>$ —</w:t>
            </w:r>
          </w:p>
        </w:tc>
        <w:tc>
          <w:tcPr>
            <w:tcW w:w="560" w:type="dxa"/>
            <w:vAlign w:val="bottom"/>
            <w:gridSpan w:val="2"/>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2440" w:type="dxa"/>
            <w:vAlign w:val="bottom"/>
          </w:tcPr>
          <w:p>
            <w:pPr>
              <w:ind w:left="220"/>
              <w:spacing w:after="0"/>
              <w:rPr>
                <w:sz w:val="20"/>
                <w:szCs w:val="20"/>
                <w:color w:val="auto"/>
              </w:rPr>
            </w:pPr>
            <w:r>
              <w:rPr>
                <w:rFonts w:ascii="Arial" w:cs="Arial" w:eastAsia="Arial" w:hAnsi="Arial"/>
                <w:sz w:val="18"/>
                <w:szCs w:val="18"/>
                <w:color w:val="auto"/>
              </w:rPr>
              <w:t>(expense), net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8"/>
              </w:rPr>
              <w:t>$ —</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w w:val="94"/>
              </w:rPr>
              <w:t>Instruments without hedge accounting</w:t>
            </w: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900" w:type="dxa"/>
            <w:vAlign w:val="bottom"/>
            <w:gridSpan w:val="2"/>
            <w:vMerge w:val="continue"/>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designation:</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Forward contracts</w:t>
            </w:r>
          </w:p>
        </w:tc>
        <w:tc>
          <w:tcPr>
            <w:tcW w:w="2380" w:type="dxa"/>
            <w:vAlign w:val="bottom"/>
            <w:shd w:val="clear" w:color="auto" w:fill="CCEEFF"/>
          </w:tcPr>
          <w:p>
            <w:pPr>
              <w:jc w:val="center"/>
              <w:ind w:right="899"/>
              <w:spacing w:after="0"/>
              <w:rPr>
                <w:sz w:val="20"/>
                <w:szCs w:val="20"/>
                <w:color w:val="auto"/>
              </w:rPr>
            </w:pPr>
            <w:r>
              <w:rPr>
                <w:rFonts w:ascii="Arial" w:cs="Arial" w:eastAsia="Arial" w:hAnsi="Arial"/>
                <w:sz w:val="18"/>
                <w:szCs w:val="18"/>
                <w:color w:val="auto"/>
                <w:w w:val="87"/>
              </w:rPr>
              <w:t>Selling, general and</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ind w:right="859"/>
              <w:spacing w:after="0"/>
              <w:rPr>
                <w:sz w:val="20"/>
                <w:szCs w:val="20"/>
                <w:color w:val="auto"/>
              </w:rPr>
            </w:pPr>
            <w:r>
              <w:rPr>
                <w:rFonts w:ascii="Arial" w:cs="Arial" w:eastAsia="Arial" w:hAnsi="Arial"/>
                <w:sz w:val="18"/>
                <w:szCs w:val="18"/>
                <w:color w:val="auto"/>
                <w:w w:val="90"/>
              </w:rPr>
              <w:t>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Purchased options</w:t>
            </w:r>
          </w:p>
        </w:tc>
        <w:tc>
          <w:tcPr>
            <w:tcW w:w="2380" w:type="dxa"/>
            <w:vAlign w:val="bottom"/>
          </w:tcPr>
          <w:p>
            <w:pPr>
              <w:jc w:val="center"/>
              <w:ind w:right="899"/>
              <w:spacing w:after="0"/>
              <w:rPr>
                <w:sz w:val="20"/>
                <w:szCs w:val="20"/>
                <w:color w:val="auto"/>
              </w:rPr>
            </w:pPr>
            <w:r>
              <w:rPr>
                <w:rFonts w:ascii="Arial" w:cs="Arial" w:eastAsia="Arial" w:hAnsi="Arial"/>
                <w:sz w:val="18"/>
                <w:szCs w:val="18"/>
                <w:color w:val="auto"/>
                <w:w w:val="87"/>
              </w:rPr>
              <w:t>Selling, general and</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380" w:type="dxa"/>
            <w:vAlign w:val="bottom"/>
          </w:tcPr>
          <w:p>
            <w:pPr>
              <w:jc w:val="center"/>
              <w:ind w:right="859"/>
              <w:spacing w:after="0"/>
              <w:rPr>
                <w:sz w:val="20"/>
                <w:szCs w:val="20"/>
                <w:color w:val="auto"/>
              </w:rPr>
            </w:pPr>
            <w:r>
              <w:rPr>
                <w:rFonts w:ascii="Arial" w:cs="Arial" w:eastAsia="Arial" w:hAnsi="Arial"/>
                <w:sz w:val="18"/>
                <w:szCs w:val="18"/>
                <w:color w:val="auto"/>
                <w:w w:val="90"/>
              </w:rPr>
              <w:t>administrative</w:t>
            </w:r>
          </w:p>
        </w:tc>
        <w:tc>
          <w:tcPr>
            <w:tcW w:w="2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and Notional Principal of Derivative Financial Instruments</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notional principal amounts for derivative financial instruments provide one measure of the transaction volume outstanding as of fiscal year-end and do not represent the amount of the exposure to credit or market loss. The estimates of fair value are based on applicable and commonly used pricing models using prevailing financial market information at May 30, 2010. The table below shows the fair value and notional principal of derivative financial instruments at May 30, 2010.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40" w:type="dxa"/>
            <w:vAlign w:val="bottom"/>
            <w:vMerge w:val="restart"/>
          </w:tcPr>
          <w:p>
            <w:pPr>
              <w:ind w:left="1580"/>
              <w:spacing w:after="0"/>
              <w:rPr>
                <w:sz w:val="20"/>
                <w:szCs w:val="20"/>
                <w:color w:val="auto"/>
              </w:rPr>
            </w:pPr>
            <w:r>
              <w:rPr>
                <w:rFonts w:ascii="Arial" w:cs="Arial" w:eastAsia="Arial" w:hAnsi="Arial"/>
                <w:sz w:val="14"/>
                <w:szCs w:val="14"/>
                <w:color w:val="auto"/>
              </w:rPr>
              <w:t>Balance Sheet Location</w:t>
            </w:r>
          </w:p>
        </w:tc>
        <w:tc>
          <w:tcPr>
            <w:tcW w:w="3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9"/>
              </w:rPr>
              <w:t>Notional</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3"/>
                <w:szCs w:val="13"/>
                <w:color w:val="auto"/>
              </w:rPr>
            </w:pPr>
          </w:p>
        </w:tc>
        <w:tc>
          <w:tcPr>
            <w:tcW w:w="44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89"/>
              </w:rPr>
              <w:t>Principal</w:t>
            </w:r>
          </w:p>
        </w:tc>
        <w:tc>
          <w:tcPr>
            <w:tcW w:w="420" w:type="dxa"/>
            <w:vAlign w:val="bottom"/>
          </w:tcPr>
          <w:p>
            <w:pPr>
              <w:spacing w:after="0"/>
              <w:rPr>
                <w:sz w:val="13"/>
                <w:szCs w:val="13"/>
                <w:color w:val="auto"/>
              </w:rPr>
            </w:pPr>
          </w:p>
        </w:tc>
        <w:tc>
          <w:tcPr>
            <w:tcW w:w="6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w w:val="84"/>
              </w:rPr>
              <w:t>Fair Value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Fair value hedge:</w:t>
            </w:r>
          </w:p>
        </w:tc>
        <w:tc>
          <w:tcPr>
            <w:tcW w:w="7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jc w:val="center"/>
              <w:ind w:right="2152"/>
              <w:spacing w:after="0"/>
              <w:rPr>
                <w:sz w:val="20"/>
                <w:szCs w:val="20"/>
                <w:color w:val="auto"/>
              </w:rPr>
            </w:pPr>
            <w:r>
              <w:rPr>
                <w:rFonts w:ascii="Arial" w:cs="Arial" w:eastAsia="Arial" w:hAnsi="Arial"/>
                <w:sz w:val="18"/>
                <w:szCs w:val="18"/>
                <w:color w:val="auto"/>
                <w:w w:val="86"/>
              </w:rPr>
              <w:t>Interest rate swap</w:t>
            </w:r>
          </w:p>
        </w:tc>
        <w:tc>
          <w:tcPr>
            <w:tcW w:w="5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Other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340" w:type="dxa"/>
            <w:vAlign w:val="bottom"/>
            <w:gridSpan w:val="2"/>
          </w:tcPr>
          <w:p>
            <w:pPr>
              <w:spacing w:after="0"/>
              <w:rPr>
                <w:sz w:val="20"/>
                <w:szCs w:val="20"/>
                <w:color w:val="auto"/>
              </w:rPr>
            </w:pPr>
            <w:r>
              <w:rPr>
                <w:rFonts w:ascii="Arial" w:cs="Arial" w:eastAsia="Arial" w:hAnsi="Arial"/>
                <w:sz w:val="18"/>
                <w:szCs w:val="18"/>
                <w:color w:val="auto"/>
              </w:rPr>
              <w:t>Instruments without hedge accounting designation:</w:t>
            </w:r>
          </w:p>
        </w:tc>
        <w:tc>
          <w:tcPr>
            <w:tcW w:w="7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jc w:val="center"/>
              <w:ind w:right="2112"/>
              <w:spacing w:after="0"/>
              <w:rPr>
                <w:sz w:val="20"/>
                <w:szCs w:val="20"/>
                <w:color w:val="auto"/>
              </w:rPr>
            </w:pPr>
            <w:r>
              <w:rPr>
                <w:rFonts w:ascii="Arial" w:cs="Arial" w:eastAsia="Arial" w:hAnsi="Arial"/>
                <w:sz w:val="18"/>
                <w:szCs w:val="18"/>
                <w:color w:val="auto"/>
                <w:w w:val="88"/>
              </w:rPr>
              <w:t>Forward contracts</w:t>
            </w:r>
          </w:p>
        </w:tc>
        <w:tc>
          <w:tcPr>
            <w:tcW w:w="5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jc w:val="center"/>
              <w:ind w:right="2152"/>
              <w:spacing w:after="0"/>
              <w:rPr>
                <w:sz w:val="20"/>
                <w:szCs w:val="20"/>
                <w:color w:val="auto"/>
              </w:rPr>
            </w:pPr>
            <w:r>
              <w:rPr>
                <w:rFonts w:ascii="Arial" w:cs="Arial" w:eastAsia="Arial" w:hAnsi="Arial"/>
                <w:sz w:val="18"/>
                <w:szCs w:val="18"/>
                <w:color w:val="auto"/>
                <w:w w:val="89"/>
              </w:rPr>
              <w:t>Total</w:t>
            </w:r>
          </w:p>
        </w:tc>
        <w:tc>
          <w:tcPr>
            <w:tcW w:w="7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270.0</w:t>
            </w:r>
          </w:p>
        </w:tc>
        <w:tc>
          <w:tcPr>
            <w:tcW w:w="6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foreign exchange contracts that we entered into during fiscal 2009 expired by May 31,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Financial instruments that may subject us to concentrations of credit risk are primarily investments and trade receivables. Our investment policy requires cash investments to be placed with high-credit quality counterparties and limits the amount of investments with any one financial institution or direct issuer. We sell our products to distributors and manufacturers involved in a variety of industries including computers and peripherals, wireless communications and automotive. We perform continuing credit evaluations of our customers whenever necessary and we generally do not require collateral. Our top ten customers combined represented approximately 58 percent of total accounts receivable at May 30, 2010 and approximately 60 percent of total accounts receivable at May 31,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80" w:right="23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sales to major customers as a percentage of total net sales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100" w:type="dxa"/>
            <w:vAlign w:val="bottom"/>
            <w:gridSpan w:val="3"/>
          </w:tcPr>
          <w:p>
            <w:pPr>
              <w:jc w:val="right"/>
              <w:ind w:right="620"/>
              <w:spacing w:after="0"/>
              <w:rPr>
                <w:sz w:val="20"/>
                <w:szCs w:val="20"/>
                <w:color w:val="auto"/>
              </w:rPr>
            </w:pPr>
            <w:r>
              <w:rPr>
                <w:rFonts w:ascii="Arial" w:cs="Arial" w:eastAsia="Arial" w:hAnsi="Arial"/>
                <w:sz w:val="14"/>
                <w:szCs w:val="14"/>
                <w:color w:val="auto"/>
              </w:rPr>
              <w:t>2010</w:t>
            </w:r>
          </w:p>
        </w:tc>
        <w:tc>
          <w:tcPr>
            <w:tcW w:w="260" w:type="dxa"/>
            <w:vAlign w:val="bottom"/>
          </w:tcPr>
          <w:p>
            <w:pPr>
              <w:jc w:val="right"/>
              <w:spacing w:after="0"/>
              <w:rPr>
                <w:sz w:val="20"/>
                <w:szCs w:val="20"/>
                <w:color w:val="auto"/>
              </w:rPr>
            </w:pPr>
            <w:r>
              <w:rPr>
                <w:rFonts w:ascii="Arial" w:cs="Arial" w:eastAsia="Arial" w:hAnsi="Arial"/>
                <w:sz w:val="14"/>
                <w:szCs w:val="14"/>
                <w:color w:val="auto"/>
                <w:w w:val="76"/>
              </w:rPr>
              <w:t>2009</w:t>
            </w:r>
          </w:p>
        </w:tc>
        <w:tc>
          <w:tcPr>
            <w:tcW w:w="6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3"/>
              </w:rPr>
              <w:t>2008</w:t>
            </w:r>
          </w:p>
        </w:tc>
        <w:tc>
          <w:tcPr>
            <w:tcW w:w="200" w:type="dxa"/>
            <w:vAlign w:val="bottom"/>
          </w:tcPr>
          <w:p>
            <w:pPr>
              <w:spacing w:after="0"/>
              <w:rPr>
                <w:sz w:val="14"/>
                <w:szCs w:val="14"/>
                <w:color w:val="auto"/>
              </w:rPr>
            </w:pPr>
          </w:p>
        </w:tc>
      </w:tr>
      <w:tr>
        <w:trPr>
          <w:trHeight w:val="102"/>
        </w:trPr>
        <w:tc>
          <w:tcPr>
            <w:tcW w:w="41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3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Avnet</w:t>
            </w:r>
          </w:p>
        </w:tc>
        <w:tc>
          <w:tcPr>
            <w:tcW w:w="4100" w:type="dxa"/>
            <w:vAlign w:val="bottom"/>
            <w:gridSpan w:val="3"/>
          </w:tcPr>
          <w:p>
            <w:pPr>
              <w:jc w:val="right"/>
              <w:ind w:right="48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Arrow</w:t>
            </w:r>
          </w:p>
        </w:tc>
        <w:tc>
          <w:tcPr>
            <w:tcW w:w="4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323"/>
        </w:trPr>
        <w:tc>
          <w:tcPr>
            <w:tcW w:w="4120" w:type="dxa"/>
            <w:vAlign w:val="bottom"/>
          </w:tcPr>
          <w:p>
            <w:pPr>
              <w:spacing w:after="0"/>
              <w:rPr>
                <w:sz w:val="20"/>
                <w:szCs w:val="20"/>
                <w:color w:val="auto"/>
              </w:rPr>
            </w:pPr>
            <w:r>
              <w:rPr>
                <w:rFonts w:ascii="Arial" w:cs="Arial" w:eastAsia="Arial" w:hAnsi="Arial"/>
                <w:sz w:val="18"/>
                <w:szCs w:val="18"/>
                <w:color w:val="auto"/>
              </w:rPr>
              <w:t>OEM:</w:t>
            </w:r>
          </w:p>
        </w:tc>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Nokia</w:t>
            </w:r>
          </w:p>
        </w:tc>
        <w:tc>
          <w:tcPr>
            <w:tcW w:w="41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less than 10%</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to the distributors included above are mostly for our Analog segment products, but also include some sales for our other operating segment products. Historically, we have not experienced significant losses related to receivables from individual customers or groups of customers in any particular industry or geographic area.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Consolidated Financial Statement Details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Balance Sheets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RECEIVABLE ALLOWANCES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Doubtful accounts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Returns and allowances</w:t>
            </w:r>
          </w:p>
        </w:tc>
        <w:tc>
          <w:tcPr>
            <w:tcW w:w="2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Total receivable allowances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r>
              <w:rPr>
                <w:rFonts w:ascii="Arial" w:cs="Arial" w:eastAsia="Arial" w:hAnsi="Arial"/>
                <w:sz w:val="18"/>
                <w:szCs w:val="18"/>
                <w:u w:val="single" w:color="auto"/>
                <w:color w:val="auto"/>
              </w:rPr>
              <w:t>0</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Raw materials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Finished goods</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OTHER CURRENT ASSETS</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7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Prepaid expenses</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7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1,679.4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Internal-use software</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8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2,199.0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2,505.3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(1,808.9)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(2,043.5)</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 property, plant and equipment, net</w:t>
            </w:r>
          </w:p>
        </w:tc>
        <w:tc>
          <w:tcPr>
            <w:tcW w:w="2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gridSpan w:val="2"/>
            <w:vMerge w:val="continue"/>
          </w:tcPr>
          <w:p>
            <w:pPr>
              <w:spacing w:after="0"/>
              <w:rPr>
                <w:sz w:val="19"/>
                <w:szCs w:val="19"/>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390.1</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Deposits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receivable</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780" w:type="dxa"/>
            <w:vAlign w:val="bottom"/>
            <w:gridSpan w:val="2"/>
          </w:tcPr>
          <w:p>
            <w:pPr>
              <w:jc w:val="right"/>
              <w:ind w:right="2060"/>
              <w:spacing w:after="0"/>
              <w:rPr>
                <w:sz w:val="20"/>
                <w:szCs w:val="20"/>
                <w:color w:val="auto"/>
              </w:rPr>
            </w:pPr>
            <w:r>
              <w:rPr>
                <w:rFonts w:ascii="Arial" w:cs="Arial" w:eastAsia="Arial" w:hAnsi="Arial"/>
                <w:sz w:val="18"/>
                <w:szCs w:val="18"/>
                <w:color w:val="auto"/>
              </w:rPr>
              <w:t>F-18</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80"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Balance Sheets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6"/>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6"/>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Payroll and employee related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127.3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Severance and restructuring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Total accrued expenses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204.5</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Accrued pension cost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67.3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other non-current liabilities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44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pension plans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Income</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20"/>
                <w:szCs w:val="20"/>
                <w:color w:val="auto"/>
              </w:rPr>
            </w:pPr>
            <w:r>
              <w:rPr>
                <w:rFonts w:ascii="Arial" w:cs="Arial" w:eastAsia="Arial" w:hAnsi="Arial"/>
                <w:sz w:val="14"/>
                <w:szCs w:val="14"/>
                <w:color w:val="auto"/>
              </w:rPr>
              <w:t>(In Millions)</w:t>
            </w:r>
          </w:p>
        </w:tc>
        <w:tc>
          <w:tcPr>
            <w:tcW w:w="332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NET</w:t>
            </w:r>
          </w:p>
        </w:tc>
        <w:tc>
          <w:tcPr>
            <w:tcW w:w="2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intellectual property income</w:t>
            </w:r>
          </w:p>
        </w:tc>
        <w:tc>
          <w:tcPr>
            <w:tcW w:w="358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manufacturing plant assets</w:t>
            </w:r>
          </w:p>
        </w:tc>
        <w:tc>
          <w:tcPr>
            <w:tcW w:w="2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Litigation settlement</w:t>
            </w:r>
          </w:p>
        </w:tc>
        <w:tc>
          <w:tcPr>
            <w:tcW w:w="358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Total other operating income, net</w:t>
            </w:r>
          </w:p>
        </w:tc>
        <w:tc>
          <w:tcPr>
            <w:tcW w:w="35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(0.4)</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2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7"/>
              </w:rPr>
              <w:t>Net (loss) gain on marketable and other investments, net:</w:t>
            </w: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Trading securities:</w:t>
            </w:r>
          </w:p>
        </w:tc>
        <w:tc>
          <w:tcPr>
            <w:tcW w:w="2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880"/>
              <w:spacing w:after="0"/>
              <w:rPr>
                <w:sz w:val="20"/>
                <w:szCs w:val="20"/>
                <w:color w:val="auto"/>
              </w:rPr>
            </w:pPr>
            <w:r>
              <w:rPr>
                <w:rFonts w:ascii="Arial" w:cs="Arial" w:eastAsia="Arial" w:hAnsi="Arial"/>
                <w:sz w:val="18"/>
                <w:szCs w:val="18"/>
                <w:color w:val="auto"/>
                <w:w w:val="96"/>
              </w:rPr>
              <w:t>Change in unrealized holding gains/losses, net</w:t>
            </w:r>
          </w:p>
        </w:tc>
        <w:tc>
          <w:tcPr>
            <w:tcW w:w="3580" w:type="dxa"/>
            <w:vAlign w:val="bottom"/>
            <w:gridSpan w:val="3"/>
          </w:tcPr>
          <w:p>
            <w:pPr>
              <w:jc w:val="right"/>
              <w:ind w:right="260"/>
              <w:spacing w:after="0"/>
              <w:rPr>
                <w:sz w:val="20"/>
                <w:szCs w:val="20"/>
                <w:color w:val="auto"/>
              </w:rPr>
            </w:pPr>
            <w:r>
              <w:rPr>
                <w:rFonts w:ascii="Arial" w:cs="Arial" w:eastAsia="Arial" w:hAnsi="Arial"/>
                <w:sz w:val="18"/>
                <w:szCs w:val="18"/>
                <w:color w:val="auto"/>
              </w:rPr>
              <w:t>$ 5.3</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$(7.7)</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Non-marketable investments:</w:t>
            </w:r>
          </w:p>
        </w:tc>
        <w:tc>
          <w:tcPr>
            <w:tcW w:w="2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880"/>
              <w:spacing w:after="0"/>
              <w:rPr>
                <w:sz w:val="20"/>
                <w:szCs w:val="20"/>
                <w:color w:val="auto"/>
              </w:rPr>
            </w:pPr>
            <w:r>
              <w:rPr>
                <w:rFonts w:ascii="Arial" w:cs="Arial" w:eastAsia="Arial" w:hAnsi="Arial"/>
                <w:sz w:val="18"/>
                <w:szCs w:val="18"/>
                <w:color w:val="auto"/>
              </w:rPr>
              <w:t>Gain from sale</w:t>
            </w:r>
          </w:p>
        </w:tc>
        <w:tc>
          <w:tcPr>
            <w:tcW w:w="294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from liquidation of investment</w:t>
            </w:r>
          </w:p>
        </w:tc>
        <w:tc>
          <w:tcPr>
            <w:tcW w:w="2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w w:val="90"/>
              </w:rPr>
              <w:t>Total net gain (loss) on marketable and other investments, net</w:t>
            </w:r>
          </w:p>
        </w:tc>
        <w:tc>
          <w:tcPr>
            <w:tcW w:w="3580" w:type="dxa"/>
            <w:vAlign w:val="bottom"/>
            <w:gridSpan w:val="3"/>
          </w:tcPr>
          <w:p>
            <w:pPr>
              <w:jc w:val="right"/>
              <w:ind w:right="260"/>
              <w:spacing w:after="0"/>
              <w:rPr>
                <w:sz w:val="20"/>
                <w:szCs w:val="20"/>
                <w:color w:val="auto"/>
              </w:rPr>
            </w:pPr>
            <w:r>
              <w:rPr>
                <w:rFonts w:ascii="Arial" w:cs="Arial" w:eastAsia="Arial" w:hAnsi="Arial"/>
                <w:sz w:val="18"/>
                <w:szCs w:val="18"/>
                <w:color w:val="auto"/>
              </w:rPr>
              <w:t>5.6</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(7.3)</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loss on derivative instrument in fair value hedge</w:t>
            </w:r>
          </w:p>
        </w:tc>
        <w:tc>
          <w:tcPr>
            <w:tcW w:w="358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Charitable contribution</w:t>
            </w:r>
          </w:p>
        </w:tc>
        <w:tc>
          <w:tcPr>
            <w:tcW w:w="2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 other non-operating income (expense), net</w:t>
            </w:r>
          </w:p>
        </w:tc>
        <w:tc>
          <w:tcPr>
            <w:tcW w:w="2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vMerge w:val="continue"/>
          </w:tcPr>
          <w:p>
            <w:pPr>
              <w:spacing w:after="0"/>
              <w:rPr>
                <w:sz w:val="19"/>
                <w:szCs w:val="19"/>
                <w:color w:val="auto"/>
              </w:rPr>
            </w:pPr>
          </w:p>
        </w:tc>
        <w:tc>
          <w:tcPr>
            <w:tcW w:w="2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$ 1.3</w:t>
            </w:r>
          </w:p>
        </w:tc>
        <w:tc>
          <w:tcPr>
            <w:tcW w:w="26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3580" w:type="dxa"/>
            <w:vAlign w:val="bottom"/>
            <w:gridSpan w:val="3"/>
          </w:tcPr>
          <w:p>
            <w:pPr>
              <w:jc w:val="right"/>
              <w:ind w:right="3100"/>
              <w:spacing w:after="0"/>
              <w:rPr>
                <w:sz w:val="20"/>
                <w:szCs w:val="20"/>
                <w:color w:val="auto"/>
              </w:rPr>
            </w:pPr>
            <w:r>
              <w:rPr>
                <w:rFonts w:ascii="Arial" w:cs="Arial" w:eastAsia="Arial" w:hAnsi="Arial"/>
                <w:sz w:val="18"/>
                <w:szCs w:val="18"/>
                <w:color w:val="auto"/>
              </w:rPr>
              <w:t>F-19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280" w:right="11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Supplemental Disclosure of Cash Flow Information and Non-Cash Investing and Financing Activities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0" w:type="dxa"/>
            <w:vAlign w:val="bottom"/>
          </w:tcPr>
          <w:p>
            <w:pPr>
              <w:spacing w:after="0"/>
              <w:rPr>
                <w:sz w:val="20"/>
                <w:szCs w:val="20"/>
                <w:color w:val="auto"/>
              </w:rPr>
            </w:pPr>
            <w:r>
              <w:rPr>
                <w:rFonts w:ascii="Arial" w:cs="Arial" w:eastAsia="Arial" w:hAnsi="Arial"/>
                <w:sz w:val="14"/>
                <w:szCs w:val="14"/>
                <w:color w:val="auto"/>
              </w:rPr>
              <w:t>(In Millions)</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2009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color w:val="auto"/>
                <w:w w:val="83"/>
              </w:rPr>
              <w:t>2008</w:t>
            </w:r>
          </w:p>
        </w:tc>
        <w:tc>
          <w:tcPr>
            <w:tcW w:w="100" w:type="dxa"/>
            <w:vAlign w:val="bottom"/>
          </w:tcPr>
          <w:p>
            <w:pPr>
              <w:spacing w:after="0"/>
              <w:rPr>
                <w:sz w:val="14"/>
                <w:szCs w:val="14"/>
                <w:color w:val="auto"/>
              </w:rPr>
            </w:pPr>
          </w:p>
        </w:tc>
      </w:tr>
      <w:tr>
        <w:trPr>
          <w:trHeight w:val="102"/>
        </w:trPr>
        <w:tc>
          <w:tcPr>
            <w:tcW w:w="7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Cash paid for: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59.3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70.8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r>
      <w:tr>
        <w:trPr>
          <w:trHeight w:val="222"/>
        </w:trPr>
        <w:tc>
          <w:tcPr>
            <w:tcW w:w="700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83.3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24.3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117.3</w:t>
            </w:r>
          </w:p>
        </w:tc>
        <w:tc>
          <w:tcPr>
            <w:tcW w:w="100" w:type="dxa"/>
            <w:vAlign w:val="bottom"/>
          </w:tcPr>
          <w:p>
            <w:pPr>
              <w:spacing w:after="0"/>
              <w:rPr>
                <w:sz w:val="19"/>
                <w:szCs w:val="19"/>
                <w:color w:val="auto"/>
              </w:rPr>
            </w:pPr>
          </w:p>
        </w:tc>
      </w:tr>
      <w:tr>
        <w:trPr>
          <w:trHeight w:val="102"/>
        </w:trPr>
        <w:tc>
          <w:tcPr>
            <w:tcW w:w="7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8"/>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w w:val="91"/>
              </w:rPr>
              <w:t>Cancellation of shares withheld for taxes on restricted stock and performance share unit awards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software under license obligations, net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Reduction in goodwill to recognize acquired tax asset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Deposit applied to purchase equipment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Cost Reduction Programs and Restructuring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2010</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recorded a net charge of $20.1 million for severance and restructuring expenses in fiscal 2010. The following table provides additional detail related to these expenses: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4"/>
                <w:szCs w:val="14"/>
                <w:color w:val="auto"/>
                <w:w w:val="91"/>
              </w:rPr>
              <w:t>Analog</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4"/>
                <w:szCs w:val="14"/>
                <w:color w:val="auto"/>
              </w:rPr>
              <w:t>All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3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600" w:type="dxa"/>
            <w:vAlign w:val="bottom"/>
            <w:gridSpan w:val="4"/>
          </w:tcPr>
          <w:p>
            <w:pPr>
              <w:ind w:left="840"/>
              <w:spacing w:after="0" w:line="159" w:lineRule="exact"/>
              <w:rPr>
                <w:sz w:val="20"/>
                <w:szCs w:val="20"/>
                <w:color w:val="auto"/>
              </w:rPr>
            </w:pPr>
            <w:r>
              <w:rPr>
                <w:rFonts w:ascii="Arial" w:cs="Arial" w:eastAsia="Arial" w:hAnsi="Arial"/>
                <w:sz w:val="14"/>
                <w:szCs w:val="14"/>
                <w:color w:val="auto"/>
              </w:rPr>
              <w:t>Segment</w:t>
            </w:r>
          </w:p>
        </w:tc>
        <w:tc>
          <w:tcPr>
            <w:tcW w:w="260" w:type="dxa"/>
            <w:vAlign w:val="bottom"/>
          </w:tcPr>
          <w:p>
            <w:pPr>
              <w:spacing w:after="0"/>
              <w:rPr>
                <w:sz w:val="13"/>
                <w:szCs w:val="13"/>
                <w:color w:val="auto"/>
              </w:rPr>
            </w:pPr>
          </w:p>
        </w:tc>
        <w:tc>
          <w:tcPr>
            <w:tcW w:w="70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85"/>
              </w:rPr>
              <w:t>Others</w:t>
            </w:r>
          </w:p>
        </w:tc>
        <w:tc>
          <w:tcPr>
            <w:tcW w:w="260" w:type="dxa"/>
            <w:vAlign w:val="bottom"/>
          </w:tcPr>
          <w:p>
            <w:pPr>
              <w:spacing w:after="0"/>
              <w:rPr>
                <w:sz w:val="13"/>
                <w:szCs w:val="13"/>
                <w:color w:val="auto"/>
              </w:rPr>
            </w:pPr>
          </w:p>
        </w:tc>
        <w:tc>
          <w:tcPr>
            <w:tcW w:w="5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May 2010 business realignment: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Severance</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March 2009 workforce reduction and plant closures: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exit-related costs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28.7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Gain on sale of equipment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equipment gain, net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Release of reserves: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Severance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21.9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November 2008 workforce reduction: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Release of reserves: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Severance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Fiscal 2008 workforce reduction and manufacturing restructure:</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 of reserves: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40"/>
              <w:spacing w:after="0"/>
              <w:rPr>
                <w:sz w:val="20"/>
                <w:szCs w:val="20"/>
                <w:color w:val="auto"/>
              </w:rPr>
            </w:pPr>
            <w:r>
              <w:rPr>
                <w:rFonts w:ascii="Arial" w:cs="Arial" w:eastAsia="Arial" w:hAnsi="Arial"/>
                <w:sz w:val="18"/>
                <w:szCs w:val="18"/>
                <w:color w:val="auto"/>
              </w:rPr>
              <w:t>Other exit-related costs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severance and restructuring expenses, net</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recorded a charge of $1.7 million for severance payments to employees who were terminated in connection with exit activities as part of the realignment of certain product line business units announced in May 2010. These exit activities are expected to be completed by the end of calendar 2010 and total cumulative charges are expected to be approximately $3 million to $4 million.</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workforce reduction and plant closures announced in March 2009 (See the discussion under fiscal 2009), we recorded a net charge of $21.5 million in fiscal 2010 for additional severance and restructuring expenses that were partially offset by the equipment gains described below. The restructuring expenses include $28.7 million of other exit-related costs associated with closure and transfer activities that occurred at our manufacturing sites in Texas and China during fiscal 2010.</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80"/>
          </w:cols>
          <w:pgMar w:left="240" w:top="274" w:right="379" w:bottom="1440" w:gutter="0" w:footer="0" w:header="0"/>
        </w:sectPr>
      </w:pPr>
    </w:p>
    <w:bookmarkStart w:id="25" w:name="page26"/>
    <w:bookmarkEnd w:id="25"/>
    <w:p>
      <w:pPr>
        <w:ind w:right="8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second half of fiscal 2010, the global economy began to slowly recover as revenue prospects have improved significantly. An increasing portion of our revenues has been coming from a portfolio of products that are primarily manufactured in our wafer fabrication facility in Greenock, Scotland. Management believes there is a larger market with a longer life for these products than was previously assumed and has decided to increase its manufacturing capacity in Scotland. Certain equipment previously classified as held for sale, primarily the Texas equipment, will now be used in our manufacturing facility in Scotland. We recognized an impairment charge of $23.0 million related to this equipment in March 2009. The carrying value of this equipment has been adjusted based on the lower of its carrying value before being classified as held for sale (adjusted for any depreciation that would have been recognized had it been continuously classified as held and used), or its fair value at the time management decided the equipment would no longer be sold. Since the date we first classified this equipment as held for sale to the date we reclassified it as held and used, the fair value of this equipment has increased. As a result, we recorded a gain of $1.2 million to restore the carrying value of the equipment to fair value which was lower than what its carrying value would have been had it been continuously classified as held and used. The weighted average remaining life of this equipment at the time we classified it as held for sale was 7.8 years and now that it has been reclassified as held and used, its weighted-average remaining life is 7.3 years. We also recorded a gain of $1.3 million upon completing the sale of some of the equipment in China and Texas during fiscal 2010. In addition, we recorded a recovery of $5.2 million due to adjustments to reduce accrued severance expenses for manufacturing employees who voluntarily terminated prior to their scheduled departure dates and for severance packages that were finalized with certain employees in foreign locations.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Since these net charges relate to actions announced in fiscal 2009, total cumulative net charges (including the net charges incurred in fiscal 2010 and 2009)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through May 30, 2010 for these actions are presented in the following table:</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color w:val="auto"/>
                <w:w w:val="96"/>
              </w:rPr>
              <w:t>Analog</w:t>
            </w:r>
          </w:p>
        </w:tc>
        <w:tc>
          <w:tcPr>
            <w:tcW w:w="100" w:type="dxa"/>
            <w:vAlign w:val="bottom"/>
          </w:tcPr>
          <w:p>
            <w:pPr>
              <w:spacing w:after="0"/>
              <w:rPr>
                <w:sz w:val="14"/>
                <w:szCs w:val="14"/>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4"/>
                <w:szCs w:val="14"/>
                <w:color w:val="auto"/>
              </w:rPr>
              <w:t>All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646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148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Segment</w:t>
            </w:r>
          </w:p>
        </w:tc>
        <w:tc>
          <w:tcPr>
            <w:tcW w:w="80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w w:val="95"/>
              </w:rPr>
              <w:t>Others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3"/>
              </w:rPr>
              <w:t>Total</w:t>
            </w:r>
          </w:p>
        </w:tc>
      </w:tr>
      <w:tr>
        <w:trPr>
          <w:trHeight w:val="102"/>
        </w:trPr>
        <w:tc>
          <w:tcPr>
            <w:tcW w:w="6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March 2009 workforce reduction and plant closures:</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Severance</w:t>
            </w: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rPr>
              <w:t>$ 14.0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exit-related costs</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Impairment of property, plant and equipment</w:t>
            </w:r>
          </w:p>
        </w:tc>
        <w:tc>
          <w:tcPr>
            <w:tcW w:w="4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sale of equipment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Other equipment gain, net</w:t>
            </w:r>
          </w:p>
        </w:tc>
        <w:tc>
          <w:tcPr>
            <w:tcW w:w="4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Release of reserves:</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460" w:type="dxa"/>
            <w:vAlign w:val="bottom"/>
          </w:tcPr>
          <w:p>
            <w:pPr>
              <w:ind w:left="880"/>
              <w:spacing w:after="0"/>
              <w:rPr>
                <w:sz w:val="20"/>
                <w:szCs w:val="20"/>
                <w:color w:val="auto"/>
              </w:rPr>
            </w:pPr>
            <w:r>
              <w:rPr>
                <w:rFonts w:ascii="Arial" w:cs="Arial" w:eastAsia="Arial" w:hAnsi="Arial"/>
                <w:sz w:val="18"/>
                <w:szCs w:val="18"/>
                <w:color w:val="auto"/>
              </w:rPr>
              <w:t>Severance</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0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cumulative severance and restructuring expenses for the March 2009 workforce</w:t>
            </w:r>
          </w:p>
        </w:tc>
        <w:tc>
          <w:tcPr>
            <w:tcW w:w="4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 and plant closures</w:t>
            </w: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125.2</w:t>
            </w: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138.8</w:t>
            </w:r>
          </w:p>
        </w:tc>
      </w:tr>
      <w:tr>
        <w:trPr>
          <w:trHeight w:val="20"/>
        </w:trPr>
        <w:tc>
          <w:tcPr>
            <w:tcW w:w="6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ceased production activity in both China (end of August 2009) and Texas (end of fiscal 2010). Remaining activities associated with the closures of the China and Texas manufacturing facilities are expected to continue over the next 2 quarters. We expect to incur approximately $11 million to $16 million over the same period for other exit-related costs associated with these remaining activities. As a result, total charges for all actions announced in March 2009 are expected to be approximately $150 million to $155 million. Most of this amount will be reported within our corporate group, which is not considered an operating segment, and will be included in the category described as “All Others.”</w:t>
      </w:r>
    </w:p>
    <w:p>
      <w:pPr>
        <w:spacing w:after="0" w:line="11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Since production activity ceased in China by the end of August 2009, we have been actively engaged in locating buyers to purchase the manufacturing facility and its existing machinery and equipment in its current condition. In addition, certain equipment that was no longer being used in our Texas manufacturing operations is expected to be sold. As a result, the China plant assets and the Texas equipment, which had a carrying value of $22.4 million after impairment charges, were classified as held for sale at the end of our first quarter of fiscal 2010. As discussed above, some of the equipment in China and Texas, which had a carrying value of $1.6 million, was sold during fiscal 2010. Equipment previously classified as held for sale that will now be used in our manufacturing facility in Scotland had a carrying value of $3.8 million. By the end of the fiscal year, we ceased production activity in Texas and we are also actively engaged in locating buyers to purchase the manufacturing facility and its existing machinery and equipment in its current condition. The Texas facility and its manufacturing machinery and equipment that had been used through the end of production activity have a carrying value of $28.8 million. As a result, all of the China and Texas plant assets, which have a total carrying value of $45.8 million, have been classified as held for sale and are reported in other current assets in the consolidated balance sheet as of May 30, 2010. We have ceased depreciation on these assets and now measure the carrying value at the lower of historical net book value or fair value (less cost to sell).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280" w:right="239" w:bottom="1440" w:gutter="0" w:footer="0" w:header="0"/>
        </w:sectPr>
      </w:pPr>
    </w:p>
    <w:bookmarkStart w:id="26" w:name="page27"/>
    <w:bookmarkEnd w:id="26"/>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fiscal 2010 net charge for severance and restructuring expenses described above includes a recovery of $3.0 million for an adjustment to reduce accrued severance expenses upon finalizing severance packages with certain terminated employees in foreign locations in connection with the workforce reduction announced in November 2008. It also includes a recovery of $0.1 million recorded upon the release of a residual accrued balance for other exit-related costs associated with the fiscal 2008 manufacturing restructure.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2009</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recorded a net charge of $143.9 million for severance and restructuring expenses in fiscal 2009. The following table provides additional detail related to these expenses: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color w:val="auto"/>
                <w:w w:val="96"/>
              </w:rPr>
              <w:t>Analog</w:t>
            </w:r>
          </w:p>
        </w:tc>
        <w:tc>
          <w:tcPr>
            <w:tcW w:w="100" w:type="dxa"/>
            <w:vAlign w:val="bottom"/>
          </w:tcPr>
          <w:p>
            <w:pPr>
              <w:spacing w:after="0"/>
              <w:rPr>
                <w:sz w:val="14"/>
                <w:szCs w:val="14"/>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4"/>
                <w:szCs w:val="14"/>
                <w:color w:val="auto"/>
              </w:rPr>
              <w:t>All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572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222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Segment</w:t>
            </w:r>
          </w:p>
        </w:tc>
        <w:tc>
          <w:tcPr>
            <w:tcW w:w="80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w w:val="95"/>
              </w:rPr>
              <w:t>Others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3"/>
              </w:rPr>
              <w:t>Total</w:t>
            </w:r>
          </w:p>
        </w:tc>
      </w:tr>
      <w:tr>
        <w:trPr>
          <w:trHeight w:val="102"/>
        </w:trPr>
        <w:tc>
          <w:tcPr>
            <w:tcW w:w="5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March 2009 workforce reduction and plant closures:</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Severance</w:t>
            </w:r>
          </w:p>
        </w:tc>
        <w:tc>
          <w:tcPr>
            <w:tcW w:w="2220" w:type="dxa"/>
            <w:vAlign w:val="bottom"/>
            <w:gridSpan w:val="3"/>
          </w:tcPr>
          <w:p>
            <w:pPr>
              <w:jc w:val="right"/>
              <w:ind w:right="540"/>
              <w:spacing w:after="0"/>
              <w:rPr>
                <w:sz w:val="20"/>
                <w:szCs w:val="20"/>
                <w:color w:val="auto"/>
              </w:rPr>
            </w:pPr>
            <w:r>
              <w:rPr>
                <w:rFonts w:ascii="Arial" w:cs="Arial" w:eastAsia="Arial" w:hAnsi="Arial"/>
                <w:sz w:val="18"/>
                <w:szCs w:val="18"/>
                <w:color w:val="auto"/>
              </w:rPr>
              <w:t>$ 14.0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of equipment and other assets</w:t>
            </w:r>
          </w:p>
        </w:tc>
        <w:tc>
          <w:tcPr>
            <w:tcW w:w="1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23"/>
        </w:trPr>
        <w:tc>
          <w:tcPr>
            <w:tcW w:w="5720" w:type="dxa"/>
            <w:vAlign w:val="bottom"/>
          </w:tcPr>
          <w:p>
            <w:pPr>
              <w:ind w:left="440"/>
              <w:spacing w:after="0"/>
              <w:rPr>
                <w:sz w:val="20"/>
                <w:szCs w:val="20"/>
                <w:color w:val="auto"/>
              </w:rPr>
            </w:pPr>
            <w:r>
              <w:rPr>
                <w:rFonts w:ascii="Arial" w:cs="Arial" w:eastAsia="Arial" w:hAnsi="Arial"/>
                <w:sz w:val="18"/>
                <w:szCs w:val="18"/>
                <w:color w:val="auto"/>
              </w:rPr>
              <w:t>Other exit-related costs</w:t>
            </w:r>
          </w:p>
        </w:tc>
        <w:tc>
          <w:tcPr>
            <w:tcW w:w="1200" w:type="dxa"/>
            <w:vAlign w:val="bottom"/>
          </w:tcPr>
          <w:p>
            <w:pPr>
              <w:spacing w:after="0"/>
              <w:rPr>
                <w:sz w:val="19"/>
                <w:szCs w:val="19"/>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117.3</w:t>
            </w:r>
          </w:p>
        </w:tc>
      </w:tr>
      <w:tr>
        <w:trPr>
          <w:trHeight w:val="323"/>
        </w:trPr>
        <w:tc>
          <w:tcPr>
            <w:tcW w:w="5720" w:type="dxa"/>
            <w:vAlign w:val="bottom"/>
          </w:tcPr>
          <w:p>
            <w:pPr>
              <w:spacing w:after="0"/>
              <w:rPr>
                <w:sz w:val="20"/>
                <w:szCs w:val="20"/>
                <w:color w:val="auto"/>
              </w:rPr>
            </w:pPr>
            <w:r>
              <w:rPr>
                <w:rFonts w:ascii="Arial" w:cs="Arial" w:eastAsia="Arial" w:hAnsi="Arial"/>
                <w:sz w:val="18"/>
                <w:szCs w:val="18"/>
                <w:color w:val="auto"/>
              </w:rPr>
              <w:t>November 2008 workforce reduction:</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Severance</w:t>
            </w:r>
          </w:p>
        </w:tc>
        <w:tc>
          <w:tcPr>
            <w:tcW w:w="2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Impairment of equipment</w:t>
            </w:r>
          </w:p>
        </w:tc>
        <w:tc>
          <w:tcPr>
            <w:tcW w:w="2220" w:type="dxa"/>
            <w:vAlign w:val="bottom"/>
            <w:gridSpan w:val="3"/>
          </w:tcPr>
          <w:p>
            <w:pPr>
              <w:jc w:val="right"/>
              <w:ind w:right="5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exit-related costs</w:t>
            </w:r>
          </w:p>
        </w:tc>
        <w:tc>
          <w:tcPr>
            <w:tcW w:w="1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21"/>
        </w:trPr>
        <w:tc>
          <w:tcPr>
            <w:tcW w:w="5720" w:type="dxa"/>
            <w:vAlign w:val="bottom"/>
          </w:tcPr>
          <w:p>
            <w:pPr>
              <w:spacing w:after="0"/>
              <w:rPr>
                <w:sz w:val="19"/>
                <w:szCs w:val="19"/>
                <w:color w:val="auto"/>
              </w:rPr>
            </w:pPr>
          </w:p>
        </w:tc>
        <w:tc>
          <w:tcPr>
            <w:tcW w:w="2220" w:type="dxa"/>
            <w:vAlign w:val="bottom"/>
            <w:gridSpan w:val="3"/>
          </w:tcPr>
          <w:p>
            <w:pPr>
              <w:jc w:val="right"/>
              <w:ind w:right="5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110"/>
        </w:trPr>
        <w:tc>
          <w:tcPr>
            <w:tcW w:w="5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Fiscal 2008 workforce reduction and manufacturing restructure:</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Other exit-related costs</w:t>
            </w:r>
          </w:p>
        </w:tc>
        <w:tc>
          <w:tcPr>
            <w:tcW w:w="120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sale of equipment</w:t>
            </w:r>
          </w:p>
        </w:tc>
        <w:tc>
          <w:tcPr>
            <w:tcW w:w="1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Release of reserves:</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Severance</w:t>
            </w:r>
          </w:p>
        </w:tc>
        <w:tc>
          <w:tcPr>
            <w:tcW w:w="1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0"/>
        </w:trPr>
        <w:tc>
          <w:tcPr>
            <w:tcW w:w="5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5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110"/>
        </w:trPr>
        <w:tc>
          <w:tcPr>
            <w:tcW w:w="5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Release of reserves related to other prior actions:</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Other exit-related costs</w:t>
            </w:r>
          </w:p>
        </w:tc>
        <w:tc>
          <w:tcPr>
            <w:tcW w:w="120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7"/>
        </w:trPr>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severance and restructuring expenses</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143.9</w:t>
            </w:r>
          </w:p>
        </w:tc>
      </w:tr>
      <w:tr>
        <w:trPr>
          <w:trHeight w:val="20"/>
        </w:trPr>
        <w:tc>
          <w:tcPr>
            <w:tcW w:w="5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March 2009, we announced that we would take actions to reduce overall expenses in response to weak economic conditions and related business levels. As part of the plan, we eliminated approximately 850 positions worldwide in our product lines, sales and marketing, manufacturing and support functions. The majority of the affected employees departed by the end of fiscal 2009. We also planned to further reduce headcount by approximately 875 through the eventual closure of our wafer fabrication facility in Arlington, Texas and our assembly and test plant in Suzhou, China. The departure of these additional employees coincides with the phased timing of the plant closures. As a result of these actions, we recorded $117.3 million in fiscal 2009, which includes severance costs of $59.7 million, asset impairment charges of $54.3 million and other exit-related costs of $3.3 million associated with closure and transfer activities incurred in fiscal 2009. Included in the asset impairment charges is $9.8 million related to the modification of a CAD software license that reduced the volume of licenses available for use by the company.</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November 2008, we announced a global workforce reduction that eliminated approximately 330 positions in response to the uncertain business climate at that time. These positions were primarily in non-manufacturing functions in our product line, marketing and sales, and general administrative operations. In addition to the workforce reduction, we closed two design centers located in the United States. As a result of this action, we recorded severance and restructuring expenses of $26.4 million in fiscal 2009, which represents the total amount expected to be incurred. This amount includes severance costs of $25.5 million, other exit-related costs of $0.1 million and $0.8 million for the impairment of abandoned equipment.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60"/>
          </w:cols>
          <w:pgMar w:left="240" w:top="280" w:right="299" w:bottom="1440" w:gutter="0" w:footer="0" w:header="0"/>
        </w:sectPr>
      </w:pPr>
    </w:p>
    <w:bookmarkStart w:id="27" w:name="page28"/>
    <w:bookmarkEnd w:id="27"/>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actions described above, we recorded a net charge of $0.3 million related to the workforce reduction and manufacturing restructure announced in fiscal 2008. All activities related to these actions have now been completed. This amount includes a $2.2 million charge for other exit-related costs primarily incurred in connection with dismantling and removing equipment. This charge was partially offset by a recovery of $1.9 million, which includes $1.4 million primarily due to an adjustment to reduce accrued severance expenses upon finalizing severance packages with certain terminated employees in foreign locations and a gain of $0.5 million from the subsequent sale of some of the equipment that had been previously written down.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2008</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recorded a net charge of $27.2 million for severance and restructuring expenses in fiscal 2008. The following table provides additional detail related to these expenses: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Analog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4"/>
                <w:szCs w:val="14"/>
                <w:color w:val="auto"/>
              </w:rPr>
              <w:t>All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508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2780" w:type="dxa"/>
            <w:vAlign w:val="bottom"/>
            <w:gridSpan w:val="4"/>
          </w:tcPr>
          <w:p>
            <w:pPr>
              <w:ind w:left="2040"/>
              <w:spacing w:after="0" w:line="159" w:lineRule="exact"/>
              <w:rPr>
                <w:sz w:val="20"/>
                <w:szCs w:val="20"/>
                <w:color w:val="auto"/>
              </w:rPr>
            </w:pPr>
            <w:r>
              <w:rPr>
                <w:rFonts w:ascii="Arial" w:cs="Arial" w:eastAsia="Arial" w:hAnsi="Arial"/>
                <w:sz w:val="14"/>
                <w:szCs w:val="14"/>
                <w:color w:val="auto"/>
              </w:rPr>
              <w:t>Segment</w:t>
            </w:r>
          </w:p>
        </w:tc>
        <w:tc>
          <w:tcPr>
            <w:tcW w:w="260" w:type="dxa"/>
            <w:vAlign w:val="bottom"/>
          </w:tcPr>
          <w:p>
            <w:pPr>
              <w:spacing w:after="0"/>
              <w:rPr>
                <w:sz w:val="13"/>
                <w:szCs w:val="13"/>
                <w:color w:val="auto"/>
              </w:rPr>
            </w:pPr>
          </w:p>
        </w:tc>
        <w:tc>
          <w:tcPr>
            <w:tcW w:w="70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85"/>
              </w:rPr>
              <w:t>Others</w:t>
            </w:r>
          </w:p>
        </w:tc>
        <w:tc>
          <w:tcPr>
            <w:tcW w:w="240" w:type="dxa"/>
            <w:vAlign w:val="bottom"/>
          </w:tcPr>
          <w:p>
            <w:pPr>
              <w:spacing w:after="0"/>
              <w:rPr>
                <w:sz w:val="13"/>
                <w:szCs w:val="13"/>
                <w:color w:val="auto"/>
              </w:rPr>
            </w:pPr>
          </w:p>
        </w:tc>
        <w:tc>
          <w:tcPr>
            <w:tcW w:w="5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Total</w:t>
            </w:r>
          </w:p>
        </w:tc>
      </w:tr>
      <w:tr>
        <w:trPr>
          <w:trHeight w:val="102"/>
        </w:trPr>
        <w:tc>
          <w:tcPr>
            <w:tcW w:w="50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Severance</w:t>
            </w:r>
          </w:p>
        </w:tc>
        <w:tc>
          <w:tcPr>
            <w:tcW w:w="22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102"/>
        </w:trPr>
        <w:tc>
          <w:tcPr>
            <w:tcW w:w="50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Manufacturing restructure: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Severance</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13.2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13.2</w:t>
            </w: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exit-related costs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Impairment of equipment</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from sale of equipment</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w:t>
            </w:r>
          </w:p>
        </w:tc>
      </w:tr>
      <w:tr>
        <w:trPr>
          <w:trHeight w:val="20"/>
        </w:trPr>
        <w:tc>
          <w:tcPr>
            <w:tcW w:w="5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50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19.1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19.1</w:t>
            </w:r>
          </w:p>
        </w:tc>
      </w:tr>
      <w:tr>
        <w:trPr>
          <w:trHeight w:val="110"/>
        </w:trPr>
        <w:tc>
          <w:tcPr>
            <w:tcW w:w="50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Release of reserves: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Other exit-related costs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w:t>
            </w: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severance and restructuring expenses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6.5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20.7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27.2</w:t>
            </w:r>
          </w:p>
        </w:tc>
      </w:tr>
      <w:tr>
        <w:trPr>
          <w:trHeight w:val="20"/>
        </w:trPr>
        <w:tc>
          <w:tcPr>
            <w:tcW w:w="5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April 2008, we announced a workforce reduction that eliminated approximately 128 positions across the company, primarily in product line and support functions as part of our effort to strategically align resources in connection with our focus on accelerating revenue growth in key market areas that require better power management and energy efficiency. As a result of this action, we recorded a charge of $9.6 million for severance.</w:t>
      </w:r>
    </w:p>
    <w:p>
      <w:pPr>
        <w:spacing w:after="0" w:line="10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January 2008, we announced that we would dispose of certain manufacturing equipment and reduce the workforce at our wafer fabrication facilities as part of an action to modernize our facilities and rationalize our capacity. Substantially all activities related to this action were completed by the end of calendar 2008. In connection with this action, we eliminated approximately 200 positions, primarily at our manufacturing plants located in Arlington, Texas; South Portland, Maine; and Greenock, Scotland. As a result, we recorded a total charge of $19.1 million. Of this amount, $13.2 million was for severance and $3.2 million was other exit-related costs for dismantling and removing equipment. This amount also included $4.5 million for the impairment of equipment. These charges were partially offset by a $1.8 million gain recognized upon the subsequent sale of some of the equipment.</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June 2007, we entered into an agreement with the landlord of a facility we vacated as part of a previous cost reduction action. The agreement terminated the lease and we settled the remaining obligations under the lease agreement for $4.2 million. As a result, we recorded a $1.5 million recovery for the release of the residual accrued balance of the lease obligation.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2007, we completed the sale of our assembly and test plant in Singapore that was closed in fiscal 2007. The facility and its residual equipment were sold for $12.0 million to an unrelated third party. The carrying value of the assets sold was $7.6 million. As a result, we recorded a gain of $3.1 million in fiscal 2008, after deducting final transaction costs of $1.3 million. These assets were part of our manufacturing operation, which is not considered an operating segment, but is a corporate group included in the category described as “All Others.”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Activities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provides a summary of the activities related to our severance and restructuring costs included in accrued expenses during fiscal 2010, 2009 and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86"/>
              </w:rPr>
              <w:t>Fiscal 2010</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center"/>
              <w:ind w:left="137"/>
              <w:spacing w:after="0"/>
              <w:rPr>
                <w:sz w:val="20"/>
                <w:szCs w:val="20"/>
                <w:color w:val="auto"/>
              </w:rPr>
            </w:pPr>
            <w:r>
              <w:rPr>
                <w:rFonts w:ascii="Arial" w:cs="Arial" w:eastAsia="Arial" w:hAnsi="Arial"/>
                <w:sz w:val="14"/>
                <w:szCs w:val="14"/>
                <w:color w:val="auto"/>
                <w:w w:val="89"/>
              </w:rPr>
              <w:t>Fiscal 2009</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center"/>
              <w:ind w:left="76"/>
              <w:spacing w:after="0"/>
              <w:rPr>
                <w:sz w:val="20"/>
                <w:szCs w:val="20"/>
                <w:color w:val="auto"/>
              </w:rPr>
            </w:pPr>
            <w:r>
              <w:rPr>
                <w:rFonts w:ascii="Arial" w:cs="Arial" w:eastAsia="Arial" w:hAnsi="Arial"/>
                <w:sz w:val="14"/>
                <w:szCs w:val="14"/>
                <w:color w:val="auto"/>
                <w:w w:val="86"/>
              </w:rPr>
              <w:t>Cost Reduction and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Business Unit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6"/>
          </w:tcPr>
          <w:p>
            <w:pPr>
              <w:jc w:val="center"/>
              <w:ind w:right="580"/>
              <w:spacing w:after="0" w:line="149" w:lineRule="exact"/>
              <w:rPr>
                <w:sz w:val="20"/>
                <w:szCs w:val="20"/>
                <w:color w:val="auto"/>
              </w:rPr>
            </w:pPr>
            <w:r>
              <w:rPr>
                <w:rFonts w:ascii="Arial" w:cs="Arial" w:eastAsia="Arial" w:hAnsi="Arial"/>
                <w:sz w:val="14"/>
                <w:szCs w:val="14"/>
                <w:color w:val="auto"/>
                <w:w w:val="88"/>
              </w:rPr>
              <w:t>Workforce Reduction</w:t>
            </w:r>
          </w:p>
        </w:tc>
        <w:tc>
          <w:tcPr>
            <w:tcW w:w="140" w:type="dxa"/>
            <w:vAlign w:val="bottom"/>
          </w:tcPr>
          <w:p>
            <w:pPr>
              <w:spacing w:after="0"/>
              <w:rPr>
                <w:sz w:val="12"/>
                <w:szCs w:val="12"/>
                <w:color w:val="auto"/>
              </w:rPr>
            </w:pPr>
          </w:p>
        </w:tc>
        <w:tc>
          <w:tcPr>
            <w:tcW w:w="1340" w:type="dxa"/>
            <w:vAlign w:val="bottom"/>
            <w:gridSpan w:val="4"/>
          </w:tcPr>
          <w:p>
            <w:pPr>
              <w:jc w:val="center"/>
              <w:ind w:left="76"/>
              <w:spacing w:after="0" w:line="149" w:lineRule="exact"/>
              <w:rPr>
                <w:sz w:val="20"/>
                <w:szCs w:val="20"/>
                <w:color w:val="auto"/>
              </w:rPr>
            </w:pPr>
            <w:r>
              <w:rPr>
                <w:rFonts w:ascii="Arial" w:cs="Arial" w:eastAsia="Arial" w:hAnsi="Arial"/>
                <w:sz w:val="14"/>
                <w:szCs w:val="14"/>
                <w:color w:val="auto"/>
                <w:w w:val="88"/>
              </w:rPr>
              <w:t>Restructuring Actions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76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9"/>
              </w:rPr>
              <w:t>Realignment</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center"/>
              <w:ind w:left="137"/>
              <w:spacing w:after="0" w:line="159" w:lineRule="exact"/>
              <w:rPr>
                <w:sz w:val="20"/>
                <w:szCs w:val="20"/>
                <w:color w:val="auto"/>
              </w:rPr>
            </w:pPr>
            <w:r>
              <w:rPr>
                <w:rFonts w:ascii="Arial" w:cs="Arial" w:eastAsia="Arial" w:hAnsi="Arial"/>
                <w:sz w:val="14"/>
                <w:szCs w:val="14"/>
                <w:color w:val="auto"/>
                <w:w w:val="84"/>
              </w:rPr>
              <w:t>and Plant Closures</w:t>
            </w:r>
          </w:p>
        </w:tc>
        <w:tc>
          <w:tcPr>
            <w:tcW w:w="3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center"/>
              <w:ind w:left="76"/>
              <w:spacing w:after="0" w:line="159" w:lineRule="exact"/>
              <w:rPr>
                <w:sz w:val="20"/>
                <w:szCs w:val="20"/>
                <w:color w:val="auto"/>
              </w:rPr>
            </w:pPr>
            <w:r>
              <w:rPr>
                <w:rFonts w:ascii="Arial" w:cs="Arial" w:eastAsia="Arial" w:hAnsi="Arial"/>
                <w:sz w:val="14"/>
                <w:szCs w:val="14"/>
                <w:color w:val="auto"/>
                <w:w w:val="86"/>
              </w:rPr>
              <w:t>In Prior Years</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8"/>
              </w:rPr>
              <w:t>Other Exit-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8"/>
              </w:rPr>
              <w:t>Other Exit-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2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83"/>
              </w:rPr>
              <w:t>Severance</w:t>
            </w:r>
          </w:p>
        </w:tc>
        <w:tc>
          <w:tcPr>
            <w:tcW w:w="420" w:type="dxa"/>
            <w:vAlign w:val="bottom"/>
          </w:tcPr>
          <w:p>
            <w:pPr>
              <w:spacing w:after="0"/>
              <w:rPr>
                <w:sz w:val="13"/>
                <w:szCs w:val="13"/>
                <w:color w:val="auto"/>
              </w:rPr>
            </w:pPr>
          </w:p>
        </w:tc>
        <w:tc>
          <w:tcPr>
            <w:tcW w:w="820" w:type="dxa"/>
            <w:vAlign w:val="bottom"/>
            <w:gridSpan w:val="3"/>
          </w:tcPr>
          <w:p>
            <w:pPr>
              <w:spacing w:after="0" w:line="159" w:lineRule="exact"/>
              <w:rPr>
                <w:sz w:val="20"/>
                <w:szCs w:val="20"/>
                <w:color w:val="auto"/>
              </w:rPr>
            </w:pPr>
            <w:r>
              <w:rPr>
                <w:rFonts w:ascii="Arial" w:cs="Arial" w:eastAsia="Arial" w:hAnsi="Arial"/>
                <w:sz w:val="14"/>
                <w:szCs w:val="14"/>
                <w:color w:val="auto"/>
              </w:rPr>
              <w:t>Severance</w:t>
            </w:r>
          </w:p>
        </w:tc>
        <w:tc>
          <w:tcPr>
            <w:tcW w:w="180" w:type="dxa"/>
            <w:vAlign w:val="bottom"/>
          </w:tcPr>
          <w:p>
            <w:pPr>
              <w:spacing w:after="0"/>
              <w:rPr>
                <w:sz w:val="13"/>
                <w:szCs w:val="13"/>
                <w:color w:val="auto"/>
              </w:rPr>
            </w:pPr>
          </w:p>
        </w:tc>
        <w:tc>
          <w:tcPr>
            <w:tcW w:w="1200" w:type="dxa"/>
            <w:vAlign w:val="bottom"/>
            <w:gridSpan w:val="3"/>
          </w:tcPr>
          <w:p>
            <w:pPr>
              <w:spacing w:after="0" w:line="159" w:lineRule="exact"/>
              <w:rPr>
                <w:sz w:val="20"/>
                <w:szCs w:val="20"/>
                <w:color w:val="auto"/>
              </w:rPr>
            </w:pPr>
            <w:r>
              <w:rPr>
                <w:rFonts w:ascii="Arial" w:cs="Arial" w:eastAsia="Arial" w:hAnsi="Arial"/>
                <w:sz w:val="14"/>
                <w:szCs w:val="14"/>
                <w:color w:val="auto"/>
              </w:rPr>
              <w:t>Related Costs</w:t>
            </w:r>
          </w:p>
        </w:tc>
        <w:tc>
          <w:tcPr>
            <w:tcW w:w="8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Severance</w:t>
            </w:r>
          </w:p>
        </w:tc>
        <w:tc>
          <w:tcPr>
            <w:tcW w:w="200" w:type="dxa"/>
            <w:vAlign w:val="bottom"/>
          </w:tcPr>
          <w:p>
            <w:pPr>
              <w:spacing w:after="0"/>
              <w:rPr>
                <w:sz w:val="13"/>
                <w:szCs w:val="13"/>
                <w:color w:val="auto"/>
              </w:rPr>
            </w:pPr>
          </w:p>
        </w:tc>
        <w:tc>
          <w:tcPr>
            <w:tcW w:w="1000" w:type="dxa"/>
            <w:vAlign w:val="bottom"/>
            <w:gridSpan w:val="3"/>
          </w:tcPr>
          <w:p>
            <w:pPr>
              <w:spacing w:after="0" w:line="159" w:lineRule="exact"/>
              <w:rPr>
                <w:sz w:val="20"/>
                <w:szCs w:val="20"/>
                <w:color w:val="auto"/>
              </w:rPr>
            </w:pPr>
            <w:r>
              <w:rPr>
                <w:rFonts w:ascii="Arial" w:cs="Arial" w:eastAsia="Arial" w:hAnsi="Arial"/>
                <w:sz w:val="14"/>
                <w:szCs w:val="14"/>
                <w:color w:val="auto"/>
              </w:rPr>
              <w:t>Related Costs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83"/>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27, 2007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Cost reduction charges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Release of residual reserves</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25, 2008</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Cost reduction charges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(42.3)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Release of residual reserves</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 2009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Cost reduction charges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28.7</w:t>
            </w:r>
          </w:p>
        </w:tc>
        <w:tc>
          <w:tcPr>
            <w:tcW w:w="1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(29.3)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Exchange rate adjustment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 of residual reserves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Balance at May 30, 2010</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fiscal 2010 we paid severance to 564 employees in connection with the workforce reductions announced in fiscal 2009. Payments for other exit-related costs were primarily for expenses associated with closure and transfer activities incurred in connection with the closures of our manufacturing facilities in Texas and China.</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balances at May 30, 2010 primarily represent remaining estimated costs for activities that have occurred, but have yet to be paid, as a result of the workforce reduction and the manufacturing plant closures announced in fiscal 2009. Payments for the remaining $13.1 million of severance balances are expected to be paid over the next 3 quarters as we complete the closures of our two manufacturing facilities and most of those affected employees will depart by the end of our fiscal 2011 first quarter. Severance amounts are generally paid 30-60 days after the employee’s actual departure date or may be deferred until the beginning of the calendar year after their departure date. Other exit-related costs primarily relate to expenses associated with closure and transfer activities occurring in these manufacturing locations.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2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7. Acquisition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2010</w:t>
      </w:r>
    </w:p>
    <w:p>
      <w:pPr>
        <w:spacing w:after="0" w:line="90"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In October 2009, we acquired Energy Recommerce Inc. (ERI), a privately held solar energy company that provides web-based monitoring of commercial photovoltaic systems performance. The acquisition of ERI expands our portfolio of power management technologies.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Beginning in fiscal 2010, we adopted ASC Topic 805, “Business Combinations,” which changed the accounting for business combinations. The acquisition of ERI was accounted for under the new guidance using the acquisition method of accounting with a purchase price of $6.1 million for all of the outstanding shares of the company’s common stock. The purchase price was allocated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Acquired developed technology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60" w:type="dxa"/>
            <w:vAlign w:val="bottom"/>
            <w:gridSpan w:val="2"/>
            <w:vMerge w:val="continue"/>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Goodwill is included in our Analog segment and primarily represents the expected value of future customers and future technologies that have yet to be determined. Future customers and technologies do not meet the criteria for recognition separately from goodwill, because they are part of the future development and growth of the business. No amount of goodwill is expected to be deductible for tax purposes.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Revenue and earnings of ERI since the acquisition date included in our operating results for fiscal 2010 were immaterial. Pro forma results of operations related to this acquisition have not been presented since ERI’s operating results up to the date of acquisition were immaterial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2009</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March 2009, we acquired ActSolar, Inc. (“ActSolar”), a privately-held solar energy company that provides power optimization solutions for commercial and utility-scale solar installations. The acquisition of ActSolar was intended to expand our portfolio of power optimization technologies and provide us with new diagnostics and panel monitoring capabilities for solar arrays. The acquisition was accounted for using the purchase method of accounting with a purchase price of $4.8 million for all of the outstanding shares of the company’s common stock. As a result, we recorded a $2.9 million in-process R&amp;D charge in fiscal 2009. In-process R&amp;D was expensed upon acquisition because technological feasibility had not been established and no future alternative uses exist. The remainder of the purchase price was allocated as follows:</w:t>
      </w:r>
    </w:p>
    <w:p>
      <w:pPr>
        <w:spacing w:after="0" w:line="15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liabilities</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Pro forma results of operations related to this acquisition have not been presented since ActSolar’s operating results up to the date of acquisition were immaterial to our consolidated financial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8. 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goodwill by reportable segments: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Analog</w:t>
            </w:r>
          </w:p>
        </w:tc>
        <w:tc>
          <w:tcPr>
            <w:tcW w:w="24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4"/>
                <w:szCs w:val="14"/>
                <w:color w:val="auto"/>
              </w:rPr>
              <w:t>All</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716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2"/>
              </w:rPr>
              <w:t>Segment</w:t>
            </w:r>
          </w:p>
        </w:tc>
        <w:tc>
          <w:tcPr>
            <w:tcW w:w="2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w w:val="80"/>
              </w:rPr>
              <w:t>Others</w:t>
            </w:r>
          </w:p>
        </w:tc>
        <w:tc>
          <w:tcPr>
            <w:tcW w:w="540" w:type="dxa"/>
            <w:vAlign w:val="bottom"/>
          </w:tcPr>
          <w:p>
            <w:pPr>
              <w:spacing w:after="0"/>
              <w:rPr>
                <w:sz w:val="13"/>
                <w:szCs w:val="13"/>
                <w:color w:val="auto"/>
              </w:rPr>
            </w:pPr>
          </w:p>
        </w:tc>
        <w:tc>
          <w:tcPr>
            <w:tcW w:w="5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Total</w:t>
            </w:r>
          </w:p>
        </w:tc>
      </w:tr>
      <w:tr>
        <w:trPr>
          <w:trHeight w:val="102"/>
        </w:trPr>
        <w:tc>
          <w:tcPr>
            <w:tcW w:w="71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Balances at May 25, 2008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Reorganization of reporting units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ActSolar</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Balances at May 31, 2009</w:t>
            </w:r>
          </w:p>
        </w:tc>
        <w:tc>
          <w:tcPr>
            <w:tcW w:w="480" w:type="dxa"/>
            <w:vAlign w:val="bottom"/>
          </w:tcPr>
          <w:p>
            <w:pPr>
              <w:jc w:val="right"/>
              <w:spacing w:after="0"/>
              <w:rPr>
                <w:sz w:val="20"/>
                <w:szCs w:val="20"/>
                <w:color w:val="auto"/>
              </w:rPr>
            </w:pPr>
            <w:r>
              <w:rPr>
                <w:rFonts w:ascii="Arial" w:cs="Arial" w:eastAsia="Arial" w:hAnsi="Arial"/>
                <w:sz w:val="18"/>
                <w:szCs w:val="18"/>
                <w:color w:val="auto"/>
              </w:rPr>
              <w:t>54.2</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r>
      <w:tr>
        <w:trPr>
          <w:trHeight w:val="217"/>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ERI</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Balances at May 30, 2010</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$ 58.8</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$ 7.3</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66.1</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fiscal 2010, we recorded $4.6 million of goodwill in connection with the acquisition of ERI (see Note 7 to the Consolidated Financial Statements).</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fiscal 2009, one of our reporting units containing goodwill that was previously included in the Analog segment was reorganized into a reporting unit that is included in the category of “All Others.” We recorded $1.0 million of goodwill in connection with the acquisition of ActSolar in fiscal 2009 (see Note 7 to the Consolidated Financial Statements).</w:t>
      </w:r>
    </w:p>
    <w:p>
      <w:pPr>
        <w:spacing w:after="0" w:line="14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have intangible assets of $2.9 million at May 30, 2010 and $1.4 million at May 31, 2009, which are included in other assets in the consolidated balance sheet. These intangible assets primarily include developed technology and other amortizable intangible assets with a weighted-average amortization period of 6.7 years. Amortization expense was $0.4 million in fiscal 2010 and $0.1 million in fiscal 2009. There was no amortization expense in fiscal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Asset Retirement Obligations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asset retirement obligations arise primarily from contractual commitments to decontaminate machinery and equipment used at our manufacturing facilities at the time we dispose of or replace them. We also have leased facilities where we have asset retirement obligations from contractual commitments to remove leasehold improvements and return the property to a specified condition when the lease terminates.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recognized any asset retirement obligations associated with the closure or abandonment of the manufacturing facilities we own. Our legal asset retirement obligations for manufacturing facilities arise primarily from local laws and statutes that establish minimum standards or requirements in the event a manufacturing facility is shut down, or otherwise exited or abandoned. As a result, we considered the timing and (or) method of settlement for a conditional asset retirement obligation in the measurement of the related liability and determined that the asset retirement obligations related to these facilities were immaterial to our financial condition and results of operations.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the asset retirement obligations included in other non-current liabilities for the years ended May 30,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31, 2009:</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020" w:type="dxa"/>
            <w:vAlign w:val="bottom"/>
            <w:gridSpan w:val="4"/>
          </w:tcPr>
          <w:p>
            <w:pPr>
              <w:ind w:left="420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25, 2008</w:t>
            </w:r>
          </w:p>
        </w:tc>
        <w:tc>
          <w:tcPr>
            <w:tcW w:w="446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Accretion expense</w:t>
            </w:r>
          </w:p>
        </w:tc>
        <w:tc>
          <w:tcPr>
            <w:tcW w:w="4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 2009</w:t>
            </w:r>
          </w:p>
        </w:tc>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Liability settled</w:t>
            </w: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expense</w:t>
            </w:r>
          </w:p>
        </w:tc>
        <w:tc>
          <w:tcPr>
            <w:tcW w:w="4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gridSpan w:val="2"/>
          </w:tcPr>
          <w:p>
            <w:pPr>
              <w:spacing w:after="0"/>
              <w:rPr>
                <w:sz w:val="20"/>
                <w:szCs w:val="20"/>
                <w:color w:val="auto"/>
              </w:rPr>
            </w:pPr>
            <w:r>
              <w:rPr>
                <w:rFonts w:ascii="Arial" w:cs="Arial" w:eastAsia="Arial" w:hAnsi="Arial"/>
                <w:sz w:val="18"/>
                <w:szCs w:val="18"/>
                <w:color w:val="auto"/>
              </w:rPr>
              <w:t>Balance at May 30, 2010</w:t>
            </w:r>
          </w:p>
        </w:tc>
        <w:tc>
          <w:tcPr>
            <w:tcW w:w="4460" w:type="dxa"/>
            <w:vAlign w:val="bottom"/>
            <w:gridSpan w:val="2"/>
          </w:tcPr>
          <w:p>
            <w:pPr>
              <w:ind w:left="4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60" w:type="dxa"/>
            <w:vAlign w:val="bottom"/>
            <w:gridSpan w:val="2"/>
          </w:tcPr>
          <w:p>
            <w:pPr>
              <w:ind w:left="960"/>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10.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Debt at fiscal year-end consisted of the following:</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Senior floating rate notes due 2010, 0.51% at May 30, 2010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Senior notes due 2012 at 6.15%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2015 at 3.95%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Senior notes due 2017 at 6.60%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Bank floating rate unsecured term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Unsecured promissory note at 2.50%</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Less net unamortized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Add fair value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1,277.5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1,001.0</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fixed-rate debt obligation that is hedged is reflected in the consolidated balance sheet as an amount equal to the sum of the debt’s carrying value plus a fair value adjustment for the change in the fair value of the hedged debt obligation.</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April 2010, we issued $250.0 million principal amount of senior unsecured notes through a public offering. The unsecured notes bear interest at a fixed rate of 3.95 percent and are due in April 2015. Interest is payable semi-annually and the notes are redeemable by us at any time.</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April 2010, we repaid in full the outstanding principal on our unsecured term loan with a consortium of banks prior to its original maturity of June 2012. There was no prepayment penalty fee associated with the early repayment of the loan. The repayment resulted in a cash outlay of $203.6 million which included the aggregate principal amount outstanding and accrued interest through the repayment date. We recorded a $2.1 million loss on extinguishment of debt to recognize the remaining unamortized issuance costs that were included in other assets.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June 2007, we issued $1.0 billion principal amount of senior unsecured notes through a public offering. The offering of unsecured notes included $250.0 million aggregate principal amount of senior floating rate notes due June 2010, $375.0 million aggregate principal amount of 6.15 percent senior notes due June 2012 and $375.0 million aggregate principal amount of 6.60 percent senior notes due June 2017. Interest on the senior fixed rate notes is payable semi-annually and the notes are redeemable by us at any time. In June 2010, we repaid in full the $250.0 million principal amount of senior floating rate notes that became due June 2010. The total amount of the repayment was $250.3 million which included the aggregate principal amount outstanding and accrued interest through the repayment date.</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unsecured promissory note, which is denominated in Japanese yen (2,408,750,000), is due November 2010. Interest is payable quarterly at a fixed 2.5 percent annual rate. We are also required to comply with the covenants set forth under our multi-currency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annual maturities of long-term debt at May 30, 2010 are presented in the following table:</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54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5220" w:type="dxa"/>
            <w:vAlign w:val="bottom"/>
            <w:gridSpan w:val="4"/>
          </w:tcPr>
          <w:p>
            <w:pPr>
              <w:ind w:left="442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540" w:type="dxa"/>
            <w:vAlign w:val="bottom"/>
            <w:gridSpan w:val="2"/>
            <w:shd w:val="clear" w:color="auto" w:fill="CCEEFF"/>
          </w:tcPr>
          <w:p>
            <w:pPr>
              <w:ind w:left="44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2012</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2014</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2016 and thereafter</w:t>
            </w:r>
          </w:p>
        </w:tc>
        <w:tc>
          <w:tcPr>
            <w:tcW w:w="4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44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40" w:type="dxa"/>
            <w:vAlign w:val="bottom"/>
            <w:gridSpan w:val="2"/>
          </w:tcPr>
          <w:p>
            <w:pPr>
              <w:ind w:left="1160"/>
              <w:spacing w:after="0"/>
              <w:rPr>
                <w:sz w:val="20"/>
                <w:szCs w:val="20"/>
                <w:color w:val="auto"/>
              </w:rPr>
            </w:pPr>
            <w:r>
              <w:rPr>
                <w:rFonts w:ascii="Arial" w:cs="Arial" w:eastAsia="Arial" w:hAnsi="Arial"/>
                <w:sz w:val="18"/>
                <w:szCs w:val="18"/>
                <w:color w:val="auto"/>
              </w:rPr>
              <w:t>F-27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estimated fair value of long-term debt was $1,339.2 million at May 30, 2010.</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 $20 million multicurrency credit agreement with a bank that provides for multicurrency loans, letters of credit and standby letters of credit that was renewed in October 2009. At May 30, 2010, we had committed $3.4 million of the credit available under the agreement. The agreement contains restrictive covenants, conditions and default provisions that require the maintenance of certain financial ratios. As of May 30, 2010, we were in compliance with all financial covenants under the agreement. The agreement expires in October 2010 and we expect to renew it before then.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Worldwide pretax income from operations and income taxes consist of the following:</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color w:val="auto"/>
                <w:w w:val="89"/>
              </w:rPr>
              <w:t>2010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color w:val="auto"/>
                <w:w w:val="83"/>
              </w:rPr>
              <w:t>2009</w:t>
            </w:r>
          </w:p>
        </w:tc>
        <w:tc>
          <w:tcPr>
            <w:tcW w:w="260" w:type="dxa"/>
            <w:vAlign w:val="bottom"/>
          </w:tcPr>
          <w:p>
            <w:pPr>
              <w:spacing w:after="0"/>
              <w:rPr>
                <w:sz w:val="14"/>
                <w:szCs w:val="14"/>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02"/>
        </w:trPr>
        <w:tc>
          <w:tcPr>
            <w:tcW w:w="70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166.0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$337.1</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Non-U.S.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r>
      <w:tr>
        <w:trPr>
          <w:trHeight w:val="222"/>
        </w:trPr>
        <w:tc>
          <w:tcPr>
            <w:tcW w:w="7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268.6</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113.6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451.2</w:t>
            </w: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state and local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Non-U.S.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r>
      <w:tr>
        <w:trPr>
          <w:trHeight w:val="323"/>
        </w:trPr>
        <w:tc>
          <w:tcPr>
            <w:tcW w:w="706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U.S. federal and state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Non-U.S.</w:t>
            </w: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7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59.4</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$ 118.9</w:t>
            </w: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Although the fiscal 2010 income tax expense of $59.4 million is higher than the fiscal 2009 income tax expense of $40.3 million, our effective tax rate is lower in fiscal 2010 than in fiscal 2009. The fiscal 2010 income tax expense includes a tax benefit of $7.4 million primarily arising from the repatriation of previously unremitted Japanese earnings. In addition, a portion of our earnings comes from our Malaysian subsidiary and is not taxable because of a tax holiday granted by the Malaysian government that is effective for a ten-year period that began in our fiscal 2010. The fiscal 2009 income tax expense of $40.3 million included incremental tax expense of $16.7 million related to the write down of foreign deferred tax assets that would no longer be realized in the foreseeable future due to the tax holiday granted by the Malaysian government. The effect of the write down of foreign deferred tax assets was partially offset by $15.0 million of tax benefits associated with R&amp;D tax credits, net of the portion of the tax benefit that did not meet the more-likely-than-not recognition threshold. Income tax expense of $118.9 million for fiscal 2008 included $31.9 million in tax benefits recognized during fiscal 2008 that arose primarily from the resolution of international tax inquiries, the expiration of the statute of limitations associated with international tax matters and costs related to the manufacturing restructure and workforce reduction actions.</w:t>
      </w:r>
    </w:p>
    <w:p>
      <w:pPr>
        <w:spacing w:after="0" w:line="12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At the beginning of fiscal 2008, we adopted the provisions of ASC Topic 740, “Income Taxes,” which provided further clarification on the accounting for uncertainty in income taxes recognized in the financial statements. The cumulative effect of applying the new accounting standards was a $37.1 million increase to retained earnings at the beginning of fiscal 2008. Historically, we have classified unrecognized tax benefits as current income taxes payable. We now classify unrecognized tax benefits as long-term income taxes payable except to the extent we anticipate cash payment within the next year.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280" w:right="239" w:bottom="1440" w:gutter="0" w:footer="0" w:header="0"/>
        </w:sectPr>
      </w:pPr>
    </w:p>
    <w:bookmarkStart w:id="33" w:name="page34"/>
    <w:bookmarkEnd w:id="33"/>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a summary of the changes in the amount of unrecognized tax benefits that are included in long-term income taxes payable on the consolidated balance sheet at May 30, 2010:</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80" w:type="dxa"/>
            <w:vAlign w:val="bottom"/>
            <w:gridSpan w:val="4"/>
          </w:tcPr>
          <w:p>
            <w:pPr>
              <w:ind w:left="126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fiscal 2009</w:t>
            </w:r>
          </w:p>
        </w:tc>
        <w:tc>
          <w:tcPr>
            <w:tcW w:w="14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Settlements and effective settlements with tax authorities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Lapse of applicable statute of limitations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Increases for tax positions in the current year</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changes in unrecognized tax benefits</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Balance at May 31, 2009</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Settlements and effective settlements with tax authorities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Lapse of applicable statute of limitations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Increases for tax positions in the current year</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Other changes in unrecognized tax benefits</w:t>
            </w:r>
          </w:p>
        </w:tc>
        <w:tc>
          <w:tcPr>
            <w:tcW w:w="1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30, 2010</w:t>
            </w:r>
          </w:p>
        </w:tc>
        <w:tc>
          <w:tcPr>
            <w:tcW w:w="14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May 30, 2010, $156.6 million of the unrecognized tax benefit would affect our effective tax rate if it were to be recognized in a future period. Interest and penalties related to unrecognized tax benefits are included within income tax expense. The amount of interest and penalties accrued was $18.7 million at May 30, 2010 and $16.4 million at May 31, 2009.</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required to file income tax returns in the U.S. federal jurisdiction, various state and local jurisdictions, and many foreign jurisdictions. A number of years may elapse before an uncertain tax position is audited and ultimately resolved. While it is often difficult to predict the final outcome or the exact timing of resolution for any particular uncertain tax position, we believe that the amounts of unrecognized tax benefits we have accrued reflect our best estimate. We adjust these amounts, as well as the related interest and penalties, as actual facts and circumstances change. Upon resolution of an uncertain tax position, we record an adjustment to income taxes in the same period.</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believe that it is reasonably possible that the unrecognized tax benefits mainly related to transfer pricing matters for tax years where the statutes of limitation expire during fiscal 2011 could decrease by as much as $3.9 million within the next year.</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federal tax returns for fiscal 2007 through 2009 are currently under examination by the IRS. In addition, the IRS will audit our amended federal tax returns for fiscal 2005 and 2006. Several state taxing jurisdictions are examining our state tax returns for fiscal 2001 through 2005. During fiscal 2010, the state of California closed its audits of fiscal years up through fiscal 2000, which resulted in an immaterial adjustment. With a few exceptions, state tax returns for fiscal 2000 and after remain subject to future examination by state tax authorities. Internationally, tax authorities from several foreign jurisdictions are also examining our tax returns. In general, our international tax returns for fiscal 2003 and after remain subject to examination.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280" w:right="27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tax effects of temporary differences that constitute significant portions of the deferred tax assets are presented below:</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2010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3"/>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Property, plant and equipment and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Research and development expenditures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Non-U.S. loss carryovers and other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Federal and state credit carryovers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4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414.5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(98.7)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(96.8)</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315.8</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decrease in net deferred tax assets for fiscal 2010 of $8.3 million is from continuing operations and from the tax effect on other comprehensive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16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record a valuation allowance to reflect the estimated amount of deferred tax assets that may not be realized. The valuation allowance has been established primarily against the reinvestment and investment tax allowances related to our operation in Malaysia, as we have concluded that the deferred tax assets will not be realized in the foreseeable future due to a tax holiday granted by the Malaysian government that is effective for a ten-year period that began in our fiscal 2010 and the uncertainty of sufficient taxable income in Malaysia beyond fiscal 2019. We have a deferred tax asset related to the California R&amp;D credits which can be carried forward indefinitely and we have concluded that a valuation allowance is not required against it since our estimate of future taxable income for California purposes in the long term (greater than 15 years) is considered more than sufficient to realize the deferred tax asset during the same time period. The valuation allowance for deferred tax assets increased by $1.9 million in fiscal 2010 compared to an increase of $15.6 million in fiscal 2009.</w:t>
      </w:r>
    </w:p>
    <w:p>
      <w:pPr>
        <w:spacing w:after="0" w:line="118"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color w:val="auto"/>
        </w:rPr>
        <w:t>The ultimate realization of deferred tax assets depends upon the generation of future taxable income during the periods in which those temporary differences become deductible. As of May 30, 2010, based on historical taxable income and projections for future taxable income over the periods that the deferred tax assets are deductible, we believe it is more likely than not that we will realize the benefits of these deductible differences, net of the valuation allowance.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reconciliation between the income tax rate computed by applying the U.S. federal statutory rate and the reported worldwide tax rate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5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2009</w:t>
            </w:r>
          </w:p>
        </w:tc>
        <w:tc>
          <w:tcPr>
            <w:tcW w:w="5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35.0%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35.0%</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Non-U.S. income taxed at different rates</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(13.8)</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U.S. state and local taxes net of federal benefits</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Changes in beginning of year valuation allowances</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(0.5)</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5.8</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Domestic manufacturing benefit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Tax credits</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(2.2)</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(5.7)</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35.5%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26.4%</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U.S. income taxes have been provided on the cumulative unremitted earnings of approximately $108.5 million from non-U.S. subsidiaries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May 30, 2010. It is not practicable to determine the U.S. income tax liability that would be payable if such earnings was not reinvested indefinitely. We intend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reinvesting certain foreign earnings from non-U.S. subsidiaries indefinitely.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280" w:right="279" w:bottom="1440" w:gutter="0" w:footer="0" w:header="0"/>
        </w:sectPr>
      </w:pPr>
    </w:p>
    <w:bookmarkStart w:id="35" w:name="page36"/>
    <w:bookmarkEnd w:id="35"/>
    <w:p>
      <w:pPr>
        <w:ind w:right="1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May 30, 2010, we had $11.9 million of state net operating loss carryovers, which expire between fiscal 2011 and 2022. We also had $125.1 million of state credit carryovers, consisting primarily of California R&amp;D credits of $124.8 million which can be carried forward indefinitely. In addition, we had net operating losses and other tax allowance carryovers of $432.0 million from certain non-U.S. jurisdictions, most of which do not expire.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and Pension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annual expense for all retirement and pension plans was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20"/>
                <w:szCs w:val="20"/>
                <w:color w:val="auto"/>
              </w:rPr>
            </w:pPr>
            <w:r>
              <w:rPr>
                <w:rFonts w:ascii="Arial" w:cs="Arial" w:eastAsia="Arial" w:hAnsi="Arial"/>
                <w:sz w:val="14"/>
                <w:szCs w:val="14"/>
                <w:color w:val="auto"/>
              </w:rPr>
              <w:t>(In Millions)</w:t>
            </w:r>
          </w:p>
        </w:tc>
        <w:tc>
          <w:tcPr>
            <w:tcW w:w="2700" w:type="dxa"/>
            <w:vAlign w:val="bottom"/>
            <w:gridSpan w:val="2"/>
          </w:tcPr>
          <w:p>
            <w:pPr>
              <w:jc w:val="center"/>
              <w:ind w:left="2219"/>
              <w:spacing w:after="0"/>
              <w:rPr>
                <w:sz w:val="20"/>
                <w:szCs w:val="20"/>
                <w:color w:val="auto"/>
              </w:rPr>
            </w:pPr>
            <w:r>
              <w:rPr>
                <w:rFonts w:ascii="Arial" w:cs="Arial" w:eastAsia="Arial" w:hAnsi="Arial"/>
                <w:sz w:val="14"/>
                <w:szCs w:val="14"/>
                <w:color w:val="auto"/>
                <w:w w:val="89"/>
              </w:rPr>
              <w:t>2010</w:t>
            </w:r>
          </w:p>
        </w:tc>
        <w:tc>
          <w:tcPr>
            <w:tcW w:w="4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2009</w:t>
            </w:r>
          </w:p>
        </w:tc>
        <w:tc>
          <w:tcPr>
            <w:tcW w:w="4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r>
      <w:tr>
        <w:trPr>
          <w:trHeight w:val="102"/>
        </w:trPr>
        <w:tc>
          <w:tcPr>
            <w:tcW w:w="50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Salary deferral 401(k) plan</w:t>
            </w:r>
          </w:p>
        </w:tc>
        <w:tc>
          <w:tcPr>
            <w:tcW w:w="3160" w:type="dxa"/>
            <w:vAlign w:val="bottom"/>
            <w:gridSpan w:val="3"/>
            <w:shd w:val="clear" w:color="auto" w:fill="CCEEFF"/>
          </w:tcPr>
          <w:p>
            <w:pPr>
              <w:jc w:val="center"/>
              <w:ind w:left="1759"/>
              <w:spacing w:after="0"/>
              <w:rPr>
                <w:sz w:val="20"/>
                <w:szCs w:val="20"/>
                <w:color w:val="auto"/>
              </w:rPr>
            </w:pPr>
            <w:r>
              <w:rPr>
                <w:rFonts w:ascii="Arial" w:cs="Arial" w:eastAsia="Arial" w:hAnsi="Arial"/>
                <w:sz w:val="18"/>
                <w:szCs w:val="18"/>
                <w:color w:val="auto"/>
                <w:w w:val="88"/>
              </w:rPr>
              <w:t>$13.3</w:t>
            </w:r>
          </w:p>
        </w:tc>
        <w:tc>
          <w:tcPr>
            <w:tcW w:w="8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$16.5</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$17.2</w:t>
            </w:r>
          </w:p>
        </w:tc>
        <w:tc>
          <w:tcPr>
            <w:tcW w:w="100" w:type="dxa"/>
            <w:vAlign w:val="bottom"/>
            <w:shd w:val="clear" w:color="auto" w:fill="CCEEFF"/>
          </w:tcPr>
          <w:p>
            <w:pPr>
              <w:spacing w:after="0"/>
              <w:rPr>
                <w:sz w:val="18"/>
                <w:szCs w:val="18"/>
                <w:color w:val="auto"/>
              </w:rPr>
            </w:pPr>
          </w:p>
        </w:tc>
      </w:tr>
      <w:tr>
        <w:trPr>
          <w:trHeight w:val="322"/>
        </w:trPr>
        <w:tc>
          <w:tcPr>
            <w:tcW w:w="5060" w:type="dxa"/>
            <w:vAlign w:val="bottom"/>
          </w:tcPr>
          <w:p>
            <w:pPr>
              <w:spacing w:after="0"/>
              <w:rPr>
                <w:sz w:val="20"/>
                <w:szCs w:val="20"/>
                <w:color w:val="auto"/>
              </w:rPr>
            </w:pPr>
            <w:r>
              <w:rPr>
                <w:rFonts w:ascii="Arial" w:cs="Arial" w:eastAsia="Arial" w:hAnsi="Arial"/>
                <w:sz w:val="18"/>
                <w:szCs w:val="18"/>
                <w:color w:val="auto"/>
              </w:rPr>
              <w:t>Non-U.S. pension and retirement plans</w:t>
            </w:r>
          </w:p>
        </w:tc>
        <w:tc>
          <w:tcPr>
            <w:tcW w:w="3160" w:type="dxa"/>
            <w:vAlign w:val="bottom"/>
            <w:gridSpan w:val="3"/>
          </w:tcPr>
          <w:p>
            <w:pPr>
              <w:jc w:val="center"/>
              <w:ind w:left="1759"/>
              <w:spacing w:after="0"/>
              <w:rPr>
                <w:sz w:val="20"/>
                <w:szCs w:val="20"/>
                <w:color w:val="auto"/>
              </w:rPr>
            </w:pPr>
            <w:r>
              <w:rPr>
                <w:rFonts w:ascii="Arial" w:cs="Arial" w:eastAsia="Arial" w:hAnsi="Arial"/>
                <w:sz w:val="18"/>
                <w:szCs w:val="18"/>
                <w:color w:val="auto"/>
                <w:w w:val="88"/>
              </w:rPr>
              <w:t>$16.5</w:t>
            </w: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$10.1</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$12.7</w:t>
            </w:r>
          </w:p>
        </w:tc>
        <w:tc>
          <w:tcPr>
            <w:tcW w:w="100" w:type="dxa"/>
            <w:vAlign w:val="bottom"/>
          </w:tcPr>
          <w:p>
            <w:pPr>
              <w:spacing w:after="0"/>
              <w:rPr>
                <w:sz w:val="24"/>
                <w:szCs w:val="24"/>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Plans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retirement and savings program for U.S. employees consists of a salary deferral 401(k) plan. The salary deferral 401(k) plan allows employees to defer up to 30 percent of their salaries, subject to certain limitations, with partially matching company contributions. To encourage employee participation, we make a matching contribution of 150 percent of the employee’s contribution to the 401(k) plan, up to the first 4 percent of the employee’s eligible salary. Contributions are invested in one or more of thirty investment funds at the discretion of the employee. One of the investment funds is a stock fund in which contributions are invested in National common stock at the discretion of the employee. 401(k) investments made by the employee in National common stock may be sold at any time at the employee’s direction. Although we have reserved 10,000,000 shares of common stock for issuance to the stock fund, shares purchased to date with contributions have been purchased on the open market and we have not issued any stock directly to the stock fund.</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also have a deferred compensation plan, which allows highly compensated employees (as defined by IRS regulations) to defer greater percentages of compensation than would otherwise be permitted under the salary deferral 401(k) plan and IRS regulations. The deferred compensation plan is a non-qualified plan of deferred compensation maintained in a rabbi trust. Participants can direct the investment of their deferred compensation plan accounts in the same investment funds offered by the 401(k)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Plans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international subsidiaries have varying types of defined benefit pension and retirement plans that comply with local statutes and practices.</w:t>
      </w:r>
    </w:p>
    <w:p>
      <w:pPr>
        <w:spacing w:after="0" w:line="19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maintain defined benefit pension plans in the U.K., Germany and Taiwan that cover all eligible employees within each respective country. Prior to August 2007, we also had a defined benefit pension plan in Japan, which was terminated in full and replaced by a defined contribution plan in August 2007. As a result, we incurred a total charge of $0.2 million for the curtailment and settlement of the defined benefit pension plan.</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Pension plan benefits are based primarily on participants’ compensation and years of service credited as specified under the terms of each country’s plan. The funding policy is consistent with the local requirements of each country. We may also voluntarily fund additional annual contributions as determined by management.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Beginning in fiscal 2009, we adopted the provisions of ASC Topic 715, “Compensation-Retirement Benefits,” that requires the measurement date of a plan’s funded status to be the same as the company’s fiscal year-end. As a result, the measurement date of February 28</w:t>
      </w:r>
      <w:r>
        <w:rPr>
          <w:rFonts w:ascii="Arial" w:cs="Arial" w:eastAsia="Arial" w:hAnsi="Arial"/>
          <w:sz w:val="10"/>
          <w:szCs w:val="10"/>
          <w:color w:val="auto"/>
        </w:rPr>
        <w:t>th</w:t>
      </w:r>
      <w:r>
        <w:rPr>
          <w:rFonts w:ascii="Arial" w:cs="Arial" w:eastAsia="Arial" w:hAnsi="Arial"/>
          <w:sz w:val="16"/>
          <w:szCs w:val="16"/>
          <w:color w:val="auto"/>
        </w:rPr>
        <w:t xml:space="preserve"> for one of our plans was changed to May 31</w:t>
      </w:r>
      <w:r>
        <w:rPr>
          <w:rFonts w:ascii="Arial" w:cs="Arial" w:eastAsia="Arial" w:hAnsi="Arial"/>
          <w:sz w:val="10"/>
          <w:szCs w:val="10"/>
          <w:color w:val="auto"/>
        </w:rPr>
        <w:t>st</w:t>
      </w:r>
      <w:r>
        <w:rPr>
          <w:rFonts w:ascii="Arial" w:cs="Arial" w:eastAsia="Arial" w:hAnsi="Arial"/>
          <w:sz w:val="16"/>
          <w:szCs w:val="16"/>
          <w:color w:val="auto"/>
        </w:rPr>
        <w:t>. In lieu of remeasuring plan assets and benefit obligations as of the beginning of fiscal 2009 and using those new measurements to determine the effect of the measurement date change, we used the alternative approach permitted by GAAP. Under the alternative approach, the measurement of plan assets and benefit obligations determined as of February 28, 2008 were used to estimate the effect of the measurement date change. As a result, the net periodic pension cost for the 15-month period from February 28, 2008 to May 31, 2009 was allocated proportionately between amounts to be recognized as an adjustment of retained earnings for the portion of the 15-month period in fiscal 2008 and net periodic pension cost for the remaining portion in fiscal 2009. As a result, we recorded an adjustment of $0.6 million to retained earnings representing the effect of the change in measurement date for this plan.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60"/>
          </w:cols>
          <w:pgMar w:left="240" w:top="280" w:right="299" w:bottom="1440" w:gutter="0" w:footer="0" w:header="0"/>
        </w:sectPr>
      </w:pPr>
    </w:p>
    <w:bookmarkStart w:id="36" w:name="page37"/>
    <w:bookmarkEnd w:id="36"/>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assets of the funded defined benefit pension plans are invested in funds held by third-party fund managers or are deposited into government-managed accounts in which we are not actively involved with and have no control over investment strategy. Two of the plans are self-funded plans. The plan assets held by third-parties consist primarily of U.S. and foreign equity securities, bonds and cash. The fund manager monitors the fund’s asset allocation within the guidelines established by the plan’s Board of Trustees. In line with plan investment objectives and consultation with company management, the Trustees set an allocation benchmark among equity, bond and other assets based on the relative weighting of overall international market indices. The overall investment objectives of the plan are 1) the acquisition of suitable assets of appropriate liquidity which will generate income and capital growth to meet current and future plan benefits, 2) to limit the risk of the assets failing to meet the long term liabilities of the plan and 3) to minimize the long term costs of the plan by maximizing the return on the assets. Performance is regularly evaluated by the Trustees and is based on actual returns achieved by the fund manager relative to its benchmark. The expected long-term rate of return for plan assets is based on analysis of historical data and future expectations relevant to the investments and consistency with the assumed rate of inflation implicit in the market.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target allocation percentages and the fiscal year end percentage for each major category of plan assets: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96"/>
              </w:rPr>
              <w:t>2010</w:t>
            </w:r>
          </w:p>
        </w:tc>
        <w:tc>
          <w:tcPr>
            <w:tcW w:w="5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96"/>
              </w:rPr>
              <w:t>2009</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780" w:type="dxa"/>
            <w:vAlign w:val="bottom"/>
            <w:gridSpan w:val="2"/>
          </w:tcPr>
          <w:p>
            <w:pPr>
              <w:jc w:val="right"/>
              <w:ind w:right="320"/>
              <w:spacing w:after="0" w:line="131" w:lineRule="exact"/>
              <w:rPr>
                <w:sz w:val="20"/>
                <w:szCs w:val="20"/>
                <w:color w:val="auto"/>
              </w:rPr>
            </w:pPr>
            <w:r>
              <w:rPr>
                <w:rFonts w:ascii="Arial" w:cs="Arial" w:eastAsia="Arial" w:hAnsi="Arial"/>
                <w:sz w:val="14"/>
                <w:szCs w:val="14"/>
                <w:color w:val="auto"/>
              </w:rPr>
              <w:t>Target</w:t>
            </w:r>
          </w:p>
        </w:tc>
        <w:tc>
          <w:tcPr>
            <w:tcW w:w="560" w:type="dxa"/>
            <w:vAlign w:val="bottom"/>
          </w:tcPr>
          <w:p>
            <w:pPr>
              <w:spacing w:after="0"/>
              <w:rPr>
                <w:sz w:val="11"/>
                <w:szCs w:val="11"/>
                <w:color w:val="auto"/>
              </w:rPr>
            </w:pPr>
          </w:p>
        </w:tc>
        <w:tc>
          <w:tcPr>
            <w:tcW w:w="580" w:type="dxa"/>
            <w:vAlign w:val="bottom"/>
          </w:tcPr>
          <w:p>
            <w:pPr>
              <w:jc w:val="right"/>
              <w:ind w:right="52"/>
              <w:spacing w:after="0" w:line="131" w:lineRule="exact"/>
              <w:rPr>
                <w:sz w:val="20"/>
                <w:szCs w:val="20"/>
                <w:color w:val="auto"/>
              </w:rPr>
            </w:pPr>
            <w:r>
              <w:rPr>
                <w:rFonts w:ascii="Arial" w:cs="Arial" w:eastAsia="Arial" w:hAnsi="Arial"/>
                <w:sz w:val="14"/>
                <w:szCs w:val="14"/>
                <w:color w:val="auto"/>
              </w:rPr>
              <w:t>Actual</w:t>
            </w:r>
          </w:p>
        </w:tc>
        <w:tc>
          <w:tcPr>
            <w:tcW w:w="740" w:type="dxa"/>
            <w:vAlign w:val="bottom"/>
          </w:tcPr>
          <w:p>
            <w:pPr>
              <w:spacing w:after="0"/>
              <w:rPr>
                <w:sz w:val="11"/>
                <w:szCs w:val="11"/>
                <w:color w:val="auto"/>
              </w:rPr>
            </w:pPr>
          </w:p>
        </w:tc>
        <w:tc>
          <w:tcPr>
            <w:tcW w:w="760" w:type="dxa"/>
            <w:vAlign w:val="bottom"/>
            <w:gridSpan w:val="2"/>
          </w:tcPr>
          <w:p>
            <w:pPr>
              <w:jc w:val="right"/>
              <w:ind w:right="300"/>
              <w:spacing w:after="0" w:line="131" w:lineRule="exact"/>
              <w:rPr>
                <w:sz w:val="20"/>
                <w:szCs w:val="20"/>
                <w:color w:val="auto"/>
              </w:rPr>
            </w:pPr>
            <w:r>
              <w:rPr>
                <w:rFonts w:ascii="Arial" w:cs="Arial" w:eastAsia="Arial" w:hAnsi="Arial"/>
                <w:sz w:val="14"/>
                <w:szCs w:val="14"/>
                <w:color w:val="auto"/>
              </w:rPr>
              <w:t>Target</w:t>
            </w:r>
          </w:p>
        </w:tc>
        <w:tc>
          <w:tcPr>
            <w:tcW w:w="560" w:type="dxa"/>
            <w:vAlign w:val="bottom"/>
          </w:tcPr>
          <w:p>
            <w:pPr>
              <w:spacing w:after="0"/>
              <w:rPr>
                <w:sz w:val="11"/>
                <w:szCs w:val="11"/>
                <w:color w:val="auto"/>
              </w:rPr>
            </w:pPr>
          </w:p>
        </w:tc>
        <w:tc>
          <w:tcPr>
            <w:tcW w:w="580" w:type="dxa"/>
            <w:vAlign w:val="bottom"/>
          </w:tcPr>
          <w:p>
            <w:pPr>
              <w:jc w:val="right"/>
              <w:ind w:right="52"/>
              <w:spacing w:after="0" w:line="131" w:lineRule="exact"/>
              <w:rPr>
                <w:sz w:val="20"/>
                <w:szCs w:val="20"/>
                <w:color w:val="auto"/>
              </w:rPr>
            </w:pPr>
            <w:r>
              <w:rPr>
                <w:rFonts w:ascii="Arial" w:cs="Arial" w:eastAsia="Arial" w:hAnsi="Arial"/>
                <w:sz w:val="14"/>
                <w:szCs w:val="14"/>
                <w:color w:val="auto"/>
              </w:rPr>
              <w:t>Actual</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740" w:type="dxa"/>
            <w:vAlign w:val="bottom"/>
            <w:gridSpan w:val="2"/>
          </w:tcPr>
          <w:p>
            <w:pPr>
              <w:spacing w:after="0" w:line="159" w:lineRule="exact"/>
              <w:rPr>
                <w:sz w:val="20"/>
                <w:szCs w:val="20"/>
                <w:color w:val="auto"/>
              </w:rPr>
            </w:pPr>
            <w:r>
              <w:rPr>
                <w:rFonts w:ascii="Arial" w:cs="Arial" w:eastAsia="Arial" w:hAnsi="Arial"/>
                <w:sz w:val="14"/>
                <w:szCs w:val="14"/>
                <w:color w:val="auto"/>
              </w:rPr>
              <w:t>Asset Category</w:t>
            </w: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92"/>
              </w:rPr>
              <w:t>Allocation</w:t>
            </w:r>
          </w:p>
        </w:tc>
        <w:tc>
          <w:tcPr>
            <w:tcW w:w="560" w:type="dxa"/>
            <w:vAlign w:val="bottom"/>
          </w:tcPr>
          <w:p>
            <w:pPr>
              <w:spacing w:after="0"/>
              <w:rPr>
                <w:sz w:val="13"/>
                <w:szCs w:val="13"/>
                <w:color w:val="auto"/>
              </w:rPr>
            </w:pPr>
          </w:p>
        </w:tc>
        <w:tc>
          <w:tcPr>
            <w:tcW w:w="132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w w:val="88"/>
              </w:rPr>
              <w:t>Allocation</w:t>
            </w:r>
          </w:p>
        </w:tc>
        <w:tc>
          <w:tcPr>
            <w:tcW w:w="7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88"/>
              </w:rPr>
              <w:t>Allocation</w:t>
            </w:r>
          </w:p>
        </w:tc>
        <w:tc>
          <w:tcPr>
            <w:tcW w:w="560" w:type="dxa"/>
            <w:vAlign w:val="bottom"/>
          </w:tcPr>
          <w:p>
            <w:pPr>
              <w:spacing w:after="0"/>
              <w:rPr>
                <w:sz w:val="13"/>
                <w:szCs w:val="13"/>
                <w:color w:val="auto"/>
              </w:rPr>
            </w:pP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92"/>
              </w:rPr>
              <w:t>Allocation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Bonds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880" w:type="dxa"/>
            <w:vAlign w:val="bottom"/>
            <w:gridSpan w:val="3"/>
          </w:tcPr>
          <w:p>
            <w:pPr>
              <w:jc w:val="right"/>
              <w:ind w:right="60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880" w:type="dxa"/>
            <w:vAlign w:val="bottom"/>
            <w:gridSpan w:val="3"/>
          </w:tcPr>
          <w:p>
            <w:pPr>
              <w:jc w:val="right"/>
              <w:ind w:right="60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fair value of plan assets by major categories using the same three-level hierarchy described in Note 2:</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85"/>
              </w:rPr>
              <w:t>Quoted Prices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94"/>
              </w:rPr>
              <w:t>in Active</w:t>
            </w:r>
          </w:p>
        </w:tc>
        <w:tc>
          <w:tcPr>
            <w:tcW w:w="7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Significant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88"/>
              </w:rPr>
              <w:t>Markets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5"/>
              </w:rPr>
              <w:t>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for Identical</w:t>
            </w:r>
          </w:p>
        </w:tc>
        <w:tc>
          <w:tcPr>
            <w:tcW w:w="7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3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Instruments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9"/>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Inputs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auto"/>
                <w:w w:val="91"/>
              </w:rPr>
              <w:t>(Level 1)</w:t>
            </w:r>
          </w:p>
        </w:tc>
        <w:tc>
          <w:tcPr>
            <w:tcW w:w="700" w:type="dxa"/>
            <w:vAlign w:val="bottom"/>
          </w:tcPr>
          <w:p>
            <w:pPr>
              <w:spacing w:after="0"/>
              <w:rPr>
                <w:sz w:val="13"/>
                <w:szCs w:val="13"/>
                <w:color w:val="auto"/>
              </w:rPr>
            </w:pPr>
          </w:p>
        </w:tc>
        <w:tc>
          <w:tcPr>
            <w:tcW w:w="980" w:type="dxa"/>
            <w:vAlign w:val="bottom"/>
            <w:gridSpan w:val="3"/>
          </w:tcPr>
          <w:p>
            <w:pPr>
              <w:jc w:val="center"/>
              <w:ind w:right="360"/>
              <w:spacing w:after="0" w:line="159" w:lineRule="exact"/>
              <w:rPr>
                <w:sz w:val="20"/>
                <w:szCs w:val="20"/>
                <w:color w:val="auto"/>
              </w:rPr>
            </w:pPr>
            <w:r>
              <w:rPr>
                <w:rFonts w:ascii="Arial" w:cs="Arial" w:eastAsia="Arial" w:hAnsi="Arial"/>
                <w:sz w:val="14"/>
                <w:szCs w:val="14"/>
                <w:color w:val="auto"/>
                <w:w w:val="91"/>
              </w:rPr>
              <w:t>(Level 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3"/>
                <w:szCs w:val="13"/>
                <w:color w:val="auto"/>
              </w:rPr>
            </w:pPr>
          </w:p>
        </w:tc>
        <w:tc>
          <w:tcPr>
            <w:tcW w:w="5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 equity securities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Insurance contracts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Fixed income bonds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all of our plans the discount rates represent the rates at which benefits could have been settled at the measurement date and were determined based on an analysis of the investment returns underlying annuity contracts, or alternatively the rates of return currently available on high quality fixed interest investments for liability durations that match the timing and amount of the expected benefit payments. The source data used to determine the discount rates for the U.K. and Germany plans are based on the published iBoxx index of AA bond yields for durations of over 15 years. The yields at the plans’ measurement dates were approximately 5.25 to 5.46 percent. While no formal liability cash flow projections were made for these plans, the mean term of their liabilities was determined for assessing appropriate bond durations. Our plan in Taiwan is not material.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28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annual periodic pension cost of these non-U.S. defined benefit pension plans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5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color w:val="auto"/>
                <w:w w:val="83"/>
              </w:rPr>
              <w:t>2010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2"/>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ind w:right="14"/>
              <w:spacing w:after="0"/>
              <w:rPr>
                <w:sz w:val="20"/>
                <w:szCs w:val="20"/>
                <w:color w:val="auto"/>
              </w:rPr>
            </w:pPr>
            <w:r>
              <w:rPr>
                <w:rFonts w:ascii="Arial" w:cs="Arial" w:eastAsia="Arial" w:hAnsi="Arial"/>
                <w:sz w:val="14"/>
                <w:szCs w:val="14"/>
                <w:color w:val="auto"/>
                <w:w w:val="70"/>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 of benefits earned during the year</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6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Plan participant contributions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(0.8)</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15.0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(13.3)</w:t>
            </w:r>
          </w:p>
        </w:tc>
        <w:tc>
          <w:tcPr>
            <w:tcW w:w="8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0"/>
              </w:rPr>
              <w:t>(19.7)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amortization and deferral</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Net periodic pension cost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settlement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Total net periodic pension cost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5</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w w:val="99"/>
              </w:rPr>
              <w:t>Changes in the benefit obligations and plans assets are presented in the following table:</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540" w:type="dxa"/>
            <w:vAlign w:val="bottom"/>
            <w:gridSpan w:val="2"/>
          </w:tcPr>
          <w:p>
            <w:pPr>
              <w:ind w:left="46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46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$252.5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$291.2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tcPr>
          <w:p>
            <w:pPr>
              <w:ind w:left="4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tcPr>
          <w:p>
            <w:pPr>
              <w:ind w:left="440"/>
              <w:spacing w:after="0"/>
              <w:rPr>
                <w:sz w:val="20"/>
                <w:szCs w:val="20"/>
                <w:color w:val="auto"/>
              </w:rPr>
            </w:pPr>
            <w:r>
              <w:rPr>
                <w:rFonts w:ascii="Arial" w:cs="Arial" w:eastAsia="Arial" w:hAnsi="Arial"/>
                <w:sz w:val="18"/>
                <w:szCs w:val="18"/>
                <w:color w:val="auto"/>
              </w:rPr>
              <w:t>Actuarial gain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Exchange rate adjustment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(34.0)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40" w:type="dxa"/>
            <w:vAlign w:val="bottom"/>
            <w:gridSpan w:val="2"/>
            <w:vMerge w:val="restart"/>
          </w:tcPr>
          <w:p>
            <w:pPr>
              <w:ind w:left="460"/>
              <w:spacing w:after="0"/>
              <w:rPr>
                <w:sz w:val="20"/>
                <w:szCs w:val="20"/>
                <w:color w:val="auto"/>
              </w:rPr>
            </w:pPr>
            <w:r>
              <w:rPr>
                <w:rFonts w:ascii="Arial" w:cs="Arial" w:eastAsia="Arial" w:hAnsi="Arial"/>
                <w:sz w:val="18"/>
                <w:szCs w:val="18"/>
                <w:color w:val="auto"/>
              </w:rPr>
              <w:t>Ending balance</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5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252.5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Pr>
          <w:p>
            <w:pPr>
              <w:spacing w:after="0"/>
              <w:rPr>
                <w:sz w:val="8"/>
                <w:szCs w:val="8"/>
                <w:color w:val="auto"/>
              </w:rPr>
            </w:pPr>
          </w:p>
        </w:tc>
        <w:tc>
          <w:tcPr>
            <w:tcW w:w="46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FAIR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$199.8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$272.3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Actual return on plan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tcPr>
          <w:p>
            <w:pPr>
              <w:ind w:left="440"/>
              <w:spacing w:after="0"/>
              <w:rPr>
                <w:sz w:val="20"/>
                <w:szCs w:val="20"/>
                <w:color w:val="auto"/>
              </w:rPr>
            </w:pPr>
            <w:r>
              <w:rPr>
                <w:rFonts w:ascii="Arial" w:cs="Arial" w:eastAsia="Arial" w:hAnsi="Arial"/>
                <w:sz w:val="18"/>
                <w:szCs w:val="18"/>
                <w:color w:val="auto"/>
              </w:rPr>
              <w:t>Company contributions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participant contributions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Exchange rate adjustment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(26.0)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40" w:type="dxa"/>
            <w:vAlign w:val="bottom"/>
            <w:gridSpan w:val="2"/>
            <w:vMerge w:val="restart"/>
          </w:tcPr>
          <w:p>
            <w:pPr>
              <w:ind w:left="460"/>
              <w:spacing w:after="0"/>
              <w:rPr>
                <w:sz w:val="20"/>
                <w:szCs w:val="20"/>
                <w:color w:val="auto"/>
              </w:rPr>
            </w:pPr>
            <w:r>
              <w:rPr>
                <w:rFonts w:ascii="Arial" w:cs="Arial" w:eastAsia="Arial" w:hAnsi="Arial"/>
                <w:sz w:val="18"/>
                <w:szCs w:val="18"/>
                <w:color w:val="auto"/>
              </w:rPr>
              <w:t>Ending balance</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5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199.8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Pr>
          <w:p>
            <w:pPr>
              <w:spacing w:after="0"/>
              <w:rPr>
                <w:sz w:val="8"/>
                <w:szCs w:val="8"/>
                <w:color w:val="auto"/>
              </w:rPr>
            </w:pPr>
          </w:p>
        </w:tc>
        <w:tc>
          <w:tcPr>
            <w:tcW w:w="46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7"/>
              </w:rPr>
              <w:t>FUNDED STATUS – BENEFIT OBLIGATION IN EXCESS OF PLAN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Fiscal year end balance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$ 52.7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Pr>
          <w:p>
            <w:pPr>
              <w:spacing w:after="0"/>
              <w:rPr>
                <w:sz w:val="8"/>
                <w:szCs w:val="8"/>
                <w:color w:val="auto"/>
              </w:rPr>
            </w:pPr>
          </w:p>
        </w:tc>
        <w:tc>
          <w:tcPr>
            <w:tcW w:w="46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Fiscal year end balance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251.8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80" w:type="dxa"/>
            <w:vAlign w:val="bottom"/>
            <w:vMerge w:val="restart"/>
          </w:tcPr>
          <w:p>
            <w:pPr>
              <w:ind w:left="4160"/>
              <w:spacing w:after="0"/>
              <w:rPr>
                <w:sz w:val="20"/>
                <w:szCs w:val="20"/>
                <w:color w:val="auto"/>
              </w:rPr>
            </w:pPr>
            <w:r>
              <w:rPr>
                <w:rFonts w:ascii="Arial" w:cs="Arial" w:eastAsia="Arial" w:hAnsi="Arial"/>
                <w:sz w:val="18"/>
                <w:szCs w:val="18"/>
                <w:color w:val="auto"/>
              </w:rPr>
              <w:t>F-33</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700" w:top="280" w:right="115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recognized in the consolidated balance sheets: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w w:val="96"/>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w w:val="96"/>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(123.5)</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in accumulated other comprehensive loss that have not yet been recognized as components of net periodic pension cost:</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w w:val="96"/>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w w:val="96"/>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Transition asset</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Actuarial loss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(131.9)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periodic pension cost and projected benefit obligations were determined using the following assumptions: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2010</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2009</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2008</w:t>
            </w:r>
          </w:p>
        </w:tc>
        <w:tc>
          <w:tcPr>
            <w:tcW w:w="200" w:type="dxa"/>
            <w:vAlign w:val="bottom"/>
          </w:tcPr>
          <w:p>
            <w:pPr>
              <w:spacing w:after="0"/>
              <w:rPr>
                <w:sz w:val="14"/>
                <w:szCs w:val="14"/>
                <w:color w:val="auto"/>
              </w:rPr>
            </w:pPr>
          </w:p>
        </w:tc>
      </w:tr>
      <w:tr>
        <w:trPr>
          <w:trHeight w:val="102"/>
        </w:trPr>
        <w:tc>
          <w:tcPr>
            <w:tcW w:w="6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Discount rate</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2.3%-6.5%</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2.8%-6.2%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2.8%-5.2%</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Rate of increase in compensation levels</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0.0%-3.0%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1.8%-3.8%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1.8%-3.8%</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Expected long-term return on assets</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1.5%-7.5%</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3.0%-7.5%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3.0%-7.5%</w:t>
            </w:r>
          </w:p>
        </w:tc>
      </w:tr>
      <w:tr>
        <w:trPr>
          <w:trHeight w:val="102"/>
        </w:trPr>
        <w:tc>
          <w:tcPr>
            <w:tcW w:w="6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Discount rate</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2.1%-5.5%</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2.3%-6.5%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2.8%-6.2%</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Rate of increase in compensation levels</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1.0%-3.0%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1.0%-3.5%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1.8%-3.8%</w:t>
            </w:r>
          </w:p>
        </w:tc>
      </w:tr>
    </w:tbl>
    <w:p>
      <w:pPr>
        <w:spacing w:after="0" w:line="15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Total contributions paid to these plans were $6.8 million in fiscal 2010, $15.4 million in fiscal 2009 and $33.6 million in fiscal 2008. We currently expect contributions to total approximately $5.2 million in fiscal 2011. This amount excludes any voluntary contribution, which is yet to be determined by management.</w:t>
      </w:r>
    </w:p>
    <w:p>
      <w:pPr>
        <w:spacing w:after="0" w:line="8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presents the total expected benefits to be paid to plan participants for the next ten fiscal years as determined based on the same assumptions used to measure the benefit obligation at the end of the fiscal year:</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900" w:type="dxa"/>
            <w:vAlign w:val="bottom"/>
            <w:gridSpan w:val="4"/>
          </w:tcPr>
          <w:p>
            <w:pPr>
              <w:ind w:left="310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4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2012</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2014</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2016-2020</w:t>
            </w:r>
          </w:p>
        </w:tc>
        <w:tc>
          <w:tcPr>
            <w:tcW w:w="3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u w:val="single" w:color="auto"/>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in accumulated other comprehensive loss expected to be recognized as components of net periodic pension cost over the next fiscal year:</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660" w:type="dxa"/>
            <w:vAlign w:val="bottom"/>
            <w:gridSpan w:val="4"/>
          </w:tcPr>
          <w:p>
            <w:pPr>
              <w:ind w:left="38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transition asset</w:t>
            </w:r>
          </w:p>
        </w:tc>
        <w:tc>
          <w:tcPr>
            <w:tcW w:w="41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322"/>
        </w:trPr>
        <w:tc>
          <w:tcPr>
            <w:tcW w:w="3100" w:type="dxa"/>
            <w:vAlign w:val="bottom"/>
            <w:gridSpan w:val="2"/>
          </w:tcPr>
          <w:p>
            <w:pPr>
              <w:spacing w:after="0"/>
              <w:rPr>
                <w:sz w:val="20"/>
                <w:szCs w:val="20"/>
                <w:color w:val="auto"/>
              </w:rPr>
            </w:pPr>
            <w:r>
              <w:rPr>
                <w:rFonts w:ascii="Arial" w:cs="Arial" w:eastAsia="Arial" w:hAnsi="Arial"/>
                <w:sz w:val="18"/>
                <w:szCs w:val="18"/>
                <w:color w:val="auto"/>
              </w:rPr>
              <w:t>Amortization of net loss</w:t>
            </w:r>
          </w:p>
        </w:tc>
        <w:tc>
          <w:tcPr>
            <w:tcW w:w="410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100" w:type="dxa"/>
            <w:vAlign w:val="bottom"/>
            <w:gridSpan w:val="2"/>
          </w:tcPr>
          <w:p>
            <w:pPr>
              <w:ind w:left="600"/>
              <w:spacing w:after="0"/>
              <w:rPr>
                <w:sz w:val="20"/>
                <w:szCs w:val="20"/>
                <w:color w:val="auto"/>
              </w:rPr>
            </w:pPr>
            <w:r>
              <w:rPr>
                <w:rFonts w:ascii="Arial" w:cs="Arial" w:eastAsia="Arial" w:hAnsi="Arial"/>
                <w:sz w:val="18"/>
                <w:szCs w:val="18"/>
                <w:color w:val="auto"/>
              </w:rPr>
              <w:t>F-34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80"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13. 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2010</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fiscal 2010, we did not repurchase any shares of our common stock in connection with the $500 million stock repurchase program we announced in June 2007. Under this program, we have a balance of $127.4 million remaining available for future stock repurchases at May 30, 2010. We do not have any plans to terminate the program prior to its completion, and there is no expiration date for this repurchase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2009</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repurchased a total of 6.2 million shares of our common stock during fiscal 2009 for $128.4 million as part of the $500 million stock repurchase program announced in June 2007. All of these shares were repurchased in the open market and have been cancelled as of May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2008</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June 2007, our Board of Directors approved (i) a $1.5 billion accelerated stock repurchase program; and (ii) an additional $500 million stock repurchase program similar to our existing stock repurchase program announced in March 2007. We entered into two separate agreements with Goldman Sachs to conduct the accelerated stock repurchase program. Under one of the agreements, we repurchased from Goldman Sachs, for $1.0 billion, a number of shares of our common stock determined by the volume-weighted average price of the stock during a six month period, subject to provisions establishing minimum and maximum numbers of shares. Under the other agreement, we repurchased shares of our common stock from Goldman Sachs immediately for an initial amount of $500 million. Goldman Sachs purchased an equivalent number of shares of our common stock in the open market over the next six months, and at the end of that period, the initial price was adjusted down based on the volume-weighted average price during the same period. The price adjustment was settled by us, at our option, in shares of our common stock. The $1.5 billion accelerated stock repurchase program was completed in December 2007 with a total 58.0 million shares repurchased.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addition to the accelerated stock repurchase program, we repurchased an additional 27.9 million shares of our common stock during fiscal 2008 for $623.5 million as part of two $500 million stock repurchase programs: (i) the $500 million stock repurchase program announced in March 2007, which was completed during the third quarter of fiscal 2008, and (ii) the $500 million stock repurchase program announced in June 2007. All of these shares were repurchased in the open market. For all of fiscal 2008, we repurchased a total of 85.9 million shares of our common stock for $2,123.5 million through both the $1.5 billion accelerated stock repurchase program and the two $500 million stock repurchase programs. All shares of common stock that were repurchased had been cancelled as of the end of fiscal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paid cash dividends of $75.7 million in fiscal 2010, $64.4 million in fiscal 2009 and $50.6 million in fiscal 2008. In June 2010, the Board of Directors declared a cash dividend of $0.08 per outstanding share of common stock, which was paid on July 12, 2010 to shareholders of record as of the close of business on June 21, 2010. On July 12, 2010, in connection with a regularly scheduled meeting, our Board of Directors declared a cash dividend of $0.10 per outstanding share of common stock, which will be paid on October 12, 2010 to shareholders of record at the close of business on September 20,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 Plans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2009, the shareholders of National approved the 2009 Incentive Award Plan (the 2009 Plan). The 2009 Plan replaces our four former equity compensation plans that provided share-based awards to employees and officers of the company (the 1977 Stock Option Plan, the 2007 Employees Equity Plan (EEP), the 2005 Executive Officer Equity Plan (EOEP) and the Executive Officer Stock Option Plan) and no further awards will be made to employees and officers under those plans. While new options can no longer be granted, there are options that are still outstanding under those plans. The 2009 Plan authorizes 16,000,000 shares of our common stock for issuance to eligible individuals in the form of stock options, restricted stock, restricted stock units, stock appreciation rights, performance awards, dividend equivalents, stock payments, deferred stock, other stock-based awards and performance-based awards. In addition to employees and officers of the company, members of our Board of Directors and consultants to the company are eligible to participate, as determined by the Compensation Committee of the Board of Directors. As of May 30, 2010, up to 13.2 million shares were available for future issuance of all equity awards under the 2009 Plan.</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40"/>
          </w:cols>
          <w:pgMar w:left="240" w:top="274"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Plans</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2009 Plan provides for the grant of both nonqualified stock options and incentive stock options (as defined in the U.S. tax code). The 2009 Plan provides for the grant of stock options at fair market value on the date of grant. The term and vesting period of the stock options are set by the Compensation Committee of our Board of Directors. To date, options granted under the terms of the 2009 Plan expire no later than six years and one day after the date of grant and vest one-fourth of the total grant one year after grant and the rest in equal monthly installments over the next three years. The terms of stock options granted under the former equity compensation plans were similar to the 2009 Plan.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have a director stock option plan that was approved by shareholders in fiscal 1998 which authorized the grant of up to 2,000,000 shares of common stock to eligible directors who are not employees of the company. Options were granted automatically upon approval of the plan by shareholders and were granted automatically to eligible directors upon their appointment to the board and subsequent election to the board by shareholders. In connection with the approval of amendments to the director stock plan in fiscal 2006, this plan was frozen and no new options can be granted under the plan. Options issued to directors under this plan vested in full after six months. Under this plan, options to purchase 350,000 shares of common stock with a weighted-average per share exercise price of $14.24 and weighted-average remaining contractual life of 2.3 years were outstanding and exercisable as of May 30, 2010. The aggregate intrinsic value of these fully vested shares was $0.7 million at May 30, 2010.</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the former EOEP, options to purchase 1,280,000 shares of common stock were granted in fiscal 2010, options to purchase 565,000 shares of common stock were granted in fiscal 2009 and options to purchase 520,000 shares of common stock were granted in fiscal 2008. These shares are included in the amounts presented in the table that summarizes stock option activity. Grants will no longer be made under the EOEP.</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May 30, 2010, under all equity compensation plans for stock options there were 44.4 million shares reserved for issuance. The following table summarizes the activity of common stock shares related to stock options granted during fiscal 2010, 2009 and 2008 under our equity plans (excluding the director stock option plan under which new options can no longer be granted):</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80" w:type="dxa"/>
            <w:vAlign w:val="bottom"/>
            <w:gridSpan w:val="3"/>
          </w:tcPr>
          <w:p>
            <w:pPr>
              <w:jc w:val="right"/>
              <w:ind w:right="500"/>
              <w:spacing w:after="0"/>
              <w:rPr>
                <w:sz w:val="20"/>
                <w:szCs w:val="20"/>
                <w:color w:val="auto"/>
              </w:rPr>
            </w:pPr>
            <w:r>
              <w:rPr>
                <w:rFonts w:ascii="Arial" w:cs="Arial" w:eastAsia="Arial" w:hAnsi="Arial"/>
                <w:sz w:val="14"/>
                <w:szCs w:val="14"/>
                <w:color w:val="auto"/>
              </w:rPr>
              <w:t>Number of Shares</w:t>
            </w:r>
          </w:p>
        </w:tc>
        <w:tc>
          <w:tcPr>
            <w:tcW w:w="1560" w:type="dxa"/>
            <w:vAlign w:val="bottom"/>
            <w:gridSpan w:val="4"/>
          </w:tcPr>
          <w:p>
            <w:pPr>
              <w:ind w:left="440"/>
              <w:spacing w:after="0"/>
              <w:rPr>
                <w:sz w:val="20"/>
                <w:szCs w:val="20"/>
                <w:color w:val="auto"/>
              </w:rPr>
            </w:pPr>
            <w:r>
              <w:rPr>
                <w:rFonts w:ascii="Arial" w:cs="Arial" w:eastAsia="Arial" w:hAnsi="Arial"/>
                <w:sz w:val="14"/>
                <w:szCs w:val="14"/>
                <w:color w:val="auto"/>
                <w:w w:val="94"/>
              </w:rPr>
              <w:t>Weighted-Average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8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27, 2007</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Granted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3280" w:type="dxa"/>
            <w:vAlign w:val="bottom"/>
            <w:gridSpan w:val="3"/>
          </w:tcPr>
          <w:p>
            <w:pPr>
              <w:jc w:val="right"/>
              <w:ind w:right="440"/>
              <w:spacing w:after="0"/>
              <w:rPr>
                <w:sz w:val="20"/>
                <w:szCs w:val="20"/>
                <w:color w:val="auto"/>
              </w:rPr>
            </w:pPr>
            <w:r>
              <w:rPr>
                <w:rFonts w:ascii="Arial" w:cs="Arial" w:eastAsia="Arial" w:hAnsi="Arial"/>
                <w:sz w:val="18"/>
                <w:szCs w:val="18"/>
                <w:color w:val="auto"/>
              </w:rPr>
              <w:t>(0.7)</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w:t>
            </w:r>
          </w:p>
        </w:tc>
        <w:tc>
          <w:tcPr>
            <w:tcW w:w="18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Outstanding at May 25, 2008</w:t>
            </w:r>
          </w:p>
        </w:tc>
        <w:tc>
          <w:tcPr>
            <w:tcW w:w="18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50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3280" w:type="dxa"/>
            <w:vAlign w:val="bottom"/>
            <w:gridSpan w:val="3"/>
          </w:tcPr>
          <w:p>
            <w:pPr>
              <w:jc w:val="right"/>
              <w:ind w:right="440"/>
              <w:spacing w:after="0"/>
              <w:rPr>
                <w:sz w:val="20"/>
                <w:szCs w:val="20"/>
                <w:color w:val="auto"/>
              </w:rPr>
            </w:pPr>
            <w:r>
              <w:rPr>
                <w:rFonts w:ascii="Arial" w:cs="Arial" w:eastAsia="Arial" w:hAnsi="Arial"/>
                <w:sz w:val="18"/>
                <w:szCs w:val="18"/>
                <w:color w:val="auto"/>
              </w:rPr>
              <w:t>(3.9)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3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Expired</w:t>
            </w:r>
          </w:p>
        </w:tc>
        <w:tc>
          <w:tcPr>
            <w:tcW w:w="1800" w:type="dxa"/>
            <w:vAlign w:val="bottom"/>
          </w:tcPr>
          <w:p>
            <w:pPr>
              <w:spacing w:after="0"/>
              <w:rPr>
                <w:sz w:val="19"/>
                <w:szCs w:val="19"/>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31, 2009</w:t>
            </w:r>
          </w:p>
        </w:tc>
        <w:tc>
          <w:tcPr>
            <w:tcW w:w="18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Granted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3280" w:type="dxa"/>
            <w:vAlign w:val="bottom"/>
            <w:gridSpan w:val="3"/>
          </w:tcPr>
          <w:p>
            <w:pPr>
              <w:jc w:val="right"/>
              <w:ind w:right="440"/>
              <w:spacing w:after="0"/>
              <w:rPr>
                <w:sz w:val="20"/>
                <w:szCs w:val="20"/>
                <w:color w:val="auto"/>
              </w:rPr>
            </w:pPr>
            <w:r>
              <w:rPr>
                <w:rFonts w:ascii="Arial" w:cs="Arial" w:eastAsia="Arial" w:hAnsi="Arial"/>
                <w:sz w:val="18"/>
                <w:szCs w:val="18"/>
                <w:color w:val="auto"/>
              </w:rPr>
              <w:t>(13.5)</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w:t>
            </w:r>
          </w:p>
        </w:tc>
        <w:tc>
          <w:tcPr>
            <w:tcW w:w="18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Outstanding at May 30, 2010</w:t>
            </w:r>
          </w:p>
        </w:tc>
        <w:tc>
          <w:tcPr>
            <w:tcW w:w="18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50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Expiration dates for options outstanding at May 30, 2010 range from June 1, 2010 to May 18, 2016.</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280" w:right="279" w:bottom="1440" w:gutter="0" w:footer="0" w:header="0"/>
        </w:sectPr>
      </w:pPr>
    </w:p>
    <w:bookmarkStart w:id="41" w:name="page42"/>
    <w:bookmarkEnd w:id="4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total intrinsic value of options exercised was $7.9 million in fiscal 2010, $27.8 million in fiscal 2009 and $79.2 million in fiscal 2008. Total unrecognized compensation cost related to stock option grants as of May 30, 2010 was $21.2 million, which is expected to be recognized over a weighted-average period of 2.6 years.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additional information about total options outstanding at May 30, 2010 under the stock option plans (excluding the director stock option plan):</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8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86"/>
              </w:rPr>
              <w:t>Aggregate</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1"/>
              </w:rPr>
              <w:t>Number of</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5"/>
              </w:rPr>
              <w:t>Intrinsic</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1"/>
              </w:rPr>
              <w:t>Shares</w:t>
            </w:r>
          </w:p>
        </w:tc>
        <w:tc>
          <w:tcPr>
            <w:tcW w:w="1020" w:type="dxa"/>
            <w:vAlign w:val="bottom"/>
            <w:gridSpan w:val="2"/>
          </w:tcPr>
          <w:p>
            <w:pPr>
              <w:spacing w:after="0" w:line="149" w:lineRule="exact"/>
              <w:rPr>
                <w:sz w:val="20"/>
                <w:szCs w:val="20"/>
                <w:color w:val="auto"/>
              </w:rPr>
            </w:pPr>
            <w:r>
              <w:rPr>
                <w:rFonts w:ascii="Arial" w:cs="Arial" w:eastAsia="Arial" w:hAnsi="Arial"/>
                <w:sz w:val="14"/>
                <w:szCs w:val="14"/>
                <w:color w:val="auto"/>
                <w:w w:val="86"/>
              </w:rPr>
              <w:t>Weighted-Average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83"/>
              </w:rPr>
              <w:t>Value</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Contractual Life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480" w:type="dxa"/>
            <w:vAlign w:val="bottom"/>
            <w:gridSpan w:val="2"/>
          </w:tcPr>
          <w:p>
            <w:pPr>
              <w:jc w:val="right"/>
              <w:ind w:right="780"/>
              <w:spacing w:after="0" w:line="159" w:lineRule="exact"/>
              <w:rPr>
                <w:sz w:val="20"/>
                <w:szCs w:val="20"/>
                <w:color w:val="auto"/>
              </w:rPr>
            </w:pPr>
            <w:r>
              <w:rPr>
                <w:rFonts w:ascii="Arial" w:cs="Arial" w:eastAsia="Arial" w:hAnsi="Arial"/>
                <w:sz w:val="14"/>
                <w:szCs w:val="14"/>
                <w:color w:val="auto"/>
                <w:w w:val="94"/>
              </w:rPr>
              <w:t>(In Millions)</w:t>
            </w:r>
          </w:p>
        </w:tc>
        <w:tc>
          <w:tcPr>
            <w:tcW w:w="100" w:type="dxa"/>
            <w:vAlign w:val="bottom"/>
          </w:tcPr>
          <w:p>
            <w:pPr>
              <w:spacing w:after="0"/>
              <w:rPr>
                <w:sz w:val="13"/>
                <w:szCs w:val="13"/>
                <w:color w:val="auto"/>
              </w:rPr>
            </w:pPr>
          </w:p>
        </w:tc>
        <w:tc>
          <w:tcPr>
            <w:tcW w:w="920" w:type="dxa"/>
            <w:vAlign w:val="bottom"/>
          </w:tcPr>
          <w:p>
            <w:pPr>
              <w:jc w:val="right"/>
              <w:ind w:right="39"/>
              <w:spacing w:after="0" w:line="159" w:lineRule="exact"/>
              <w:rPr>
                <w:sz w:val="20"/>
                <w:szCs w:val="20"/>
                <w:color w:val="auto"/>
              </w:rPr>
            </w:pPr>
            <w:r>
              <w:rPr>
                <w:rFonts w:ascii="Arial" w:cs="Arial" w:eastAsia="Arial" w:hAnsi="Arial"/>
                <w:sz w:val="14"/>
                <w:szCs w:val="14"/>
                <w:color w:val="auto"/>
                <w:w w:val="87"/>
              </w:rPr>
              <w:t>Exercise Price</w:t>
            </w:r>
          </w:p>
        </w:tc>
        <w:tc>
          <w:tcPr>
            <w:tcW w:w="760" w:type="dxa"/>
            <w:vAlign w:val="bottom"/>
          </w:tcPr>
          <w:p>
            <w:pPr>
              <w:spacing w:after="0"/>
              <w:rPr>
                <w:sz w:val="13"/>
                <w:szCs w:val="13"/>
                <w:color w:val="auto"/>
              </w:rPr>
            </w:pPr>
          </w:p>
        </w:tc>
        <w:tc>
          <w:tcPr>
            <w:tcW w:w="1480" w:type="dxa"/>
            <w:vAlign w:val="bottom"/>
            <w:gridSpan w:val="3"/>
          </w:tcPr>
          <w:p>
            <w:pPr>
              <w:jc w:val="center"/>
              <w:ind w:right="780"/>
              <w:spacing w:after="0" w:line="159" w:lineRule="exact"/>
              <w:rPr>
                <w:sz w:val="20"/>
                <w:szCs w:val="20"/>
                <w:color w:val="auto"/>
              </w:rPr>
            </w:pPr>
            <w:r>
              <w:rPr>
                <w:rFonts w:ascii="Arial" w:cs="Arial" w:eastAsia="Arial" w:hAnsi="Arial"/>
                <w:sz w:val="14"/>
                <w:szCs w:val="14"/>
                <w:color w:val="auto"/>
                <w:w w:val="97"/>
              </w:rPr>
              <w:t>(In Millions)</w:t>
            </w:r>
          </w:p>
        </w:tc>
        <w:tc>
          <w:tcPr>
            <w:tcW w:w="98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4"/>
              </w:rPr>
              <w:t>(In Years)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80" w:type="dxa"/>
            <w:vAlign w:val="bottom"/>
            <w:gridSpan w:val="2"/>
          </w:tcPr>
          <w:p>
            <w:pPr>
              <w:spacing w:after="0"/>
              <w:rPr>
                <w:sz w:val="20"/>
                <w:szCs w:val="20"/>
                <w:color w:val="auto"/>
              </w:rPr>
            </w:pPr>
            <w:r>
              <w:rPr>
                <w:rFonts w:ascii="Arial" w:cs="Arial" w:eastAsia="Arial" w:hAnsi="Arial"/>
                <w:sz w:val="18"/>
                <w:szCs w:val="18"/>
                <w:color w:val="auto"/>
              </w:rPr>
              <w:t>Currently exercisable</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33.0</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an employee stock purchase plan approved by shareholders that authorizes the issuance of up to 16,000,000 shares to eligible employees worldwide. Our stock purchase plan uses a captive broker and we deposit shares purchased by the employee with the captive broker. In addition, for international participants, the National subsidiary that the participant is employed by is responsible for paying to us the difference between the purchase price set by the terms of the plan and the fair market value at the time of the purchase. This plan allows employees to purchase shares of the company’s common stock at 85 percent of the lower of the common stock’s fair market value at the time of enrollment in one of two six-month purchase periods in a one-year offering period or the end of the purchase period.</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the terms of our stock purchase plan, we issued 1.8 million shares in fiscal 2010, 2.2 million shares in fiscal 2009 and 1.5 million shares in fiscal 2008 to employees for $19.2 million, $24.0 million and $26.0 million, respectively. As of May 30, 2010 there were 4.8 million shares reserved for future issuance under the stock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Forms of Equity Compensation</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2009 Plan provides for the grant of restricted stock and restricted stock units that are subject to restrictions which may be based exclusively on the passage of time or may also include performance conditions as determined by the Compensation Committee of our Board of Directors. Vesting for both restricted stock and restricted stock units can begin to occur six months after grant and the minimum full vesting period for non-performance contingent restricted shares is three years. The minimum vesting period for any performance contingent restricted shares is one year. Restricted stock and restricted stock units granted under the former EEP and restricted stock plan were also subject to restrictions based exclusively on the passage of time or included performance conditions and have similar vesting requirements. We use restricted stock awards as a retention vehicle for employees with technical skills and expertise that are important to 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280" w:right="239" w:bottom="1440" w:gutter="0" w:footer="0" w:header="0"/>
        </w:sectPr>
      </w:pPr>
    </w:p>
    <w:bookmarkStart w:id="42" w:name="page43"/>
    <w:bookmarkEnd w:id="42"/>
    <w:p>
      <w:pPr>
        <w:ind w:right="4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a summary of activity during fiscal 2010 for grants of restricted stock not yet vested and restricted stock units under the restricted stock plan, the EEP and the 2009 Plan (excluding units granted with performance based restrictions):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180" w:type="dxa"/>
            <w:vAlign w:val="bottom"/>
            <w:gridSpan w:val="3"/>
          </w:tcPr>
          <w:p>
            <w:pPr>
              <w:jc w:val="right"/>
              <w:ind w:right="540"/>
              <w:spacing w:after="0"/>
              <w:rPr>
                <w:sz w:val="20"/>
                <w:szCs w:val="20"/>
                <w:color w:val="auto"/>
              </w:rPr>
            </w:pPr>
            <w:r>
              <w:rPr>
                <w:rFonts w:ascii="Arial" w:cs="Arial" w:eastAsia="Arial" w:hAnsi="Arial"/>
                <w:sz w:val="14"/>
                <w:szCs w:val="14"/>
                <w:color w:val="auto"/>
              </w:rPr>
              <w:t>Number of Shares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Weighted-Average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20" w:type="dxa"/>
            <w:vAlign w:val="bottom"/>
            <w:gridSpan w:val="2"/>
          </w:tcPr>
          <w:p>
            <w:pPr>
              <w:jc w:val="right"/>
              <w:ind w:right="680"/>
              <w:spacing w:after="0" w:line="159" w:lineRule="exact"/>
              <w:rPr>
                <w:sz w:val="20"/>
                <w:szCs w:val="20"/>
                <w:color w:val="auto"/>
              </w:rPr>
            </w:pPr>
            <w:r>
              <w:rPr>
                <w:rFonts w:ascii="Arial" w:cs="Arial" w:eastAsia="Arial" w:hAnsi="Arial"/>
                <w:sz w:val="14"/>
                <w:szCs w:val="14"/>
                <w:color w:val="auto"/>
              </w:rPr>
              <w:t>(In Millions)</w:t>
            </w:r>
          </w:p>
        </w:tc>
        <w:tc>
          <w:tcPr>
            <w:tcW w:w="1780" w:type="dxa"/>
            <w:vAlign w:val="bottom"/>
            <w:gridSpan w:val="4"/>
          </w:tcPr>
          <w:p>
            <w:pPr>
              <w:ind w:left="480"/>
              <w:spacing w:after="0" w:line="159" w:lineRule="exact"/>
              <w:rPr>
                <w:sz w:val="20"/>
                <w:szCs w:val="20"/>
                <w:color w:val="auto"/>
              </w:rPr>
            </w:pPr>
            <w:r>
              <w:rPr>
                <w:rFonts w:ascii="Arial" w:cs="Arial" w:eastAsia="Arial" w:hAnsi="Arial"/>
                <w:sz w:val="14"/>
                <w:szCs w:val="14"/>
                <w:color w:val="auto"/>
                <w:w w:val="93"/>
              </w:rPr>
              <w:t>Grant-Date Fair Value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27, 2007</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Granted/Issued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8"/>
                <w:szCs w:val="18"/>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3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6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25, 2008</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Granted/Issued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8"/>
                <w:szCs w:val="18"/>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3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66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31, 2009</w:t>
            </w:r>
          </w:p>
        </w:tc>
        <w:tc>
          <w:tcPr>
            <w:tcW w:w="16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Granted/Issued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3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66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30, 2010</w:t>
            </w:r>
          </w:p>
        </w:tc>
        <w:tc>
          <w:tcPr>
            <w:tcW w:w="16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total fair value of restricted shares that vested in fiscal 2010, 2009 and 2008 was $2.1 million, $1.6 million and $2.8 million, respectively. Total unrecognized compensation cost related to non-vested restricted stock shares and restricted stock units outstanding as of May 30, 2010 was $26.0 million, which is expected to be recognized over a weighted-average period of 3.0 years.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 director stock plan, which has been approved by shareholders, that authorizes the issuance of up to 900,000 shares of common stock to eligible directors who are not employees of the company. The stock is issued automatically to eligible new directors upon their appointment to the board and to all eligible directors on their subsequent election to the board by shareholders. Directors may also elect to take their annual retainer fees for board membership and committee chairmanship in stock under the plan. The shares issued to the directors under the plan are restricted from transfer for between six and thirty-six months. As of May 30, 2010 we had issued 796,047 shares under the director stock plan and had reserved 103,953 shares for future issuances. Total unrecognized compensation cost related to non-vested shares under the director stock plan as of May 30, 2010 was $0.9 million, which is expected to be recognized over a weighted-average period of 2.3 years. We will continue to grant awards to members of our Board of Directors under the existing director stock plan until all remaining authorized shares have been used. At that time, future awards will then be granted under the 2009 Plan.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performance share units under the EOEP, 259,374 shares were issued upon completion in July 2009 of the third two-year performance period. Targets for a fifth two-year performance period were established in July 2009 and will be measured after the end of fiscal 2011. In addition, targets for a one-year performance period were established, which will be measured after the end of fiscal 2010, but requires a two-year vesting period. In fiscal 2009, no shares were issued upon completion in July 2008 of the second two-year performance period because minimum performance thresholds were not achieved and in fiscal 2008, 1,005,000 shares were issued upon completion in July 2007 of the first performance period. Total unrecognized compensation cost related to unvested performance share units as of May 30, 2010 was $12.4 million, which is expected to be recognized over a weighted-average period of 1.0 years.</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After the end of fiscal 2010, the fourth two-year performance period was measured upon its completion and since minimum performance thresholds were not achieved, no shares were issued in July 2010. Under the 2009 Plan, targets for a sixth two-year performance period were established in June 2010 and will be measured after the end of fiscal 2012.</w:t>
      </w:r>
    </w:p>
    <w:p>
      <w:pPr>
        <w:spacing w:after="0" w:line="14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November 2008, the Compensation Committee of our Board of Directors approved retention arrangements for each of our executive officers that cover the ensuing two-year period and provide each executive officer with a cash award to be paid on or about November 30, 2010. The amount of the cash award is based on the average daily closing price of our common stock for the second fiscal quarter ending November 28, 2010, which amount increases depending on five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280" w:right="239" w:bottom="1440" w:gutter="0" w:footer="0" w:header="0"/>
        </w:sectPr>
      </w:pPr>
    </w:p>
    <w:bookmarkStart w:id="43" w:name="page44"/>
    <w:bookmarkEnd w:id="43"/>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stock price ranges that fall between a minimum and maximum price as set forth under each arrangement. The cash award is considered a share-based payment award and measured at fair value since the award is indexed to the price of our common stock. We measure compensation expense based on the estimated fair value of the cash award at the end of each reporting period and include that amount in share-based compensation expense. To calculate fair value, we use the Monte Carlo valuation method which estimates the probability of the potential payouts. The fair value of the cash award is amortized over the retention period and recognized as a liability reported in accrued expenses in the consolidated balance sheet as of May 30, 2010. Total unrecognized compensation cost related to the executive officer retention awards at May 30, 2010 was $2.9 million, which is expected to be recognized over a weighted-average period of 0.5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Exchange Program</w:t>
      </w:r>
    </w:p>
    <w:p>
      <w:pPr>
        <w:spacing w:after="0" w:line="90"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We completed a stock option exchange program in November 2009. Like many companies, we had experienced a significant decline in our stock price during calendar 2008 and 2009 as a result of the global financial and economic crisis. Our employees held stock options with exercise prices significantly above the recent trading prices of our common stock. The stock option exchange program offered our employees the opportunity to surrender certain of those outstanding stock options for cancellation in exchange for a number of restricted stock units to be granted under the 2009 Plan having a value roughly equivalent to the value of the options exchanged. Named executive officers and members of our Board of Directors were not eligible to participate in the option exchange program.</w:t>
      </w:r>
    </w:p>
    <w:p>
      <w:pPr>
        <w:spacing w:after="0" w:line="10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Under the exchange program, eligible stock options with an exercise price of $17.00 and above could be exchanged for restricted stock units at an exchange ratio that ranged between 5 to 1 and 10 to 1 depending on the actual exercise prices of the eligible stock options. The exchange ratios for the option exchange were determined using the Black-Scholes option pricing model with a computation of expected volatility based on a combination of historical and implied volatility. We used this model to enable us to calculate exchange ratios that would result in a fair value of the new restricted stock units to be effectively equal to the fair value of the surrendered eligible stock options and as such, incremental compensation expense was immaterial.</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exchange program, eligible stock options to purchase an aggregate of 12,830,732 shares held by 1,713 employees were cancelled. Of this amount, eligible options to purchase 11,988,793 shares were cancelled and exchanged for a total of 1,670,944 new restricted stock units on November 16, 2009. The aggregate fair value of the restricted stock units was $22.7 million based on the closing price of our common stock on the exchange date. These restricted stock units will vest ratably each year for four years unless the exchanged stock options were fully vested, in which case they will vest ratably each year for three years. Under the terms of the exchange program, a cash payment was offered for the surrender of eligible stock options for which application of the exchange ratios would result in the issuance of less than 100 restricted stock units. Eligible options to purchase 841,939 shares were cancelled in exchange for an aggregate $1.3 million cash payment made to employees on November 16, 2009. As a result of the cash payments, share-based compensation expense in fiscal 2010 includes an incremental expense of $1.7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lease certain facilities and equipment under operating lease arrangements. Rental expenses under operating leases were $24.5 million, $29.8 million and $31.9 million in fiscal 2010, 2009 and 2008,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commitments under non-cancelable operating leases are as follows:</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220" w:type="dxa"/>
            <w:vAlign w:val="bottom"/>
            <w:gridSpan w:val="4"/>
          </w:tcPr>
          <w:p>
            <w:pPr>
              <w:ind w:left="442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660" w:type="dxa"/>
            <w:vAlign w:val="bottom"/>
            <w:gridSpan w:val="2"/>
            <w:shd w:val="clear" w:color="auto" w:fill="CCEEFF"/>
          </w:tcPr>
          <w:p>
            <w:pPr>
              <w:ind w:left="4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2012</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2014</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2016 and thereafter</w:t>
            </w:r>
          </w:p>
        </w:tc>
        <w:tc>
          <w:tcPr>
            <w:tcW w:w="4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60" w:type="dxa"/>
            <w:vAlign w:val="bottom"/>
            <w:gridSpan w:val="2"/>
            <w:shd w:val="clear" w:color="auto" w:fill="CCEEFF"/>
          </w:tcPr>
          <w:p>
            <w:pPr>
              <w:ind w:left="4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60" w:type="dxa"/>
            <w:vAlign w:val="bottom"/>
            <w:gridSpan w:val="2"/>
          </w:tcPr>
          <w:p>
            <w:pPr>
              <w:ind w:left="1160"/>
              <w:spacing w:after="0"/>
              <w:rPr>
                <w:sz w:val="20"/>
                <w:szCs w:val="20"/>
                <w:color w:val="auto"/>
              </w:rPr>
            </w:pPr>
            <w:r>
              <w:rPr>
                <w:rFonts w:ascii="Arial" w:cs="Arial" w:eastAsia="Arial" w:hAnsi="Arial"/>
                <w:sz w:val="18"/>
                <w:szCs w:val="18"/>
                <w:color w:val="auto"/>
              </w:rPr>
              <w:t>F-39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44" w:name="page45"/>
    <w:bookmarkEnd w:id="4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October 2009, we entered into a five-year warehouse services agreement with a local supplier in Singapore who will provide warehousing and distribution services for our finished products. Under the terms of the agreement, we are committed to purchase services based on the delivery of a minimum volume of our finished products at specified rates (depending on the volume delivered) as determined in the agreement. The minimum purchases under the agreement are $3.1 million in each of the next 4 years (fiscal 2011 through 2014) and a remaining $1.3 million in fiscal 2015. We purchased $3.9 million of warehouse services under this agreement in fiscal 2010.</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an agreement with a local energy supplier in Maine to purchase electricity for our manufacturing facility located there. The agreement began in January 2006 and is a five-year term full requirement contract with no minimum purchase commitments. The agreement allows for a fixed purchase price if the annual volume purchased falls within a specified range as determined by the terms of the agreement. In fiscal 2010, 2009 and 2008, we purchased $8.9 million, $8.8 million and $9.7 million, respectively, for electricity usage under this agreement. We also had an agreement with a local energy supplier in Texas to purchase electricity for our manufacturing facility located there. The agreement was a three-year bulk contract where service began in June 2006. However, the agreement was terminated prior to its expiration since our level of future electricity usage was expected to be significantly reduced due to the action announced in January 2008 to modernize our facilities and rationalize the capacity in our manufacturing plants. We paid a $1.0 million penalty fee and entered into a separate agreement with the same supplier for the purchase of electricity for the remainder of the service period provided under the former agreement. The new agreement, which expired at the end of fiscal 2009, required us to purchase a minimum level of electricity at a specified price as determined by the terms of the agreement. Under that agreement, we purchased a total of $6.0 million for electricity usage in fiscal 2009 and a total of $5.5 million for electricity usage under both agreements in fiscal 2008.</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an agreement with a supplier in Malacca, Malaysia to purchase industrial gases for our manufacturing facility located there. The agreement began in May 2007 and runs through May 2022. Under the terms of the agreement we can purchase up to a certain monthly volume of gas products based on specified prices as determined by the terms of the agreement. The agreement permits the review of these prices every five years if such prices vary by more or less than 10 percent of fair market value. Minimum purchases under the agreement are $506 thousand in each of the next 5 years (fiscal 2011 through 2015) and a remaining $3.5 million in fiscal 2016 and thereafter. We purchased $1.0 million of gas products under this agreement in both fiscal 2010 and 2009. In fiscal 2008, we purchased $0.9 million of gas product.</w:t>
      </w:r>
    </w:p>
    <w:p>
      <w:pPr>
        <w:spacing w:after="0" w:line="144"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are party to a master operating lease agreement for capital equipment under which individual operating lease agreements are executed as the delivery and acceptance of scheduled equipment occurs. The required future minimum lease payments under these operating leases are included in the table above. These individual operating lease agreements under the master lease provide for guarantees of the equipment’s residual value at the end of their lease terms for up to a maximum of $4.1 million. At May 30, 2010, the fair value of the lease guarantees was $0.1 million and is included in other non-current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 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been named to the National Priorities List for our Santa Clara, California, site and we have completed a remedial investigation/feasibility study with the Regional Water Quality Control Board (RWQCB), acting as an agent for the EPA. We have agreed in principle with the RWQCB on a site remediation plan and we are conducting remediation and cleanup efforts at the site. In addition to the Santa Clara site, we have been designated from time to time as a potentially responsible party (PRP) by international, federal and state agencies for certain environmental sites with which we may have had direct or indirect involvement. These designations are made regardless of the extent of our involvement. These claims are in various stages of administrative or judicial proceedings and include demands for recovery of past governmental costs and for future investigations and remedial actions. In many cases, the dollar amounts of the claims have not been specified, and, claims have been asserted against a number of other entities for the same cost recovery or other relief as is sought from us. We accrue costs associated with environmental matters when they become probable and can be reasonably estimated. The amount of all environmental charges to earnings, including charges for the Santa Clara site remediation, (excluding potential reimbursements from insurance coverage), were not material during fiscal 2010, 2009 and 2008.</w:t>
      </w:r>
    </w:p>
    <w:p>
      <w:pPr>
        <w:spacing w:after="0" w:line="12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have also retained responsibility for environmental matters connected with businesses we sold in fiscal 1996 and 1997. To date, the costs associated with the liabilities we have retained in these dispositions have not been material and there have been no related legal proceedings.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28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Matters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federal tax returns for fiscal 2007 through 2009 are currently under examination by the IRS. In addition, the IRS will audit our amended federal tax returns for fiscal 2005 and 2006. Several U.S. state taxing jurisdictions are examining our state tax returns for fiscal 2001 through 2005. During fiscal 2010, the state of California closed its audits of fiscal years up through fiscal 2000, which resulted in an immaterial adjustment. Internationally, tax authorities from several foreign jurisdictions are also examining our tax returns. We believe we have made adequate tax payments and/or accrued adequate amounts of reserves such that the outcomes of these audits will have no material adverse effects on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May 2008, eTool Development, Inc. and eTool Patent Holdings Corporation (collectively eTool) brought suit in the U.S. District Court for the Eastern District of Texas alleging that our WEBENCH® online design tools infringe an eTool patent and seeking an injunction and unspecified amounts of monetary damages (trebled because of the alleged willful infringement), attorneys’ fees and costs. In December 2008, eTool amended the complaint and counterclaims to include our SOLUTIONS online tool in its allegations of infringement of the eTool patent. We filed an answer to the amended complaint and counterclaims for declaratory judgment of non-infringement and invalidity of the patent. On February 27, 2009, the Court held a scheduling conference setting a claim construction hearing for August 2011 and a jury trial for January 2012. eTool served its infringement contentions in March 2009 and we served our invalidity contentions in May 2009. Both parties exchanged initial disclosures on May 29, 2009. The discovery phase of the case is now open and ongoing. In February 2010, we filed 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petition with the United States Patent and Trademark Office (PTO), seeking a determination that the ‘919 patent is invalid. On March 15, 2010, the PTO issued a communication granting 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petition.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proceeding is ongoing. On June 8, 2010, eTool filed its second amended complaint removing the infringement allegations against our SOLUTIONS online tool. We answered eTool’s second amended complaint on June 25, 2010. We intend to contest the case through all available means.</w:t>
      </w:r>
    </w:p>
    <w:p>
      <w:pPr>
        <w:spacing w:after="0" w:line="12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are currently a party to various claims and legal proceedings, including those noted above. We make provisions for a liability when it is both probable that a liability has been incurred and the amount of the loss can be reasonably estimated. We believe we have made adequate provisions for potential liability in litigation matters. We review these provisions at least quarterly and adjust these provisions to reflect the impact of negotiations, settlements, rulings, advice of legal counsel and other information and events pertaining to a particular case. Based on the information that is currently available to us, we believe that the ultimate outcome of litigation matters, individually and in the aggregate, will not have a material adverse effect on our results of operations or financial position. However, litigation is inherently unpredictable. If an unfavorable ruling or outcome were to occur, there is a possibility of a material adverse effect on results of operations or our financial position.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 — Other</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connection with our past divestitures, we have routinely provided indemnities to cover the indemnified party for matters such as environmental, tax, product and employee liabilities. We also routinely include intellectual property indemnification provisions in our terms of sale, development agreements and technology licenses with third parties. Since maximum obligations are not explicitly stated in these indemnification provisions, the potential amount of future maximum payments cannot be reasonably estimated. To date we have incurred minimal losses associated with these indemnification obligations and as a result, we have not recorded any liabilities in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and Geographic Information</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design, develop, manufacture and market a wide range of semiconductor products, most of which are analog and mixed-signal integrated circuits. We are organized by various product line business units. For segment reporting purposes, each of our product line business units represents an operating segment as defined under ASC Topic 280, “Segment Reporting,” and our Chief Executive Officer is considered the chief operating decision-maker. Business units that have similarities, including economic characteristics, underlying technology, markets and customers, are aggregated into larger segments. For fiscal 2010, our Analog segment, which accounted for 94 percent of net sales, is the only operating segment that meets the criteria of a reportable segment. Operating segments that do not meet the criteria of a reportable segment are combined under “All Others.”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Product line business units that make up the Analog segment include high speed products, precision signal path, and power management which includes three different business units (infrastructure power, mobile devices power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280" w:right="239" w:bottom="1440" w:gutter="0" w:footer="0" w:header="0"/>
        </w:sectPr>
      </w:pPr>
    </w:p>
    <w:bookmarkStart w:id="46" w:name="page47"/>
    <w:bookmarkEnd w:id="46"/>
    <w:p>
      <w:pPr>
        <w:jc w:val="both"/>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power products). These business units represent the core analog focus and receive the majority of our research and development investment funds. The Analog segment is focused on utilizing our analog and mixed-signal design expertise to develop high-performance building blocks and integrated solutions aimed at end markets, such as wireless handsets (including smart phones) and other portable devices, and at applications for broader markets, such as industrial and medical, automotive, network infrastructure and photovoltaic systems.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Aside from these operating segments, our corporate structure in fiscal 2010, 2009 and 2008 also included the centralized Worldwide Marketing and Sales Group, the Key Market Segments Group, the Technology Development Group, the Manufacturing Operations Group, and the Corporate Group. Certain expenses of these groups are allocated to the operating segments and are included in their segment operating results.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the exception of the allocation of certain expenses, the significant accounting policies and practices used to prepare the consolidated financial statements as described in Note 1 to the Consolidated Financial Statements are generally followed in measuring the sales, segment income or loss and determination of assets for each reportable segment. We allocate certain expenses associated with centralized manufacturing, selling, marketing and general administration to operating segments based on either the percentage of net trade sales for each operating segment to total net trade sales or headcount, as appropriate. Certain R&amp;D expenses primarily associated with centralized activities such as process development are allocated to operating segments based on the percentage of dedicated R&amp;D expenses for each operating segment to total dedicated R&amp;D expenses.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40"/>
          </w:cols>
          <w:pgMar w:left="240" w:top="280" w:right="319" w:bottom="1440" w:gutter="0" w:footer="0" w:header="0"/>
        </w:sectPr>
      </w:pPr>
    </w:p>
    <w:bookmarkStart w:id="47" w:name="page48"/>
    <w:bookmarkEnd w:id="4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specified amounts included in the measure of segment operating results or the determination of segment assets: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Analog</w:t>
            </w:r>
          </w:p>
        </w:tc>
        <w:tc>
          <w:tcPr>
            <w:tcW w:w="8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color w:val="auto"/>
              </w:rPr>
              <w:t>All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0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13"/>
                <w:szCs w:val="13"/>
                <w:color w:val="auto"/>
              </w:rPr>
            </w:pPr>
          </w:p>
        </w:tc>
        <w:tc>
          <w:tcPr>
            <w:tcW w:w="108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Segment</w:t>
            </w:r>
          </w:p>
        </w:tc>
        <w:tc>
          <w:tcPr>
            <w:tcW w:w="80" w:type="dxa"/>
            <w:vAlign w:val="bottom"/>
          </w:tcPr>
          <w:p>
            <w:pPr>
              <w:spacing w:after="0"/>
              <w:rPr>
                <w:sz w:val="13"/>
                <w:szCs w:val="13"/>
                <w:color w:val="auto"/>
              </w:rPr>
            </w:pPr>
          </w:p>
        </w:tc>
        <w:tc>
          <w:tcPr>
            <w:tcW w:w="8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90"/>
              </w:rPr>
              <w:t>Others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2"/>
        </w:trPr>
        <w:tc>
          <w:tcPr>
            <w:tcW w:w="5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sales to external customers</w:t>
            </w:r>
          </w:p>
        </w:tc>
        <w:tc>
          <w:tcPr>
            <w:tcW w:w="1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1,329.1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90.3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Interest 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loss on derivative instrument in fair value hedge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Total assets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177.7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2,097.1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2,274.8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sales to external customers</w:t>
            </w:r>
          </w:p>
        </w:tc>
        <w:tc>
          <w:tcPr>
            <w:tcW w:w="1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1,334.9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125.5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113.8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Interest 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In-process research and development charge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1,775.8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200" w:type="dxa"/>
            <w:vAlign w:val="bottom"/>
          </w:tcPr>
          <w:p>
            <w:pPr>
              <w:spacing w:after="0"/>
              <w:rPr>
                <w:sz w:val="20"/>
                <w:szCs w:val="20"/>
                <w:color w:val="auto"/>
              </w:rPr>
            </w:pPr>
            <w:r>
              <w:rPr>
                <w:rFonts w:ascii="Arial" w:cs="Arial" w:eastAsia="Arial" w:hAnsi="Arial"/>
                <w:sz w:val="18"/>
                <w:szCs w:val="18"/>
                <w:color w:val="auto"/>
              </w:rPr>
              <w:t>2008</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sales to external customers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1,695.9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450.9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manufacturing plant assets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Litigation settlement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1,952.0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information in the table above for fiscal 2009 and 2008 has been reclassified to present segment information based on the structure of our operating segments in fiscal 2010. Sales for the category “All Others,” includes sales from non-analog business units that are no longer a part of our core focus, as well as some sales generated from foundry and contract service arrangements.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Total assets for the Analog segment consist only of those assets that are specifically dedicated to an operating segment and include inventories, equipment, equity investments, goodwill and amortizable intangibles assets. Depreciation and amortization presented for each segment include only such charges on dedicated segment assets. Similarly, share-based compensation expense presented for each segment includes only such charges related to employees who directly support the operating segments. The measurement of segment profit and loss includes an allocation of depreciation expense for shared manufacturing facilities and share-based compensation expense associated with direct labor contained in the standard cost of product for each segment.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40"/>
          </w:cols>
          <w:pgMar w:left="240" w:top="280" w:right="319" w:bottom="1440" w:gutter="0" w:footer="0" w:header="0"/>
        </w:sectPr>
      </w:pPr>
    </w:p>
    <w:bookmarkStart w:id="48" w:name="page49"/>
    <w:bookmarkEnd w:id="48"/>
    <w:p>
      <w:pPr>
        <w:jc w:val="both"/>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revenues from external customers are derived from the sales of semiconductor product and engineering-related services. For fiscal 2010, 2009 and 2008, sales from engineering-related services were immaterial and are included with semiconductor product sales. Our semiconductor product sales consist of integrated circuit components and are considered a group of similar products.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to major customers as a percentage of total net sales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100" w:type="dxa"/>
            <w:vAlign w:val="bottom"/>
            <w:gridSpan w:val="3"/>
          </w:tcPr>
          <w:p>
            <w:pPr>
              <w:jc w:val="right"/>
              <w:ind w:right="620"/>
              <w:spacing w:after="0"/>
              <w:rPr>
                <w:sz w:val="20"/>
                <w:szCs w:val="20"/>
                <w:color w:val="auto"/>
              </w:rPr>
            </w:pPr>
            <w:r>
              <w:rPr>
                <w:rFonts w:ascii="Arial" w:cs="Arial" w:eastAsia="Arial" w:hAnsi="Arial"/>
                <w:sz w:val="14"/>
                <w:szCs w:val="14"/>
                <w:color w:val="auto"/>
              </w:rPr>
              <w:t>2010</w:t>
            </w:r>
          </w:p>
        </w:tc>
        <w:tc>
          <w:tcPr>
            <w:tcW w:w="260" w:type="dxa"/>
            <w:vAlign w:val="bottom"/>
          </w:tcPr>
          <w:p>
            <w:pPr>
              <w:jc w:val="right"/>
              <w:spacing w:after="0"/>
              <w:rPr>
                <w:sz w:val="20"/>
                <w:szCs w:val="20"/>
                <w:color w:val="auto"/>
              </w:rPr>
            </w:pPr>
            <w:r>
              <w:rPr>
                <w:rFonts w:ascii="Arial" w:cs="Arial" w:eastAsia="Arial" w:hAnsi="Arial"/>
                <w:sz w:val="14"/>
                <w:szCs w:val="14"/>
                <w:color w:val="auto"/>
                <w:w w:val="76"/>
              </w:rPr>
              <w:t>2009</w:t>
            </w:r>
          </w:p>
        </w:tc>
        <w:tc>
          <w:tcPr>
            <w:tcW w:w="6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3"/>
              </w:rPr>
              <w:t>2008</w:t>
            </w:r>
          </w:p>
        </w:tc>
        <w:tc>
          <w:tcPr>
            <w:tcW w:w="200" w:type="dxa"/>
            <w:vAlign w:val="bottom"/>
          </w:tcPr>
          <w:p>
            <w:pPr>
              <w:spacing w:after="0"/>
              <w:rPr>
                <w:sz w:val="14"/>
                <w:szCs w:val="14"/>
                <w:color w:val="auto"/>
              </w:rPr>
            </w:pPr>
          </w:p>
        </w:tc>
      </w:tr>
      <w:tr>
        <w:trPr>
          <w:trHeight w:val="102"/>
        </w:trPr>
        <w:tc>
          <w:tcPr>
            <w:tcW w:w="41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3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Avnet</w:t>
            </w:r>
          </w:p>
        </w:tc>
        <w:tc>
          <w:tcPr>
            <w:tcW w:w="4100" w:type="dxa"/>
            <w:vAlign w:val="bottom"/>
            <w:gridSpan w:val="3"/>
          </w:tcPr>
          <w:p>
            <w:pPr>
              <w:jc w:val="right"/>
              <w:ind w:right="48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Arrow</w:t>
            </w:r>
          </w:p>
        </w:tc>
        <w:tc>
          <w:tcPr>
            <w:tcW w:w="4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323"/>
        </w:trPr>
        <w:tc>
          <w:tcPr>
            <w:tcW w:w="4120" w:type="dxa"/>
            <w:vAlign w:val="bottom"/>
          </w:tcPr>
          <w:p>
            <w:pPr>
              <w:spacing w:after="0"/>
              <w:rPr>
                <w:sz w:val="20"/>
                <w:szCs w:val="20"/>
                <w:color w:val="auto"/>
              </w:rPr>
            </w:pPr>
            <w:r>
              <w:rPr>
                <w:rFonts w:ascii="Arial" w:cs="Arial" w:eastAsia="Arial" w:hAnsi="Arial"/>
                <w:sz w:val="18"/>
                <w:szCs w:val="18"/>
                <w:color w:val="auto"/>
              </w:rPr>
              <w:t>OEM:</w:t>
            </w:r>
          </w:p>
        </w:tc>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Nokia</w:t>
            </w:r>
          </w:p>
        </w:tc>
        <w:tc>
          <w:tcPr>
            <w:tcW w:w="41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less than 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Sales to the distributors included above are mostly for our Analog segment products, but also include some sales for our other operating segment products.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Sales to Nokia are primarily for our Analog segment products.</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operate our marketing and sales activities in four main geographic regions that include the Americas, Asia Pacific, Europe and Japan. Total sales by geographical area include sales to unaffiliated customers and inter-geographic transfers, which are based on standard cost. To control costs, a substantial portion of our products are transported between the Americas, Asia Pacific region and Europe while in the process of being manufactured and sold. In the information presented below, we have excluded these inter-geographic transfers.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geographic sales and asset information by major countries within the main geographic areas: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2010</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02"/>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334.9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341.1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9"/>
                <w:szCs w:val="19"/>
                <w:color w:val="auto"/>
              </w:rPr>
            </w:pPr>
          </w:p>
        </w:tc>
      </w:tr>
      <w:tr>
        <w:trPr>
          <w:trHeight w:val="102"/>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locations: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People’s Republic of China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Singapore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Japan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8"/>
                <w:szCs w:val="18"/>
                <w:color w:val="auto"/>
              </w:rPr>
            </w:pPr>
          </w:p>
        </w:tc>
      </w:tr>
      <w:tr>
        <w:trPr>
          <w:trHeight w:val="223"/>
        </w:trPr>
        <w:tc>
          <w:tcPr>
            <w:tcW w:w="6700" w:type="dxa"/>
            <w:vAlign w:val="bottom"/>
          </w:tcPr>
          <w:p>
            <w:pPr>
              <w:ind w:left="880"/>
              <w:spacing w:after="0"/>
              <w:rPr>
                <w:sz w:val="20"/>
                <w:szCs w:val="20"/>
                <w:color w:val="auto"/>
              </w:rPr>
            </w:pPr>
            <w:r>
              <w:rPr>
                <w:rFonts w:ascii="Arial" w:cs="Arial" w:eastAsia="Arial" w:hAnsi="Arial"/>
                <w:sz w:val="18"/>
                <w:szCs w:val="18"/>
                <w:color w:val="auto"/>
              </w:rPr>
              <w:t xml:space="preserve">United Kingdom </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1,084.5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1,119.3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1,500.4</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Total net sales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1,419.4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1,460.4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1,885.9</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19"/>
                <w:szCs w:val="19"/>
                <w:color w:val="auto"/>
              </w:rPr>
            </w:pPr>
          </w:p>
        </w:tc>
      </w:tr>
      <w:tr>
        <w:trPr>
          <w:trHeight w:val="102"/>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locations: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Malaysia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r>
      <w:tr>
        <w:trPr>
          <w:trHeight w:val="223"/>
        </w:trPr>
        <w:tc>
          <w:tcPr>
            <w:tcW w:w="6700" w:type="dxa"/>
            <w:vAlign w:val="bottom"/>
          </w:tcPr>
          <w:p>
            <w:pPr>
              <w:ind w:left="880"/>
              <w:spacing w:after="0"/>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Total long-lived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461.8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28"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Beginning in fiscal 2009, we no longer report sales in the United Kingdom since our European sales operations were consolidated and are now in Munich, Germany.</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40"/>
          </w:cols>
          <w:pgMar w:left="240" w:top="280"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17. Financial Information by Quarter (Unaudited)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w:t>
      </w:r>
      <w:r>
        <w:rPr>
          <w:rFonts w:ascii="Arial" w:cs="Arial" w:eastAsia="Arial" w:hAnsi="Arial"/>
          <w:sz w:val="18"/>
          <w:szCs w:val="18"/>
          <w:b w:val="1"/>
          <w:bCs w:val="1"/>
          <w:color w:val="auto"/>
        </w:rPr>
        <w:t>unaudited</w:t>
      </w:r>
      <w:r>
        <w:rPr>
          <w:rFonts w:ascii="Arial" w:cs="Arial" w:eastAsia="Arial" w:hAnsi="Arial"/>
          <w:sz w:val="18"/>
          <w:szCs w:val="18"/>
          <w:color w:val="auto"/>
        </w:rPr>
        <w:t xml:space="preserve"> quarterly information for fiscal 2010 and 2009:</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color w:val="auto"/>
                <w:w w:val="98"/>
              </w:rPr>
              <w:t>Fourth</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Third</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2"/>
              </w:rPr>
              <w:t>Second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First</w:t>
            </w:r>
          </w:p>
        </w:tc>
        <w:tc>
          <w:tcPr>
            <w:tcW w:w="0" w:type="dxa"/>
            <w:vAlign w:val="bottom"/>
          </w:tcPr>
          <w:p>
            <w:pPr>
              <w:spacing w:after="0"/>
              <w:rPr>
                <w:sz w:val="1"/>
                <w:szCs w:val="1"/>
                <w:color w:val="auto"/>
              </w:rPr>
            </w:pPr>
          </w:p>
        </w:tc>
      </w:tr>
      <w:tr>
        <w:trPr>
          <w:trHeight w:val="159"/>
        </w:trPr>
        <w:tc>
          <w:tcPr>
            <w:tcW w:w="7260" w:type="dxa"/>
            <w:vAlign w:val="bottom"/>
            <w:gridSpan w:val="3"/>
          </w:tcPr>
          <w:p>
            <w:pPr>
              <w:spacing w:after="0" w:line="159" w:lineRule="exact"/>
              <w:rPr>
                <w:sz w:val="20"/>
                <w:szCs w:val="20"/>
                <w:color w:val="auto"/>
              </w:rPr>
            </w:pPr>
            <w:r>
              <w:rPr>
                <w:rFonts w:ascii="Arial" w:cs="Arial" w:eastAsia="Arial" w:hAnsi="Arial"/>
                <w:sz w:val="14"/>
                <w:szCs w:val="14"/>
                <w:color w:val="auto"/>
              </w:rPr>
              <w:t>(In Millions, Except Per Share Amounts)</w:t>
            </w:r>
          </w:p>
        </w:tc>
        <w:tc>
          <w:tcPr>
            <w:tcW w:w="72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w w:val="92"/>
              </w:rPr>
              <w:t>Quarter</w:t>
            </w:r>
          </w:p>
        </w:tc>
        <w:tc>
          <w:tcPr>
            <w:tcW w:w="180" w:type="dxa"/>
            <w:vAlign w:val="bottom"/>
          </w:tcPr>
          <w:p>
            <w:pPr>
              <w:spacing w:after="0"/>
              <w:rPr>
                <w:sz w:val="13"/>
                <w:szCs w:val="13"/>
                <w:color w:val="auto"/>
              </w:rPr>
            </w:pPr>
          </w:p>
        </w:tc>
        <w:tc>
          <w:tcPr>
            <w:tcW w:w="860" w:type="dxa"/>
            <w:vAlign w:val="bottom"/>
            <w:gridSpan w:val="3"/>
          </w:tcPr>
          <w:p>
            <w:pPr>
              <w:jc w:val="center"/>
              <w:ind w:right="380"/>
              <w:spacing w:after="0" w:line="159" w:lineRule="exact"/>
              <w:rPr>
                <w:sz w:val="20"/>
                <w:szCs w:val="20"/>
                <w:color w:val="auto"/>
              </w:rPr>
            </w:pPr>
            <w:r>
              <w:rPr>
                <w:rFonts w:ascii="Arial" w:cs="Arial" w:eastAsia="Arial" w:hAnsi="Arial"/>
                <w:sz w:val="14"/>
                <w:szCs w:val="14"/>
                <w:color w:val="auto"/>
                <w:w w:val="84"/>
              </w:rPr>
              <w:t>Quarter</w:t>
            </w: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2"/>
              </w:rPr>
              <w:t>Quarter</w:t>
            </w:r>
          </w:p>
        </w:tc>
        <w:tc>
          <w:tcPr>
            <w:tcW w:w="380" w:type="dxa"/>
            <w:vAlign w:val="bottom"/>
          </w:tcPr>
          <w:p>
            <w:pPr>
              <w:spacing w:after="0"/>
              <w:rPr>
                <w:sz w:val="13"/>
                <w:szCs w:val="13"/>
                <w:color w:val="auto"/>
              </w:rPr>
            </w:pPr>
          </w:p>
        </w:tc>
        <w:tc>
          <w:tcPr>
            <w:tcW w:w="60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4"/>
              </w:rPr>
              <w:t>Quarter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Borders>
              <w:top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398.5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344.6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274.3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243.7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gridSpan w:val="2"/>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and potential common shares outstanding: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237.3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242.5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60" w:type="dxa"/>
            <w:vAlign w:val="bottom"/>
            <w:gridSpan w:val="3"/>
          </w:tcPr>
          <w:p>
            <w:pPr>
              <w:spacing w:after="0"/>
              <w:rPr>
                <w:sz w:val="20"/>
                <w:szCs w:val="20"/>
                <w:color w:val="auto"/>
              </w:rPr>
            </w:pPr>
            <w:r>
              <w:rPr>
                <w:rFonts w:ascii="Arial" w:cs="Arial" w:eastAsia="Arial" w:hAnsi="Arial"/>
                <w:sz w:val="18"/>
                <w:szCs w:val="18"/>
                <w:color w:val="auto"/>
              </w:rPr>
              <w:t>Common stock price - high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16.00</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15.70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price - low</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13.14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380" w:type="dxa"/>
            <w:vAlign w:val="bottom"/>
            <w:gridSpan w:val="2"/>
          </w:tcPr>
          <w:p>
            <w:pPr>
              <w:spacing w:after="0"/>
              <w:rPr>
                <w:sz w:val="20"/>
                <w:szCs w:val="20"/>
                <w:color w:val="auto"/>
              </w:rPr>
            </w:pPr>
            <w:r>
              <w:rPr>
                <w:rFonts w:ascii="Arial" w:cs="Arial" w:eastAsia="Arial" w:hAnsi="Arial"/>
                <w:sz w:val="18"/>
                <w:szCs w:val="18"/>
                <w:color w:val="auto"/>
              </w:rPr>
              <w:t>2009</w:t>
            </w: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280.8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292.4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277.4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260" w:type="dxa"/>
            <w:vAlign w:val="bottom"/>
            <w:gridSpan w:val="3"/>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260" w:type="dxa"/>
            <w:vAlign w:val="bottom"/>
            <w:gridSpan w:val="3"/>
          </w:tcPr>
          <w:p>
            <w:pPr>
              <w:spacing w:after="0"/>
              <w:rPr>
                <w:sz w:val="20"/>
                <w:szCs w:val="20"/>
                <w:color w:val="auto"/>
              </w:rPr>
            </w:pPr>
            <w:r>
              <w:rPr>
                <w:rFonts w:ascii="Arial" w:cs="Arial" w:eastAsia="Arial" w:hAnsi="Arial"/>
                <w:sz w:val="18"/>
                <w:szCs w:val="18"/>
                <w:color w:val="auto"/>
              </w:rPr>
              <w:t>Weighted-average common and potential common shares outstanding:</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228.4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gridSpan w:val="2"/>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231.3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234.0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price - high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12.17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Common stock price - low</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9.06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common stock is traded on the New York Stock Exchange. The quoted market prices are as reported on the New York Stock Exchange Composite Tape. At May 30, 2010, there were approximately 4,800 record holders of common stock. The graph showing the performance of our stock over the last five years can be found in Item 5 of this Form 10-K.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274" w:right="23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SEMICONDUCTOR CORPORATION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Deducted from Receivables in the Consolidated Balance Sheets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Doubtful</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480" w:type="dxa"/>
            <w:vAlign w:val="bottom"/>
            <w:gridSpan w:val="3"/>
          </w:tcPr>
          <w:p>
            <w:pPr>
              <w:spacing w:after="0" w:line="159" w:lineRule="exact"/>
              <w:rPr>
                <w:sz w:val="20"/>
                <w:szCs w:val="20"/>
                <w:color w:val="auto"/>
              </w:rPr>
            </w:pPr>
            <w:r>
              <w:rPr>
                <w:rFonts w:ascii="Arial" w:cs="Arial" w:eastAsia="Arial" w:hAnsi="Arial"/>
                <w:sz w:val="14"/>
                <w:szCs w:val="14"/>
                <w:color w:val="auto"/>
              </w:rPr>
              <w:t>Description</w:t>
            </w:r>
          </w:p>
        </w:tc>
        <w:tc>
          <w:tcPr>
            <w:tcW w:w="12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Accounts</w:t>
            </w:r>
          </w:p>
        </w:tc>
        <w:tc>
          <w:tcPr>
            <w:tcW w:w="7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Returns</w:t>
            </w:r>
          </w:p>
        </w:tc>
        <w:tc>
          <w:tcPr>
            <w:tcW w:w="240" w:type="dxa"/>
            <w:vAlign w:val="bottom"/>
          </w:tcPr>
          <w:p>
            <w:pPr>
              <w:spacing w:after="0"/>
              <w:rPr>
                <w:sz w:val="13"/>
                <w:szCs w:val="13"/>
                <w:color w:val="auto"/>
              </w:rPr>
            </w:pPr>
          </w:p>
        </w:tc>
        <w:tc>
          <w:tcPr>
            <w:tcW w:w="940" w:type="dxa"/>
            <w:vAlign w:val="bottom"/>
            <w:gridSpan w:val="3"/>
          </w:tcPr>
          <w:p>
            <w:pPr>
              <w:spacing w:after="0" w:line="159" w:lineRule="exact"/>
              <w:rPr>
                <w:sz w:val="20"/>
                <w:szCs w:val="20"/>
                <w:color w:val="auto"/>
              </w:rPr>
            </w:pPr>
            <w:r>
              <w:rPr>
                <w:rFonts w:ascii="Arial" w:cs="Arial" w:eastAsia="Arial" w:hAnsi="Arial"/>
                <w:sz w:val="14"/>
                <w:szCs w:val="14"/>
                <w:color w:val="auto"/>
              </w:rPr>
              <w:t>Allowances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27, 2007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Additions charged against revenue</w:t>
            </w:r>
          </w:p>
        </w:tc>
        <w:tc>
          <w:tcPr>
            <w:tcW w:w="180" w:type="dxa"/>
            <w:vAlign w:val="bottom"/>
          </w:tcPr>
          <w:p>
            <w:pPr>
              <w:spacing w:after="0"/>
              <w:rPr>
                <w:sz w:val="18"/>
                <w:szCs w:val="18"/>
                <w:color w:val="auto"/>
              </w:rPr>
            </w:pPr>
          </w:p>
        </w:tc>
        <w:tc>
          <w:tcPr>
            <w:tcW w:w="10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191.8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charged against cost and expenses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(198.2)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25, 2008</w:t>
            </w: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Additions charged against revenue</w:t>
            </w:r>
          </w:p>
        </w:tc>
        <w:tc>
          <w:tcPr>
            <w:tcW w:w="180" w:type="dxa"/>
            <w:vAlign w:val="bottom"/>
          </w:tcPr>
          <w:p>
            <w:pPr>
              <w:spacing w:after="0"/>
              <w:rPr>
                <w:sz w:val="18"/>
                <w:szCs w:val="18"/>
                <w:color w:val="auto"/>
              </w:rPr>
            </w:pPr>
          </w:p>
        </w:tc>
        <w:tc>
          <w:tcPr>
            <w:tcW w:w="10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185.4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charged against cost and expenses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 xml:space="preserve">(0.2) </w:t>
            </w: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31, 2009</w:t>
            </w: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Additions charged against revenue</w:t>
            </w:r>
          </w:p>
        </w:tc>
        <w:tc>
          <w:tcPr>
            <w:tcW w:w="180" w:type="dxa"/>
            <w:vAlign w:val="bottom"/>
          </w:tcPr>
          <w:p>
            <w:pPr>
              <w:spacing w:after="0"/>
              <w:rPr>
                <w:sz w:val="18"/>
                <w:szCs w:val="18"/>
                <w:color w:val="auto"/>
              </w:rPr>
            </w:pPr>
          </w:p>
        </w:tc>
        <w:tc>
          <w:tcPr>
            <w:tcW w:w="10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230.1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xml:space="preserve">(0.7) </w:t>
            </w: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(221.0)</w:t>
            </w: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rPr>
              <w:t>Balance at May 30, 2010</w:t>
            </w: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7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3400" w:type="dxa"/>
            <w:vAlign w:val="bottom"/>
            <w:vMerge w:val="restart"/>
          </w:tcPr>
          <w:p>
            <w:pPr>
              <w:ind w:left="160"/>
              <w:spacing w:after="0"/>
              <w:rPr>
                <w:sz w:val="20"/>
                <w:szCs w:val="20"/>
                <w:color w:val="auto"/>
              </w:rPr>
            </w:pPr>
            <w:r>
              <w:rPr>
                <w:rFonts w:ascii="Arial" w:cs="Arial" w:eastAsia="Arial" w:hAnsi="Arial"/>
                <w:sz w:val="18"/>
                <w:szCs w:val="18"/>
                <w:color w:val="auto"/>
                <w:w w:val="88"/>
              </w:rPr>
              <w:t>Doubtful accounts written off, less recoveries.</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3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customers do not have contractual rights to return product to us except under customary warranty provisions. The majority of returns and allowances are related to the price adjustment programs we have with distributors, none of which involve return of product. As discussed in Note 1 to the Consolidated Financial Statements, we have agreements with our distributors that cover various programs, including pricing adjustments based on resale pricing and volume, price protection for inventory and scrap allowances. The revenue we record for these distribution sales is net of estimated provisions for these programs. Our estimates are based upon historical experience rates by geography and product family, inventory levels in the distribution channel, current economic trends, and other related factors. Our history of actual credits granted in connection with the allowance programs has been consistent with the reserves we have recorded.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60"/>
          </w:cols>
          <w:pgMar w:left="240" w:top="274" w:right="2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99.2</w:t>
      </w:r>
    </w:p>
    <w:p>
      <w:pPr>
        <w:spacing w:after="0" w:line="177"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S</w:t>
      </w:r>
      <w:r>
        <w:rPr>
          <w:rFonts w:ascii="Arial" w:cs="Arial" w:eastAsia="Arial" w:hAnsi="Arial"/>
          <w:sz w:val="14"/>
          <w:szCs w:val="14"/>
          <w:color w:val="auto"/>
        </w:rPr>
        <w:t>EMICONDUCTOR</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17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S</w:t>
      </w:r>
      <w:r>
        <w:rPr>
          <w:rFonts w:ascii="Arial" w:cs="Arial" w:eastAsia="Arial" w:hAnsi="Arial"/>
          <w:sz w:val="14"/>
          <w:szCs w:val="14"/>
          <w:color w:val="auto"/>
        </w:rPr>
        <w:t>TATEMENTS</w:t>
      </w:r>
      <w:r>
        <w:rPr>
          <w:rFonts w:ascii="Arial" w:cs="Arial" w:eastAsia="Arial" w:hAnsi="Arial"/>
          <w:sz w:val="18"/>
          <w:szCs w:val="18"/>
          <w:color w:val="auto"/>
        </w:rPr>
        <w:t xml:space="preserve"> (U</w:t>
      </w:r>
      <w:r>
        <w:rPr>
          <w:rFonts w:ascii="Arial" w:cs="Arial" w:eastAsia="Arial" w:hAnsi="Arial"/>
          <w:sz w:val="14"/>
          <w:szCs w:val="14"/>
          <w:color w:val="auto"/>
        </w:rPr>
        <w:t>NAUDITED</w:t>
      </w:r>
      <w:r>
        <w:rPr>
          <w:rFonts w:ascii="Arial" w:cs="Arial" w:eastAsia="Arial" w:hAnsi="Arial"/>
          <w:sz w:val="18"/>
          <w:szCs w:val="18"/>
          <w:color w:val="auto"/>
        </w:rPr>
        <w:t>)</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 xml:space="preserve">AS OF </w:t>
      </w:r>
      <w:r>
        <w:rPr>
          <w:rFonts w:ascii="Arial" w:cs="Arial" w:eastAsia="Arial" w:hAnsi="Arial"/>
          <w:sz w:val="17"/>
          <w:szCs w:val="17"/>
          <w:color w:val="auto"/>
        </w:rPr>
        <w:t>F</w:t>
      </w:r>
      <w:r>
        <w:rPr>
          <w:rFonts w:ascii="Arial" w:cs="Arial" w:eastAsia="Arial" w:hAnsi="Arial"/>
          <w:sz w:val="15"/>
          <w:szCs w:val="15"/>
          <w:color w:val="auto"/>
        </w:rPr>
        <w:t xml:space="preserve">EBRUARY </w:t>
      </w:r>
      <w:r>
        <w:rPr>
          <w:rFonts w:ascii="Arial" w:cs="Arial" w:eastAsia="Arial" w:hAnsi="Arial"/>
          <w:sz w:val="17"/>
          <w:szCs w:val="17"/>
          <w:color w:val="auto"/>
        </w:rPr>
        <w:t>27, 2011</w:t>
      </w:r>
      <w:r>
        <w:rPr>
          <w:rFonts w:ascii="Arial" w:cs="Arial" w:eastAsia="Arial" w:hAnsi="Arial"/>
          <w:sz w:val="15"/>
          <w:szCs w:val="15"/>
          <w:color w:val="auto"/>
        </w:rPr>
        <w:t xml:space="preserve"> AND </w:t>
      </w:r>
      <w:r>
        <w:rPr>
          <w:rFonts w:ascii="Arial" w:cs="Arial" w:eastAsia="Arial" w:hAnsi="Arial"/>
          <w:sz w:val="17"/>
          <w:szCs w:val="17"/>
          <w:color w:val="auto"/>
        </w:rPr>
        <w:t>M</w:t>
      </w:r>
      <w:r>
        <w:rPr>
          <w:rFonts w:ascii="Arial" w:cs="Arial" w:eastAsia="Arial" w:hAnsi="Arial"/>
          <w:sz w:val="15"/>
          <w:szCs w:val="15"/>
          <w:color w:val="auto"/>
        </w:rPr>
        <w:t xml:space="preserve">AY </w:t>
      </w:r>
      <w:r>
        <w:rPr>
          <w:rFonts w:ascii="Arial" w:cs="Arial" w:eastAsia="Arial" w:hAnsi="Arial"/>
          <w:sz w:val="17"/>
          <w:szCs w:val="17"/>
          <w:color w:val="auto"/>
        </w:rPr>
        <w:t>30, 2010</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 xml:space="preserve">AND FOR THE </w:t>
      </w:r>
      <w:r>
        <w:rPr>
          <w:rFonts w:ascii="Arial" w:cs="Arial" w:eastAsia="Arial" w:hAnsi="Arial"/>
          <w:sz w:val="17"/>
          <w:szCs w:val="17"/>
          <w:color w:val="auto"/>
        </w:rPr>
        <w:t>T</w:t>
      </w:r>
      <w:r>
        <w:rPr>
          <w:rFonts w:ascii="Arial" w:cs="Arial" w:eastAsia="Arial" w:hAnsi="Arial"/>
          <w:sz w:val="15"/>
          <w:szCs w:val="15"/>
          <w:color w:val="auto"/>
        </w:rPr>
        <w:t xml:space="preserve">HREE AND </w:t>
      </w:r>
      <w:r>
        <w:rPr>
          <w:rFonts w:ascii="Arial" w:cs="Arial" w:eastAsia="Arial" w:hAnsi="Arial"/>
          <w:sz w:val="17"/>
          <w:szCs w:val="17"/>
          <w:color w:val="auto"/>
        </w:rPr>
        <w:t>N</w:t>
      </w:r>
      <w:r>
        <w:rPr>
          <w:rFonts w:ascii="Arial" w:cs="Arial" w:eastAsia="Arial" w:hAnsi="Arial"/>
          <w:sz w:val="15"/>
          <w:szCs w:val="15"/>
          <w:color w:val="auto"/>
        </w:rPr>
        <w:t xml:space="preserve">INE </w:t>
      </w:r>
      <w:r>
        <w:rPr>
          <w:rFonts w:ascii="Arial" w:cs="Arial" w:eastAsia="Arial" w:hAnsi="Arial"/>
          <w:sz w:val="17"/>
          <w:szCs w:val="17"/>
          <w:color w:val="auto"/>
        </w:rPr>
        <w:t>M</w:t>
      </w:r>
      <w:r>
        <w:rPr>
          <w:rFonts w:ascii="Arial" w:cs="Arial" w:eastAsia="Arial" w:hAnsi="Arial"/>
          <w:sz w:val="15"/>
          <w:szCs w:val="15"/>
          <w:color w:val="auto"/>
        </w:rPr>
        <w:t xml:space="preserve">ONTHS </w:t>
      </w:r>
      <w:r>
        <w:rPr>
          <w:rFonts w:ascii="Arial" w:cs="Arial" w:eastAsia="Arial" w:hAnsi="Arial"/>
          <w:sz w:val="17"/>
          <w:szCs w:val="17"/>
          <w:color w:val="auto"/>
        </w:rPr>
        <w:t>E</w:t>
      </w:r>
      <w:r>
        <w:rPr>
          <w:rFonts w:ascii="Arial" w:cs="Arial" w:eastAsia="Arial" w:hAnsi="Arial"/>
          <w:sz w:val="15"/>
          <w:szCs w:val="15"/>
          <w:color w:val="auto"/>
        </w:rPr>
        <w:t xml:space="preserve">NDED </w:t>
      </w:r>
      <w:r>
        <w:rPr>
          <w:rFonts w:ascii="Arial" w:cs="Arial" w:eastAsia="Arial" w:hAnsi="Arial"/>
          <w:sz w:val="17"/>
          <w:szCs w:val="17"/>
          <w:color w:val="auto"/>
        </w:rPr>
        <w:t>F</w:t>
      </w:r>
      <w:r>
        <w:rPr>
          <w:rFonts w:ascii="Arial" w:cs="Arial" w:eastAsia="Arial" w:hAnsi="Arial"/>
          <w:sz w:val="15"/>
          <w:szCs w:val="15"/>
          <w:color w:val="auto"/>
        </w:rPr>
        <w:t xml:space="preserve">EBRUARY </w:t>
      </w:r>
      <w:r>
        <w:rPr>
          <w:rFonts w:ascii="Arial" w:cs="Arial" w:eastAsia="Arial" w:hAnsi="Arial"/>
          <w:sz w:val="17"/>
          <w:szCs w:val="17"/>
          <w:color w:val="auto"/>
        </w:rPr>
        <w:t>27, 2011</w:t>
      </w:r>
      <w:r>
        <w:rPr>
          <w:rFonts w:ascii="Arial" w:cs="Arial" w:eastAsia="Arial" w:hAnsi="Arial"/>
          <w:sz w:val="15"/>
          <w:szCs w:val="15"/>
          <w:color w:val="auto"/>
        </w:rPr>
        <w:t xml:space="preserve"> AND </w:t>
      </w:r>
      <w:r>
        <w:rPr>
          <w:rFonts w:ascii="Arial" w:cs="Arial" w:eastAsia="Arial" w:hAnsi="Arial"/>
          <w:sz w:val="17"/>
          <w:szCs w:val="17"/>
          <w:color w:val="auto"/>
        </w:rPr>
        <w:t>F</w:t>
      </w:r>
      <w:r>
        <w:rPr>
          <w:rFonts w:ascii="Arial" w:cs="Arial" w:eastAsia="Arial" w:hAnsi="Arial"/>
          <w:sz w:val="15"/>
          <w:szCs w:val="15"/>
          <w:color w:val="auto"/>
        </w:rPr>
        <w:t xml:space="preserve">EBRUARY </w:t>
      </w:r>
      <w:r>
        <w:rPr>
          <w:rFonts w:ascii="Arial" w:cs="Arial" w:eastAsia="Arial" w:hAnsi="Arial"/>
          <w:sz w:val="17"/>
          <w:szCs w:val="17"/>
          <w:color w:val="auto"/>
        </w:rPr>
        <w:t>28, 2010</w:t>
      </w:r>
    </w:p>
    <w:p>
      <w:pPr>
        <w:sectPr>
          <w:pgSz w:w="11900" w:h="16838" w:orient="portrait"/>
          <w:cols w:equalWidth="0" w:num="1">
            <w:col w:w="10220"/>
          </w:cols>
          <w:pgMar w:left="1440" w:top="125" w:right="239" w:bottom="1440" w:gutter="0" w:footer="0" w:header="0"/>
        </w:sectPr>
      </w:pPr>
    </w:p>
    <w:bookmarkStart w:id="52" w:name="page53"/>
    <w:bookmarkEnd w:id="5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CONSOLIDATED FINANCIAL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2"/>
            <w:vMerge w:val="restart"/>
          </w:tcPr>
          <w:p>
            <w:pPr>
              <w:spacing w:after="0"/>
              <w:rPr>
                <w:sz w:val="20"/>
                <w:szCs w:val="20"/>
                <w:color w:val="auto"/>
              </w:rPr>
            </w:pPr>
            <w:r>
              <w:rPr>
                <w:rFonts w:ascii="Arial" w:cs="Arial" w:eastAsia="Arial" w:hAnsi="Arial"/>
                <w:sz w:val="18"/>
                <w:szCs w:val="18"/>
                <w:color w:val="auto"/>
              </w:rPr>
              <w:t>Financial Statements of National Semiconductor Corporation and Subsidiaries: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9"/>
        </w:trPr>
        <w:tc>
          <w:tcPr>
            <w:tcW w:w="110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020" w:type="dxa"/>
            <w:vAlign w:val="bottom"/>
            <w:gridSpan w:val="2"/>
          </w:tcPr>
          <w:p>
            <w:pPr>
              <w:spacing w:after="0"/>
              <w:rPr>
                <w:sz w:val="20"/>
                <w:szCs w:val="20"/>
                <w:color w:val="auto"/>
              </w:rPr>
            </w:pPr>
            <w:r>
              <w:rPr>
                <w:rFonts w:ascii="Arial" w:cs="Arial" w:eastAsia="Arial" w:hAnsi="Arial"/>
                <w:sz w:val="18"/>
                <w:szCs w:val="18"/>
                <w:color w:val="auto"/>
                <w:w w:val="97"/>
              </w:rPr>
              <w:t>Condensed Consolidated Statements of Income (Unaudited) for the Three and Nine Months Ended February 27, 2011 and February 28, 2010</w:t>
            </w:r>
          </w:p>
        </w:tc>
        <w:tc>
          <w:tcPr>
            <w:tcW w:w="300" w:type="dxa"/>
            <w:vAlign w:val="bottom"/>
          </w:tcPr>
          <w:p>
            <w:pPr>
              <w:ind w:left="6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Condensed Consolidated Balance Sheets (Unaudited) as of February 27, 2011 and May 30, 2010</w:t>
            </w:r>
          </w:p>
        </w:tc>
        <w:tc>
          <w:tcPr>
            <w:tcW w:w="300" w:type="dxa"/>
            <w:vAlign w:val="bottom"/>
          </w:tcPr>
          <w:p>
            <w:pPr>
              <w:ind w:left="60"/>
              <w:spacing w:after="0"/>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Cash Flows (Unaudited) for the Nine Months Ended February 27, 2011 and February 28, 2010</w:t>
            </w:r>
          </w:p>
        </w:tc>
        <w:tc>
          <w:tcPr>
            <w:tcW w:w="300" w:type="dxa"/>
            <w:vAlign w:val="bottom"/>
          </w:tcPr>
          <w:p>
            <w:pPr>
              <w:ind w:left="60"/>
              <w:spacing w:after="0"/>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Notes to Condensed Consolidated Financial Statements (Unaudited)</w:t>
            </w:r>
          </w:p>
        </w:tc>
        <w:tc>
          <w:tcPr>
            <w:tcW w:w="300" w:type="dxa"/>
            <w:vAlign w:val="bottom"/>
          </w:tcPr>
          <w:p>
            <w:pPr>
              <w:ind w:left="60"/>
              <w:spacing w:after="0"/>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365"/>
        </w:trPr>
        <w:tc>
          <w:tcPr>
            <w:tcW w:w="556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5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70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8"/>
              </w:rPr>
              <w:t>Feb. 27,</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Feb. 28,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9"/>
              </w:rPr>
              <w:t>Feb. 27,</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5"/>
              </w:rPr>
              <w:t>Feb.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361.9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1,146.3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243.7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322"/>
        </w:trPr>
        <w:tc>
          <w:tcPr>
            <w:tcW w:w="80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Severance and restructuring expenses, net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(income), net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Operating expenses, net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157.7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322"/>
        </w:trPr>
        <w:tc>
          <w:tcPr>
            <w:tcW w:w="80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non-operating income, net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323"/>
        </w:trPr>
        <w:tc>
          <w:tcPr>
            <w:tcW w:w="80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0.94</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and potential common shares outstanding: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237.3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242.5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8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Feb. 27,</w:t>
            </w:r>
          </w:p>
        </w:tc>
        <w:tc>
          <w:tcPr>
            <w:tcW w:w="14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May 30,</w:t>
            </w:r>
          </w:p>
        </w:tc>
        <w:tc>
          <w:tcPr>
            <w:tcW w:w="0" w:type="dxa"/>
            <w:vAlign w:val="bottom"/>
          </w:tcPr>
          <w:p>
            <w:pPr>
              <w:spacing w:after="0"/>
              <w:rPr>
                <w:sz w:val="1"/>
                <w:szCs w:val="1"/>
                <w:color w:val="auto"/>
              </w:rPr>
            </w:pPr>
          </w:p>
        </w:tc>
      </w:tr>
      <w:tr>
        <w:trPr>
          <w:trHeight w:val="161"/>
        </w:trPr>
        <w:tc>
          <w:tcPr>
            <w:tcW w:w="97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 Amounts)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less allowances of $31.3 in fiscal 2011 and $30.0 in fiscal 2010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1,345.5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1,470.9</w:t>
            </w:r>
          </w:p>
        </w:tc>
        <w:tc>
          <w:tcPr>
            <w:tcW w:w="0" w:type="dxa"/>
            <w:vAlign w:val="bottom"/>
          </w:tcPr>
          <w:p>
            <w:pPr>
              <w:spacing w:after="0"/>
              <w:rPr>
                <w:sz w:val="1"/>
                <w:szCs w:val="1"/>
                <w:color w:val="auto"/>
              </w:rPr>
            </w:pPr>
          </w:p>
        </w:tc>
      </w:tr>
      <w:tr>
        <w:trPr>
          <w:trHeight w:val="322"/>
        </w:trPr>
        <w:tc>
          <w:tcPr>
            <w:tcW w:w="97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420.4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2,172.2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2,274.8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322"/>
        </w:trPr>
        <w:tc>
          <w:tcPr>
            <w:tcW w:w="9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1,042.6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Long-term income taxes payable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1,522.5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1,848.9</w:t>
            </w:r>
          </w:p>
        </w:tc>
        <w:tc>
          <w:tcPr>
            <w:tcW w:w="0" w:type="dxa"/>
            <w:vAlign w:val="bottom"/>
          </w:tcPr>
          <w:p>
            <w:pPr>
              <w:spacing w:after="0"/>
              <w:rPr>
                <w:sz w:val="1"/>
                <w:szCs w:val="1"/>
                <w:color w:val="auto"/>
              </w:rPr>
            </w:pPr>
          </w:p>
        </w:tc>
      </w:tr>
      <w:tr>
        <w:trPr>
          <w:trHeight w:val="322"/>
        </w:trPr>
        <w:tc>
          <w:tcPr>
            <w:tcW w:w="97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Common stock of $0.50 par value. Authorized 850,000,000 shares.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Issued and outstanding:</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860"/>
              <w:spacing w:after="0"/>
              <w:rPr>
                <w:sz w:val="20"/>
                <w:szCs w:val="20"/>
                <w:color w:val="auto"/>
              </w:rPr>
            </w:pPr>
            <w:r>
              <w:rPr>
                <w:rFonts w:ascii="Arial" w:cs="Arial" w:eastAsia="Arial" w:hAnsi="Arial"/>
                <w:sz w:val="18"/>
                <w:szCs w:val="18"/>
                <w:color w:val="auto"/>
              </w:rPr>
              <w:t>242,834,280 in fiscal 2011 and 239,071,512 in fiscal 2010</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649.7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2,172.2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2,274.8</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Nine Months Ended</w:t>
            </w:r>
          </w:p>
        </w:tc>
      </w:tr>
      <w:tr>
        <w:trPr>
          <w:trHeight w:val="129"/>
        </w:trPr>
        <w:tc>
          <w:tcPr>
            <w:tcW w:w="80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9"/>
              </w:rPr>
              <w:t>Feb. 27,</w:t>
            </w: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Feb. 28,</w:t>
            </w:r>
          </w:p>
        </w:tc>
        <w:tc>
          <w:tcPr>
            <w:tcW w:w="100" w:type="dxa"/>
            <w:vAlign w:val="bottom"/>
          </w:tcPr>
          <w:p>
            <w:pPr>
              <w:spacing w:after="0"/>
              <w:rPr>
                <w:sz w:val="11"/>
                <w:szCs w:val="11"/>
                <w:color w:val="auto"/>
              </w:rPr>
            </w:pPr>
          </w:p>
        </w:tc>
      </w:tr>
      <w:tr>
        <w:trPr>
          <w:trHeight w:val="161"/>
        </w:trPr>
        <w:tc>
          <w:tcPr>
            <w:tcW w:w="80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right"/>
              <w:ind w:right="540"/>
              <w:spacing w:after="0" w:line="142" w:lineRule="exact"/>
              <w:rPr>
                <w:sz w:val="20"/>
                <w:szCs w:val="20"/>
                <w:color w:val="auto"/>
              </w:rPr>
            </w:pPr>
            <w:r>
              <w:rPr>
                <w:rFonts w:ascii="Arial" w:cs="Arial" w:eastAsia="Arial" w:hAnsi="Arial"/>
                <w:sz w:val="14"/>
                <w:szCs w:val="14"/>
                <w:b w:val="1"/>
                <w:bCs w:val="1"/>
                <w:color w:val="auto"/>
              </w:rPr>
              <w:t>(Unaudited)</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231.7</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$130.0</w:t>
            </w: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with net cash provided by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69.5</w:t>
            </w: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Share-based compensation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8040" w:type="dxa"/>
            <w:vAlign w:val="bottom"/>
          </w:tcPr>
          <w:p>
            <w:pPr>
              <w:ind w:left="880"/>
              <w:spacing w:after="0"/>
              <w:rPr>
                <w:sz w:val="20"/>
                <w:szCs w:val="20"/>
                <w:color w:val="auto"/>
              </w:rPr>
            </w:pPr>
            <w:r>
              <w:rPr>
                <w:rFonts w:ascii="Arial" w:cs="Arial" w:eastAsia="Arial" w:hAnsi="Arial"/>
                <w:sz w:val="18"/>
                <w:szCs w:val="18"/>
                <w:color w:val="auto"/>
              </w:rPr>
              <w:t>Excess tax benefit from share-based payment arrangements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 benefit associated with share-based awards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8040" w:type="dxa"/>
            <w:vAlign w:val="bottom"/>
          </w:tcPr>
          <w:p>
            <w:pPr>
              <w:ind w:left="880"/>
              <w:spacing w:after="0"/>
              <w:rPr>
                <w:sz w:val="20"/>
                <w:szCs w:val="20"/>
                <w:color w:val="auto"/>
              </w:rPr>
            </w:pPr>
            <w:r>
              <w:rPr>
                <w:rFonts w:ascii="Arial" w:cs="Arial" w:eastAsia="Arial" w:hAnsi="Arial"/>
                <w:sz w:val="18"/>
                <w:szCs w:val="18"/>
                <w:color w:val="auto"/>
              </w:rPr>
              <w:t>Gain on investments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Non-cash restructuring recovery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8040" w:type="dxa"/>
            <w:vAlign w:val="bottom"/>
          </w:tcPr>
          <w:p>
            <w:pPr>
              <w:ind w:left="880"/>
              <w:spacing w:after="0"/>
              <w:rPr>
                <w:sz w:val="20"/>
                <w:szCs w:val="20"/>
                <w:color w:val="auto"/>
              </w:rPr>
            </w:pPr>
            <w:r>
              <w:rPr>
                <w:rFonts w:ascii="Arial" w:cs="Arial" w:eastAsia="Arial" w:hAnsi="Arial"/>
                <w:sz w:val="18"/>
                <w:szCs w:val="18"/>
                <w:color w:val="auto"/>
              </w:rPr>
              <w:t>(Gain) loss on disposal of equipment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Impairment of equipment and other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8040" w:type="dxa"/>
            <w:vAlign w:val="bottom"/>
          </w:tcPr>
          <w:p>
            <w:pPr>
              <w:ind w:left="880"/>
              <w:spacing w:after="0"/>
              <w:rPr>
                <w:sz w:val="20"/>
                <w:szCs w:val="20"/>
                <w:color w:val="auto"/>
              </w:rPr>
            </w:pPr>
            <w:r>
              <w:rPr>
                <w:rFonts w:ascii="Arial" w:cs="Arial" w:eastAsia="Arial" w:hAnsi="Arial"/>
                <w:sz w:val="18"/>
                <w:szCs w:val="18"/>
                <w:color w:val="auto"/>
              </w:rPr>
              <w:t>Other, net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Changes in certain assets and liabilities, net: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1300"/>
              <w:spacing w:after="0"/>
              <w:rPr>
                <w:sz w:val="20"/>
                <w:szCs w:val="20"/>
                <w:color w:val="auto"/>
              </w:rPr>
            </w:pPr>
            <w:r>
              <w:rPr>
                <w:rFonts w:ascii="Arial" w:cs="Arial" w:eastAsia="Arial" w:hAnsi="Arial"/>
                <w:sz w:val="18"/>
                <w:szCs w:val="18"/>
                <w:color w:val="auto"/>
              </w:rPr>
              <w:t>Receivables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8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Inventories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8040" w:type="dxa"/>
            <w:vAlign w:val="bottom"/>
          </w:tcPr>
          <w:p>
            <w:pPr>
              <w:ind w:left="1300"/>
              <w:spacing w:after="0"/>
              <w:rPr>
                <w:sz w:val="20"/>
                <w:szCs w:val="20"/>
                <w:color w:val="auto"/>
              </w:rPr>
            </w:pPr>
            <w:r>
              <w:rPr>
                <w:rFonts w:ascii="Arial" w:cs="Arial" w:eastAsia="Arial" w:hAnsi="Arial"/>
                <w:sz w:val="18"/>
                <w:szCs w:val="18"/>
                <w:color w:val="auto"/>
              </w:rPr>
              <w:t>Other current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8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payable and accrued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8040" w:type="dxa"/>
            <w:vAlign w:val="bottom"/>
          </w:tcPr>
          <w:p>
            <w:pPr>
              <w:ind w:left="1300"/>
              <w:spacing w:after="0"/>
              <w:rPr>
                <w:sz w:val="20"/>
                <w:szCs w:val="20"/>
                <w:color w:val="auto"/>
              </w:rPr>
            </w:pPr>
            <w:r>
              <w:rPr>
                <w:rFonts w:ascii="Arial" w:cs="Arial" w:eastAsia="Arial" w:hAnsi="Arial"/>
                <w:sz w:val="18"/>
                <w:szCs w:val="18"/>
                <w:color w:val="auto"/>
              </w:rPr>
              <w:t>Current and deferred income taxes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8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Other non-current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227.0</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246.2</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Purchase of property, plant and equipment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(81.0)</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property, plant and equipment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Purchase of short-term investments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acquisition, net of cash acquired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Funding of benefit plan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Redemption of benefit plan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(116.3)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debt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(250.0)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Proceeds from liquidation of interest rate swap</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 on software license obligations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Excess tax benefit from share-based payment arrangements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Minimum tax withholding paid on behalf of employees for net share settlements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Issuance of common stock</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 in connection with stock option exchange program</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Cash dividends paid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(56.7)</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(277.4)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(166.7)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168.3</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1,027.0</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700.3</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860.3</w:t>
            </w:r>
          </w:p>
        </w:tc>
        <w:tc>
          <w:tcPr>
            <w:tcW w:w="2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$868.6</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design, develop, manufacture and market a wide range of semiconductor products, most of which are analog and mixed-signal integrated circuits. Our goal is to be the premier provider of high-performance energy-efficient analog and mixed-signal solutions. These solutions are marketed under our PowerWise</w:t>
      </w:r>
      <w:r>
        <w:rPr>
          <w:rFonts w:ascii="Arial" w:cs="Arial" w:eastAsia="Arial" w:hAnsi="Arial"/>
          <w:sz w:val="11"/>
          <w:szCs w:val="11"/>
          <w:color w:val="auto"/>
        </w:rPr>
        <w:t>®</w:t>
      </w:r>
      <w:r>
        <w:rPr>
          <w:rFonts w:ascii="Arial" w:cs="Arial" w:eastAsia="Arial" w:hAnsi="Arial"/>
          <w:sz w:val="18"/>
          <w:szCs w:val="18"/>
          <w:color w:val="auto"/>
        </w:rPr>
        <w:t xml:space="preserve"> brand. Energy-efficiency is our overarching theme, and our PowerWise</w:t>
      </w:r>
      <w:r>
        <w:rPr>
          <w:rFonts w:ascii="Arial" w:cs="Arial" w:eastAsia="Arial" w:hAnsi="Arial"/>
          <w:sz w:val="11"/>
          <w:szCs w:val="11"/>
          <w:color w:val="auto"/>
        </w:rPr>
        <w:t>®</w:t>
      </w:r>
      <w:r>
        <w:rPr>
          <w:rFonts w:ascii="Arial" w:cs="Arial" w:eastAsia="Arial" w:hAnsi="Arial"/>
          <w:sz w:val="18"/>
          <w:szCs w:val="18"/>
          <w:color w:val="auto"/>
        </w:rPr>
        <w:t xml:space="preserve"> products enable systems that consume less power, extend battery life and generate less heat. Our leading-edge products include power management circuits and sub-systems, audio and operational amplifiers, communication interface products and data conversion solutions.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contain all adjustments (including normal recurring adjustments) necessary to present fairly the financial position and results of operations of National Semiconductor Corporation and our wholly-owned subsidiaries. You should not expect interim results of operations necessarily to be indicative of the results for the full fiscal year. The preparation of financial statements in conformity with accounting principles generally accepted in the United States of America (U.S. GAAP) requires us to make estimates and assumptions that affect the amounts reported in these unaudited condensed consolidated financial statements and accompanying notes. Actual results could differ from those estimates. This report should be read in conjunction with the consolidated financial statements and accompanying notes included in our Annual Report on Form 10-K for the fiscal year ended May 30,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In October 2009, the Financial Accounting Standards Board (FASB) issued FASB Accounting Standards Update (ASU) No. 2009-13, “Revenue Recognition (Topic 605) — Multiple-Deliverable Revenue Arrangements — a consensus of the FASB Emerging Issues Task Force.” In the absence of vendor-specific objective evidence (VSOE) or other third party evidence (TPE) of the selling price for the deliverables in a multiple-element arrangement, this ASU requires companies to use an estimated selling price (ESP) for the individual deliverables. Companies are to apply the relative-selling price model for allocating an arrangement’s total consideration to its individual elements. Under this model, the ESP is used for both the delivered and undelivered elements that do not have VSOE or TPE of the selling price. The FASB also issued ASU No. 2009-14, “Software (Topic 985) — Certain Revenue Arrangements That Include Software Elements,” which excludes the software from the scope of software revenue guidance if the software contained in the tangible product is essential to the tangible product’s functionality. Both ASUs are effective for us beginning in our fiscal 2012, with earlier application permitted. We elected to early adopt the accounting requirements in these ASUs during the second quarter of fiscal 2011. Their adoption did not have a material effect on our consolidated financial statements.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280"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shares used in the computation of basic and diluted earnings per share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38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66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Feb. 27,</w:t>
            </w: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Feb. 28,</w:t>
            </w:r>
          </w:p>
        </w:tc>
        <w:tc>
          <w:tcPr>
            <w:tcW w:w="28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Feb. 27,</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Feb.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3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Weighted-Average Exercise Price)</w:t>
            </w:r>
          </w:p>
        </w:tc>
        <w:tc>
          <w:tcPr>
            <w:tcW w:w="12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2010</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Weighted-average common shares outstanding used for basic earnings per share</w:t>
            </w:r>
          </w:p>
        </w:tc>
        <w:tc>
          <w:tcPr>
            <w:tcW w:w="1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241.5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237.3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Share-based awards</w:t>
            </w:r>
          </w:p>
        </w:tc>
        <w:tc>
          <w:tcPr>
            <w:tcW w:w="1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common and potential common shares outstanding used for diluted earnings per share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247.0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60" w:type="dxa"/>
            <w:vAlign w:val="bottom"/>
            <w:gridSpan w:val="2"/>
          </w:tcPr>
          <w:p>
            <w:pPr>
              <w:spacing w:after="0"/>
              <w:rPr>
                <w:sz w:val="20"/>
                <w:szCs w:val="20"/>
                <w:color w:val="auto"/>
              </w:rPr>
            </w:pPr>
            <w:r>
              <w:rPr>
                <w:rFonts w:ascii="Arial" w:cs="Arial" w:eastAsia="Arial" w:hAnsi="Arial"/>
                <w:sz w:val="18"/>
                <w:szCs w:val="18"/>
                <w:color w:val="auto"/>
              </w:rPr>
              <w:t>Anti-dilutive potential common shares: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Number of shares</w:t>
            </w:r>
          </w:p>
        </w:tc>
        <w:tc>
          <w:tcPr>
            <w:tcW w:w="1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18.31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Anti-dilutive potential common shares are not included in the calculation of diluted earnings per share. For the third quarter and first nine months of fiscal 2011 and 2010, the effect of these shares was anti-dilutive because the exercise price of the related stock options exceeded the average market price during the period. Shares related to outstanding stock options at February 27, 2011 that were anti-dilutive could potentially dilute basic earnings per share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Share-based compensation expense included in operating results is presented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Feb. 27,</w:t>
            </w: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Feb. 28,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Feb. 27,</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Feb.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76"/>
              </w:rPr>
              <w:t>2011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Gross compensation</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 inventory during the period</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Realized from inventory during the period</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Arial" w:cs="Arial" w:eastAsia="Arial" w:hAnsi="Arial"/>
                <w:sz w:val="18"/>
                <w:szCs w:val="18"/>
                <w:color w:val="auto"/>
                <w:w w:val="98"/>
              </w:rPr>
              <w:t>Total share-based compensation included in income before taxes</w:t>
            </w: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(17.8)</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Arial" w:cs="Arial" w:eastAsia="Arial" w:hAnsi="Arial"/>
                <w:sz w:val="18"/>
                <w:szCs w:val="18"/>
                <w:color w:val="auto"/>
                <w:w w:val="95"/>
              </w:rPr>
              <w:t>Total share-based compensation, net of tax, included in net income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effects on earnings per share:</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Basic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0.04</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Arial" w:cs="Arial" w:eastAsia="Arial" w:hAnsi="Arial"/>
                <w:sz w:val="18"/>
                <w:szCs w:val="18"/>
                <w:color w:val="auto"/>
              </w:rPr>
              <w:t>Share-based compensation capitalized in inventory</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gross share-based compensation</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980" w:type="dxa"/>
            <w:vAlign w:val="bottom"/>
            <w:gridSpan w:val="2"/>
          </w:tcPr>
          <w:p>
            <w:pPr>
              <w:jc w:val="right"/>
              <w:ind w:right="2212"/>
              <w:spacing w:after="0"/>
              <w:rPr>
                <w:sz w:val="20"/>
                <w:szCs w:val="20"/>
                <w:color w:val="auto"/>
              </w:rPr>
            </w:pPr>
            <w:r>
              <w:rPr>
                <w:rFonts w:ascii="Arial" w:cs="Arial" w:eastAsia="Arial" w:hAnsi="Arial"/>
                <w:sz w:val="18"/>
                <w:szCs w:val="18"/>
                <w:color w:val="auto"/>
              </w:rPr>
              <w:t>F-6</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8" w:name="page59"/>
    <w:bookmarkEnd w:id="58"/>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value of share-based awards to employees in connection with equity compensation plans was estimated using a Black-Scholes option pricing model that used the following weighted-average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7360" w:type="dxa"/>
            <w:vAlign w:val="bottom"/>
          </w:tcPr>
          <w:p>
            <w:pPr>
              <w:spacing w:after="0"/>
              <w:rPr>
                <w:sz w:val="11"/>
                <w:szCs w:val="11"/>
                <w:color w:val="auto"/>
              </w:rPr>
            </w:pPr>
          </w:p>
        </w:tc>
        <w:tc>
          <w:tcPr>
            <w:tcW w:w="10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Feb. 27,</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Feb. 28,</w:t>
            </w:r>
          </w:p>
        </w:tc>
        <w:tc>
          <w:tcPr>
            <w:tcW w:w="660" w:type="dxa"/>
            <w:vAlign w:val="bottom"/>
          </w:tcPr>
          <w:p>
            <w:pPr>
              <w:spacing w:after="0"/>
              <w:rPr>
                <w:sz w:val="11"/>
                <w:szCs w:val="11"/>
                <w:color w:val="auto"/>
              </w:rPr>
            </w:pPr>
          </w:p>
        </w:tc>
        <w:tc>
          <w:tcPr>
            <w:tcW w:w="112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4"/>
              </w:rPr>
              <w:t>Feb. 27,</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Feb. 28,</w:t>
            </w:r>
          </w:p>
        </w:tc>
        <w:tc>
          <w:tcPr>
            <w:tcW w:w="200" w:type="dxa"/>
            <w:vAlign w:val="bottom"/>
          </w:tcPr>
          <w:p>
            <w:pPr>
              <w:spacing w:after="0"/>
              <w:rPr>
                <w:sz w:val="11"/>
                <w:szCs w:val="11"/>
                <w:color w:val="auto"/>
              </w:rPr>
            </w:pPr>
          </w:p>
        </w:tc>
      </w:tr>
      <w:tr>
        <w:trPr>
          <w:trHeight w:val="161"/>
        </w:trPr>
        <w:tc>
          <w:tcPr>
            <w:tcW w:w="7360" w:type="dxa"/>
            <w:vAlign w:val="bottom"/>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 Option Plans:</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Expected life (in years)</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3.9</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volatility</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yield</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323"/>
        </w:trPr>
        <w:tc>
          <w:tcPr>
            <w:tcW w:w="7360" w:type="dxa"/>
            <w:vAlign w:val="bottom"/>
          </w:tcPr>
          <w:p>
            <w:pPr>
              <w:spacing w:after="0"/>
              <w:rPr>
                <w:sz w:val="20"/>
                <w:szCs w:val="20"/>
                <w:color w:val="auto"/>
              </w:rPr>
            </w:pPr>
            <w:r>
              <w:rPr>
                <w:rFonts w:ascii="Arial" w:cs="Arial" w:eastAsia="Arial" w:hAnsi="Arial"/>
                <w:sz w:val="18"/>
                <w:szCs w:val="18"/>
                <w:color w:val="auto"/>
              </w:rPr>
              <w:t>Stock Purchase Plans:</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life (in years)</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Expected volatility</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22"/>
        </w:trPr>
        <w:tc>
          <w:tcPr>
            <w:tcW w:w="7360" w:type="dxa"/>
            <w:vAlign w:val="bottom"/>
          </w:tcPr>
          <w:p>
            <w:pPr>
              <w:ind w:left="440"/>
              <w:spacing w:after="0"/>
              <w:rPr>
                <w:sz w:val="20"/>
                <w:szCs w:val="20"/>
                <w:color w:val="auto"/>
              </w:rPr>
            </w:pPr>
            <w:r>
              <w:rPr>
                <w:rFonts w:ascii="Arial" w:cs="Arial" w:eastAsia="Arial" w:hAnsi="Arial"/>
                <w:sz w:val="18"/>
                <w:szCs w:val="18"/>
                <w:color w:val="auto"/>
              </w:rPr>
              <w:t>Dividend yield</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did not grant any stock options during the third quarter of fiscal 2011. The weighted-average fair value of stock options granted during the first nine months of fiscal 2011 was $4.01 per share. The weighted-average fair value of stock options granted during the third quarter and first nine months of fiscal 2010 was $3.82 and $4.01 per share, respectively. There were no rights granted under the stock purchase plan in the third quarter of fiscal 2011 and 2010. The weighted-average fair value of rights granted under the stock purchase plan was $3.41 per share in the first nine months of fiscal 2011 and $4.08 per share for the first nine months of fiscal 2010.</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For all options granted after December 31, 2007, we determine expected life based on historical stock option exercise experience for the last four years, adjusted for our expectation of future exercise activity. For options granted prior to January 1, 2008, we use the simplified method specified by the Securities and Exchange Commission’s (SEC’s) Staff Accounting Bulletin (SAB) No. 107 to determine the expected life of stock options. The expected volatility is based on implied volatility, as management has determined that implied volatility better reflects the market’s expectation of future volatility than historical volatility, and is determined based on our traded options, which are actively traded on several exchanges. We derive the implied volatility using the closing prices of traded options during a period that closely matches the timing of the option grant for the stock option and stock purchase plans. The traded options selected for our measurement for the stock option and stock purchase plans are near-the-money and close to the exercise price of the option grants and have terms ranging from one to two years. The risk-free interest rate is based upon interest rates that match the expected life of the outstanding options under our employee stock option plans and the expected life of the purchase rights under our employee stock purchase plan. The dividend yield is based on recent history and our expectation of dividend payouts.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Measurements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When determining fair value, we consider the principal or most advantageous market in which the transaction to sell the asset or transfer the liability would occur and the assumptions that market participants would use in pricing the asset or liability. We measure fair value to record our cash equivalents, derivative financial instruments and the deferred compensation plan assets. The measurement of fair value for our long-term debt is used to provide disclosure under Accounting Standards Codification (ASC) Topic 825, “Financial Instruments.” We do not measure fair value to record the carrying value of our long-term debt, except for the debt associated with our interest rate swap that was subject to hedge accounting (See Note 3 to the Condensed Consolidated Financial Statements). Our non-financial assets subject to fair value measurements include goodwill and amortizable intangible assets, which are measured and recorded at fair value in the period they are acquired or determined to be impaired, and property, plant and equipment, which is measured and recorded at fair value in the period it is determined to be impaired.</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FASB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5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Valuations based on quoted prices in active markets for identical assets or liabilities that an entity has the ability to access.</w:t>
      </w:r>
    </w:p>
    <w:p>
      <w:pPr>
        <w:spacing w:after="0" w:line="90" w:lineRule="exact"/>
        <w:rPr>
          <w:sz w:val="20"/>
          <w:szCs w:val="20"/>
          <w:color w:val="auto"/>
        </w:rPr>
      </w:pPr>
    </w:p>
    <w:p>
      <w:pPr>
        <w:ind w:left="460" w:right="340" w:firstLine="438"/>
        <w:spacing w:after="0" w:line="259" w:lineRule="auto"/>
        <w:rPr>
          <w:sz w:val="20"/>
          <w:szCs w:val="20"/>
          <w:color w:val="auto"/>
        </w:rPr>
      </w:pPr>
      <w:r>
        <w:rPr>
          <w:rFonts w:ascii="Arial" w:cs="Arial" w:eastAsia="Arial" w:hAnsi="Arial"/>
          <w:sz w:val="18"/>
          <w:szCs w:val="18"/>
          <w:color w:val="auto"/>
        </w:rPr>
        <w:t>Level 1 assets include our investments in institutional money-market funds that are classified as cash equivalents and the investment funds of the deferred compensation plan assets where the respective financial instruments are traded in an active market with sufficient volume and frequency of activity.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80" w:right="239" w:bottom="1440" w:gutter="0" w:footer="0" w:header="0"/>
        </w:sectPr>
      </w:pPr>
    </w:p>
    <w:bookmarkStart w:id="59" w:name="page60"/>
    <w:bookmarkEnd w:id="59"/>
    <w:p>
      <w:pPr>
        <w:ind w:left="452" w:right="260" w:hanging="452"/>
        <w:spacing w:after="0" w:line="332"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Level 2. </w:t>
      </w:r>
      <w:r>
        <w:rPr>
          <w:rFonts w:ascii="Arial" w:cs="Arial" w:eastAsia="Arial" w:hAnsi="Arial"/>
          <w:sz w:val="16"/>
          <w:szCs w:val="16"/>
          <w:color w:val="auto"/>
        </w:rPr>
        <w:t>Valuations based on quoted prices for similar assets or liabilities, quoted prices for identical assets or liabilities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data for substantially the full term of the assets or liabilities.</w:t>
      </w:r>
    </w:p>
    <w:p>
      <w:pPr>
        <w:spacing w:after="0" w:line="4" w:lineRule="exact"/>
        <w:rPr>
          <w:sz w:val="20"/>
          <w:szCs w:val="20"/>
          <w:color w:val="auto"/>
        </w:rPr>
      </w:pPr>
    </w:p>
    <w:p>
      <w:pPr>
        <w:ind w:left="452" w:right="100" w:firstLine="438"/>
        <w:spacing w:after="0" w:line="256" w:lineRule="auto"/>
        <w:rPr>
          <w:sz w:val="20"/>
          <w:szCs w:val="20"/>
          <w:color w:val="auto"/>
        </w:rPr>
      </w:pPr>
      <w:r>
        <w:rPr>
          <w:rFonts w:ascii="Arial" w:cs="Arial" w:eastAsia="Arial" w:hAnsi="Arial"/>
          <w:sz w:val="18"/>
          <w:szCs w:val="18"/>
          <w:color w:val="auto"/>
        </w:rPr>
        <w:t>Level 2 assets and liabilities include our investments in commercial paper that are classified as cash equivalents and our senior notes that represent long-term debt instruments that are less actively traded in the market, but where quoted market prices exist for similar instruments that are actively traded, and derivative financial instruments which are based on observable inputs or can be corroborated by observable data for substantially the full term of the derivative financial instrument.</w:t>
      </w:r>
    </w:p>
    <w:p>
      <w:pPr>
        <w:spacing w:after="0" w:line="62"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Valuations based on inputs that are supported by little or no market activity and that are significant to the fair value of the assets or liabilities.</w:t>
      </w:r>
    </w:p>
    <w:p>
      <w:pPr>
        <w:spacing w:after="0" w:line="113" w:lineRule="exact"/>
        <w:rPr>
          <w:sz w:val="20"/>
          <w:szCs w:val="20"/>
          <w:color w:val="auto"/>
        </w:rPr>
      </w:pPr>
    </w:p>
    <w:p>
      <w:pPr>
        <w:ind w:left="452" w:firstLine="438"/>
        <w:spacing w:after="0" w:line="259" w:lineRule="auto"/>
        <w:rPr>
          <w:sz w:val="20"/>
          <w:szCs w:val="20"/>
          <w:color w:val="auto"/>
        </w:rPr>
      </w:pPr>
      <w:r>
        <w:rPr>
          <w:rFonts w:ascii="Arial" w:cs="Arial" w:eastAsia="Arial" w:hAnsi="Arial"/>
          <w:sz w:val="18"/>
          <w:szCs w:val="18"/>
          <w:color w:val="auto"/>
        </w:rPr>
        <w:t>Level 3 assets include goodwill, amortizable intangible assets, and property, plant and equipment where we determine fair value based on unobservable inputs using the best information available in the circumstances and take into consideration assumptions that market participants would use in pricing the asset.</w:t>
      </w:r>
    </w:p>
    <w:p>
      <w:pPr>
        <w:spacing w:after="0" w:line="14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Assets and liabilities measured at fair value on a recurring basis include the following:</w:t>
      </w:r>
    </w:p>
    <w:p>
      <w:pPr>
        <w:spacing w:after="0" w:line="19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Quoted Prices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in Active</w:t>
            </w:r>
          </w:p>
        </w:tc>
        <w:tc>
          <w:tcPr>
            <w:tcW w:w="32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Identical</w:t>
            </w:r>
          </w:p>
        </w:tc>
        <w:tc>
          <w:tcPr>
            <w:tcW w:w="3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Instruments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Inputs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3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27, 2011</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Cash equivalents: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Institutional money-market funds</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174.1</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214.9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214.9</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389.0</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current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assets — Purchased options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funds — Deferred compensation plan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Institutional money-market funds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Marketable equity securities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214.9</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429.9</w:t>
            </w:r>
          </w:p>
        </w:tc>
        <w:tc>
          <w:tcPr>
            <w:tcW w:w="100" w:type="dxa"/>
            <w:vAlign w:val="bottom"/>
          </w:tcPr>
          <w:p>
            <w:pPr>
              <w:spacing w:after="0"/>
              <w:rPr>
                <w:sz w:val="19"/>
                <w:szCs w:val="19"/>
                <w:color w:val="auto"/>
              </w:rPr>
            </w:pPr>
          </w:p>
        </w:tc>
      </w:tr>
      <w:tr>
        <w:trPr>
          <w:trHeight w:val="102"/>
        </w:trPr>
        <w:tc>
          <w:tcPr>
            <w:tcW w:w="5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liabilities: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Derivative liabilities — Forward contracts</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Derivative liabilities — Purchased options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Total liabilities measured at fair value</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r>
      <w:tr>
        <w:trPr>
          <w:trHeight w:val="102"/>
        </w:trPr>
        <w:tc>
          <w:tcPr>
            <w:tcW w:w="5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30, 2010</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Cash equivalents: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Institutional money-market funds</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216.6</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296.5</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current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assets — Forward contracts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funds — Deferred compensation plan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Institutional money-market funds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Marketable equity securities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Derivative assets — Interest rate swap</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There were no transfers between level 1 and level 2 financial assets and liabilities in fiscal 2011 and 2010.</w:t>
      </w:r>
    </w:p>
    <w:p>
      <w:pPr>
        <w:spacing w:after="0" w:line="158" w:lineRule="exact"/>
        <w:rPr>
          <w:sz w:val="20"/>
          <w:szCs w:val="20"/>
          <w:color w:val="auto"/>
        </w:rPr>
      </w:pPr>
    </w:p>
    <w:p>
      <w:pPr>
        <w:ind w:left="5592"/>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92"/>
          </w:cols>
          <w:pgMar w:left="248" w:top="280" w:right="259" w:bottom="1440" w:gutter="0" w:footer="0" w:header="0"/>
        </w:sectPr>
      </w:pPr>
    </w:p>
    <w:bookmarkStart w:id="60" w:name="page61"/>
    <w:bookmarkEnd w:id="60"/>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institutional money-market funds and the various investment funds within our deferred compensation plan assets are traded in an active market and the net asset value of each fund on the last day of the quarter is used to determine its fair value. We determine fair value of our commercial paper by obtaining non-binding market prices from our broker on the last day of the quarter. We then corroborate these market prices by comparison to quoted market prices for similar instruments. The fair value of foreign currency forward contracts represents the present value difference between the stated forward contract rate and the current market forward rate at settlement. The fair value of foreign currency options contracts represents the probable weighted net amount we would expect to receive at maturity. The fair value of the interest rate swap was based on a commonly used valuation model that included significant observable inputs, such as interest rate yield curves and discount rates commensurate with the six-month LIBOR interest rates, as well as the creditworthiness of the counterparties and our own nonperformance risk.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measured at fair value on a non-recurring basis include the following:</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Significant</w:t>
            </w:r>
          </w:p>
        </w:tc>
      </w:tr>
      <w:tr>
        <w:trPr>
          <w:trHeight w:val="149"/>
        </w:trPr>
        <w:tc>
          <w:tcPr>
            <w:tcW w:w="5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5220" w:type="dxa"/>
            <w:vAlign w:val="bottom"/>
          </w:tcPr>
          <w:p>
            <w:pPr>
              <w:spacing w:after="0"/>
              <w:rPr>
                <w:sz w:val="12"/>
                <w:szCs w:val="12"/>
                <w:color w:val="auto"/>
              </w:rPr>
            </w:pPr>
          </w:p>
        </w:tc>
        <w:tc>
          <w:tcPr>
            <w:tcW w:w="2540" w:type="dxa"/>
            <w:vAlign w:val="bottom"/>
            <w:gridSpan w:val="4"/>
          </w:tcPr>
          <w:p>
            <w:pPr>
              <w:jc w:val="center"/>
              <w:ind w:left="1602"/>
              <w:spacing w:after="0" w:line="149" w:lineRule="exact"/>
              <w:rPr>
                <w:sz w:val="20"/>
                <w:szCs w:val="20"/>
                <w:color w:val="auto"/>
              </w:rPr>
            </w:pPr>
            <w:r>
              <w:rPr>
                <w:rFonts w:ascii="Arial" w:cs="Arial" w:eastAsia="Arial" w:hAnsi="Arial"/>
                <w:sz w:val="14"/>
                <w:szCs w:val="14"/>
                <w:b w:val="1"/>
                <w:bCs w:val="1"/>
                <w:color w:val="auto"/>
                <w:w w:val="86"/>
              </w:rPr>
              <w:t>Observable</w:t>
            </w:r>
          </w:p>
        </w:tc>
      </w:tr>
      <w:tr>
        <w:trPr>
          <w:trHeight w:val="149"/>
        </w:trPr>
        <w:tc>
          <w:tcPr>
            <w:tcW w:w="5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52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7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(Level 2)</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27, 2011</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assets: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 held for sale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the third quarter of fiscal 2011, a portion of our assets held for sale was written down to its fair value of $17.6 million less cost to sell of $0.7 million. As a result we recorded an impairment charge of $6.0 million, which is further discussed in Note 6 to the Condensed Consolidated Financial Statements. The fair value of those assets held for sale is based on market prices of similar assets using a market approach that includes observable inputs.</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our long-term debt (including the current portion) at February 27, 2011 was $1,086.1 million. The fair value measurements for our long-term debt instruments take into consideration credit rating changes, equity price movements, interest rate changes and other economic variables.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Derivative Financial Instruments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objective of our foreign exchange risk management policy is to preserve the U.S. dollar value of after-tax cash inflow in relation to non-U.S. dollar currency movements. We are exposed to foreign currency exchange rate risk that is inherent in orders, sales, cost of sales, expenses, and assets and liabilities denominated in currencies other than the U.S. dollar. We enter into foreign exchange contracts, primarily forwards and purchased options, to hedge against exposure to changes in foreign currency exchange rates. These contracts are matched at inception to the related foreign currency exposures that are being hedged. Exposures which are hedged include sales by subsidiaries, and assets and liabilities denominated in currencies other than the U.S. dollar. Our foreign currency hedges typically mature within six months.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Derivative instruments used to hedge exposures to variability in expected future foreign denominated cash flows are not designated as cash flow hedges.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Gains or losses on these derivative instruments are immediately recorded in earnings.</w:t>
      </w:r>
    </w:p>
    <w:p>
      <w:pPr>
        <w:spacing w:after="0" w:line="165"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We had an interest rate swap agreement that managed our exposure to interest rate changes from our $250 million senior unsecured notes due April 2015 (see below). The agreement effectively converted the fixed interest rate of the $250 million principal amount of senior unsecured notes to a floating interest rate. We designated this swap agreement as a fair value hedge and recognized the changes in the fair value of both the swap and the related debt, which we recorded as gains or losses on derivative instrument in fair value hedge included in other non-operating income, net.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280" w:right="259" w:bottom="1440" w:gutter="0" w:footer="0" w:header="0"/>
        </w:sectPr>
      </w:pPr>
    </w:p>
    <w:bookmarkStart w:id="61" w:name="page62"/>
    <w:bookmarkEnd w:id="6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information about gains (losses) associated with our derivative financial instruments:</w:t>
      </w:r>
    </w:p>
    <w:p>
      <w:pPr>
        <w:sectPr>
          <w:pgSz w:w="11900" w:h="16838" w:orient="portrait"/>
          <w:cols w:equalWidth="0" w:num="1">
            <w:col w:w="11380"/>
          </w:cols>
          <w:pgMar w:left="240" w:top="280" w:right="279"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4"/>
              </w:rPr>
              <w:t>Amount of Gains (Losses)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Recognized in Income on</w:t>
            </w: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6"/>
              </w:rPr>
              <w:t>Location of Gains</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left="400"/>
              <w:spacing w:after="0"/>
              <w:rPr>
                <w:sz w:val="20"/>
                <w:szCs w:val="20"/>
                <w:color w:val="auto"/>
              </w:rPr>
            </w:pPr>
            <w:r>
              <w:rPr>
                <w:rFonts w:ascii="Arial" w:cs="Arial" w:eastAsia="Arial" w:hAnsi="Arial"/>
                <w:sz w:val="14"/>
                <w:szCs w:val="14"/>
                <w:b w:val="1"/>
                <w:bCs w:val="1"/>
                <w:color w:val="auto"/>
                <w:w w:val="89"/>
              </w:rPr>
              <w:t>Derivative</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6"/>
              </w:rPr>
              <w:t>(Losses) Recognized in</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rPr>
              <w:t>Feb. 27,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line="116" w:lineRule="exact"/>
              <w:rPr>
                <w:sz w:val="20"/>
                <w:szCs w:val="20"/>
                <w:color w:val="auto"/>
              </w:rPr>
            </w:pPr>
            <w:r>
              <w:rPr>
                <w:rFonts w:ascii="Arial" w:cs="Arial" w:eastAsia="Arial" w:hAnsi="Arial"/>
                <w:sz w:val="12"/>
                <w:szCs w:val="12"/>
                <w:b w:val="1"/>
                <w:bCs w:val="1"/>
                <w:color w:val="auto"/>
              </w:rPr>
              <w:t>Feb. 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Income on Derivative</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Instruments without hedge</w:t>
            </w: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jc w:val="center"/>
              <w:ind w:right="34"/>
              <w:spacing w:after="0"/>
              <w:rPr>
                <w:sz w:val="20"/>
                <w:szCs w:val="20"/>
                <w:color w:val="auto"/>
              </w:rPr>
            </w:pPr>
            <w:r>
              <w:rPr>
                <w:rFonts w:ascii="Arial" w:cs="Arial" w:eastAsia="Arial" w:hAnsi="Arial"/>
                <w:sz w:val="18"/>
                <w:szCs w:val="18"/>
                <w:color w:val="auto"/>
                <w:w w:val="88"/>
              </w:rPr>
              <w:t>accounting designation:</w:t>
            </w:r>
          </w:p>
        </w:tc>
        <w:tc>
          <w:tcPr>
            <w:tcW w:w="2500" w:type="dxa"/>
            <w:vAlign w:val="bottom"/>
            <w:gridSpan w:val="2"/>
            <w:vMerge w:val="restart"/>
          </w:tcPr>
          <w:p>
            <w:pPr>
              <w:ind w:left="360"/>
              <w:spacing w:after="0"/>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88"/>
              </w:rPr>
              <w:t>Forward contracts</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administrative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85"/>
              </w:rPr>
              <w:t>Purchased options</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2240" w:type="dxa"/>
            <w:vAlign w:val="bottom"/>
          </w:tcPr>
          <w:p>
            <w:pPr>
              <w:spacing w:after="0"/>
              <w:rPr>
                <w:sz w:val="20"/>
                <w:szCs w:val="20"/>
                <w:color w:val="auto"/>
              </w:rPr>
            </w:pPr>
            <w:r>
              <w:rPr>
                <w:rFonts w:ascii="Arial" w:cs="Arial" w:eastAsia="Arial" w:hAnsi="Arial"/>
                <w:sz w:val="18"/>
                <w:szCs w:val="18"/>
                <w:color w:val="auto"/>
              </w:rPr>
              <w:t>Nine Months Ended:</w:t>
            </w: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Fair value hedge:</w:t>
            </w:r>
          </w:p>
        </w:tc>
        <w:tc>
          <w:tcPr>
            <w:tcW w:w="2500" w:type="dxa"/>
            <w:vAlign w:val="bottom"/>
            <w:gridSpan w:val="2"/>
            <w:vMerge w:val="restart"/>
          </w:tcPr>
          <w:p>
            <w:pPr>
              <w:ind w:left="360"/>
              <w:spacing w:after="0"/>
              <w:rPr>
                <w:sz w:val="20"/>
                <w:szCs w:val="20"/>
                <w:color w:val="auto"/>
              </w:rPr>
            </w:pPr>
            <w:r>
              <w:rPr>
                <w:rFonts w:ascii="Arial" w:cs="Arial" w:eastAsia="Arial" w:hAnsi="Arial"/>
                <w:sz w:val="18"/>
                <w:szCs w:val="18"/>
                <w:color w:val="auto"/>
                <w:w w:val="94"/>
              </w:rPr>
              <w:t>Other non-operating income</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ind w:right="34"/>
              <w:spacing w:after="0"/>
              <w:rPr>
                <w:sz w:val="20"/>
                <w:szCs w:val="20"/>
                <w:color w:val="auto"/>
              </w:rPr>
            </w:pPr>
            <w:r>
              <w:rPr>
                <w:rFonts w:ascii="Arial" w:cs="Arial" w:eastAsia="Arial" w:hAnsi="Arial"/>
                <w:sz w:val="18"/>
                <w:szCs w:val="18"/>
                <w:color w:val="auto"/>
                <w:w w:val="86"/>
              </w:rPr>
              <w:t>Interest rate swap</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(expense), net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2240" w:type="dxa"/>
            <w:vAlign w:val="bottom"/>
          </w:tcPr>
          <w:p>
            <w:pPr>
              <w:spacing w:after="0"/>
              <w:rPr>
                <w:sz w:val="20"/>
                <w:szCs w:val="20"/>
                <w:color w:val="auto"/>
              </w:rPr>
            </w:pPr>
            <w:r>
              <w:rPr>
                <w:rFonts w:ascii="Arial" w:cs="Arial" w:eastAsia="Arial" w:hAnsi="Arial"/>
                <w:sz w:val="18"/>
                <w:szCs w:val="18"/>
                <w:color w:val="auto"/>
              </w:rPr>
              <w:t>Instruments without hedge</w:t>
            </w: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40" w:type="dxa"/>
            <w:vAlign w:val="bottom"/>
          </w:tcPr>
          <w:p>
            <w:pPr>
              <w:jc w:val="center"/>
              <w:ind w:right="34"/>
              <w:spacing w:after="0"/>
              <w:rPr>
                <w:sz w:val="20"/>
                <w:szCs w:val="20"/>
                <w:color w:val="auto"/>
              </w:rPr>
            </w:pPr>
            <w:r>
              <w:rPr>
                <w:rFonts w:ascii="Arial" w:cs="Arial" w:eastAsia="Arial" w:hAnsi="Arial"/>
                <w:sz w:val="18"/>
                <w:szCs w:val="18"/>
                <w:color w:val="auto"/>
                <w:w w:val="88"/>
              </w:rPr>
              <w:t>accounting designation:</w:t>
            </w:r>
          </w:p>
        </w:tc>
        <w:tc>
          <w:tcPr>
            <w:tcW w:w="2500" w:type="dxa"/>
            <w:vAlign w:val="bottom"/>
            <w:gridSpan w:val="2"/>
            <w:vMerge w:val="restart"/>
          </w:tcPr>
          <w:p>
            <w:pPr>
              <w:ind w:left="360"/>
              <w:spacing w:after="0"/>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88"/>
              </w:rPr>
              <w:t>Forward contracts</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administrative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86"/>
              </w:rPr>
              <w:t>(0.2)</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85"/>
              </w:rPr>
              <w:t>Purchased options</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86"/>
              </w:rPr>
              <w:t>(0.1)</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86"/>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-2879725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-2467610</wp:posOffset>
            </wp:positionV>
            <wp:extent cx="72466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-1918970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-1576070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Location of Losses</w:t>
      </w:r>
    </w:p>
    <w:p>
      <w:pPr>
        <w:jc w:val="center"/>
        <w:ind w:left="-79"/>
        <w:spacing w:after="0" w:line="223" w:lineRule="auto"/>
        <w:rPr>
          <w:sz w:val="20"/>
          <w:szCs w:val="20"/>
          <w:color w:val="auto"/>
        </w:rPr>
      </w:pPr>
      <w:r>
        <w:rPr>
          <w:rFonts w:ascii="Arial" w:cs="Arial" w:eastAsia="Arial" w:hAnsi="Arial"/>
          <w:sz w:val="14"/>
          <w:szCs w:val="14"/>
          <w:b w:val="1"/>
          <w:bCs w:val="1"/>
          <w:color w:val="auto"/>
        </w:rPr>
        <w:t>Recognized in Income</w:t>
      </w:r>
    </w:p>
    <w:p>
      <w:pPr>
        <w:jc w:val="center"/>
        <w:ind w:left="-79"/>
        <w:spacing w:after="0"/>
        <w:rPr>
          <w:sz w:val="20"/>
          <w:szCs w:val="20"/>
          <w:color w:val="auto"/>
        </w:rPr>
      </w:pPr>
      <w:r>
        <w:rPr>
          <w:rFonts w:ascii="Arial" w:cs="Arial" w:eastAsia="Arial" w:hAnsi="Arial"/>
          <w:sz w:val="14"/>
          <w:szCs w:val="14"/>
          <w:b w:val="1"/>
          <w:bCs w:val="1"/>
          <w:color w:val="auto"/>
        </w:rPr>
        <w:t>on Hedged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4147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Other non-operating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income, net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left="100" w:right="60"/>
        <w:spacing w:after="0" w:line="277" w:lineRule="auto"/>
        <w:rPr>
          <w:sz w:val="20"/>
          <w:szCs w:val="20"/>
          <w:color w:val="auto"/>
        </w:rPr>
      </w:pPr>
      <w:r>
        <w:rPr>
          <w:rFonts w:ascii="Arial" w:cs="Arial" w:eastAsia="Arial" w:hAnsi="Arial"/>
          <w:sz w:val="12"/>
          <w:szCs w:val="12"/>
          <w:b w:val="1"/>
          <w:bCs w:val="1"/>
          <w:color w:val="auto"/>
        </w:rPr>
        <w:t>Amount of Losses Recognized in Income on Hedged Item</w:t>
      </w:r>
    </w:p>
    <w:tbl>
      <w:tblPr>
        <w:tblLayout w:type="fixed"/>
        <w:tblInd w:w="0" w:type="dxa"/>
        <w:tblCellMar>
          <w:top w:w="0" w:type="dxa"/>
          <w:left w:w="0" w:type="dxa"/>
          <w:bottom w:w="0" w:type="dxa"/>
          <w:right w:w="0" w:type="dxa"/>
        </w:tblCellMar>
      </w:tblPr>
      <w:tr>
        <w:trPr>
          <w:trHeight w:val="110"/>
        </w:trPr>
        <w:tc>
          <w:tcPr>
            <w:tcW w:w="6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Feb. 27,</w:t>
            </w:r>
          </w:p>
        </w:tc>
        <w:tc>
          <w:tcPr>
            <w:tcW w:w="4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Feb. 28,</w:t>
            </w:r>
          </w:p>
        </w:tc>
      </w:tr>
      <w:tr>
        <w:trPr>
          <w:trHeight w:val="161"/>
        </w:trPr>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(14.1)</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r>
      <w:tr>
        <w:trPr>
          <w:trHeight w:val="222"/>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(14.1)</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r>
    </w:tbl>
    <w:p>
      <w:pPr>
        <w:spacing w:after="0" w:line="1776" w:lineRule="exact"/>
        <w:rPr>
          <w:sz w:val="20"/>
          <w:szCs w:val="20"/>
          <w:color w:val="auto"/>
        </w:rPr>
      </w:pPr>
    </w:p>
    <w:p>
      <w:pPr>
        <w:sectPr>
          <w:pgSz w:w="11900" w:h="16838" w:orient="portrait"/>
          <w:cols w:equalWidth="0" w:num="3">
            <w:col w:w="6820" w:space="320"/>
            <w:col w:w="2160" w:space="360"/>
            <w:col w:w="1720"/>
          </w:cols>
          <w:pgMar w:left="240" w:top="280" w:right="279" w:bottom="1440" w:gutter="0" w:footer="0" w:header="0"/>
          <w:type w:val="continuous"/>
        </w:sectPr>
      </w:pPr>
    </w:p>
    <w:p>
      <w:pPr>
        <w:ind w:right="20" w:firstLine="456"/>
        <w:spacing w:after="0" w:line="254" w:lineRule="auto"/>
        <w:rPr>
          <w:sz w:val="20"/>
          <w:szCs w:val="20"/>
          <w:color w:val="auto"/>
        </w:rPr>
      </w:pPr>
      <w:r>
        <w:rPr>
          <w:rFonts w:ascii="Arial" w:cs="Arial" w:eastAsia="Arial" w:hAnsi="Arial"/>
          <w:sz w:val="18"/>
          <w:szCs w:val="18"/>
          <w:color w:val="auto"/>
        </w:rPr>
        <w:t>In September 2010, we liquidated our interest rate swap for which we received proceeds of $16.1 million including accrued interest through the liquidation date. Upon the date of liquidation, we measured the fair value of both the swap and the related debt, which resulted in a net gain on derivative instrument in fair value hedge of $0.3 million. We also incurred a loss of $0.7 million due to derecognition of the fair value hedge in connection with the liquidation of the interest rate swap. These amounts are included in other non-operating income, net for the first nine months of fiscal 2011. The accumulated fair value adjustment to the carrying value of the senior unsecured notes will be amortized over the remaining term of the debt on an effective yield basis and will be recorded as a reduction of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and Notional Principal of Derivative Financial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notional principal amounts for derivative financial instruments provide one measure of the transaction volume outstanding as of February 27, 2011 and</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May 30, 2010, and does not represent the amount of the exposure to credit or market loss. The estimates of fair value are based on applicable and commonly used pricing models using prevailing financial market information at February 27, 2011 and May 30, 2010. The table below shows the fair value and notional principal of our derivative financial instruments.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280" w:right="27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4"/>
              </w:rPr>
              <w:t>Asset Derivatives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w w:val="91"/>
              </w:rPr>
              <w:t>Liability Derivatives</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ind w:left="120"/>
              <w:spacing w:after="0" w:line="130" w:lineRule="exact"/>
              <w:rPr>
                <w:sz w:val="20"/>
                <w:szCs w:val="20"/>
                <w:color w:val="auto"/>
              </w:rPr>
            </w:pPr>
            <w:r>
              <w:rPr>
                <w:rFonts w:ascii="Arial" w:cs="Arial" w:eastAsia="Arial" w:hAnsi="Arial"/>
                <w:sz w:val="14"/>
                <w:szCs w:val="14"/>
                <w:b w:val="1"/>
                <w:bCs w:val="1"/>
                <w:color w:val="auto"/>
                <w:w w:val="91"/>
              </w:rPr>
              <w:t>Balance Sheet</w:t>
            </w:r>
          </w:p>
        </w:tc>
        <w:tc>
          <w:tcPr>
            <w:tcW w:w="2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ind w:left="40"/>
              <w:spacing w:after="0" w:line="130" w:lineRule="exact"/>
              <w:rPr>
                <w:sz w:val="20"/>
                <w:szCs w:val="20"/>
                <w:color w:val="auto"/>
              </w:rPr>
            </w:pPr>
            <w:r>
              <w:rPr>
                <w:rFonts w:ascii="Arial" w:cs="Arial" w:eastAsia="Arial" w:hAnsi="Arial"/>
                <w:sz w:val="14"/>
                <w:szCs w:val="14"/>
                <w:b w:val="1"/>
                <w:bCs w:val="1"/>
                <w:color w:val="auto"/>
                <w:w w:val="83"/>
              </w:rPr>
              <w:t>Balance Sheet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4"/>
          </w:tcPr>
          <w:p>
            <w:pPr>
              <w:jc w:val="right"/>
              <w:ind w:right="280"/>
              <w:spacing w:after="0" w:line="130" w:lineRule="exact"/>
              <w:rPr>
                <w:sz w:val="20"/>
                <w:szCs w:val="20"/>
                <w:color w:val="auto"/>
              </w:rPr>
            </w:pPr>
            <w:r>
              <w:rPr>
                <w:rFonts w:ascii="Arial" w:cs="Arial" w:eastAsia="Arial" w:hAnsi="Arial"/>
                <w:sz w:val="14"/>
                <w:szCs w:val="14"/>
                <w:b w:val="1"/>
                <w:bCs w:val="1"/>
                <w:color w:val="auto"/>
                <w:w w:val="89"/>
              </w:rPr>
              <w:t>Notional</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5"/>
                <w:szCs w:val="15"/>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Fair Value</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5"/>
                <w:szCs w:val="15"/>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Fair Value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at February 27, 2011</w:t>
            </w:r>
          </w:p>
        </w:tc>
        <w:tc>
          <w:tcPr>
            <w:tcW w:w="4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Instruments without hedge accounting designation:</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4"/>
              </w:rPr>
              <w:t>Other current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Accrued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Forward contracts</w:t>
            </w:r>
          </w:p>
        </w:tc>
        <w:tc>
          <w:tcPr>
            <w:tcW w:w="4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assets</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7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42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14.0</w:t>
            </w:r>
          </w:p>
        </w:tc>
        <w:tc>
          <w:tcPr>
            <w:tcW w:w="280" w:type="dxa"/>
            <w:vAlign w:val="bottom"/>
            <w:gridSpan w:val="2"/>
          </w:tcPr>
          <w:p>
            <w:pPr>
              <w:jc w:val="right"/>
              <w:ind w:right="92"/>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current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Purchased options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20.7</w:t>
            </w:r>
          </w:p>
        </w:tc>
        <w:tc>
          <w:tcPr>
            <w:tcW w:w="280" w:type="dxa"/>
            <w:vAlign w:val="bottom"/>
            <w:gridSpan w:val="2"/>
          </w:tcPr>
          <w:p>
            <w:pPr>
              <w:jc w:val="right"/>
              <w:ind w:right="92"/>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30, 2010</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80" w:type="dxa"/>
            <w:vAlign w:val="bottom"/>
            <w:gridSpan w:val="3"/>
          </w:tcPr>
          <w:p>
            <w:pPr>
              <w:spacing w:after="0"/>
              <w:rPr>
                <w:sz w:val="20"/>
                <w:szCs w:val="20"/>
                <w:color w:val="auto"/>
              </w:rPr>
            </w:pPr>
            <w:r>
              <w:rPr>
                <w:rFonts w:ascii="Arial" w:cs="Arial" w:eastAsia="Arial" w:hAnsi="Arial"/>
                <w:sz w:val="18"/>
                <w:szCs w:val="18"/>
                <w:color w:val="auto"/>
              </w:rPr>
              <w:t>Fair value hedge:</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 assets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250.0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80" w:type="dxa"/>
            <w:vAlign w:val="bottom"/>
            <w:gridSpan w:val="3"/>
          </w:tcPr>
          <w:p>
            <w:pPr>
              <w:spacing w:after="0"/>
              <w:rPr>
                <w:sz w:val="20"/>
                <w:szCs w:val="20"/>
                <w:color w:val="auto"/>
              </w:rPr>
            </w:pPr>
            <w:r>
              <w:rPr>
                <w:rFonts w:ascii="Arial" w:cs="Arial" w:eastAsia="Arial" w:hAnsi="Arial"/>
                <w:sz w:val="18"/>
                <w:szCs w:val="18"/>
                <w:color w:val="auto"/>
              </w:rPr>
              <w:t>Instruments without hedge accounting designation:</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current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Forward contracts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5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270.0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Note 4. Condensed Consolidated Financial Statements Detail</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Condensed Consolidated Balance Sheets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Feb. 27,</w:t>
            </w:r>
          </w:p>
        </w:tc>
        <w:tc>
          <w:tcPr>
            <w:tcW w:w="480" w:type="dxa"/>
            <w:vAlign w:val="bottom"/>
          </w:tcPr>
          <w:p>
            <w:pPr>
              <w:spacing w:after="0"/>
              <w:rPr>
                <w:sz w:val="24"/>
                <w:szCs w:val="24"/>
                <w:color w:val="auto"/>
              </w:rPr>
            </w:pPr>
          </w:p>
        </w:tc>
        <w:tc>
          <w:tcPr>
            <w:tcW w:w="800" w:type="dxa"/>
            <w:vAlign w:val="bottom"/>
            <w:gridSpan w:val="6"/>
          </w:tcPr>
          <w:p>
            <w:pPr>
              <w:ind w:left="100"/>
              <w:spacing w:after="0"/>
              <w:rPr>
                <w:sz w:val="20"/>
                <w:szCs w:val="20"/>
                <w:color w:val="auto"/>
              </w:rPr>
            </w:pPr>
            <w:r>
              <w:rPr>
                <w:rFonts w:ascii="Arial" w:cs="Arial" w:eastAsia="Arial" w:hAnsi="Arial"/>
                <w:sz w:val="14"/>
                <w:szCs w:val="14"/>
                <w:b w:val="1"/>
                <w:bCs w:val="1"/>
                <w:color w:val="auto"/>
              </w:rPr>
              <w:t>May 30,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gridSpan w:val="2"/>
          </w:tcPr>
          <w:p>
            <w:pPr>
              <w:ind w:left="136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5"/>
          </w:tcPr>
          <w:p>
            <w:pPr>
              <w:ind w:left="68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Bank time deposits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60" w:type="dxa"/>
            <w:vAlign w:val="bottom"/>
            <w:gridSpan w:val="2"/>
          </w:tcPr>
          <w:p>
            <w:pPr>
              <w:ind w:left="1360"/>
              <w:spacing w:after="0"/>
              <w:rPr>
                <w:sz w:val="20"/>
                <w:szCs w:val="20"/>
                <w:color w:val="auto"/>
              </w:rPr>
            </w:pPr>
            <w:r>
              <w:rPr>
                <w:rFonts w:ascii="Arial" w:cs="Arial" w:eastAsia="Arial" w:hAnsi="Arial"/>
                <w:sz w:val="18"/>
                <w:szCs w:val="18"/>
                <w:color w:val="auto"/>
              </w:rPr>
              <w:t>Receivable allowances: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Doubtful accounts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Returns and allowances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79"/>
              </w:rPr>
              <w:t>29.6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receivable allowances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30.0</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60" w:type="dxa"/>
            <w:vAlign w:val="bottom"/>
            <w:gridSpan w:val="2"/>
          </w:tcPr>
          <w:p>
            <w:pPr>
              <w:ind w:left="136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79"/>
              </w:rPr>
              <w:t>67.8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41.3</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inventories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118.6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Prepaid income taxes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79"/>
              </w:rPr>
              <w:t>90.0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19.8</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Assets held for sale</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79"/>
              </w:rPr>
              <w:t>45.8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other current assets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156.8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Total property, plant and equipment</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2,216.1</w:t>
            </w:r>
          </w:p>
        </w:tc>
        <w:tc>
          <w:tcPr>
            <w:tcW w:w="100" w:type="dxa"/>
            <w:vAlign w:val="bottom"/>
          </w:tcPr>
          <w:p>
            <w:pPr>
              <w:spacing w:after="0"/>
              <w:rPr>
                <w:sz w:val="18"/>
                <w:szCs w:val="18"/>
                <w:color w:val="auto"/>
              </w:rPr>
            </w:pP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$ 2,199.0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Less accumulated depreciation and amortization</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(1,795.7)</w:t>
            </w:r>
          </w:p>
        </w:tc>
        <w:tc>
          <w:tcPr>
            <w:tcW w:w="128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(1,808.9)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390.1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Debt issuance costs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F-11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3" w:name="page64"/>
    <w:bookmarkEnd w:id="63"/>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receivable</w:t>
            </w:r>
          </w:p>
        </w:tc>
        <w:tc>
          <w:tcPr>
            <w:tcW w:w="20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Deferred compensation plan assets</w:t>
            </w:r>
          </w:p>
        </w:tc>
        <w:tc>
          <w:tcPr>
            <w:tcW w:w="202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40.8</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other assets</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98.8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Payroll and employee related</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57.0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payable</w:t>
            </w:r>
          </w:p>
        </w:tc>
        <w:tc>
          <w:tcPr>
            <w:tcW w:w="20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Severance and restructuring expenses</w:t>
            </w:r>
          </w:p>
        </w:tc>
        <w:tc>
          <w:tcPr>
            <w:tcW w:w="202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w w:val="97"/>
              </w:rPr>
              <w:t>104.3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204.5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Accrued pension obligation</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72.0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 plan liability</w:t>
            </w:r>
          </w:p>
        </w:tc>
        <w:tc>
          <w:tcPr>
            <w:tcW w:w="20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other non-current liabilities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7"/>
              </w:rPr>
              <w:t>129.5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124.2</w:t>
            </w:r>
          </w:p>
        </w:tc>
        <w:tc>
          <w:tcPr>
            <w:tcW w:w="0" w:type="dxa"/>
            <w:vAlign w:val="bottom"/>
          </w:tcPr>
          <w:p>
            <w:pPr>
              <w:spacing w:after="0"/>
              <w:rPr>
                <w:sz w:val="1"/>
                <w:szCs w:val="1"/>
                <w:color w:val="auto"/>
              </w:rPr>
            </w:pPr>
          </w:p>
        </w:tc>
      </w:tr>
      <w:tr>
        <w:trPr>
          <w:trHeight w:val="323"/>
        </w:trPr>
        <w:tc>
          <w:tcPr>
            <w:tcW w:w="50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Defined benefit pension plans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7"/>
              </w:rPr>
              <w:t>(132.4)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7"/>
              </w:rPr>
              <w:t>(132.7)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(132.2)</w:t>
            </w:r>
          </w:p>
        </w:tc>
        <w:tc>
          <w:tcPr>
            <w:tcW w:w="0" w:type="dxa"/>
            <w:vAlign w:val="bottom"/>
          </w:tcPr>
          <w:p>
            <w:pPr>
              <w:spacing w:after="0"/>
              <w:rPr>
                <w:sz w:val="1"/>
                <w:szCs w:val="1"/>
                <w:color w:val="auto"/>
              </w:rPr>
            </w:pPr>
          </w:p>
        </w:tc>
      </w:tr>
    </w:tbl>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Condensed Consolidated Statements of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40" w:type="dxa"/>
            <w:vAlign w:val="bottom"/>
            <w:gridSpan w:val="9"/>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9"/>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0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Feb. 27,</w:t>
            </w:r>
          </w:p>
        </w:tc>
        <w:tc>
          <w:tcPr>
            <w:tcW w:w="3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91"/>
              </w:rPr>
              <w:t>Feb. 28,</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top w:val="single" w:sz="8" w:color="auto"/>
            </w:tcBorders>
            <w:gridSpan w:val="5"/>
          </w:tcPr>
          <w:p>
            <w:pPr>
              <w:ind w:left="20"/>
              <w:spacing w:after="0" w:line="129" w:lineRule="exact"/>
              <w:rPr>
                <w:sz w:val="20"/>
                <w:szCs w:val="20"/>
                <w:color w:val="auto"/>
              </w:rPr>
            </w:pPr>
            <w:r>
              <w:rPr>
                <w:rFonts w:ascii="Arial" w:cs="Arial" w:eastAsia="Arial" w:hAnsi="Arial"/>
                <w:sz w:val="14"/>
                <w:szCs w:val="14"/>
                <w:b w:val="1"/>
                <w:bCs w:val="1"/>
                <w:color w:val="auto"/>
              </w:rPr>
              <w:t>Feb. 27,</w:t>
            </w: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Feb. 28,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 Millions)</w:t>
            </w:r>
          </w:p>
        </w:tc>
        <w:tc>
          <w:tcPr>
            <w:tcW w:w="262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900" w:type="dxa"/>
            <w:vAlign w:val="bottom"/>
            <w:gridSpan w:val="4"/>
          </w:tcPr>
          <w:p>
            <w:pPr>
              <w:ind w:left="50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(income), net:</w:t>
            </w:r>
          </w:p>
        </w:tc>
        <w:tc>
          <w:tcPr>
            <w:tcW w:w="2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Litigation settlement</w:t>
            </w:r>
          </w:p>
        </w:tc>
        <w:tc>
          <w:tcPr>
            <w:tcW w:w="2800" w:type="dxa"/>
            <w:vAlign w:val="bottom"/>
            <w:gridSpan w:val="5"/>
          </w:tcPr>
          <w:p>
            <w:pPr>
              <w:jc w:val="right"/>
              <w:ind w:right="260"/>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80" w:type="dxa"/>
            <w:vAlign w:val="bottom"/>
            <w:gridSpan w:val="3"/>
          </w:tcPr>
          <w:p>
            <w:pPr>
              <w:ind w:left="40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9"/>
              </w:rPr>
              <w:t>0.4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other operating expense (income), net</w:t>
            </w:r>
          </w:p>
        </w:tc>
        <w:tc>
          <w:tcPr>
            <w:tcW w:w="2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9"/>
              </w:rPr>
              <w:t>0.4</w:t>
            </w: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480" w:type="dxa"/>
            <w:vAlign w:val="bottom"/>
            <w:gridSpan w:val="3"/>
          </w:tcPr>
          <w:p>
            <w:pPr>
              <w:ind w:left="4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net:</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Trading securities: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 in net unrealized holding gains/losses</w:t>
            </w:r>
          </w:p>
        </w:tc>
        <w:tc>
          <w:tcPr>
            <w:tcW w:w="2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9"/>
              </w:rPr>
              <w:t>1.8</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Non-marketable investments: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from liquidation of investment</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gain on investments</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9"/>
              </w:rPr>
              <w:t>1.8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on derivative instrument in fair value hedge</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Loss on liquidation of interest rate swap</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other non-operating income, net</w:t>
            </w:r>
          </w:p>
        </w:tc>
        <w:tc>
          <w:tcPr>
            <w:tcW w:w="2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9"/>
              </w:rPr>
              <w:t>1.8</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0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Condensed Consolidated Statements of Comprehensive Income</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7"/>
          </w:tcPr>
          <w:p>
            <w:pPr>
              <w:ind w:left="60"/>
              <w:spacing w:after="0"/>
              <w:rPr>
                <w:sz w:val="20"/>
                <w:szCs w:val="20"/>
                <w:color w:val="auto"/>
              </w:rPr>
            </w:pPr>
            <w:r>
              <w:rPr>
                <w:rFonts w:ascii="Arial" w:cs="Arial" w:eastAsia="Arial" w:hAnsi="Arial"/>
                <w:sz w:val="14"/>
                <w:szCs w:val="14"/>
                <w:b w:val="1"/>
                <w:bCs w:val="1"/>
                <w:color w:val="auto"/>
                <w:w w:val="98"/>
              </w:rPr>
              <w:t>Three Months Ended</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8"/>
              </w:rPr>
              <w:t>Feb. 27,</w:t>
            </w: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w w:val="91"/>
              </w:rPr>
              <w:t>Feb. 28,</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4"/>
              </w:rPr>
              <w:t>Feb. 27,</w:t>
            </w: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Feb. 28,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 Millions)</w:t>
            </w: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1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5"/>
              </w:rPr>
              <w:t>59.4</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1"/>
              </w:rPr>
              <w:t>53.2</w:t>
            </w:r>
          </w:p>
        </w:tc>
        <w:tc>
          <w:tcPr>
            <w:tcW w:w="960" w:type="dxa"/>
            <w:vAlign w:val="bottom"/>
            <w:gridSpan w:val="5"/>
            <w:shd w:val="clear" w:color="auto" w:fill="CCEEFF"/>
          </w:tcPr>
          <w:p>
            <w:pPr>
              <w:jc w:val="center"/>
              <w:ind w:left="380"/>
              <w:spacing w:after="0"/>
              <w:rPr>
                <w:sz w:val="20"/>
                <w:szCs w:val="20"/>
                <w:color w:val="auto"/>
              </w:rPr>
            </w:pPr>
            <w:r>
              <w:rPr>
                <w:rFonts w:ascii="Arial" w:cs="Arial" w:eastAsia="Arial" w:hAnsi="Arial"/>
                <w:sz w:val="18"/>
                <w:szCs w:val="18"/>
                <w:color w:val="auto"/>
                <w:w w:val="90"/>
              </w:rPr>
              <w:t>$231.7</w:t>
            </w:r>
          </w:p>
        </w:tc>
        <w:tc>
          <w:tcPr>
            <w:tcW w:w="2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center"/>
              <w:ind w:left="132"/>
              <w:spacing w:after="0"/>
              <w:rPr>
                <w:sz w:val="20"/>
                <w:szCs w:val="20"/>
                <w:color w:val="auto"/>
              </w:rPr>
            </w:pPr>
            <w:r>
              <w:rPr>
                <w:rFonts w:ascii="Arial" w:cs="Arial" w:eastAsia="Arial" w:hAnsi="Arial"/>
                <w:sz w:val="18"/>
                <w:szCs w:val="18"/>
                <w:color w:val="auto"/>
                <w:w w:val="83"/>
              </w:rPr>
              <w:t>$ 130.0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5"/>
              </w:rPr>
              <w:t>59.4</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1"/>
              </w:rPr>
              <w:t>53.2</w:t>
            </w:r>
          </w:p>
        </w:tc>
        <w:tc>
          <w:tcPr>
            <w:tcW w:w="960" w:type="dxa"/>
            <w:vAlign w:val="bottom"/>
            <w:gridSpan w:val="5"/>
            <w:shd w:val="clear" w:color="auto" w:fill="CCEEFF"/>
          </w:tcPr>
          <w:p>
            <w:pPr>
              <w:jc w:val="center"/>
              <w:ind w:left="380"/>
              <w:spacing w:after="0"/>
              <w:rPr>
                <w:sz w:val="20"/>
                <w:szCs w:val="20"/>
                <w:color w:val="auto"/>
              </w:rPr>
            </w:pPr>
            <w:r>
              <w:rPr>
                <w:rFonts w:ascii="Arial" w:cs="Arial" w:eastAsia="Arial" w:hAnsi="Arial"/>
                <w:sz w:val="18"/>
                <w:szCs w:val="18"/>
                <w:color w:val="auto"/>
                <w:w w:val="90"/>
              </w:rPr>
              <w:t>$231.2</w:t>
            </w:r>
          </w:p>
        </w:tc>
        <w:tc>
          <w:tcPr>
            <w:tcW w:w="2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center"/>
              <w:ind w:left="132"/>
              <w:spacing w:after="0"/>
              <w:rPr>
                <w:sz w:val="20"/>
                <w:szCs w:val="20"/>
                <w:color w:val="auto"/>
              </w:rPr>
            </w:pPr>
            <w:r>
              <w:rPr>
                <w:rFonts w:ascii="Arial" w:cs="Arial" w:eastAsia="Arial" w:hAnsi="Arial"/>
                <w:sz w:val="18"/>
                <w:szCs w:val="18"/>
                <w:color w:val="auto"/>
                <w:w w:val="83"/>
              </w:rPr>
              <w:t>$ 130.0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0" w:type="dxa"/>
            <w:vAlign w:val="bottom"/>
            <w:gridSpan w:val="3"/>
          </w:tcPr>
          <w:p>
            <w:pPr>
              <w:ind w:left="480"/>
              <w:spacing w:after="0"/>
              <w:rPr>
                <w:sz w:val="20"/>
                <w:szCs w:val="20"/>
                <w:color w:val="auto"/>
              </w:rPr>
            </w:pPr>
            <w:r>
              <w:rPr>
                <w:rFonts w:ascii="Arial" w:cs="Arial" w:eastAsia="Arial" w:hAnsi="Arial"/>
                <w:sz w:val="18"/>
                <w:szCs w:val="18"/>
                <w:color w:val="auto"/>
              </w:rPr>
              <w:t>F-12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88" w:right="6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Statements of Cash Flows Information</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8"/>
              </w:rPr>
              <w:t>Feb. 27,</w:t>
            </w:r>
          </w:p>
        </w:tc>
        <w:tc>
          <w:tcPr>
            <w:tcW w:w="5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Feb.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Cash paid for: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Interest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840"/>
              <w:spacing w:after="0"/>
              <w:rPr>
                <w:sz w:val="20"/>
                <w:szCs w:val="20"/>
                <w:color w:val="auto"/>
              </w:rPr>
            </w:pPr>
            <w:r>
              <w:rPr>
                <w:rFonts w:ascii="Arial" w:cs="Arial" w:eastAsia="Arial" w:hAnsi="Arial"/>
                <w:sz w:val="18"/>
                <w:szCs w:val="18"/>
                <w:color w:val="auto"/>
              </w:rPr>
              <w:t>Income taxes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Acquisition of software under license obligations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Cancellation of shares withheld for taxes on restricted stock and performance share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unit awards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Deposit applied to purchase equipment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Cost Reduction Programs and Restructuring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recorded total net charges for severance and restructuring expenses of $8.2 million in the third quarter and $24.5 million in the first nine months of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The following table provides additional detail related to these expenses: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Analog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6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Others</w:t>
            </w:r>
          </w:p>
        </w:tc>
        <w:tc>
          <w:tcPr>
            <w:tcW w:w="24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February 27, 2011:</w:t>
            </w:r>
          </w:p>
        </w:tc>
        <w:tc>
          <w:tcPr>
            <w:tcW w:w="1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May 2010 business realignment:</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Severance</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323"/>
        </w:trPr>
        <w:tc>
          <w:tcPr>
            <w:tcW w:w="5620" w:type="dxa"/>
            <w:vAlign w:val="bottom"/>
          </w:tcPr>
          <w:p>
            <w:pPr>
              <w:ind w:left="440"/>
              <w:spacing w:after="0"/>
              <w:rPr>
                <w:sz w:val="20"/>
                <w:szCs w:val="20"/>
                <w:color w:val="auto"/>
              </w:rPr>
            </w:pPr>
            <w:r>
              <w:rPr>
                <w:rFonts w:ascii="Arial" w:cs="Arial" w:eastAsia="Arial" w:hAnsi="Arial"/>
                <w:sz w:val="18"/>
                <w:szCs w:val="18"/>
                <w:color w:val="auto"/>
              </w:rPr>
              <w:t>March 2009 workforce reduction and plant closures: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exit-related costs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620" w:type="dxa"/>
            <w:vAlign w:val="bottom"/>
          </w:tcPr>
          <w:p>
            <w:pPr>
              <w:ind w:left="880"/>
              <w:spacing w:after="0"/>
              <w:rPr>
                <w:sz w:val="20"/>
                <w:szCs w:val="20"/>
                <w:color w:val="auto"/>
              </w:rPr>
            </w:pPr>
            <w:r>
              <w:rPr>
                <w:rFonts w:ascii="Arial" w:cs="Arial" w:eastAsia="Arial" w:hAnsi="Arial"/>
                <w:sz w:val="18"/>
                <w:szCs w:val="18"/>
                <w:color w:val="auto"/>
              </w:rPr>
              <w:t>Severance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5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Impairment of property, plant and equipment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5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severance and restructuring expenses, net</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323"/>
        </w:trPr>
        <w:tc>
          <w:tcPr>
            <w:tcW w:w="5620" w:type="dxa"/>
            <w:vAlign w:val="bottom"/>
          </w:tcPr>
          <w:p>
            <w:pPr>
              <w:spacing w:after="0"/>
              <w:rPr>
                <w:sz w:val="20"/>
                <w:szCs w:val="20"/>
                <w:color w:val="auto"/>
              </w:rPr>
            </w:pPr>
            <w:r>
              <w:rPr>
                <w:rFonts w:ascii="Arial" w:cs="Arial" w:eastAsia="Arial" w:hAnsi="Arial"/>
                <w:sz w:val="18"/>
                <w:szCs w:val="18"/>
                <w:color w:val="auto"/>
              </w:rPr>
              <w:t>Nine Months Ended February 27, 2011:</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 2010 business realignment: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880"/>
              <w:spacing w:after="0"/>
              <w:rPr>
                <w:sz w:val="20"/>
                <w:szCs w:val="20"/>
                <w:color w:val="auto"/>
              </w:rPr>
            </w:pPr>
            <w:r>
              <w:rPr>
                <w:rFonts w:ascii="Arial" w:cs="Arial" w:eastAsia="Arial" w:hAnsi="Arial"/>
                <w:sz w:val="18"/>
                <w:szCs w:val="18"/>
                <w:color w:val="auto"/>
              </w:rPr>
              <w:t>Severance</w:t>
            </w:r>
          </w:p>
        </w:tc>
        <w:tc>
          <w:tcPr>
            <w:tcW w:w="16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0.7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5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exit-related costs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5620" w:type="dxa"/>
            <w:vAlign w:val="bottom"/>
          </w:tcPr>
          <w:p>
            <w:pPr>
              <w:ind w:left="880"/>
              <w:spacing w:after="0"/>
              <w:rPr>
                <w:sz w:val="20"/>
                <w:szCs w:val="20"/>
                <w:color w:val="auto"/>
              </w:rPr>
            </w:pPr>
            <w:r>
              <w:rPr>
                <w:rFonts w:ascii="Arial" w:cs="Arial" w:eastAsia="Arial" w:hAnsi="Arial"/>
                <w:sz w:val="18"/>
                <w:szCs w:val="18"/>
                <w:color w:val="auto"/>
              </w:rPr>
              <w:t>Impairment of equipment and other assets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5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March 2009 workforce reduction and plant closures: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exit-related costs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13.1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13.1</w:t>
            </w:r>
          </w:p>
        </w:tc>
      </w:tr>
      <w:tr>
        <w:trPr>
          <w:trHeight w:val="216"/>
        </w:trPr>
        <w:tc>
          <w:tcPr>
            <w:tcW w:w="5620" w:type="dxa"/>
            <w:vAlign w:val="bottom"/>
          </w:tcPr>
          <w:p>
            <w:pPr>
              <w:ind w:left="880"/>
              <w:spacing w:after="0"/>
              <w:rPr>
                <w:sz w:val="20"/>
                <w:szCs w:val="20"/>
                <w:color w:val="auto"/>
              </w:rPr>
            </w:pPr>
            <w:r>
              <w:rPr>
                <w:rFonts w:ascii="Arial" w:cs="Arial" w:eastAsia="Arial" w:hAnsi="Arial"/>
                <w:sz w:val="18"/>
                <w:szCs w:val="18"/>
                <w:color w:val="auto"/>
              </w:rPr>
              <w:t>Severance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5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on sale of equipment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(0.8)</w:t>
            </w:r>
          </w:p>
        </w:tc>
      </w:tr>
      <w:tr>
        <w:trPr>
          <w:trHeight w:val="216"/>
        </w:trPr>
        <w:tc>
          <w:tcPr>
            <w:tcW w:w="5620" w:type="dxa"/>
            <w:vAlign w:val="bottom"/>
          </w:tcPr>
          <w:p>
            <w:pPr>
              <w:ind w:left="880"/>
              <w:spacing w:after="0"/>
              <w:rPr>
                <w:sz w:val="20"/>
                <w:szCs w:val="20"/>
                <w:color w:val="auto"/>
              </w:rPr>
            </w:pPr>
            <w:r>
              <w:rPr>
                <w:rFonts w:ascii="Arial" w:cs="Arial" w:eastAsia="Arial" w:hAnsi="Arial"/>
                <w:sz w:val="18"/>
                <w:szCs w:val="18"/>
                <w:color w:val="auto"/>
              </w:rPr>
              <w:t>Impairment of property, plant and equipment</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5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Release of reserve: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300"/>
              <w:spacing w:after="0"/>
              <w:rPr>
                <w:sz w:val="20"/>
                <w:szCs w:val="20"/>
                <w:color w:val="auto"/>
              </w:rPr>
            </w:pPr>
            <w:r>
              <w:rPr>
                <w:rFonts w:ascii="Arial" w:cs="Arial" w:eastAsia="Arial" w:hAnsi="Arial"/>
                <w:sz w:val="18"/>
                <w:szCs w:val="18"/>
                <w:color w:val="auto"/>
              </w:rPr>
              <w:t>Severance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(0.1)</w:t>
            </w:r>
          </w:p>
        </w:tc>
      </w:tr>
      <w:tr>
        <w:trPr>
          <w:trHeight w:val="216"/>
        </w:trPr>
        <w:tc>
          <w:tcPr>
            <w:tcW w:w="5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21.4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21.4</w:t>
            </w:r>
          </w:p>
        </w:tc>
      </w:tr>
      <w:tr>
        <w:trPr>
          <w:trHeight w:val="222"/>
        </w:trPr>
        <w:tc>
          <w:tcPr>
            <w:tcW w:w="5620" w:type="dxa"/>
            <w:vAlign w:val="bottom"/>
          </w:tcPr>
          <w:p>
            <w:pPr>
              <w:ind w:left="440"/>
              <w:spacing w:after="0"/>
              <w:rPr>
                <w:sz w:val="20"/>
                <w:szCs w:val="20"/>
                <w:color w:val="auto"/>
              </w:rPr>
            </w:pPr>
            <w:r>
              <w:rPr>
                <w:rFonts w:ascii="Arial" w:cs="Arial" w:eastAsia="Arial" w:hAnsi="Arial"/>
                <w:sz w:val="18"/>
                <w:szCs w:val="18"/>
                <w:color w:val="auto"/>
              </w:rPr>
              <w:t>Total severance and restructuring expenses, net</w:t>
            </w:r>
          </w:p>
        </w:tc>
        <w:tc>
          <w:tcPr>
            <w:tcW w:w="16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2.2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22.3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24.5</w:t>
            </w:r>
          </w:p>
        </w:tc>
      </w:tr>
    </w:tbl>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exit activities related to the realignment of certain product line business units originally announced in May 2010, we recorded charges of $0.2 million in the third quarter and $3.1 million in the first nine months of fiscal 2011. These amounts include $0.2 million in the third quarter of fiscal 2011 for severance payments to an employee who was terminated in the quarter due to related exit activities and a total of $1.5 million for severance expenses in the first nine months of fiscal 2011. We also recorded $0.4 million for other exit-related costs in the first nine months of fiscal 2011 in connection with two leased facilities. In the first quarter of fiscal 2011, we decided to discontinue the development of a product which was originally acquired with the purchase of ActSolar, Inc. in fiscal 2009. As a result, the charges in the first nine months of fiscal 2011 include a $1.2 million charge to write off the intangible asset and certain equipment related to the development project that is no longer used. Remaining activities related to the product line business realignment are now expected to be completed by the end of fiscal 2011 and total cumulative charges are expected to be approximately $5 million to $6 million. Total cumulative charges since this action was originally announced in fiscal 2010 through February 27, 2011 were $4.8 million, which includes an additional $1.7 million for severance payments recorded in fiscal 2010.</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60"/>
          </w:cols>
          <w:pgMar w:left="240" w:top="274" w:right="399" w:bottom="1440" w:gutter="0" w:footer="0" w:header="0"/>
        </w:sectPr>
      </w:pPr>
    </w:p>
    <w:bookmarkStart w:id="65" w:name="page66"/>
    <w:bookmarkEnd w:id="65"/>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workforce reduction and plant closures announced in March 2009, we recorded a total net charge of $8.0 million in the third quarter and $21.4 million in the first nine months of fiscal 2011. These amounts include other exit-related costs of $1.9 million in the third quarter and $13.1 million in the first nine months of fiscal 2011 associated with the closure and transfer activities that occurred at our manufacturing sites in Texas and China during the same periods. These amounts also include severance costs of $0.1 million in the third quarter and $0.4 million in the first nine months of fiscal 2011. We recorded a $6.0 million impairment charge in the third quarter of fiscal 2011 to reduce the carrying value of one of the manufacturing sites that is held for sale since the industrial real estate market in its location has declined. In addition, we previously recorded a $0.8 million charge to write off certain Texas building improvements that were removed in the second quarter of fiscal 2010 and a $2.0 million charge to write off certain Texas equipment previously classified as held for sale that remained unsold after completing a final public sale of the equipment in the first quarter of fiscal 2011. As a result, total charges for the impairment of property, plant and equipment were $8.8 million in the first nine months of fiscal 2011. Partially offsetting the charges discussed above for the first nine months of fiscal 2011 was a $0.1 million recovery to reduce accrued severance upon redeploying an employee from Texas to another location and a $0.8 million gain on the sale of certain Texas equipment. Since these net charges relate to actions announced in fiscal 2009, total cumulative net charges in fiscal 2009, 2010 and 2011 through February 27, 2011 for these actions are presented in the following table:</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Analog</w:t>
            </w:r>
          </w:p>
        </w:tc>
        <w:tc>
          <w:tcPr>
            <w:tcW w:w="100" w:type="dxa"/>
            <w:vAlign w:val="bottom"/>
          </w:tcPr>
          <w:p>
            <w:pPr>
              <w:spacing w:after="0"/>
              <w:rPr>
                <w:sz w:val="14"/>
                <w:szCs w:val="14"/>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All</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4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Others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March 2009 workforce reduction and plant closures: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Severance</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14.0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46.6</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exit-related costs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Impairment of property, plant and equipment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sale of equipment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Other equipment gain,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Release of reserves: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460" w:type="dxa"/>
            <w:vAlign w:val="bottom"/>
          </w:tcPr>
          <w:p>
            <w:pPr>
              <w:ind w:left="880"/>
              <w:spacing w:after="0"/>
              <w:rPr>
                <w:sz w:val="20"/>
                <w:szCs w:val="20"/>
                <w:color w:val="auto"/>
              </w:rPr>
            </w:pPr>
            <w:r>
              <w:rPr>
                <w:rFonts w:ascii="Arial" w:cs="Arial" w:eastAsia="Arial" w:hAnsi="Arial"/>
                <w:sz w:val="18"/>
                <w:szCs w:val="18"/>
                <w:color w:val="auto"/>
              </w:rPr>
              <w:t>Severance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102"/>
        </w:trPr>
        <w:tc>
          <w:tcPr>
            <w:tcW w:w="6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cumulative severance and restructuring expenses for the March 2009 workforce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 and plant closures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6"/>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146.6</w:t>
            </w:r>
          </w:p>
        </w:tc>
        <w:tc>
          <w:tcPr>
            <w:tcW w:w="3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160.2</w:t>
            </w: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fiscal 2010 we ceased production activity in both China and Texas. Remaining activities associated with the closures of the China and Texas manufacturing facilities were substantially completed by the end of November 2010. Until these facilities are both sold, we expect to incur ongoing maintenance expenses of less than $1 million each quarter.</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production activity in both China and Texas has ceased, we are actively engaged in locating buyers to purchase each of these manufacturing facilities and the existing machinery and equipment located in these facilities. As a result, all of the China and Texas plant assets have been classified as held for sale. As of February 27, 2011, the total carrying value of assets held for sale was $33.9 million and is reported in other current assets in the condensed consolidated balance sheet. We have ceased depreciation on these assets and now measure the carrying value at the lower of historical net book value or fair value (less cost to sell). As discussed above, we recorded a $6.0 million impairment charge in the third quarter of fiscal 2011 to reduce the carrying value of one of our facilities that is held for sale to its fair value less cost to sell.During the first nine months of fiscal 2011, activity related to assets held for sale included the sale of certain Texas equipment with a carrying value of $2.6 million and the write off of certain Texas building improvements and equipment with a carrying value of $2.8 million. In addition, certain Texas equipment with a carrying value of $0.5 million (approximating fair value) was transferred to our manufacturing facility in Maine and reclassified as held and used.</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provides a summary of the activities through the first nine months of fiscal 2011 related to severance and restructuring costs included in accrued liabilities: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3"/>
          </w:tcPr>
          <w:p>
            <w:pPr>
              <w:jc w:val="center"/>
              <w:ind w:right="112"/>
              <w:spacing w:after="0"/>
              <w:rPr>
                <w:sz w:val="20"/>
                <w:szCs w:val="20"/>
                <w:color w:val="auto"/>
              </w:rPr>
            </w:pPr>
            <w:r>
              <w:rPr>
                <w:rFonts w:ascii="Arial" w:cs="Arial" w:eastAsia="Arial" w:hAnsi="Arial"/>
                <w:sz w:val="14"/>
                <w:szCs w:val="14"/>
                <w:b w:val="1"/>
                <w:bCs w:val="1"/>
                <w:color w:val="auto"/>
                <w:w w:val="85"/>
              </w:rPr>
              <w:t>Fiscal 2009</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5"/>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Fiscal 2010 Business Unit</w:t>
            </w:r>
          </w:p>
        </w:tc>
        <w:tc>
          <w:tcPr>
            <w:tcW w:w="160" w:type="dxa"/>
            <w:vAlign w:val="bottom"/>
          </w:tcPr>
          <w:p>
            <w:pPr>
              <w:spacing w:after="0"/>
              <w:rPr>
                <w:sz w:val="12"/>
                <w:szCs w:val="12"/>
                <w:color w:val="auto"/>
              </w:rPr>
            </w:pPr>
          </w:p>
        </w:tc>
        <w:tc>
          <w:tcPr>
            <w:tcW w:w="208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Workforce Reduction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82"/>
              <w:spacing w:after="0"/>
              <w:rPr>
                <w:sz w:val="20"/>
                <w:szCs w:val="20"/>
                <w:color w:val="auto"/>
              </w:rPr>
            </w:pPr>
            <w:r>
              <w:rPr>
                <w:rFonts w:ascii="Arial" w:cs="Arial" w:eastAsia="Arial" w:hAnsi="Arial"/>
                <w:sz w:val="14"/>
                <w:szCs w:val="14"/>
                <w:b w:val="1"/>
                <w:bCs w:val="1"/>
                <w:color w:val="auto"/>
                <w:w w:val="85"/>
              </w:rPr>
              <w:t>Realignment</w:t>
            </w:r>
          </w:p>
        </w:tc>
        <w:tc>
          <w:tcPr>
            <w:tcW w:w="4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157"/>
              <w:spacing w:after="0"/>
              <w:rPr>
                <w:sz w:val="20"/>
                <w:szCs w:val="20"/>
                <w:color w:val="auto"/>
              </w:rPr>
            </w:pPr>
            <w:r>
              <w:rPr>
                <w:rFonts w:ascii="Arial" w:cs="Arial" w:eastAsia="Arial" w:hAnsi="Arial"/>
                <w:sz w:val="14"/>
                <w:szCs w:val="14"/>
                <w:b w:val="1"/>
                <w:bCs w:val="1"/>
                <w:color w:val="auto"/>
                <w:w w:val="86"/>
              </w:rPr>
              <w:t>and Plant Closures</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Other Exit-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Other Exit-</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1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2"/>
              </w:rPr>
              <w:t>Severance</w:t>
            </w:r>
          </w:p>
        </w:tc>
        <w:tc>
          <w:tcPr>
            <w:tcW w:w="5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Related Costs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Related Costs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Total</w:t>
            </w:r>
          </w:p>
        </w:tc>
      </w:tr>
      <w:tr>
        <w:trPr>
          <w:trHeight w:val="20"/>
        </w:trPr>
        <w:tc>
          <w:tcPr>
            <w:tcW w:w="4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30, 2010</w:t>
            </w:r>
          </w:p>
        </w:tc>
        <w:tc>
          <w:tcPr>
            <w:tcW w:w="19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Severance and restructuring expenses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72"/>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Release of residual reserves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72"/>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Exchange rate adjustment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Balance at February 27, 2011</w:t>
            </w:r>
          </w:p>
        </w:tc>
        <w:tc>
          <w:tcPr>
            <w:tcW w:w="19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72"/>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356"/>
        </w:trPr>
        <w:tc>
          <w:tcPr>
            <w:tcW w:w="4100" w:type="dxa"/>
            <w:vAlign w:val="bottom"/>
          </w:tcPr>
          <w:p>
            <w:pPr>
              <w:spacing w:after="0"/>
              <w:rPr>
                <w:sz w:val="24"/>
                <w:szCs w:val="24"/>
                <w:color w:val="auto"/>
              </w:rPr>
            </w:pPr>
          </w:p>
        </w:tc>
        <w:tc>
          <w:tcPr>
            <w:tcW w:w="1960" w:type="dxa"/>
            <w:vAlign w:val="bottom"/>
            <w:gridSpan w:val="2"/>
          </w:tcPr>
          <w:p>
            <w:pPr>
              <w:ind w:left="1440"/>
              <w:spacing w:after="0"/>
              <w:rPr>
                <w:sz w:val="20"/>
                <w:szCs w:val="20"/>
                <w:color w:val="auto"/>
              </w:rPr>
            </w:pPr>
            <w:r>
              <w:rPr>
                <w:rFonts w:ascii="Arial" w:cs="Arial" w:eastAsia="Arial" w:hAnsi="Arial"/>
                <w:sz w:val="18"/>
                <w:szCs w:val="18"/>
                <w:color w:val="auto"/>
              </w:rPr>
              <w:t>F-14</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6" w:name="page67"/>
    <w:bookmarkEnd w:id="66"/>
    <w:p>
      <w:pPr>
        <w:jc w:val="both"/>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first nine months of fiscal 2011 we paid severance to 197 employees in connection with exit activities as part of the business unit realignment announced in May 2010 and the plant closures. Payments for other exit-related costs were primarily for expenses associated with closure and transfer activities incurred in connection with the closures of our manufacturing facilities in Texas and China.</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balances at February 27, 2011 represent remaining estimated costs for activities that have occurred, but have yet to be paid, as a result of the business unit realignment and the manufacturing plant closures. Payments for the remaining severance balances of $0.7 million related to the business unit realignment and $2.4 million related to the plant closures that have been substantially completed are expected to be paid over the next quarter. Severance amounts are generally paid 30-60 days after the employee’s actual departure date or may be deferred until the beginning of the calendar year after their departure date. Other exit-related costs primarily relate to expenses associated with closure and transfer activities occurring in these manufacturing locations.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June 2010, we acquired substantially all of the assets of GTronix Inc. (GTronix), a fabless semiconductor company based in Fremont, California. GTronix’s proprietary analog technology provides very low-power solutions for noise cancellation in mobile applications such as wireless handsets and audio accessories. The acquisition of GTronix’s assets is intended to expand our existing audio portfolio. In addition, GTronix technology has potential for other broader applications in which low-power analog signal processing is important.</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acquisition was accounted for using the acquisition method of accounting with a purchase price of $4.5 million for the GTronix’s assets. The acquired assets constitute a business under FASB guidance and included primarily amortizable intangible assets, inventory and equipment. No liabilities were assumed in the transaction. The purchase price was allocated as follows: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7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5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Acquired developed technology</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Goodwill</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Goodwill from this acquisition is included in our Analog segment and it primarily represents the expected value of future technologies that have yet to be determined. Goodwill is expected to be deductible for tax purposes. Pro forma results of operations related to this acquisition have not been presented since GTronix’s operating results up to the date of acquisition were immaterial to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goodwill by reportable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Analog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All</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5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Others</w:t>
            </w:r>
          </w:p>
        </w:tc>
        <w:tc>
          <w:tcPr>
            <w:tcW w:w="52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0"/>
        </w:trPr>
        <w:tc>
          <w:tcPr>
            <w:tcW w:w="4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30, 2010</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58.8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Acquisition of GTronix</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7"/>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27, 2011</w:t>
            </w: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61.0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multicurrency credit agreement with a bank was renewed and amended in October 2010 to provide up to $10 million for multicurrency loans, letters of credit and standby letters of credit. The agreement contains restrictive covenants, conditions and default provisions that require the maintenance of certain financial ratios. As of February 27, 2011, we were in compliance with all financial covenants under the agreement. The agreement will expire in October 2011.</w:t>
      </w:r>
    </w:p>
    <w:p>
      <w:pPr>
        <w:spacing w:after="0" w:line="10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October 2010, we also amended an existing credit agreement with a bank to extend the due date of our unsecured promissory note denominated in Japanese yen (2,408,750,000). Under the terms of the agreement, the promissory note will become due in November 2013 and all other terms under the agreement remain the same.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June 2010, we repaid in full the $250.0 million aggregate principal amount of senior floating rate notes that became due June 2010. The total amount of the repayment was $250.3 million, which included the aggregate principal amount outstanding and accrued interest through the repayment 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280"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10. Income Taxes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Income tax expense of $20.3 million in the third quarter and $87.6 million in the first nine months of fiscal 2011 was higher than the $19.2 million in the third quarter and the $42.1 million in the first nine months of fiscal 2010 primarily because of higher U.S. income in fiscal 2011. In December 2010, the Tax Relief, Unemployment Insurance Reauthorization and Job Creation Act of 2010 was enacted, which extended most expiring tax provisions, including the extension of the federal research and development tax credit through December 2011. As a result, income tax expense in the third quarter of fiscal 2011 includes a tax benefit arising from the retroactive reinstatement of the federal research and development tax credit that was partially offset by certain discrete tax expenses that arose in the same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Retirement and Pension Plans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costs for our defined benefit pension plans maintained in the United Kingdom, Germany and Taiwan are presented in the following table: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Nine Months Ended</w:t>
            </w:r>
          </w:p>
        </w:tc>
      </w:tr>
      <w:tr>
        <w:trPr>
          <w:trHeight w:val="129"/>
        </w:trPr>
        <w:tc>
          <w:tcPr>
            <w:tcW w:w="670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88"/>
              </w:rPr>
              <w:t>Feb. 27,</w:t>
            </w: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Feb. 28,</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Feb. 27,</w:t>
            </w: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Feb. 28,</w:t>
            </w:r>
          </w:p>
        </w:tc>
        <w:tc>
          <w:tcPr>
            <w:tcW w:w="100" w:type="dxa"/>
            <w:vAlign w:val="bottom"/>
          </w:tcPr>
          <w:p>
            <w:pPr>
              <w:spacing w:after="0"/>
              <w:rPr>
                <w:sz w:val="11"/>
                <w:szCs w:val="11"/>
                <w:color w:val="auto"/>
              </w:rPr>
            </w:pPr>
          </w:p>
        </w:tc>
      </w:tr>
      <w:tr>
        <w:trPr>
          <w:trHeight w:val="161"/>
        </w:trPr>
        <w:tc>
          <w:tcPr>
            <w:tcW w:w="67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Service cost of benefits earned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Plan participant contributions</w:t>
            </w:r>
          </w:p>
        </w:tc>
        <w:tc>
          <w:tcPr>
            <w:tcW w:w="10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and deferral</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Net periodic pension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bl>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contributions paid to these plans during fiscal 2011 were $0.4 million in the third quarter and $1.2 million in the first nine months. Total contributions paid to these plans during fiscal 2010 were $0.4 million in the third quarter and $1.4 million in the first nine months. We currently expect our total fiscal 2011 contribution to these plans to be approximately $6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During the third quarter and first nine months of fiscal 2011, we did not repurchase any shares of our common stock in connection with the $500 million stock repurchase program we announced in June 2007. Under this program, we had a balance of $127.4 million remaining available for future stock repurchases as of February 27, 2011. We do not have any plans to terminate the program prior to its completion, and there is no expiration date for this repurchase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paid cash dividends of $24.2 million ($0.10 per outstanding share of common stock) in the third quarter and a total of $67.3 million in the first nine months of fiscal 2011. We paid cash dividends of $19.1 million ($0.08 per outstanding share of common stock) in the third quarter and a total of $56.7 million in the first nine months of fiscal 2010.</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March 10, 2011 we announced that our Board of Directors declared a cash dividend of $0.10 per outstanding share of common stock, which will be paid on April 11, 2011 to shareholders of record at the close of business on March 21,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fiscal 2011 to date, stock options were granted only from the 2009 Incentive Award Plan (the 2009 Plan), while stock options that were exercised, forfeited and expired represent stock options that were granted under the 2009 Plan and our former equity plans (the 1977 Stock Option Plan, the 2007 Employee Equity Plan (EEP), the 2005 Executive Officer Equity Plan (EOEP) and the Executive Officer Stock Option Plan). The following table summarizes the activity during the first nine months of fiscal 2011 of common stock shares related to stock options granted under all of our equity plans (excluding the director stock option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274" w:right="259" w:bottom="1440" w:gutter="0" w:footer="0" w:header="0"/>
        </w:sectPr>
      </w:pPr>
    </w:p>
    <w:bookmarkStart w:id="68" w:name="page69"/>
    <w:bookmarkEnd w:id="68"/>
    <w:tbl>
      <w:tblPr>
        <w:tblLayout w:type="fixed"/>
        <w:tblInd w:w="13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1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Number of Shares</w:t>
            </w:r>
          </w:p>
        </w:tc>
        <w:tc>
          <w:tcPr>
            <w:tcW w:w="1660" w:type="dxa"/>
            <w:vAlign w:val="bottom"/>
            <w:gridSpan w:val="4"/>
          </w:tcPr>
          <w:p>
            <w:pPr>
              <w:ind w:left="480"/>
              <w:spacing w:after="0"/>
              <w:rPr>
                <w:sz w:val="20"/>
                <w:szCs w:val="20"/>
                <w:color w:val="auto"/>
              </w:rPr>
            </w:pPr>
            <w:r>
              <w:rPr>
                <w:rFonts w:ascii="Arial" w:cs="Arial" w:eastAsia="Arial" w:hAnsi="Arial"/>
                <w:sz w:val="14"/>
                <w:szCs w:val="14"/>
                <w:b w:val="1"/>
                <w:bCs w:val="1"/>
                <w:color w:val="auto"/>
                <w:w w:val="94"/>
              </w:rPr>
              <w:t>Weighted-Average</w:t>
            </w:r>
          </w:p>
        </w:tc>
      </w:tr>
      <w:tr>
        <w:trPr>
          <w:trHeight w:val="161"/>
        </w:trPr>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5"/>
              </w:rPr>
              <w:t>Exercise Price</w:t>
            </w:r>
          </w:p>
        </w:tc>
        <w:tc>
          <w:tcPr>
            <w:tcW w:w="100" w:type="dxa"/>
            <w:vAlign w:val="bottom"/>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30, 2010</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8"/>
                <w:szCs w:val="18"/>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Forfeited</w:t>
            </w:r>
          </w:p>
        </w:tc>
        <w:tc>
          <w:tcPr>
            <w:tcW w:w="3140" w:type="dxa"/>
            <w:vAlign w:val="bottom"/>
            <w:gridSpan w:val="3"/>
          </w:tcPr>
          <w:p>
            <w:pPr>
              <w:jc w:val="right"/>
              <w:ind w:right="500"/>
              <w:spacing w:after="0"/>
              <w:rPr>
                <w:sz w:val="20"/>
                <w:szCs w:val="20"/>
                <w:color w:val="auto"/>
              </w:rPr>
            </w:pPr>
            <w:r>
              <w:rPr>
                <w:rFonts w:ascii="Arial" w:cs="Arial" w:eastAsia="Arial" w:hAnsi="Arial"/>
                <w:sz w:val="18"/>
                <w:szCs w:val="18"/>
                <w:color w:val="auto"/>
              </w:rPr>
              <w:t>(0.5)</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3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(4.4)</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8"/>
                <w:szCs w:val="18"/>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Outstanding at February 27, 2011</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540" w:type="dxa"/>
            <w:vAlign w:val="bottom"/>
          </w:tcPr>
          <w:p>
            <w:pPr>
              <w:spacing w:after="0"/>
              <w:rPr>
                <w:sz w:val="19"/>
                <w:szCs w:val="19"/>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306" w:lineRule="auto"/>
        <w:rPr>
          <w:sz w:val="20"/>
          <w:szCs w:val="20"/>
          <w:color w:val="auto"/>
        </w:rPr>
      </w:pPr>
      <w:r>
        <w:rPr>
          <w:rFonts w:ascii="Arial" w:cs="Arial" w:eastAsia="Arial" w:hAnsi="Arial"/>
          <w:sz w:val="16"/>
          <w:szCs w:val="16"/>
          <w:color w:val="auto"/>
        </w:rPr>
        <w:t>The total intrinsic value of options exercised in fiscal 2011 was $3.5 million in the third quarter and $7.5 million in the first nine months. The total intrinsic value of options exercised in fiscal 2010 was $1.0 million in the third quarter and $7.1 million in the first nine months. Total unrecognized compensation cost related to stock option grants as of February 27, 2011 was $14.5 million, which is expected to be recognized over a weighted-average period of 2.1 years.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additional information about total options outstanding under our stock option plans (excluding the director stock option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February 27, 2011:</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Aggregate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6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Number of</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1"/>
              </w:rPr>
              <w:t>Intrinsic</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4660" w:type="dxa"/>
            <w:vAlign w:val="bottom"/>
          </w:tcPr>
          <w:p>
            <w:pPr>
              <w:spacing w:after="0"/>
              <w:rPr>
                <w:sz w:val="12"/>
                <w:szCs w:val="12"/>
                <w:color w:val="auto"/>
              </w:rPr>
            </w:pPr>
          </w:p>
        </w:tc>
        <w:tc>
          <w:tcPr>
            <w:tcW w:w="72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rPr>
              <w:t>Shares</w:t>
            </w:r>
          </w:p>
        </w:tc>
        <w:tc>
          <w:tcPr>
            <w:tcW w:w="7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Weighted-Average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Value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Contractual Life</w:t>
            </w:r>
          </w:p>
        </w:tc>
      </w:tr>
      <w:tr>
        <w:trPr>
          <w:trHeight w:val="161"/>
        </w:trPr>
        <w:tc>
          <w:tcPr>
            <w:tcW w:w="46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(In Millions)</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3"/>
              </w:rPr>
              <w:t>Exercise Price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 Millions)</w:t>
            </w:r>
          </w:p>
        </w:tc>
        <w:tc>
          <w:tcPr>
            <w:tcW w:w="7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100" w:type="dxa"/>
            <w:vAlign w:val="bottom"/>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Currently exercisable</w:t>
            </w:r>
          </w:p>
        </w:tc>
        <w:tc>
          <w:tcPr>
            <w:tcW w:w="720" w:type="dxa"/>
            <w:vAlign w:val="bottom"/>
          </w:tcPr>
          <w:p>
            <w:pPr>
              <w:jc w:val="right"/>
              <w:spacing w:after="0"/>
              <w:rPr>
                <w:sz w:val="20"/>
                <w:szCs w:val="20"/>
                <w:color w:val="auto"/>
              </w:rPr>
            </w:pPr>
            <w:r>
              <w:rPr>
                <w:rFonts w:ascii="Arial" w:cs="Arial" w:eastAsia="Arial" w:hAnsi="Arial"/>
                <w:sz w:val="18"/>
                <w:szCs w:val="18"/>
                <w:color w:val="auto"/>
              </w:rPr>
              <w:t>18.5</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15.69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43.3</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Plans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fiscal 2011 to date, restricted stock shares and restricted stock units were granted from the 2009 Plan, while restricted stock shares and restricted stock units that were vested or forfeited represent restricted stock awards that were granted under the 2009 Plan and the former EEP and restricted stock plan. The following table provides a summary of activity during the first nine months of fiscal 2011 for grants of restricted stock and restricted stock units under the 2009 Plan, the EEP and the restricted stock plan (excluding units granted with performance based restrictions):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0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Number of 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Weighted-Average</w:t>
            </w:r>
          </w:p>
        </w:tc>
      </w:tr>
      <w:tr>
        <w:trPr>
          <w:trHeight w:val="161"/>
        </w:trPr>
        <w:tc>
          <w:tcPr>
            <w:tcW w:w="3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jc w:val="right"/>
              <w:ind w:right="102"/>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4"/>
                <w:szCs w:val="14"/>
                <w:color w:val="auto"/>
              </w:rPr>
            </w:pPr>
          </w:p>
        </w:tc>
        <w:tc>
          <w:tcPr>
            <w:tcW w:w="1940" w:type="dxa"/>
            <w:vAlign w:val="bottom"/>
            <w:gridSpan w:val="4"/>
          </w:tcPr>
          <w:p>
            <w:pPr>
              <w:ind w:left="520"/>
              <w:spacing w:after="0"/>
              <w:rPr>
                <w:sz w:val="20"/>
                <w:szCs w:val="20"/>
                <w:color w:val="auto"/>
              </w:rPr>
            </w:pPr>
            <w:r>
              <w:rPr>
                <w:rFonts w:ascii="Arial" w:cs="Arial" w:eastAsia="Arial" w:hAnsi="Arial"/>
                <w:sz w:val="14"/>
                <w:szCs w:val="14"/>
                <w:b w:val="1"/>
                <w:bCs w:val="1"/>
                <w:color w:val="auto"/>
                <w:w w:val="97"/>
              </w:rPr>
              <w:t>Grant-Date Fair Value</w:t>
            </w:r>
          </w:p>
        </w:tc>
      </w:tr>
      <w:tr>
        <w:trPr>
          <w:trHeight w:val="20"/>
        </w:trPr>
        <w:tc>
          <w:tcPr>
            <w:tcW w:w="3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30, 2010</w:t>
            </w: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Forfeited</w:t>
            </w:r>
          </w:p>
        </w:tc>
        <w:tc>
          <w:tcPr>
            <w:tcW w:w="3020" w:type="dxa"/>
            <w:vAlign w:val="bottom"/>
            <w:gridSpan w:val="3"/>
          </w:tcPr>
          <w:p>
            <w:pPr>
              <w:jc w:val="right"/>
              <w:ind w:right="540"/>
              <w:spacing w:after="0"/>
              <w:rPr>
                <w:sz w:val="20"/>
                <w:szCs w:val="20"/>
                <w:color w:val="auto"/>
              </w:rPr>
            </w:pPr>
            <w:r>
              <w:rPr>
                <w:rFonts w:ascii="Arial" w:cs="Arial" w:eastAsia="Arial" w:hAnsi="Arial"/>
                <w:sz w:val="18"/>
                <w:szCs w:val="18"/>
                <w:color w:val="auto"/>
              </w:rPr>
              <w:t>(0.3)</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27, 2011</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total fair value of restricted shares that vested in fiscal 2011 was $4.2 million in the third quarter and $10.5 million in the first nine months. The total fair value of restricted shares that vested in fiscal 2010 was $0.3 million in the third quarter and $1.2 million in the first nine months. Total unrecognized compensation cost related to non-vested restricted stock shares and restricted stock units outstanding as of February 27, 2011 was $31.8 million, which is expected to be recognized over a weighted-average period of 2.9 years.</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Under the director stock plan, we granted 104,626 shares of common stock to our directors in the first nine months of fiscal 2011. Total unrecognized compensation cost as of February 27, 2011 related to non-vested awards granted under the plan was $0.8 million, which is expected to be recognized over a weighted-average period of 2.2 years.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performance share units under the EOEP, no shares were issued in July 2010 upon completion of the fourth two-year performance period because minimum performance thresholds were not achieved. Targets for a fifth two-year performance period that were established in July 2009 will be measured after the end of fiscal 2011. Targets for a one-year performance period that were also established in July 2009, were measured after the end of fiscal 2010, but require a two-year vesting period. Targets for a sixth two-year performance period were established in June 2010 and will be measured after the end of fiscal 2012. Total unrecognized compensation cost related to unvested performance share units as of February 27, 2011 was $5.7 million, which is expected to be recognized over a weighted-average period of 0.8 year.</w:t>
      </w:r>
    </w:p>
    <w:p>
      <w:pPr>
        <w:spacing w:after="0" w:line="12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On November 29, 2010, we paid a one-time cash payment of an aggregate of $14.6 million to our executive officers in connection with the special retention incentive program approved by our Compensation Committee in fiscal 2009. To receive the payment, the officer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263" w:right="279" w:bottom="1440" w:gutter="0" w:footer="0" w:header="0"/>
        </w:sectPr>
      </w:pPr>
    </w:p>
    <w:bookmarkStart w:id="69" w:name="page70"/>
    <w:bookmarkEnd w:id="69"/>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must have been providing services to the company on the payment date. The amount of each cash award was determined based upon the average daily closing price of our common stock for the second quarter of fiscal 2011 ended November 28, 2010, which was $13.06 per share.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 information related to our reportable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w w:val="84"/>
              </w:rPr>
              <w:t>Analog</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7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Segment</w:t>
            </w:r>
          </w:p>
        </w:tc>
        <w:tc>
          <w:tcPr>
            <w:tcW w:w="4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All Others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February 27, 2011:</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Sales to unaffiliated customers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320.1</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income (loss) before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r>
      <w:tr>
        <w:trPr>
          <w:trHeight w:val="323"/>
        </w:trPr>
        <w:tc>
          <w:tcPr>
            <w:tcW w:w="6740" w:type="dxa"/>
            <w:vAlign w:val="bottom"/>
          </w:tcPr>
          <w:p>
            <w:pPr>
              <w:spacing w:after="0"/>
              <w:rPr>
                <w:sz w:val="20"/>
                <w:szCs w:val="20"/>
                <w:color w:val="auto"/>
              </w:rPr>
            </w:pPr>
            <w:r>
              <w:rPr>
                <w:rFonts w:ascii="Arial" w:cs="Arial" w:eastAsia="Arial" w:hAnsi="Arial"/>
                <w:sz w:val="18"/>
                <w:szCs w:val="18"/>
                <w:color w:val="auto"/>
              </w:rPr>
              <w:t>Three months ended February 28, 2010: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to unaffiliated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00" w:type="dxa"/>
            <w:vAlign w:val="bottom"/>
            <w:shd w:val="clear" w:color="auto" w:fill="CCEEFF"/>
          </w:tcPr>
          <w:p>
            <w:pPr>
              <w:spacing w:after="0"/>
              <w:rPr>
                <w:sz w:val="18"/>
                <w:szCs w:val="18"/>
                <w:color w:val="auto"/>
              </w:rPr>
            </w:pPr>
          </w:p>
        </w:tc>
      </w:tr>
      <w:tr>
        <w:trPr>
          <w:trHeight w:val="322"/>
        </w:trPr>
        <w:tc>
          <w:tcPr>
            <w:tcW w:w="6740" w:type="dxa"/>
            <w:vAlign w:val="bottom"/>
          </w:tcPr>
          <w:p>
            <w:pPr>
              <w:ind w:left="440"/>
              <w:spacing w:after="0"/>
              <w:rPr>
                <w:sz w:val="20"/>
                <w:szCs w:val="20"/>
                <w:color w:val="auto"/>
              </w:rPr>
            </w:pPr>
            <w:r>
              <w:rPr>
                <w:rFonts w:ascii="Arial" w:cs="Arial" w:eastAsia="Arial" w:hAnsi="Arial"/>
                <w:sz w:val="18"/>
                <w:szCs w:val="18"/>
                <w:color w:val="auto"/>
              </w:rPr>
              <w:t>Segment income (loss) before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84.6</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4"/>
                <w:szCs w:val="24"/>
                <w:color w:val="auto"/>
              </w:rPr>
            </w:pPr>
          </w:p>
        </w:tc>
      </w:tr>
      <w:tr>
        <w:trPr>
          <w:trHeight w:val="110"/>
        </w:trPr>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February 27, 2011: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ind w:left="440"/>
              <w:spacing w:after="0"/>
              <w:rPr>
                <w:sz w:val="20"/>
                <w:szCs w:val="20"/>
                <w:color w:val="auto"/>
              </w:rPr>
            </w:pPr>
            <w:r>
              <w:rPr>
                <w:rFonts w:ascii="Arial" w:cs="Arial" w:eastAsia="Arial" w:hAnsi="Arial"/>
                <w:sz w:val="18"/>
                <w:szCs w:val="18"/>
                <w:color w:val="auto"/>
              </w:rPr>
              <w:t>Sales to unaffiliated customers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1,071.1</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75.2</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1,146.3</w:t>
            </w:r>
          </w:p>
        </w:tc>
        <w:tc>
          <w:tcPr>
            <w:tcW w:w="100" w:type="dxa"/>
            <w:vAlign w:val="bottom"/>
          </w:tcPr>
          <w:p>
            <w:pPr>
              <w:spacing w:after="0"/>
              <w:rPr>
                <w:sz w:val="19"/>
                <w:szCs w:val="19"/>
                <w:color w:val="auto"/>
              </w:rPr>
            </w:pPr>
          </w:p>
        </w:tc>
      </w:tr>
      <w:tr>
        <w:trPr>
          <w:trHeight w:val="102"/>
        </w:trPr>
        <w:tc>
          <w:tcPr>
            <w:tcW w:w="6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income (loss) before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CCEEFF"/>
          </w:tcPr>
          <w:p>
            <w:pPr>
              <w:spacing w:after="0"/>
              <w:rPr>
                <w:sz w:val="18"/>
                <w:szCs w:val="18"/>
                <w:color w:val="auto"/>
              </w:rPr>
            </w:pPr>
          </w:p>
        </w:tc>
      </w:tr>
      <w:tr>
        <w:trPr>
          <w:trHeight w:val="323"/>
        </w:trPr>
        <w:tc>
          <w:tcPr>
            <w:tcW w:w="6740" w:type="dxa"/>
            <w:vAlign w:val="bottom"/>
          </w:tcPr>
          <w:p>
            <w:pPr>
              <w:spacing w:after="0"/>
              <w:rPr>
                <w:sz w:val="20"/>
                <w:szCs w:val="20"/>
                <w:color w:val="auto"/>
              </w:rPr>
            </w:pPr>
            <w:r>
              <w:rPr>
                <w:rFonts w:ascii="Arial" w:cs="Arial" w:eastAsia="Arial" w:hAnsi="Arial"/>
                <w:sz w:val="18"/>
                <w:szCs w:val="18"/>
                <w:color w:val="auto"/>
              </w:rPr>
              <w:t>Nine months ended February 28, 2010: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to unaffiliated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1,020.9</w:t>
            </w:r>
          </w:p>
        </w:tc>
        <w:tc>
          <w:tcPr>
            <w:tcW w:w="100" w:type="dxa"/>
            <w:vAlign w:val="bottom"/>
            <w:shd w:val="clear" w:color="auto" w:fill="CCEEFF"/>
          </w:tcPr>
          <w:p>
            <w:pPr>
              <w:spacing w:after="0"/>
              <w:rPr>
                <w:sz w:val="18"/>
                <w:szCs w:val="18"/>
                <w:color w:val="auto"/>
              </w:rPr>
            </w:pPr>
          </w:p>
        </w:tc>
      </w:tr>
      <w:tr>
        <w:trPr>
          <w:trHeight w:val="322"/>
        </w:trPr>
        <w:tc>
          <w:tcPr>
            <w:tcW w:w="6740" w:type="dxa"/>
            <w:vAlign w:val="bottom"/>
          </w:tcPr>
          <w:p>
            <w:pPr>
              <w:ind w:left="440"/>
              <w:spacing w:after="0"/>
              <w:rPr>
                <w:sz w:val="20"/>
                <w:szCs w:val="20"/>
                <w:color w:val="auto"/>
              </w:rPr>
            </w:pPr>
            <w:r>
              <w:rPr>
                <w:rFonts w:ascii="Arial" w:cs="Arial" w:eastAsia="Arial" w:hAnsi="Arial"/>
                <w:sz w:val="18"/>
                <w:szCs w:val="18"/>
                <w:color w:val="auto"/>
              </w:rPr>
              <w:t>Segment income (loss) before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205.1</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4"/>
                <w:szCs w:val="24"/>
                <w:color w:val="auto"/>
              </w:rPr>
            </w:pPr>
          </w:p>
        </w:tc>
      </w:tr>
    </w:tbl>
    <w:p>
      <w:pPr>
        <w:spacing w:after="0" w:line="15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first quarter of fiscal 2011, we combined the activities of the former key market segments group together with certain emerging product lines that were previously a part of two separate power business units to form a new business unit called the strategic growth markets business unit. This business unit will concentrate its efforts on selected high-growth emerging markets that represent promising opportunities to the company. The remaining product lines that were previously a part of the former performance power products business unit were combined with the remaining product lines within the infrastructure power business unit and were renamed the power products business unit. As a result, the Analog segment now comprises five operating segments which include the high-speed products, mobile devices power, power products, precision signal path and strategic growth markets business units. The information in the table above for the third quarter and first nine months ended February 28, 2010 has been reclassified to present segment information based on the structure of our operating segments in fiscal 2011.</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segments that do not meet the criteria of a reportable segment are combined under the category “All Others.” Sales for the category “All Others” include sales of products from non-analog business units that are no longer a part of our core focus, as well as sales generated from foundry and contract service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Contingencies —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been named to the National Priorities List for our Santa Clara, California, site and we have completed a remedial investigation/feasibility study with the Regional Water Quality Control Board (RWQCB), acting as an agent for the EPA. We have agreed in principle with the RWQCB on a site remediation plan and we are conducting remediation and cleanup efforts at the site. In addition to the Santa Clara site, we have been designated from time to time as a potentially responsible party (PRP) by international, federal and state agencies for certain environmental sites with which we may have had direct or indirect involvement. These designations are made regardless of the extent of our involvement. These claims are in various stages of administrative or judicial proceedings and include demands for recovery of past governmental costs and for future investigations and remedial actions. In many cases, the dollar amounts of the claims have not been specified, and, claims have been asserted against a number of other entities for the same cost recovery or other relief as is sought from us. We accrue costs associated with environmental matters when they become probable and can be reasonably estimated. The amount of all environmental charges to earnings, including charges for the Santa Clara site remediation, (excluding potential reimbursements from insurance coverage), were not material during the third quarter and first nine months of fiscal 2011.</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280" w:right="279" w:bottom="1440" w:gutter="0" w:footer="0" w:header="0"/>
        </w:sectPr>
      </w:pPr>
    </w:p>
    <w:bookmarkStart w:id="70" w:name="page71"/>
    <w:bookmarkEnd w:id="70"/>
    <w:p>
      <w:pPr>
        <w:ind w:right="3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also retained responsibility for environmental matters connected with businesses we sold in fiscal 1996 and 1997. To date, the costs associated with the liabilities we have retained in these dispositions have not been material and there have been no related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Internal Revenue Service is currently examining our federal tax returns for fiscal 2007 through 2009, as well as our amended federal tax returns for fiscal 2005 and 2006. Several U.S. state taxing jurisdictions are examining our state tax returns for fiscal 2001 through 2005. During fiscal 2010, the state of California closed its audits of fiscal years up through fiscal 2000, which resulted in an immaterial adjustment. Internationally, tax authorities from several foreign jurisdictions are also examining our tax returns. We believe we have made adequate tax payments and/or accrued adequate amounts of reserves such that the outcomes of these audits will have no material adverse effects on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May 2008, eTool Development, Inc. and eTool Patent Holdings Corporation (collectively eTool) brought suit in the U.S. District Court for the Eastern District of Texas alleging that our WEBENCH</w:t>
      </w:r>
      <w:r>
        <w:rPr>
          <w:rFonts w:ascii="Arial" w:cs="Arial" w:eastAsia="Arial" w:hAnsi="Arial"/>
          <w:sz w:val="10"/>
          <w:szCs w:val="10"/>
          <w:color w:val="auto"/>
        </w:rPr>
        <w:t>®</w:t>
      </w:r>
      <w:r>
        <w:rPr>
          <w:rFonts w:ascii="Arial" w:cs="Arial" w:eastAsia="Arial" w:hAnsi="Arial"/>
          <w:sz w:val="16"/>
          <w:szCs w:val="16"/>
          <w:color w:val="auto"/>
        </w:rPr>
        <w:t xml:space="preserve"> online design tools infringe an eTool patent and seeking an injunction and unspecified amounts of monetary damages (trebled because of the alleged willful infringement), attorneys’ fees and costs. In December 2008, eTool amended the complaint and counterclaims to include our SOLUTIONS online tool in its allegations of infringement of the eTool patent. We filed an answer to the amended complaint and counterclaims for declaratory judgment of non-infringement and invalidity of the patent. On February 27, 2009, the Court held a scheduling conference setting a claim construction hearing for August 2011 and a jury trial for January 2012. eTool served its infringement contentions in March 2009 and we served our invalidity contentions in May 2009. Both parties exchanged initial disclosures on May 29, 2009. The discovery phase of the case is now open and ongoing. In February 2010, we filed 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petition with the United States Patent and Trademark Office (PTO), seeking a determination that the ‘919 patent is invalid. On March 15, 2010, the PTO issued a communication granting 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petition.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proceeding is ongoing. On June 8, 2010, eTool filed its second amended complaint removing the infringement allegations against our SOLUTIONS online tool. We answered eTool’s second amended complaint on June 25, 2010. On February 7, 2011, we filed an amended answer, defenses and counterclaims that asserted an inequitable conduct defense and counterclaim. We intend to contest the case through all available means. We are currently unable to reasonably estimate a range of loss, if any, that may be incurred as a result of this proceeding.</w:t>
      </w:r>
    </w:p>
    <w:p>
      <w:pPr>
        <w:spacing w:after="0" w:line="12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are currently a party to various claims and legal proceedings, including those noted above. We make provisions for a liability when it is both probable that a liability has been incurred and the amount of the loss can be reasonably estimated. We believe we have made adequate provisions for potential liability in litigation matters. We review these provisions at least quarterly and adjust these provisions to reflect the impact of negotiations, settlements, rulings, advice of legal counsel and other information and events pertaining to a particular case. Based on the information that is currently available to us, we believe that the ultimate outcome of litigation matters, individually and in the aggregate, will not have a material adverse effect on our results of operations or financial position. However, litigation is inherently unpredictable. If an unfavorable ruling or outcome were to occur, there is a possibility of a material adverse effect on results of operations or our financial position.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 Other</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connection with our past divestitures, we have routinely provided indemnities to cover the indemnified party for matters such as environmental, tax, product and employee liabilities. We also routinely include intellectual property indemnification provisions in our terms of sale, development agreements and technology licenses with third parties. Since maximum obligations are not explicitly stated in these indemnification provisions, the potential amount of future maximum payments cannot be reasonably estimated. To date we have incurred minimal losses associated with these indemnification obligations and as a result, we have not recorded any liabilities in our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2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99.3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unaudited pro forma condensed combined financial statements give effect to the planned acquisition of National Semiconductor Corporation (National) by Texas Instruments Incorporated (TI).</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following unaudited pro forma condensed combined financial statements are based on the historical consolidated financial statements of TI and National, which are incorporated by reference into this current report on Form 8-K. In preparing the unaudited pro forma condensed combined statement of income for the twelve months ended December 31, 2010, certain historical financial information for National, which has a fiscal year end that ends on the last Sunday of May, was recast to a reportable period comparable to TI (TI reports on a calendar year basis): to the results for the fiscal year ended May 30, 2010, we added the results for the six months ended November 28, 2010 and subtracted the results for the six months ended November 27, 2009. The other unaudited pro forma condensed combined financial statements are based on historical financial statements that are within 93 days of TI calendar reporting periods and so no further recasting of National’s financial statements was required. In addition certain reclassifications were made to the reported financial information of National to conform to the reporting classifications of TI.</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unaudited pro forma condensed combined statements of income for the twelve months ended December 31, 2010, and the three months ended March 31, 2011 and 2010, give effect to the acquisition as if it had been completed on January 1, 2010. The unaudited pro forma condensed combined balance sheet gives effect to the acquisition as if it had been completed on March 31, 2011.</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historical financial information has been adjusted to give effect to pro forma events that are (1) directly attributable to the acquisition, (2) factually supportable and (3) expected to have a continuing impact on the combined results of TI and National. The unaudited pro forma condensed combined financial statements do not reflect any operating efficiencies, cost savings or revenue enhancements that may be achieved by the combined companies. In addition, certain nonrecurring expenses expected to be incurred within the first twelve months after the acquisition are also not reflected in the pro forma statements.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pro forma adjustments are based on preliminary information available as of the date of this current report on Form 8-K. Assumptions and estimates underlying the pro forma adjustments are described in the accompanying notes. These preliminary assumptions and estimates are subject to change as TI finalizes the valuations of the assets to be acquired and liabilities to be assumed in connection with its acquisition of National. Such final valuations are dependent upon procedures and other studies that have yet to commence; therefore the final amounts recorded at the closing date of the acquisition may differ significantly from the information presented herein.</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Upon consummation of the acquisition, TI will review National’s accounting policies to determine if it may be necessary to harmonize any differences in policies. These unaudited pro forma condensed combined financial statements do not assume any differences in accounting policies.</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These unaudited pro forma condensed combined financial statements are provided for informational purposes only and are not necessarily indicative of what the actual results of operations and financial position would have been had the acquisition taken place on the dates indicated, nor are they indicative of the future consolidated results of operations or financial position of the combined companies.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unaudited pro forma condensed combined financial statements, including the notes thereto, should be read in conjunction with the historical financial statements of: TI included in its Annual Report on Form 10-K for the year ended December 31, 2010 and its Quarterly Report on Form 10-Q for the three months ended March 31, 2011; and National included in this current report on Form 8-K for the fiscal year ended May 30, 2010 and for the three and nine months ended February 27, 2011.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0"/>
              </w:rPr>
              <w:t>Texas</w:t>
            </w:r>
          </w:p>
        </w:tc>
        <w:tc>
          <w:tcPr>
            <w:tcW w:w="14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National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Instruments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March 31,</w:t>
            </w: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February 27,</w:t>
            </w:r>
          </w:p>
        </w:tc>
        <w:tc>
          <w:tcPr>
            <w:tcW w:w="2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Total Pro Forma</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7"/>
              </w:rPr>
              <w:t>Adjustments</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680" w:type="dxa"/>
            <w:vAlign w:val="bottom"/>
          </w:tcPr>
          <w:p>
            <w:pPr>
              <w:ind w:left="4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(6,500)(b)</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1,514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52"/>
              <w:spacing w:after="0"/>
              <w:rPr>
                <w:sz w:val="20"/>
                <w:szCs w:val="20"/>
                <w:color w:val="auto"/>
              </w:rPr>
            </w:pPr>
            <w:r>
              <w:rPr>
                <w:rFonts w:ascii="Arial" w:cs="Arial" w:eastAsia="Arial" w:hAnsi="Arial"/>
                <w:sz w:val="18"/>
                <w:szCs w:val="18"/>
                <w:color w:val="auto"/>
              </w:rPr>
              <w:t>(1,000)(a)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1,678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(2,200)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6,190</w:t>
            </w:r>
          </w:p>
        </w:tc>
        <w:tc>
          <w:tcPr>
            <w:tcW w:w="0" w:type="dxa"/>
            <w:vAlign w:val="bottom"/>
          </w:tcPr>
          <w:p>
            <w:pPr>
              <w:spacing w:after="0"/>
              <w:rPr>
                <w:sz w:val="1"/>
                <w:szCs w:val="1"/>
                <w:color w:val="auto"/>
              </w:rPr>
            </w:pPr>
          </w:p>
        </w:tc>
      </w:tr>
      <w:tr>
        <w:trPr>
          <w:trHeight w:val="221"/>
        </w:trPr>
        <w:tc>
          <w:tcPr>
            <w:tcW w:w="608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(3,055)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52"/>
              <w:spacing w:after="0"/>
              <w:rPr>
                <w:sz w:val="20"/>
                <w:szCs w:val="20"/>
                <w:color w:val="auto"/>
              </w:rPr>
            </w:pPr>
            <w:r>
              <w:rPr>
                <w:rFonts w:ascii="Arial" w:cs="Arial" w:eastAsia="Arial" w:hAnsi="Arial"/>
                <w:sz w:val="18"/>
                <w:szCs w:val="18"/>
                <w:color w:val="auto"/>
              </w:rPr>
              <w:t>(68)(e)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1,406</w:t>
            </w:r>
          </w:p>
        </w:tc>
        <w:tc>
          <w:tcPr>
            <w:tcW w:w="680" w:type="dxa"/>
            <w:vAlign w:val="bottom"/>
          </w:tcPr>
          <w:p>
            <w:pPr>
              <w:ind w:left="40"/>
              <w:spacing w:after="0"/>
              <w:rPr>
                <w:sz w:val="20"/>
                <w:szCs w:val="20"/>
                <w:color w:val="auto"/>
              </w:rPr>
            </w:pPr>
            <w:r>
              <w:rPr>
                <w:rFonts w:ascii="Arial" w:cs="Arial" w:eastAsia="Arial" w:hAnsi="Arial"/>
                <w:sz w:val="18"/>
                <w:szCs w:val="18"/>
                <w:color w:val="auto"/>
              </w:rPr>
              <w:t>(c)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12"/>
              <w:spacing w:after="0"/>
              <w:rPr>
                <w:sz w:val="20"/>
                <w:szCs w:val="20"/>
                <w:color w:val="auto"/>
              </w:rPr>
            </w:pPr>
            <w:r>
              <w:rPr>
                <w:rFonts w:ascii="Arial" w:cs="Arial" w:eastAsia="Arial" w:hAnsi="Arial"/>
                <w:sz w:val="18"/>
                <w:szCs w:val="18"/>
                <w:color w:val="auto"/>
              </w:rPr>
              <w:t>11(a)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4,202</w:t>
            </w:r>
          </w:p>
        </w:tc>
        <w:tc>
          <w:tcPr>
            <w:tcW w:w="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19,684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Short-term 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680" w:type="dxa"/>
            <w:vAlign w:val="bottom"/>
            <w:vMerge w:val="continue"/>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32(d)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12"/>
              <w:spacing w:after="0"/>
              <w:rPr>
                <w:sz w:val="20"/>
                <w:szCs w:val="20"/>
                <w:color w:val="auto"/>
              </w:rPr>
            </w:pPr>
            <w:r>
              <w:rPr>
                <w:rFonts w:ascii="Arial" w:cs="Arial" w:eastAsia="Arial" w:hAnsi="Arial"/>
                <w:sz w:val="18"/>
                <w:szCs w:val="18"/>
                <w:color w:val="auto"/>
              </w:rPr>
              <w:t>11(a)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(11)(d)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w:t>
            </w:r>
          </w:p>
        </w:tc>
        <w:tc>
          <w:tcPr>
            <w:tcW w:w="680" w:type="dxa"/>
            <w:vAlign w:val="bottom"/>
          </w:tcPr>
          <w:p>
            <w:pPr>
              <w:ind w:left="40"/>
              <w:spacing w:after="0"/>
              <w:rPr>
                <w:sz w:val="20"/>
                <w:szCs w:val="20"/>
                <w:color w:val="auto"/>
              </w:rPr>
            </w:pPr>
            <w:r>
              <w:rPr>
                <w:rFonts w:ascii="Arial" w:cs="Arial" w:eastAsia="Arial" w:hAnsi="Arial"/>
                <w:sz w:val="18"/>
                <w:szCs w:val="18"/>
                <w:color w:val="auto"/>
              </w:rPr>
              <w:t>(c)(g)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4,824</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1,740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52"/>
              <w:spacing w:after="0"/>
              <w:rPr>
                <w:sz w:val="20"/>
                <w:szCs w:val="20"/>
                <w:color w:val="auto"/>
              </w:rPr>
            </w:pPr>
            <w:r>
              <w:rPr>
                <w:rFonts w:ascii="Arial" w:cs="Arial" w:eastAsia="Arial" w:hAnsi="Arial"/>
                <w:sz w:val="18"/>
                <w:szCs w:val="18"/>
                <w:color w:val="auto"/>
              </w:rPr>
              <w:t>(121)(e)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(246)(e)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48(f)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25,206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(415)(e)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32"/>
              <w:spacing w:after="0"/>
              <w:rPr>
                <w:sz w:val="20"/>
                <w:szCs w:val="20"/>
                <w:color w:val="auto"/>
              </w:rPr>
            </w:pPr>
            <w:r>
              <w:rPr>
                <w:rFonts w:ascii="Arial" w:cs="Arial" w:eastAsia="Arial" w:hAnsi="Arial"/>
                <w:sz w:val="18"/>
                <w:szCs w:val="18"/>
                <w:color w:val="auto"/>
              </w:rPr>
              <w:t>(21)(d)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treasury common stock at cost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(16,738)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Accumulated other comprehensive income (loss), net of taxes</w:t>
            </w:r>
          </w:p>
        </w:tc>
        <w:tc>
          <w:tcPr>
            <w:tcW w:w="14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12"/>
              <w:spacing w:after="0"/>
              <w:rPr>
                <w:sz w:val="20"/>
                <w:szCs w:val="20"/>
                <w:color w:val="auto"/>
              </w:rPr>
            </w:pPr>
            <w:r>
              <w:rPr>
                <w:rFonts w:ascii="Arial" w:cs="Arial" w:eastAsia="Arial" w:hAnsi="Arial"/>
                <w:sz w:val="18"/>
                <w:szCs w:val="18"/>
                <w:color w:val="auto"/>
              </w:rPr>
              <w:t>133(e)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10,574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(622)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10,601</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4,202</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7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UNAUDITED PRO FORMA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DECEMBER 31,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Texas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National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Instruments</w:t>
            </w:r>
          </w:p>
        </w:tc>
        <w:tc>
          <w:tcPr>
            <w:tcW w:w="280" w:type="dxa"/>
            <w:vAlign w:val="bottom"/>
          </w:tcPr>
          <w:p>
            <w:pPr>
              <w:spacing w:after="0"/>
              <w:rPr>
                <w:sz w:val="12"/>
                <w:szCs w:val="12"/>
                <w:color w:val="auto"/>
              </w:rPr>
            </w:pPr>
          </w:p>
        </w:tc>
        <w:tc>
          <w:tcPr>
            <w:tcW w:w="15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Twelve Months</w:t>
            </w:r>
          </w:p>
        </w:tc>
        <w:tc>
          <w:tcPr>
            <w:tcW w:w="28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Twelve Months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Total Pro</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November 28,</w:t>
            </w:r>
          </w:p>
        </w:tc>
        <w:tc>
          <w:tcPr>
            <w:tcW w:w="160" w:type="dxa"/>
            <w:vAlign w:val="bottom"/>
          </w:tcPr>
          <w:p>
            <w:pPr>
              <w:spacing w:after="0"/>
              <w:rPr>
                <w:sz w:val="12"/>
                <w:szCs w:val="12"/>
                <w:color w:val="auto"/>
              </w:rPr>
            </w:pPr>
          </w:p>
        </w:tc>
        <w:tc>
          <w:tcPr>
            <w:tcW w:w="11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Forma</w:t>
            </w:r>
          </w:p>
        </w:tc>
        <w:tc>
          <w:tcPr>
            <w:tcW w:w="28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3"/>
              </w:rPr>
              <w:t>2010</w:t>
            </w:r>
          </w:p>
        </w:tc>
        <w:tc>
          <w:tcPr>
            <w:tcW w:w="60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revenue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(3)(h)</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left="73"/>
              <w:spacing w:after="0"/>
              <w:rPr>
                <w:sz w:val="20"/>
                <w:szCs w:val="20"/>
                <w:color w:val="auto"/>
              </w:rPr>
            </w:pPr>
            <w:r>
              <w:rPr>
                <w:rFonts w:ascii="Arial" w:cs="Arial" w:eastAsia="Arial" w:hAnsi="Arial"/>
                <w:sz w:val="18"/>
                <w:szCs w:val="18"/>
                <w:color w:val="auto"/>
                <w:w w:val="90"/>
              </w:rPr>
              <w:t>(6)(h)</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(16)(h)</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Restructuring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amortization/divestiture (gain)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 (i)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4,514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4"/>
              </w:rPr>
              <w:t>(3)(j)</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56(k)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(82)(l)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153)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Basic</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Diluted</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 (millions):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b w:val="1"/>
                <w:bCs w:val="1"/>
                <w:color w:val="auto"/>
              </w:rPr>
              <w:t>Basic</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Diluted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7"/>
              </w:rPr>
              <w:t>—(m)</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74" w:right="239" w:bottom="1440" w:gutter="0" w:footer="0" w:header="0"/>
        </w:sectPr>
      </w:pPr>
    </w:p>
    <w:bookmarkStart w:id="74" w:name="page75"/>
    <w:bookmarkEnd w:id="74"/>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STATEMENT OF INCOME</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FOR THE THREE MONTHS ENDED MARCH 31,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80"/>
              </w:rPr>
              <w:t>Texas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National</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Instruments</w:t>
            </w:r>
          </w:p>
        </w:tc>
        <w:tc>
          <w:tcPr>
            <w:tcW w:w="6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6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4"/>
              </w:rPr>
              <w:t>Ended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Ended</w:t>
            </w:r>
          </w:p>
        </w:tc>
        <w:tc>
          <w:tcPr>
            <w:tcW w:w="3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Total Pro</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March 31,</w:t>
            </w:r>
          </w:p>
        </w:tc>
        <w:tc>
          <w:tcPr>
            <w:tcW w:w="6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February 27,</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3"/>
              </w:rPr>
              <w:t>Forma</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2011</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Cost of revenue</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1,664</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(1)(h)</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1,728</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left="53"/>
              <w:spacing w:after="0"/>
              <w:rPr>
                <w:sz w:val="20"/>
                <w:szCs w:val="20"/>
                <w:color w:val="auto"/>
              </w:rPr>
            </w:pPr>
            <w:r>
              <w:rPr>
                <w:rFonts w:ascii="Arial" w:cs="Arial" w:eastAsia="Arial" w:hAnsi="Arial"/>
                <w:sz w:val="18"/>
                <w:szCs w:val="18"/>
                <w:color w:val="auto"/>
                <w:w w:val="95"/>
              </w:rPr>
              <w:t>(1)(h)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5"/>
              </w:rPr>
              <w:t>(1)(h)</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Restructuring expense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amortization, other</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1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908</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(1)(j)</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ind w:left="40"/>
              <w:spacing w:after="0"/>
              <w:rPr>
                <w:sz w:val="20"/>
                <w:szCs w:val="20"/>
                <w:color w:val="auto"/>
              </w:rPr>
            </w:pPr>
            <w:r>
              <w:rPr>
                <w:rFonts w:ascii="Arial" w:cs="Arial" w:eastAsia="Arial" w:hAnsi="Arial"/>
                <w:sz w:val="18"/>
                <w:szCs w:val="18"/>
                <w:color w:val="auto"/>
              </w:rPr>
              <w:t>(k)</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(22)(l)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w:t>
            </w:r>
          </w:p>
        </w:tc>
        <w:tc>
          <w:tcPr>
            <w:tcW w:w="11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Basic</w:t>
            </w: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Diluted</w:t>
            </w:r>
          </w:p>
        </w:tc>
        <w:tc>
          <w:tcPr>
            <w:tcW w:w="1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 (millions):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b w:val="1"/>
                <w:bCs w:val="1"/>
                <w:color w:val="auto"/>
              </w:rPr>
              <w:t>Basic</w:t>
            </w:r>
          </w:p>
        </w:tc>
        <w:tc>
          <w:tcPr>
            <w:tcW w:w="1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Diluted</w:t>
            </w: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3"/>
              </w:rPr>
              <w:t>—(m)</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75" w:name="page76"/>
    <w:bookmarkEnd w:id="75"/>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UNAUDITED PRO FORMA STATEMENT OF INCOME</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80"/>
              </w:rPr>
              <w:t>Texas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National</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Instruments</w:t>
            </w:r>
          </w:p>
        </w:tc>
        <w:tc>
          <w:tcPr>
            <w:tcW w:w="6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6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4"/>
              </w:rPr>
              <w:t>Ended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Ended</w:t>
            </w:r>
          </w:p>
        </w:tc>
        <w:tc>
          <w:tcPr>
            <w:tcW w:w="3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Total Pro</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March 31,</w:t>
            </w:r>
          </w:p>
        </w:tc>
        <w:tc>
          <w:tcPr>
            <w:tcW w:w="6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3"/>
              </w:rPr>
              <w:t>Forma</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revenue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1,516</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(2)(h)</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1,689</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left="53"/>
              <w:spacing w:after="0"/>
              <w:rPr>
                <w:sz w:val="20"/>
                <w:szCs w:val="20"/>
                <w:color w:val="auto"/>
              </w:rPr>
            </w:pPr>
            <w:r>
              <w:rPr>
                <w:rFonts w:ascii="Arial" w:cs="Arial" w:eastAsia="Arial" w:hAnsi="Arial"/>
                <w:sz w:val="18"/>
                <w:szCs w:val="18"/>
                <w:color w:val="auto"/>
                <w:w w:val="95"/>
              </w:rPr>
              <w:t>(1)(h)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5"/>
              </w:rPr>
              <w:t>(6)(h)</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Restructuring expense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amortization, other</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1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(1)(j)</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ind w:left="40"/>
              <w:spacing w:after="0"/>
              <w:rPr>
                <w:sz w:val="20"/>
                <w:szCs w:val="20"/>
                <w:color w:val="auto"/>
              </w:rPr>
            </w:pPr>
            <w:r>
              <w:rPr>
                <w:rFonts w:ascii="Arial" w:cs="Arial" w:eastAsia="Arial" w:hAnsi="Arial"/>
                <w:sz w:val="18"/>
                <w:szCs w:val="18"/>
                <w:color w:val="auto"/>
              </w:rPr>
              <w:t>(k)</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(20)(l)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w:t>
            </w:r>
          </w:p>
        </w:tc>
        <w:tc>
          <w:tcPr>
            <w:tcW w:w="11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Basic</w:t>
            </w:r>
          </w:p>
        </w:tc>
        <w:tc>
          <w:tcPr>
            <w:tcW w:w="1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Diluted</w:t>
            </w:r>
          </w:p>
        </w:tc>
        <w:tc>
          <w:tcPr>
            <w:tcW w:w="1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 (millions):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b w:val="1"/>
                <w:bCs w:val="1"/>
                <w:color w:val="auto"/>
              </w:rPr>
              <w:t>Basic</w:t>
            </w: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Diluted</w:t>
            </w:r>
          </w:p>
        </w:tc>
        <w:tc>
          <w:tcPr>
            <w:tcW w:w="1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3"/>
              </w:rPr>
              <w:t>—(m)</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Unaudited Pro Forma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Balance Sheet:</w:t>
      </w:r>
    </w:p>
    <w:p>
      <w:pPr>
        <w:spacing w:after="0" w:line="96" w:lineRule="exact"/>
        <w:rPr>
          <w:sz w:val="20"/>
          <w:szCs w:val="20"/>
          <w:color w:val="auto"/>
        </w:rPr>
      </w:pPr>
    </w:p>
    <w:p>
      <w:pPr>
        <w:ind w:left="460" w:right="100" w:hanging="452"/>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proceeds from the issuance of an estimated $4.3 billion of debt expected to be issued in connection with the acquisition by TI of National. Also reflects debt issuance costs of $11 million that will be capitalized and amortized over the estimated life of the debt being issued. Also reflects an estimated $1.0 billion from TI’s short-term investments that will be converted to cash and used to fund the acquisition.</w:t>
      </w:r>
    </w:p>
    <w:p>
      <w:pPr>
        <w:spacing w:after="0" w:line="25" w:lineRule="exact"/>
        <w:rPr>
          <w:rFonts w:ascii="Arial" w:cs="Arial" w:eastAsia="Arial" w:hAnsi="Arial"/>
          <w:sz w:val="16"/>
          <w:szCs w:val="16"/>
          <w:color w:val="auto"/>
        </w:rPr>
      </w:pPr>
    </w:p>
    <w:p>
      <w:pPr>
        <w:ind w:left="460" w:right="60" w:hanging="452"/>
        <w:spacing w:after="0" w:line="29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the preliminary estimate of $6.5 billion of cash consideration expected to be transferred to effect the acquisition of National. Estimated cash consideration is based on the preliminary estimate of outstanding shares of National common stock at the time of closing and estimated settlement of stock options, restricted stock units (RSUs) and performance stock units (PSUs) expected to be exchanged for cash at closing. These estimated amounts do not purport to represent what the actual cash consideration transferred will be when the acquisition is closed.</w:t>
      </w:r>
    </w:p>
    <w:p>
      <w:pPr>
        <w:spacing w:after="0" w:line="31"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preliminary estimates of the fair value adjustments for assets to be acquired and liabilities to be assumed. This also includes a preliminary estimate for identified intangible assets.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reconciled to the preliminary estimate of consideration expected to be transferred (in millions):</w:t>
      </w:r>
    </w:p>
    <w:p>
      <w:pPr>
        <w:sectPr>
          <w:pgSz w:w="11900" w:h="16838" w:orient="portrait"/>
          <w:cols w:equalWidth="0" w:num="1">
            <w:col w:w="11400"/>
          </w:cols>
          <w:pgMar w:left="240" w:top="274" w:right="2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Book value of net assets acquired and liabilities assumed at 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Elimination of existing goodwill (See item (e) below)</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Adjusted book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Adjustments to:</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Recognize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Deferred tax liability (See (g) below)</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Estimate of consideration to be transferred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Summary of Estimated Consideration to be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5"/>
          <w:szCs w:val="15"/>
          <w:color w:val="auto"/>
        </w:rPr>
        <w:t>Cash payments for shares outstanding and options, RSUs and PSUs to be exchanged for cash at closing (See (b) above)</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 of TI replacement options and RSUs issued for vested service (See item (f)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estimate of consideration to be transferred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28" w:hanging="228"/>
        <w:spacing w:after="0"/>
        <w:tabs>
          <w:tab w:leader="none" w:pos="2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649</w:t>
      </w:r>
    </w:p>
    <w:p>
      <w:pPr>
        <w:spacing w:after="0" w:line="15" w:lineRule="exact"/>
        <w:rPr>
          <w:rFonts w:ascii="Arial" w:cs="Arial" w:eastAsia="Arial" w:hAnsi="Arial"/>
          <w:sz w:val="18"/>
          <w:szCs w:val="18"/>
          <w:color w:val="auto"/>
        </w:rPr>
      </w:pPr>
    </w:p>
    <w:p>
      <w:pPr>
        <w:ind w:left="268"/>
        <w:spacing w:after="0"/>
        <w:rPr>
          <w:rFonts w:ascii="Arial" w:cs="Arial" w:eastAsia="Arial" w:hAnsi="Arial"/>
          <w:sz w:val="18"/>
          <w:szCs w:val="18"/>
          <w:color w:val="auto"/>
        </w:rPr>
      </w:pPr>
      <w:r>
        <w:rPr>
          <w:rFonts w:ascii="Arial" w:cs="Arial" w:eastAsia="Arial" w:hAnsi="Arial"/>
          <w:sz w:val="16"/>
          <w:szCs w:val="16"/>
          <w:color w:val="auto"/>
        </w:rPr>
        <w:t>(68)</w:t>
      </w:r>
    </w:p>
    <w:p>
      <w:pPr>
        <w:spacing w:after="0" w:line="52" w:lineRule="exact"/>
        <w:rPr>
          <w:rFonts w:ascii="Arial" w:cs="Arial" w:eastAsia="Arial" w:hAnsi="Arial"/>
          <w:sz w:val="18"/>
          <w:szCs w:val="18"/>
          <w:color w:val="auto"/>
        </w:rPr>
      </w:pPr>
    </w:p>
    <w:p>
      <w:pPr>
        <w:ind w:left="228"/>
        <w:spacing w:after="0"/>
        <w:rPr>
          <w:rFonts w:ascii="Arial" w:cs="Arial" w:eastAsia="Arial" w:hAnsi="Arial"/>
          <w:sz w:val="18"/>
          <w:szCs w:val="18"/>
          <w:color w:val="auto"/>
        </w:rPr>
      </w:pPr>
      <w:r>
        <w:rPr>
          <w:rFonts w:ascii="Arial" w:cs="Arial" w:eastAsia="Arial" w:hAnsi="Arial"/>
          <w:sz w:val="18"/>
          <w:szCs w:val="18"/>
          <w:color w:val="auto"/>
        </w:rPr>
        <w:t>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317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1,406</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(492)</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$6,548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67" w:lineRule="exact"/>
        <w:rPr>
          <w:sz w:val="20"/>
          <w:szCs w:val="20"/>
          <w:color w:val="auto"/>
        </w:rPr>
      </w:pPr>
    </w:p>
    <w:p>
      <w:pPr>
        <w:ind w:left="108" w:hanging="108"/>
        <w:spacing w:after="0"/>
        <w:tabs>
          <w:tab w:leader="none" w:pos="1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6,500</w:t>
      </w:r>
    </w:p>
    <w:p>
      <w:pPr>
        <w:spacing w:after="0" w:line="1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$6,548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92" w:space="720"/>
            <w:col w:w="588"/>
          </w:cols>
          <w:pgMar w:left="240" w:top="274" w:right="259" w:bottom="1440" w:gutter="0" w:footer="0" w:header="0"/>
          <w:type w:val="continuous"/>
        </w:sectPr>
      </w:pPr>
    </w:p>
    <w:p>
      <w:pPr>
        <w:spacing w:after="0" w:line="66" w:lineRule="exact"/>
        <w:rPr>
          <w:sz w:val="20"/>
          <w:szCs w:val="20"/>
          <w:color w:val="auto"/>
        </w:rPr>
      </w:pPr>
    </w:p>
    <w:p>
      <w:pPr>
        <w:ind w:left="460" w:right="8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estimated costs of $32 million associated with the acquisition expected to be incurred prior to the closing for legal, accounting, financial advisory, printing and similar expenses. Such costs have been excluded from the unaudited pro forma combined statements of income, but are charged directly to shareholder’s equity, net of estimated taxes, in the unaudited pro forma combined balance sheet.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the write-off of existing National goodwill and the elimination of the historical equity balances of National as of closing.</w:t>
      </w:r>
    </w:p>
    <w:p>
      <w:pPr>
        <w:spacing w:after="0" w:line="90" w:lineRule="exact"/>
        <w:rPr>
          <w:rFonts w:ascii="Arial" w:cs="Arial" w:eastAsia="Arial" w:hAnsi="Arial"/>
          <w:sz w:val="18"/>
          <w:szCs w:val="18"/>
          <w:color w:val="auto"/>
        </w:rPr>
      </w:pPr>
    </w:p>
    <w:p>
      <w:pPr>
        <w:ind w:left="460" w:right="40" w:hanging="452"/>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the issuance of TIs replacement stock options and RSUs for National’s outstanding options, RSUs and PSUs expected to be converted at closing. The number of National share-based awards subject to conversion and the assumed conversion ratio are preliminary estimates. The replacement awards are measured on the closing date based on the preliminary estimate of fair value. A portion of that fair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274" w:right="25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Unaudited Pro Forma Financial Information (continued)</w:t>
      </w:r>
    </w:p>
    <w:p>
      <w:pPr>
        <w:spacing w:after="0" w:line="164"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value amount, representing the pre-combination vested service provided by National employees, will be included in the total consideration transferred as part of the acquisition. The remaining portion will be included in post-combination share-based compensation expense as the National employees continue to provide service over the remaining vesting periods. The preliminary allocation of the fair value associated with the replacement options and RSUs was determined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6"/>
              <w:spacing w:after="0"/>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4"/>
                <w:szCs w:val="14"/>
                <w:b w:val="1"/>
                <w:bCs w:val="1"/>
                <w:color w:val="auto"/>
                <w:w w:val="98"/>
              </w:rPr>
              <w:t>Options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RSUs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PSUs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4"/>
              </w:rPr>
              <w:t>National stock options, RSUs and PSUs subject to conversion into TI stock options and RSUs at closing</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1,530,821</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4,841,835</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0"/>
              </w:rPr>
              <w:t>Assumed Conversion Ratio ($25 conversion price/$35.50 assumed fair value of TI common stock at closing)</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Equivalent TI replacement stock options and RSUs to be granted at closing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1,078,043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3,409,743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Average Fair Value of TI replacement options and RSUs at closing</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 forma fair value amount of TI replacement options and RSUs to be granted at closing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7,729,568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121,045,875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Pro forma fair value amount of TI replacement options and RSUs expected to vest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2"/>
            <w:vMerge w:val="continue"/>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7,227,146</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113,177,894</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23,398,375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Portion of pro forma amount included in consideration transferred at closing (applicable to pre-combination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 service provided by National employees)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2,860,745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35,368,092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9,749,323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0"/>
              </w:rPr>
              <w:t>Portion of pro forma amount to be included in post-combination share-based compensation expense over the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remaining term of unvested service to be provided by National employees (see item (h) below)</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4,366,401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77,809,802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13,649,052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(g)</w:t>
        <w:tab/>
        <w:t>Adjusts deferred income taxes, which are primarily associated with identified intangible assets.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96" w:lineRule="exact"/>
        <w:rPr>
          <w:sz w:val="20"/>
          <w:szCs w:val="20"/>
          <w:color w:val="auto"/>
        </w:rPr>
      </w:pPr>
    </w:p>
    <w:p>
      <w:pPr>
        <w:ind w:left="460" w:right="60" w:hanging="452"/>
        <w:spacing w:after="0" w:line="303"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Reflects the net adjustments to share-based compensation expense for the post-combination portion of National’s stock options, RSUs and PSUs to be converted for TI replacement options and RSUs at closing. (See item (f) above.) The new share-based compensation expense is amortized on a straight line basis over the remaining vesting periods. The following table reflects the (a) elimination of National’s historical share-based compensation expense and</w:t>
      </w:r>
    </w:p>
    <w:p>
      <w:pPr>
        <w:spacing w:after="0" w:line="1" w:lineRule="exact"/>
        <w:rPr>
          <w:rFonts w:ascii="Arial" w:cs="Arial" w:eastAsia="Arial" w:hAnsi="Arial"/>
          <w:sz w:val="15"/>
          <w:szCs w:val="15"/>
          <w:color w:val="auto"/>
        </w:rPr>
      </w:pPr>
    </w:p>
    <w:p>
      <w:pPr>
        <w:ind w:left="460" w:right="320"/>
        <w:spacing w:after="0" w:line="261" w:lineRule="auto"/>
        <w:rPr>
          <w:rFonts w:ascii="Arial" w:cs="Arial" w:eastAsia="Arial" w:hAnsi="Arial"/>
          <w:sz w:val="15"/>
          <w:szCs w:val="15"/>
          <w:color w:val="auto"/>
        </w:rPr>
      </w:pPr>
      <w:r>
        <w:rPr>
          <w:rFonts w:ascii="Arial" w:cs="Arial" w:eastAsia="Arial" w:hAnsi="Arial"/>
          <w:sz w:val="18"/>
          <w:szCs w:val="18"/>
          <w:color w:val="auto"/>
        </w:rPr>
        <w:t>(b) fair value of TI replacement stock options and RSUs to be recognized over the periods for which post-combination service of National employees is required.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National</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Adjustment to</w:t>
            </w:r>
          </w:p>
        </w:tc>
        <w:tc>
          <w:tcPr>
            <w:tcW w:w="0" w:type="dxa"/>
            <w:vAlign w:val="bottom"/>
          </w:tcPr>
          <w:p>
            <w:pPr>
              <w:spacing w:after="0"/>
              <w:rPr>
                <w:sz w:val="1"/>
                <w:szCs w:val="1"/>
                <w:color w:val="auto"/>
              </w:rPr>
            </w:pPr>
          </w:p>
        </w:tc>
      </w:tr>
      <w:tr>
        <w:trPr>
          <w:trHeight w:val="176"/>
        </w:trPr>
        <w:tc>
          <w:tcPr>
            <w:tcW w:w="7720" w:type="dxa"/>
            <w:vAlign w:val="bottom"/>
          </w:tcPr>
          <w:p>
            <w:pPr>
              <w:spacing w:after="0"/>
              <w:rPr>
                <w:sz w:val="15"/>
                <w:szCs w:val="15"/>
                <w:color w:val="auto"/>
              </w:rPr>
            </w:pPr>
          </w:p>
        </w:tc>
        <w:tc>
          <w:tcPr>
            <w:tcW w:w="64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6"/>
              </w:rPr>
              <w:t>Historical</w:t>
            </w:r>
            <w:r>
              <w:rPr>
                <w:rFonts w:ascii="Arial" w:cs="Arial" w:eastAsia="Arial" w:hAnsi="Arial"/>
                <w:sz w:val="20"/>
                <w:szCs w:val="20"/>
                <w:b w:val="1"/>
                <w:bCs w:val="1"/>
                <w:color w:val="auto"/>
                <w:w w:val="96"/>
                <w:vertAlign w:val="superscript"/>
              </w:rPr>
              <w:t>*</w:t>
            </w:r>
          </w:p>
        </w:tc>
        <w:tc>
          <w:tcPr>
            <w:tcW w:w="740" w:type="dxa"/>
            <w:vAlign w:val="bottom"/>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Pro Forma</w:t>
            </w: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Twelve Months Ended December 31, 2010: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Share-based compensation expense: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Research &amp; development</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National Historical results are for twelve months ended November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Unaudited Pro Forma Financial Information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National</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Adjustment to</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Historical*</w:t>
            </w:r>
          </w:p>
        </w:tc>
        <w:tc>
          <w:tcPr>
            <w:tcW w:w="74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Pro Forma</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Share-based compensation expense: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Research &amp; development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gridSpan w:val="2"/>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700" w:type="dxa"/>
            <w:vAlign w:val="bottom"/>
            <w:gridSpan w:val="2"/>
          </w:tcPr>
          <w:p>
            <w:pPr>
              <w:spacing w:after="0"/>
              <w:rPr>
                <w:sz w:val="20"/>
                <w:szCs w:val="20"/>
                <w:color w:val="auto"/>
              </w:rPr>
            </w:pPr>
            <w:r>
              <w:rPr>
                <w:rFonts w:ascii="Arial" w:cs="Arial" w:eastAsia="Arial" w:hAnsi="Arial"/>
                <w:sz w:val="18"/>
                <w:szCs w:val="18"/>
                <w:color w:val="auto"/>
              </w:rPr>
              <w:t>*  National Historical results are for three months ended February 27, 2011.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National</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Adjustment to</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Historical*</w:t>
            </w:r>
          </w:p>
        </w:tc>
        <w:tc>
          <w:tcPr>
            <w:tcW w:w="74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Pro Forma</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Share-based compensation expense: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Research &amp; development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gridSpan w:val="2"/>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160" w:type="dxa"/>
            <w:vAlign w:val="bottom"/>
            <w:tcBorders>
              <w:bottom w:val="single" w:sz="8" w:color="auto"/>
            </w:tcBorders>
          </w:tcPr>
          <w:p>
            <w:pPr>
              <w:spacing w:after="0"/>
              <w:rPr>
                <w:sz w:val="7"/>
                <w:szCs w:val="7"/>
                <w:color w:val="auto"/>
              </w:rPr>
            </w:pPr>
          </w:p>
        </w:tc>
        <w:tc>
          <w:tcPr>
            <w:tcW w:w="6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National Historical results are for three months ended February 28, 2010.</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the preliminary estimate of amortization of acquired intangibles on a straight-line basis over an estimated useful life of 7 years.</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interest income foregone on TI’s short-term investments due to the assumed reduction in levels of those investments used to finance a portion of the acquisition.</w:t>
      </w:r>
    </w:p>
    <w:p>
      <w:pPr>
        <w:spacing w:after="0" w:line="5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interest expense on additional debt expected to be issued (see (a) above) as if it had been issued at the beginning of the applicable period using an assumed weighted average interest rate of 1.26%. Short-term debt is assumed to be repaid within six to nine months after closing. For the floating-rate short-term debt, a variance of 1/8 of a percent (0.00125%) in the interest rate for the periods outstanding would not have resulted in a material difference in pro forma interest expense. Also includes amortization of capitalized debt issuance costs over the estimated life of the related debt.</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Tax effects of the pro forma adjustments are based on the federal statutory tax rate of 35% and do not comprehend the effect of any state taxes.</w:t>
      </w:r>
    </w:p>
    <w:p>
      <w:pPr>
        <w:spacing w:after="0" w:line="113" w:lineRule="exact"/>
        <w:rPr>
          <w:rFonts w:ascii="Arial" w:cs="Arial" w:eastAsia="Arial" w:hAnsi="Arial"/>
          <w:sz w:val="16"/>
          <w:szCs w:val="16"/>
          <w:color w:val="auto"/>
        </w:rPr>
      </w:pPr>
    </w:p>
    <w:p>
      <w:pPr>
        <w:ind w:left="460" w:right="40" w:hanging="452"/>
        <w:spacing w:after="0" w:line="29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adjustment to the EPS calculation for the TI replacement RSUs and stock options issued at closing. TI’s RSUs are considered to be participating securities, and for EPS calculations a portion of net income is allocated to these participating securities and therefore is excluded from the calculation of EPS allocated to common stock. The effect of the additional RSUs was to increase the amount of net income allocated to RSUs for the twelve months ended December 31, 2010 from $44 million to $58 million, and for the three months ended March 31, 2011 from $10 million to $13 million, and for the three months ended March 31, 2010 from $8 million to $10 million, respectively. These amounts are deducted from net income to obtain the net income allocated to common stock on which the diluted EPS calculation is based. The TI replacement stock options did not have a material effect on the number of dilutive average shares outstanding for the periods presented.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4"/>
    </w:lvl>
  </w:abstractNum>
  <w:abstractNum w:abstractNumId="15">
    <w:nsid w:val="25E45D32"/>
    <w:multiLevelType w:val="hybridMultilevel"/>
    <w:lvl w:ilvl="0">
      <w:lvlJc w:val="left"/>
      <w:lvlText w:val="(%1)"/>
      <w:numFmt w:val="lowerLetter"/>
      <w:start w:val="8"/>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2019-12-10T04:18:46Z</dcterms:created>
  <dcterms:modified xsi:type="dcterms:W3CDTF">2019-12-10T04:18:46Z</dcterms:modified>
</cp:coreProperties>
</file>