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11,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36"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10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Registrant's news release dated September 11, 2007, regarding the Registrant's outlook for the third quarter of 2007 attached hereto as Exhibit 99 is incorporated by reference herein.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43"/>
        </w:trPr>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11, 2007 (furnished pursuant to Item 7.01)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11,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Third-Quarter 2007 Business Outlook</w:t>
      </w:r>
    </w:p>
    <w:p>
      <w:pPr>
        <w:spacing w:after="0" w:line="246" w:lineRule="exact"/>
        <w:rPr>
          <w:sz w:val="20"/>
          <w:szCs w:val="20"/>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$3.56 Billion and $3.72 Billion</w:t>
      </w:r>
    </w:p>
    <w:p>
      <w:pPr>
        <w:spacing w:after="0" w:line="23"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$0.49 and $0.53, Including Gain on Sale of Product Line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CDT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DALLAS (Sept. 11, 2007) – In a scheduled update to its business outlook for the third quarter of 2007,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expectations for revenue are:</w:t>
      </w:r>
    </w:p>
    <w:p>
      <w:pPr>
        <w:spacing w:after="0" w:line="252"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between $3.56 billion and $3.72 billion, compared with the prior range of $3.49 billion to $3.79 billion;</w:t>
      </w:r>
    </w:p>
    <w:p>
      <w:pPr>
        <w:spacing w:after="0" w:line="252"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Semiconductor revenue between $3.36 billion and $3.50 billion, compared with the prior range of $3.29 billion to $3.57 billion; and</w:t>
      </w:r>
    </w:p>
    <w:p>
      <w:pPr>
        <w:spacing w:after="0" w:line="263" w:lineRule="exact"/>
        <w:rPr>
          <w:rFonts w:ascii="Arial" w:cs="Arial" w:eastAsia="Arial" w:hAnsi="Arial"/>
          <w:sz w:val="17"/>
          <w:szCs w:val="17"/>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revenue between $200 million and $220 million, consistent with the prior range.</w:t>
      </w:r>
    </w:p>
    <w:p>
      <w:pPr>
        <w:spacing w:after="0" w:line="25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TI expects EPS from continuing operations between $0.49 and $0.53, compared with the previous range of $0.46 to $0.52. The revised EPS range includes about $0.02 from the gain on the sale of TI’s semiconductor product line associated with DSL customer-premises equipment. The sale closed in July.</w:t>
      </w:r>
    </w:p>
    <w:p>
      <w:pPr>
        <w:spacing w:after="0" w:line="20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will hold a conference call at 4 p.m. CDT today to discuss this update. This conference call will be available live at www.ti.com. TI’s original third-quarter outlook was published in the company’s second-quarter 2007 earnings release on July 23, available at www.ti.com. TI’s third quarter ends on September 30.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right="20" w:hanging="143"/>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w:t>
      </w:r>
    </w:p>
    <w:p>
      <w:pPr>
        <w:ind w:left="340"/>
        <w:spacing w:after="0"/>
        <w:rPr>
          <w:rFonts w:ascii="Arial" w:cs="Arial" w:eastAsia="Arial" w:hAnsi="Arial"/>
          <w:sz w:val="18"/>
          <w:szCs w:val="18"/>
          <w:color w:val="auto"/>
        </w:rPr>
      </w:pPr>
      <w:r>
        <w:rPr>
          <w:rFonts w:ascii="Arial" w:cs="Arial" w:eastAsia="Arial" w:hAnsi="Arial"/>
          <w:sz w:val="18"/>
          <w:szCs w:val="18"/>
          <w:color w:val="auto"/>
        </w:rPr>
        <w:t>intensely competitive and cyclical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our most recent Form 10-K. The forward-looking statements included in this release are made only as of the date of publication, and we undertake no obligation to update the forward-looking statements to reflect subsequent events or circumstances.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is traded on the New York Stock Exchange under the symbol TXN. More information is located on the World Wide Web at www.ti.com.</w:t>
      </w:r>
    </w:p>
    <w:p>
      <w:pPr>
        <w:sectPr>
          <w:pgSz w:w="11900" w:h="16838" w:orient="portrait"/>
          <w:cols w:equalWidth="0" w:num="1">
            <w:col w:w="11420"/>
          </w:cols>
          <w:pgMar w:left="240" w:top="125" w:right="239"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2019-12-13T07:47:48Z</dcterms:created>
  <dcterms:modified xsi:type="dcterms:W3CDTF">2019-12-13T07:47:48Z</dcterms:modified>
</cp:coreProperties>
</file>