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ANNUAL REPORT PURSUANT TO SECTION 13 OR 15(d)</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Fiscal Year Ended December 31, 2000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Commission File Number 1-3761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29" w:gutter="0" w:footer="0" w:header="0"/>
        </w:sectPr>
      </w:pPr>
    </w:p>
    <w:p>
      <w:pPr>
        <w:spacing w:after="0" w:line="2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080" w:space="720"/>
            <w:col w:w="6419"/>
          </w:cols>
          <w:pgMar w:left="240" w:top="244" w:right="1440" w:bottom="29" w:gutter="0" w:footer="0" w:header="0"/>
          <w:type w:val="continuous"/>
        </w:sectPr>
      </w:pPr>
    </w:p>
    <w:p>
      <w:pPr>
        <w:spacing w:after="0" w:line="18" w:lineRule="exact"/>
        <w:rPr>
          <w:sz w:val="24"/>
          <w:szCs w:val="24"/>
          <w:color w:val="auto"/>
        </w:rPr>
      </w:pPr>
    </w:p>
    <w:p>
      <w:pPr>
        <w:ind w:left="540"/>
        <w:spacing w:after="0"/>
        <w:tabs>
          <w:tab w:leader="none" w:pos="6720" w:val="left"/>
        </w:tabs>
        <w:rPr>
          <w:sz w:val="20"/>
          <w:szCs w:val="20"/>
          <w:color w:val="auto"/>
        </w:rPr>
      </w:pPr>
      <w:r>
        <w:rPr>
          <w:rFonts w:ascii="Courier New" w:cs="Courier New" w:eastAsia="Courier New" w:hAnsi="Courier New"/>
          <w:sz w:val="18"/>
          <w:szCs w:val="18"/>
          <w:color w:val="auto"/>
        </w:rPr>
        <w:t>12500 TI Boulevard, P.O. Box 660199, Dallas, Texas</w:t>
      </w:r>
      <w:r>
        <w:rPr>
          <w:sz w:val="20"/>
          <w:szCs w:val="20"/>
          <w:color w:val="auto"/>
        </w:rPr>
        <w:tab/>
      </w:r>
      <w:r>
        <w:rPr>
          <w:rFonts w:ascii="Courier New" w:cs="Courier New" w:eastAsia="Courier New" w:hAnsi="Courier New"/>
          <w:sz w:val="16"/>
          <w:szCs w:val="16"/>
          <w:color w:val="auto"/>
        </w:rPr>
        <w:t>75266-0199</w:t>
      </w:r>
    </w:p>
    <w:p>
      <w:pPr>
        <w:sectPr>
          <w:pgSz w:w="11900" w:h="16838" w:orient="portrait"/>
          <w:cols w:equalWidth="0" w:num="1">
            <w:col w:w="10219"/>
          </w:cols>
          <w:pgMar w:left="240" w:top="244" w:right="1440" w:bottom="29" w:gutter="0" w:footer="0" w:header="0"/>
          <w:type w:val="continuous"/>
        </w:sectPr>
      </w:pP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70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Registrant's telephone number, including area code 972-995-3773</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90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Name of each exchange on</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 class</w:t>
            </w:r>
          </w:p>
        </w:tc>
        <w:tc>
          <w:tcPr>
            <w:tcW w:w="204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which</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20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r>
        <w:trPr>
          <w:trHeight w:val="203"/>
        </w:trPr>
        <w:tc>
          <w:tcPr>
            <w:tcW w:w="4440" w:type="dxa"/>
            <w:vAlign w:val="bottom"/>
          </w:tcPr>
          <w:p>
            <w:pPr>
              <w:spacing w:after="0"/>
              <w:rPr>
                <w:sz w:val="17"/>
                <w:szCs w:val="17"/>
                <w:color w:val="auto"/>
              </w:rPr>
            </w:pPr>
          </w:p>
        </w:tc>
        <w:tc>
          <w:tcPr>
            <w:tcW w:w="39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The Swiss Exchange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20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9"/>
              </w:rPr>
              <w:t>New York</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Exchange</w:t>
            </w:r>
          </w:p>
        </w:tc>
      </w:tr>
    </w:tbl>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w:t>
      </w:r>
    </w:p>
    <w:p>
      <w:pPr>
        <w:spacing w:after="0"/>
        <w:tabs>
          <w:tab w:leader="none" w:pos="3460" w:val="left"/>
        </w:tabs>
        <w:rPr>
          <w:sz w:val="20"/>
          <w:szCs w:val="20"/>
          <w:color w:val="auto"/>
        </w:rPr>
      </w:pPr>
      <w:r>
        <w:rPr>
          <w:rFonts w:ascii="Courier New" w:cs="Courier New" w:eastAsia="Courier New" w:hAnsi="Courier New"/>
          <w:sz w:val="18"/>
          <w:szCs w:val="18"/>
          <w:color w:val="auto"/>
        </w:rPr>
        <w:t>amendment to this Form 10-K.</w:t>
      </w:r>
      <w:r>
        <w:rPr>
          <w:sz w:val="20"/>
          <w:szCs w:val="20"/>
          <w:color w:val="auto"/>
        </w:rPr>
        <w:tab/>
      </w:r>
      <w:r>
        <w:rPr>
          <w:rFonts w:ascii="Courier New" w:cs="Courier New" w:eastAsia="Courier New" w:hAnsi="Courier New"/>
          <w:sz w:val="16"/>
          <w:szCs w:val="16"/>
          <w:color w:val="auto"/>
        </w:rPr>
        <w:t>X</w:t>
      </w:r>
    </w:p>
    <w:p>
      <w:pPr>
        <w:spacing w:after="0" w:line="207" w:lineRule="exact"/>
        <w:rPr>
          <w:sz w:val="24"/>
          <w:szCs w:val="24"/>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was approximately $77,800,000,000 as of January 31, 2001.</w:t>
      </w:r>
    </w:p>
    <w:p>
      <w:pPr>
        <w:spacing w:after="0" w:line="16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1,734,216,602</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(Number of shares of common stock outstanding as of January 31, 2001)</w:t>
      </w:r>
    </w:p>
    <w:p>
      <w:pPr>
        <w:spacing w:after="0" w:line="206" w:lineRule="exact"/>
        <w:rPr>
          <w:sz w:val="24"/>
          <w:szCs w:val="24"/>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Parts I, II, III and IV hereof incorporate information by reference to the Registrant's proxy statement for the 2001 annual meeting of stockholders.</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Texas Instruments Incorporated ("TI" or the "company," including subsidiaries except where the context indicates otherwise) is headquartered in Dallas, Texas, and has manufacturing, design or sales operations in 28 countries. TI's largest geographic markets are in the United States, Asia, Japan and Europe. TI has been in operation since 1930.</w:t>
      </w:r>
    </w:p>
    <w:p>
      <w:pPr>
        <w:spacing w:after="0" w:line="209" w:lineRule="exact"/>
        <w:rPr>
          <w:sz w:val="24"/>
          <w:szCs w:val="24"/>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financial information with respect to TI's business segments and operations outside the United States, which is contained in the note to the financial statements captioned "Business Segment and Geographic Area Data" on pages B-23 through B-25 of TI's proxy statement for the 2001 annual meeting of stockholders, is incorporated herein by reference to such proxy statement.</w:t>
      </w:r>
    </w:p>
    <w:p>
      <w:pPr>
        <w:sectPr>
          <w:pgSz w:w="11900" w:h="16838" w:orient="portrait"/>
          <w:cols w:equalWidth="0" w:num="1">
            <w:col w:w="10219"/>
          </w:cols>
          <w:pgMar w:left="240" w:top="244" w:right="1440" w:bottom="29"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Semiconductor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 is a global semiconductor company and the world's leading designer and supplier of digital signal processors and analog integrated circuits, the engines driving the digitization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TI's more than 30,000 customers in commercial, industrial and consumer markets.</w:t>
      </w:r>
    </w:p>
    <w:p>
      <w:pPr>
        <w:spacing w:after="0" w:line="21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 also is a world leader in the design and manufacturing of other semiconductor products. Those products include standard logic devices, application-specific integrated circuits, reduced instruction-set computing microprocessors, microcontrollers and digital imaging devices.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semiconductor business comprised 87% of TI's 2000 revenues. TI's semiconductor products are used in a diverse range of electronic systems, including cellular telephones, personal computers, servers, communications infrastructure equipment, digital cameras, digital audio players, motor controls and automobiles. Products are sold to original-equipment manufacturers, contract manufacturers and distributors. TI's semiconductor patent portfolio has been established as an ongoing contributor to semiconductor revenues. Revenues generated from sales to TI's top five semiconductor customers accounted for approximately 28% of total semiconductor revenues in 2000.</w:t>
      </w: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right="2199"/>
        <w:spacing w:after="0" w:line="238" w:lineRule="auto"/>
        <w:rPr>
          <w:sz w:val="20"/>
          <w:szCs w:val="20"/>
          <w:color w:val="auto"/>
        </w:rPr>
      </w:pPr>
      <w:r>
        <w:rPr>
          <w:rFonts w:ascii="Courier New" w:cs="Courier New" w:eastAsia="Courier New" w:hAnsi="Courier New"/>
          <w:sz w:val="18"/>
          <w:szCs w:val="18"/>
          <w:color w:val="auto"/>
        </w:rPr>
        <w:t>The semiconductor business is intensely competitive, subject to rapid technological change and pricing pressures, and requires high rates of investment. TI is the leading supplier of digital signal processors and analog integrated circuits, yet faces strong competition in all of its semiconductor product lines. The rapid pace of change and technological breakthroughs constantly create new opportunities for existing competitors and start-ups, which can quickly render existing technologies less valuable. In digital signal processors, TI competes with a growing number of large and small companies, both U.S.-based and international. New product development capabilities, applications support, software knowledge and advanced semiconductor process technology are the primary competitive factors in this business.</w:t>
      </w:r>
    </w:p>
    <w:p>
      <w:pPr>
        <w:spacing w:after="0" w:line="207"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The market for analog integrated circuits is highly fragmented. TI competes with many large and small companies, both U.S.-based and international. Primary competitive factors in this business are the availability of innovative designs and designers, a broad range of process technologies and applications support and, particularly in the standard products area, price.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TI Businesses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In addition to semiconductors, TI has two other principal segments. The largest, representing 9% of TI's 2000 revenues, is Sensors &amp; Controls (formerly known as Materials &amp; Controls). This business sells electrical and electronic controls, sensors and radio-frequency identification systems into commercial and industrial markets. Typically the top supplier in targeted product areas, Sensors &amp; Controls faces strong multinational and regional competitors. The primary competitive factors in this business are product reliability, manufacturing costs and engineering expertise. The products of the business are sold to original equipment manufacturers and distributors. Revenues generated from sales to TI's top five Sensors &amp; Controls customers accounted for approximately 28% of total Sensors &amp; Controls revenues in 2000.</w:t>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Educational &amp; Productivity Solutions (E&amp;PS) represents 4% of TI's 2000 revenues and is a leading supplier of graphing and educational calculators. This business sells primarily through retailers and to schools through instructional dealers. TI's principal competitors in this business are Japan- and U.S.-based companies. Technology expertise, price and infrastructure for education and market understanding are primary competitive factors in this business. Revenues generated from sales to TI's top five E&amp;PS customers accounted for approximately 38% of total E&amp;PS revenues in 2000.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 and Divestitures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From time to time TI considers acquisitions and divestitures that may strengthen its business portfolio. TI may effect one or more of these transactions at such time or times as it determines to be appropriate. In 2000, to support TI's focus on digital signal processors and analog</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ind w:right="2099"/>
        <w:spacing w:after="0" w:line="238" w:lineRule="auto"/>
        <w:rPr>
          <w:sz w:val="20"/>
          <w:szCs w:val="20"/>
          <w:color w:val="auto"/>
        </w:rPr>
      </w:pPr>
      <w:r>
        <w:rPr>
          <w:rFonts w:ascii="Courier New" w:cs="Courier New" w:eastAsia="Courier New" w:hAnsi="Courier New"/>
          <w:sz w:val="18"/>
          <w:szCs w:val="18"/>
          <w:color w:val="auto"/>
        </w:rPr>
        <w:t>integrated circuits, it acquired technology companies that brought unique expertise in key markets for these core product areas. In the first quarter, TI acquired Toccata Technology ApS, a developer of digital-audio amplifier technology and board solutions. In the third quarter, TI acquired Burr-Brown Corporation, a developer of analog semiconductors, principally in the data converter and amplifier segments of the market; Dot Wireless, Inc., a developer of CDMA third-generation wireless system architecture and protocol software for voice and high-speed data applications; and Alantro Communications, Inc., a developer of wireless local area networking technology. The acquisition of Burr-Brown was accounted for as a pooling of interests in 2000. All prior periods have been restated. In addition, in the fourth quarter, Sensors &amp; Controls divested its specialty-clad metals and electrical contacts activity.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The dollar amount of backlog of orders believed by TI to be firm was $2411 million as of December 31, 2000 and $1907 million as of December 31, 1999. Backlog orders are, under certain circumstances, subject to cancellation. Also, there is generally a short cycle between order and shipment.</w:t>
      </w:r>
    </w:p>
    <w:p>
      <w:pPr>
        <w:spacing w:after="0" w:line="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Accordingly, the company believes that its backlog as of any particular date may not be indicative of revenue for any future period.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 purchases materials, parts and supplies from a number of suppliers. The materials, parts and supplies essential to TI's business are generally available at present and TI believes at this time that such materials, parts and supplies will be available in the foreseeable future.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 owns many patents in the United States and other countries in fields relating to its business. The company has developed a strong, broad-based patent portfolio. TI also has several agreements with other companies involving license rights and anticipates that other licenses may be negotiated in the future. TI does not consider its business materially dependent upon any one patent or patent license, although taken as a whole, the rights of TI and the products made and sold under patents and patent licenses are important to TI's business.</w:t>
      </w:r>
    </w:p>
    <w:p>
      <w:pPr>
        <w:spacing w:after="0" w:line="212"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TI owns trademarks that are used in the conduct of its business. These trademarks are valuable assets, the most important of which are "Texas Instruments" and TI's corporate monogram.</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TI's research and development expense was $1747 million in 2000, compared with $1379 million in 1999 and $1265 million in 1998. Included is a charge for the value of acquisition-related purchased in-process research and development of $112 million in 2000, $79 million in 1999 and $25 million in 1998.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 revenues and operating results are subject to some seasonal variation.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information concerning the number of persons employed by TI at December 31, 2000 on page B-39 of TI's proxy statement for the 2001 annual meeting of stockholders is incorporated herein by reference to such proxy statement.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Statements Regarding Future Results of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You should read the following cautionary statements in conjunction with the factors discussed elsewhere in this and other of TI's filings with the Securities and Exchange Commission (SEC) and in materials incorporated by reference in these filings. These cautionary statements are intended to highlight certain factors that may affect the financial condition and results of operations of TI and are not meant to be an exhaustive discussion of risks that apply to companies with broad international operations, such as TI. Like other businesses, TI is susceptible to macroeconomic downturns in the United States or abroad that may affect the general economic climate and performance of TI or its customers. Similarly, the price of TI's securities is subject to volatility due to fluctuations in general market conditions, differences in TI's results of operations from estimates and projections generated by the investment community and other factors beyond TI's control.</w:t>
      </w: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Weakening in the Semiconductor Market May Adversely Affect TI's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Performance.</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72" w:lineRule="auto"/>
        <w:rPr>
          <w:sz w:val="20"/>
          <w:szCs w:val="20"/>
          <w:color w:val="auto"/>
        </w:rPr>
      </w:pPr>
      <w:r>
        <w:rPr>
          <w:rFonts w:ascii="Courier New" w:cs="Courier New" w:eastAsia="Courier New" w:hAnsi="Courier New"/>
          <w:sz w:val="16"/>
          <w:szCs w:val="16"/>
          <w:color w:val="auto"/>
        </w:rPr>
        <w:t>TI's semiconductor business represents its largest business segment and the principal source of its revenues. The semiconductor market has historically been cyclical and subject to significant economic downturns. A significant weakening in the semiconductor market may adversely affect TI's results of operations and have an adverse effect on the market price of its securities. In particular, TI's strategic focus in this business is on the</w:t>
      </w:r>
    </w:p>
    <w:p>
      <w:pPr>
        <w:spacing w:after="0" w:line="38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right="2099"/>
        <w:spacing w:after="0" w:line="237" w:lineRule="auto"/>
        <w:rPr>
          <w:sz w:val="20"/>
          <w:szCs w:val="20"/>
          <w:color w:val="auto"/>
        </w:rPr>
      </w:pPr>
      <w:r>
        <w:rPr>
          <w:rFonts w:ascii="Courier New" w:cs="Courier New" w:eastAsia="Courier New" w:hAnsi="Courier New"/>
          <w:sz w:val="18"/>
          <w:szCs w:val="18"/>
          <w:color w:val="auto"/>
        </w:rPr>
        <w:t>development and marketing of digital signal processors and analog integrated circuits. While TI believes that focusing its efforts on digital signal processors and analog integrated circuits offers the best opportunity for TI to achieve its strategic goals and that TI has developed, and will continue to develop, a wide range of innovative and technologically advanced products, the results of TI's operations may be adversely affected in the future if demand for digital signal processors or analog integrated circuits decreases or if these markets grow at a pace significantly less than that projected by management.</w:t>
      </w:r>
    </w:p>
    <w:p>
      <w:pPr>
        <w:spacing w:after="0" w:line="200" w:lineRule="exact"/>
        <w:rPr>
          <w:sz w:val="20"/>
          <w:szCs w:val="20"/>
          <w:color w:val="auto"/>
        </w:rPr>
      </w:pP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Technology Industry is Characterized by Rapid Technological Change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that Requires TI to Develop New Technologies and Products.</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TI's results of operations depend in part upon its ability to successfully develop and market innovative products in a rapidly changing technological environment. TI requires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TI will successfully develop and market these new products, that the products TI does develop and market will be well received by customers or that TI will realize a return on the capital expended to develop such products.</w:t>
      </w: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 Faces Substantial Competition that Requires TI to Respond Rapidly to</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 Development and Pricing Pressures.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TI faces intense technological and pricing competition in the markets in which it operates. TI expects that the level of this competition will increase in the future from large, established semiconductor and related product companies, as well as from emerging companies serving niche markets also served by TI. Certain of TI's competitors possess sufficient financial, technical and management resources to develop and market products that may compete favorably against those products of TI that currently offer technological and/or price advantages over competitive products. Competition results in price and product development pressures, which may result in reduced profit margins and lost business opportunities in the event that TI is unable to match price declines or technological, product, applications support, software or manufacturing advances of its competitors.</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8"/>
          <w:szCs w:val="18"/>
          <w:color w:val="auto"/>
        </w:rPr>
        <w:t>TI's Performance Depends upon its Ability to Enforce Its Intellectual</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Property Rights and to Develop or License New Intellectual Property.</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TI benefits from royalties generated from various license agreements that will be in effect through the year 2005. Access to worldwide markets depends on the continued strength of TI's intellectual property portfolio. Future royalty revenue depends on the strength of TI's portfolio and enforcement efforts, and on the sales and financial stability of TI's licensees. TI actively enforces and protects its intellectual property rights, but there can be no assurance that TI's efforts will be adequate to prevent the misappropriation or improper use of the protected technology. Moreover, there can be no assurance that, as TI's business expands into new areas, TI will be able to independently develop the technology, software or know-how necessary to conduct its business or that it can do so without infringing the intellectual property rights of others. TI may have to rely increasingly on licensed technology from others. To the extent that TI relies on licenses from others, there can be no assurance that it will be able to obtain all of the licenses it desires in the future on terms it considers reasonable or at all.</w:t>
      </w: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Decline in Demand in Certain End-User Markets Could Have a Material</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Adverse Effect on the Demand for TI's Products and Results of</w:t>
      </w:r>
    </w:p>
    <w:p>
      <w:pPr>
        <w:ind w:left="54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Operations.</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TI's customer base includes companies in a wide range of industries, but TI generates a significant amount of revenues from sales to customers in the telecommunications and computer-related industries. Within these industries, a large portion of TI revenues is generated by the sale of digital signal processors and analog integrated circuits to customers in the cellular phone, personal computer and communications infrastructure markets. A significant decline in any one or several of these end-user markets could have a material adverse effect on the demand for TI's products and its results of operations.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TI's International Manufacturing Operations and Sales Subject It to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Risks Associated with Legal, Political, Economic or Other Changes</w:t>
      </w:r>
    </w:p>
    <w:p>
      <w:pPr>
        <w:ind w:left="54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Outside of the United States.</w:t>
      </w:r>
    </w:p>
    <w:p>
      <w:pPr>
        <w:ind w:left="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TI operates in 28 countries worldwide and in 2000 derived in excess of 72% of its revenues from sales to locations outside the United States. Operating internationally exposes TI to changes in the laws or policies, as well as the general economic conditions, of the various countries in which it operates, which could result in an adverse effect on TI's business operations in such countries and its results of operations. Also, as discussed in more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detail on pages B-11 and B-43 of TI's proxy statement for the</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2001 annual meeting of stockholders, TI uses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TI transacts business, the remeasurement of non-U.S. dollar transactions can have an adverse effect on TI's non-U.S. business.</w:t>
      </w: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Loss of or Significant Curtailment of Purchases by any of TI's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Largest Customers Could Adversely Affect TI's Results of Operations.</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While TI generates revenues from thousands of customers worldwide, the loss of or significant curtailment of purchases by one or more of its top customers, including curtailments due to a change in the design or manufacturing sourcing policies or practices of these customers, may adversely affect TI's results of operations.</w:t>
      </w: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TI's Continued Success Depends Upon Its Ability to Retain and Recruit a</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Sufficient Number of Qualified Employees in a Competitive Environment.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TI's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TI will be able to successfully retain and recruit the key personnel that it requires.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TI files annual, quarterly and special reports, proxy statements and other information with the SEC. You may read and copy any reports, statements and other information filed by TI at the SEC's public reference rooms at 450 Fifth Street, N.W., Washington, D.C. 20549, or at the SEC offices in New York, New York and Chicago, Illinois. Please call (800) SEC-0330 for further information on the public reference rooms. TI's filings are also available to the public from commercial document retrieval services and at the web site maintained by the SEC at http://www.sec.gov.</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TI's principal executive offices are located at 12500 TI Boulevard, Dallas, Texas. TI owns and leases facilities in the United States and 12 other countries for manufacturing, design and related purposes. The following table indicates the general location of TI's principal manufacturing and design operations and the business segments which make major use of them. Except as otherwise indicated, these facilities are owned by TI.</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ind w:left="260"/>
              <w:spacing w:after="0"/>
              <w:rPr>
                <w:sz w:val="20"/>
                <w:szCs w:val="20"/>
                <w:color w:val="auto"/>
              </w:rPr>
            </w:pPr>
            <w:r>
              <w:rPr>
                <w:rFonts w:ascii="Courier New" w:cs="Courier New" w:eastAsia="Courier New" w:hAnsi="Courier New"/>
                <w:sz w:val="18"/>
                <w:szCs w:val="18"/>
                <w:color w:val="auto"/>
              </w:rPr>
              <w:t>Sensors</w:t>
            </w:r>
          </w:p>
        </w:tc>
        <w:tc>
          <w:tcPr>
            <w:tcW w:w="68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Semiconductor</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&amp; Controls</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E&amp;PS</w:t>
            </w:r>
          </w:p>
        </w:tc>
      </w:tr>
      <w:tr>
        <w:trPr>
          <w:trHeight w:val="203"/>
        </w:trPr>
        <w:tc>
          <w:tcPr>
            <w:tcW w:w="23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Dallas, Texas(1)</w:t>
            </w:r>
          </w:p>
        </w:tc>
        <w:tc>
          <w:tcPr>
            <w:tcW w:w="1580" w:type="dxa"/>
            <w:vAlign w:val="bottom"/>
          </w:tcPr>
          <w:p>
            <w:pPr>
              <w:ind w:left="780"/>
              <w:spacing w:after="0"/>
              <w:rPr>
                <w:sz w:val="20"/>
                <w:szCs w:val="20"/>
                <w:color w:val="auto"/>
              </w:rPr>
            </w:pPr>
            <w:r>
              <w:rPr>
                <w:rFonts w:ascii="Courier New" w:cs="Courier New" w:eastAsia="Courier New" w:hAnsi="Courier New"/>
                <w:sz w:val="18"/>
                <w:szCs w:val="18"/>
                <w:color w:val="auto"/>
              </w:rPr>
              <w:t>X</w:t>
            </w:r>
          </w:p>
        </w:tc>
        <w:tc>
          <w:tcPr>
            <w:tcW w:w="1680" w:type="dxa"/>
            <w:vAlign w:val="bottom"/>
          </w:tcPr>
          <w:p>
            <w:pPr>
              <w:ind w:left="680"/>
              <w:spacing w:after="0"/>
              <w:rPr>
                <w:sz w:val="20"/>
                <w:szCs w:val="20"/>
                <w:color w:val="auto"/>
              </w:rPr>
            </w:pPr>
            <w:r>
              <w:rPr>
                <w:rFonts w:ascii="Courier New" w:cs="Courier New" w:eastAsia="Courier New" w:hAnsi="Courier New"/>
                <w:sz w:val="18"/>
                <w:szCs w:val="18"/>
                <w:color w:val="auto"/>
              </w:rPr>
              <w:t>X</w:t>
            </w:r>
          </w:p>
        </w:tc>
        <w:tc>
          <w:tcPr>
            <w:tcW w:w="680" w:type="dxa"/>
            <w:vAlign w:val="bottom"/>
          </w:tcPr>
          <w:p>
            <w:pPr>
              <w:ind w:left="480"/>
              <w:spacing w:after="0"/>
              <w:rPr>
                <w:sz w:val="20"/>
                <w:szCs w:val="20"/>
                <w:color w:val="auto"/>
              </w:rPr>
            </w:pPr>
            <w:r>
              <w:rPr>
                <w:rFonts w:ascii="Courier New" w:cs="Courier New" w:eastAsia="Courier New" w:hAnsi="Courier New"/>
                <w:sz w:val="18"/>
                <w:szCs w:val="18"/>
                <w:color w:val="auto"/>
              </w:rPr>
              <w:t>X</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Texas(1)(2)</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Tucson, Arizona</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Santa Cruz, California</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Attleboro,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Massachusetts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Hiji,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Miho, Japan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Kuala Lumpur,</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Malaysia(3)</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Baguio,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Philippines(4)</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Taipei, Taiwan</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Nice, France</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Freising, Germany</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Aguascalientes, Mexico</w:t>
            </w:r>
          </w:p>
        </w:tc>
        <w:tc>
          <w:tcPr>
            <w:tcW w:w="15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X</w:t>
            </w:r>
          </w:p>
        </w:tc>
        <w:tc>
          <w:tcPr>
            <w:tcW w:w="16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X</w:t>
            </w:r>
          </w:p>
        </w:tc>
        <w:tc>
          <w:tcPr>
            <w:tcW w:w="68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4" w:lineRule="exact"/>
        <w:rPr>
          <w:sz w:val="20"/>
          <w:szCs w:val="20"/>
          <w:color w:val="auto"/>
        </w:rPr>
      </w:pPr>
    </w:p>
    <w:p>
      <w:pPr>
        <w:jc w:val="both"/>
        <w:ind w:left="540" w:right="2199" w:hanging="532"/>
        <w:spacing w:after="0" w:line="26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facilities or portions thereof in Dallas and Sherman are leased to Raytheon Company or Raytheon-related entities in connection with the sale in 1997 of TI's defense systems and electronics business.</w:t>
      </w: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Leased.</w:t>
      </w:r>
    </w:p>
    <w:p>
      <w:pPr>
        <w:spacing w:after="0" w:line="4"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half of this site is owned on leased land; the remainder is leased.</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on leased land.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TI's facilities in the United States contained approximately 17,300,000 square feet as of December 31, 2000, of which approximately 3,000,000 square feet were leased. TI's facilities outside the United States contained approximately 5,500,000 square feet as of December 31, 2000, of which approximately 1,600,000 square feet were leased.</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TI believes that its existing properties are in good condition and suitable for the manufacture of its products. At the end of 2000, the company utilized substantially all of the space in its facilities.</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ind w:right="2319"/>
        <w:spacing w:after="0" w:line="237" w:lineRule="auto"/>
        <w:rPr>
          <w:sz w:val="20"/>
          <w:szCs w:val="20"/>
          <w:color w:val="auto"/>
        </w:rPr>
      </w:pPr>
      <w:r>
        <w:rPr>
          <w:rFonts w:ascii="Courier New" w:cs="Courier New" w:eastAsia="Courier New" w:hAnsi="Courier New"/>
          <w:sz w:val="18"/>
          <w:szCs w:val="18"/>
          <w:color w:val="auto"/>
        </w:rPr>
        <w:t>Leases covering TI's leased facilities expire at varying dates generally within the next 10 years. TI anticipates no difficulty in either retaining occupancy through lease renewals, month-to-month occupancy or purchases of leased facilities, or replacing the leased facilities with equivalent facilities.</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Italian government auditors have substantially completed a review, conducted in the ordinary course, of approximately $275 million of grants from the Italian government to TI's former memory operations in Italy. The auditors have raised a number of issues relating to compliance with grant requirements and the eligibility of specific expenses for the grants. These issues are subject to final decision by the Ministry of the Treasury. Depending on the Ministry's decision, the review may result in a demand from the Italian government that TI repay a portion of the grants. In November 2000, a criminal proceeding concerning a portion of the grants relating to specified research and development activities was dismissed without indictment. The company believes that the grants were obtained and used in compliance with applicable law and contractual obligations.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 is involved in various investigations and proceedings conducted by the federal Environmental Protection Agency and certain state environmental agencies regarding disposal of waste materials. Although the factual situations and the progress of each of these matters differ, the company believes that the amount of its liability will not have a material adverse effect upon its financial position or results of operations and, in most cases, TI's liability will be limited to sharing clean-up or other remedial costs with other potentially responsible parties.</w:t>
      </w: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060" w:right="27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Common Equity and Related Stockholder Matters.</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which is contained in the note to the financial statements captioned "Common Stock Prices and Dividends" on page B-52 of TI's proxy statement for the 2001 annual meeting of stockholders, and the information concerning the number of stockholders of record at December 31, 2000 on page B-39 of such proxy statement, are incorporated herein by reference to such proxy statement.</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0" w:name="page11"/>
    <w:bookmarkEnd w:id="10"/>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"Summary of Selected Financial Data" for the years 1996 through 2000 which appears on page B-39 of TI's proxy statement for the 2001 annual meeting of stockholders is incorporated herein by reference to such proxy statement.</w:t>
      </w:r>
    </w:p>
    <w:p>
      <w:pPr>
        <w:spacing w:after="0" w:line="200" w:lineRule="exact"/>
        <w:rPr>
          <w:sz w:val="20"/>
          <w:szCs w:val="20"/>
          <w:color w:val="auto"/>
        </w:rPr>
      </w:pPr>
    </w:p>
    <w:p>
      <w:pPr>
        <w:spacing w:after="0" w:line="210"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2519"/>
        <w:spacing w:after="0" w:line="275" w:lineRule="auto"/>
        <w:rPr>
          <w:sz w:val="20"/>
          <w:szCs w:val="20"/>
          <w:color w:val="auto"/>
        </w:rPr>
      </w:pPr>
      <w:r>
        <w:rPr>
          <w:rFonts w:ascii="Courier New" w:cs="Courier New" w:eastAsia="Courier New" w:hAnsi="Courier New"/>
          <w:sz w:val="16"/>
          <w:szCs w:val="16"/>
          <w:color w:val="auto"/>
        </w:rPr>
        <w:t>The information contained under the caption "Management Discussion and Analysis of Financial Condition and Results of Operations" on pages B-40 through B-50 of TI's proxy statement for the 2001 annual meeting of stockholders is incorporated herein by reference to such proxy statement.</w:t>
      </w:r>
    </w:p>
    <w:p>
      <w:pPr>
        <w:spacing w:after="0" w:line="3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Information concerning market risk is contained on pages B-43 through B-45 of TI's proxy statement for the 2001 annual meeting of stockholders and is incorporated by reference to such proxy statement.</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at December 31, 2000 and 1999 and for each of the three years in the period ended December 31, 2000, and the report thereon of the independent auditors, on pages B-1 through B-38 of TI's proxy statement for the 2001 annual meeting of stockholders, are incorporated herein by reference to such proxy statement.</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"Quarterly Financial Data" on pages B-51 and B-52 of TI's proxy statement for the 2001 annual meeting of stockholders is also incorporated herein by reference to such proxy statement.</w:t>
      </w:r>
    </w:p>
    <w:p>
      <w:pPr>
        <w:spacing w:after="0" w:line="200" w:lineRule="exact"/>
        <w:rPr>
          <w:sz w:val="20"/>
          <w:szCs w:val="20"/>
          <w:color w:val="auto"/>
        </w:rPr>
      </w:pPr>
    </w:p>
    <w:p>
      <w:pPr>
        <w:spacing w:after="0" w:line="211" w:lineRule="exact"/>
        <w:rPr>
          <w:sz w:val="20"/>
          <w:szCs w:val="20"/>
          <w:color w:val="auto"/>
        </w:rPr>
      </w:pPr>
    </w:p>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with respect to directors' names, ages, positions, term of office and periods of service, which is contained under the caption "Nominees for Directorship" in the company's proxy statement for the 2001 annual meeting of stockholders, is incorporated herein by reference to such proxy statement.</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1" w:name="page12"/>
    <w:bookmarkEnd w:id="11"/>
    <w:p>
      <w:pPr>
        <w:ind w:right="2199"/>
        <w:spacing w:after="0" w:line="236" w:lineRule="auto"/>
        <w:rPr>
          <w:sz w:val="20"/>
          <w:szCs w:val="20"/>
          <w:color w:val="auto"/>
        </w:rPr>
      </w:pPr>
      <w:r>
        <w:rPr>
          <w:rFonts w:ascii="Courier New" w:cs="Courier New" w:eastAsia="Courier New" w:hAnsi="Courier New"/>
          <w:sz w:val="18"/>
          <w:szCs w:val="18"/>
          <w:color w:val="auto"/>
        </w:rPr>
        <w:t>The following is an alphabetical list of the names and ages of the executive officers of the company and the positions or offices with the company presently held by each person named: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Age</w:t>
            </w:r>
          </w:p>
        </w:tc>
        <w:tc>
          <w:tcPr>
            <w:tcW w:w="27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Position</w:t>
            </w:r>
          </w:p>
        </w:tc>
        <w:tc>
          <w:tcPr>
            <w:tcW w:w="1380" w:type="dxa"/>
            <w:vAlign w:val="bottom"/>
          </w:tcPr>
          <w:p>
            <w:pPr>
              <w:spacing w:after="0"/>
              <w:rPr>
                <w:sz w:val="17"/>
                <w:szCs w:val="17"/>
                <w:color w:val="auto"/>
              </w:rPr>
            </w:pP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rPr>
              <w:t>William A. Aylesworth</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58</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President,</w:t>
            </w:r>
          </w:p>
        </w:tc>
        <w:tc>
          <w:tcPr>
            <w:tcW w:w="138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Treasurer and</w:t>
            </w:r>
          </w:p>
        </w:tc>
        <w:tc>
          <w:tcPr>
            <w:tcW w:w="13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Gilles Delfassy</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45</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J. Engibous</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48</w:t>
            </w:r>
          </w:p>
        </w:tc>
        <w:tc>
          <w:tcPr>
            <w:tcW w:w="2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 Chairman of</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the</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Board, President and</w:t>
            </w:r>
          </w:p>
        </w:tc>
        <w:tc>
          <w:tcPr>
            <w:tcW w:w="13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Michael J. Hames</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42</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Joseph F. Hubach</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43</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President,</w:t>
            </w:r>
          </w:p>
        </w:tc>
        <w:tc>
          <w:tcPr>
            <w:tcW w:w="138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Secretary and</w:t>
            </w:r>
          </w:p>
        </w:tc>
        <w:tc>
          <w:tcPr>
            <w:tcW w:w="138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General Counsel</w:t>
            </w:r>
          </w:p>
        </w:tc>
        <w:tc>
          <w:tcPr>
            <w:tcW w:w="138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Stephen H. Leven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49</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Keh-Shew Lu</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54</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J. Schaar</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55</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Educational &amp;</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Productivity Solutions)</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M. Samuel Self</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61</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Controller (Chief Accounting</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w:t>
            </w: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Elwin L. Skiles, Jr.</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59</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K. Templeton</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42</w:t>
            </w:r>
          </w:p>
        </w:tc>
        <w:tc>
          <w:tcPr>
            <w:tcW w:w="4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Executive Vice President and</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1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Chief Operating Officer (President,</w:t>
            </w: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Semiconductor)</w:t>
            </w:r>
          </w:p>
        </w:tc>
        <w:tc>
          <w:tcPr>
            <w:tcW w:w="138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Teresa L. West</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40</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Wroe</w:t>
            </w: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50</w:t>
            </w:r>
          </w:p>
        </w:tc>
        <w:tc>
          <w:tcPr>
            <w:tcW w:w="1640" w:type="dxa"/>
            <w:vAlign w:val="bottom"/>
          </w:tcPr>
          <w:p>
            <w:pPr>
              <w:ind w:left="420"/>
              <w:spacing w:after="0"/>
              <w:rPr>
                <w:sz w:val="20"/>
                <w:szCs w:val="20"/>
                <w:color w:val="auto"/>
              </w:rPr>
            </w:pPr>
            <w:r>
              <w:rPr>
                <w:rFonts w:ascii="Courier New" w:cs="Courier New" w:eastAsia="Courier New" w:hAnsi="Courier New"/>
                <w:sz w:val="18"/>
                <w:szCs w:val="18"/>
                <w:color w:val="auto"/>
              </w:rPr>
              <w:t>Senior Vice</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138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Sensors &amp;</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Controls)</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The term of office of the above listed officers is from the date of their election until their successor shall have been elected and qualified. Messrs. Delfassy and Hames were elected to their respective offices on November 30, 2000. The most recent date of election of the other officers was April 20, 2000. Messrs. Aylesworth, Engibous and Skiles have served as</w:t>
      </w:r>
    </w:p>
    <w:p>
      <w:pPr>
        <w:spacing w:after="0" w:line="17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officers of the company for more than five years. Mr. Templeton has served as an officer of the company since 1996, and he has been an employee of the company for more than five years. Ms. West and Messrs. Delfassy, Hames, Hubach, Leven, Lu, Schaar, Self, and Wroe have served as officers of the company since 1998 and have been employees of the company for more than five years.</w:t>
      </w: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information which is contained under the captions "Directors Compensation" and "Executive Compensation" in the company's proxy statement for the 2001 annual meeting of stockholders is incorporated herein by reference to such proxy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concerning (a) the only persons that have reported beneficial ownership of more than 5% of the common stock of TI, and (b) the ownership of TI's common stock by the Chief Executive Officer and the four other most highly compensated executive officers, and all executive officers and directors as a group, which is contained under the caption "Voting Securities" in the company's proxy statement for the 2001 annual meeting of stockholders, is incorporated herein by reference to such proxy statement. The information concerning ownership of TI's common stock by each of the directors, which is contained under the caption "Nominees for Directorship" in such proxy statement, is also incorporated herein by reference to such proxy statement.</w:t>
      </w:r>
    </w:p>
    <w:p>
      <w:pPr>
        <w:spacing w:after="0" w:line="200" w:lineRule="exact"/>
        <w:rPr>
          <w:sz w:val="20"/>
          <w:szCs w:val="20"/>
          <w:color w:val="auto"/>
        </w:rPr>
      </w:pPr>
    </w:p>
    <w:p>
      <w:pPr>
        <w:spacing w:after="0" w:line="21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and 2.  Financial Statements and Financial Statement Schedules: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financial statements and financial statement schedules are listed in the index on page 21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3" w:name="page14"/>
    <w:bookmarkEnd w:id="13"/>
    <w:p>
      <w:pPr>
        <w:ind w:left="860" w:hanging="431"/>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 in</w:t>
      </w:r>
    </w:p>
    <w:p>
      <w:pPr>
        <w:ind w:left="220"/>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700" w:space="300"/>
            <w:col w:w="8219"/>
          </w:cols>
          <w:pgMar w:left="240" w:top="925" w:right="1440" w:bottom="1440" w:gutter="0" w:footer="0" w:header="0"/>
          <w:type w:val="continuous"/>
        </w:sectPr>
      </w:pPr>
    </w:p>
    <w:p>
      <w:pPr>
        <w:spacing w:after="0" w:line="24" w:lineRule="exact"/>
        <w:rPr>
          <w:sz w:val="20"/>
          <w:szCs w:val="20"/>
          <w:color w:val="auto"/>
        </w:rPr>
      </w:pPr>
    </w:p>
    <w:p>
      <w:pPr>
        <w:ind w:left="1900" w:right="2199" w:hanging="1365"/>
        <w:spacing w:after="0" w:line="237"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21, 2000, by and among the Registrant, Burr-Brown Corporation and Burma Acquisition Corp. (disclosure schedules omitted; Registrant agrees to provide the Commission, upon request, copies of such schedules)(incorporated by reference to Texas Instruments Tucson Corporation's Current Report on Form 8-K dated June 22, 2000).</w:t>
      </w:r>
    </w:p>
    <w:p>
      <w:pPr>
        <w:spacing w:after="0" w:line="211" w:lineRule="exact"/>
        <w:rPr>
          <w:sz w:val="20"/>
          <w:szCs w:val="20"/>
          <w:color w:val="auto"/>
        </w:rPr>
      </w:pPr>
    </w:p>
    <w:p>
      <w:pPr>
        <w:ind w:left="1900" w:right="2099" w:hanging="1359"/>
        <w:spacing w:after="0" w:line="279" w:lineRule="auto"/>
        <w:tabs>
          <w:tab w:leader="none" w:pos="188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6"/>
          <w:szCs w:val="16"/>
          <w:color w:val="auto"/>
        </w:rPr>
        <w:t>Restated Certificate of Incorporation of the Registrant (incorporated by reference to Exhibit 3(a) to the Registrant's Annual Report on Form 10-K for the year 1993).</w:t>
      </w:r>
    </w:p>
    <w:p>
      <w:pPr>
        <w:spacing w:after="0" w:line="178" w:lineRule="exact"/>
        <w:rPr>
          <w:sz w:val="20"/>
          <w:szCs w:val="20"/>
          <w:color w:val="auto"/>
        </w:rPr>
      </w:pPr>
    </w:p>
    <w:p>
      <w:pPr>
        <w:ind w:left="1900" w:right="219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3(b) to the Registrant's Annual Report on Form 10-K for the year 1993).</w:t>
      </w:r>
    </w:p>
    <w:p>
      <w:pPr>
        <w:spacing w:after="0" w:line="207" w:lineRule="exact"/>
        <w:rPr>
          <w:sz w:val="20"/>
          <w:szCs w:val="20"/>
          <w:color w:val="auto"/>
        </w:rPr>
      </w:pPr>
    </w:p>
    <w:p>
      <w:pPr>
        <w:ind w:left="1900" w:right="219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3(c)</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3(c) to the Registrant's Annual Report on Form 10-K for the year 1993).</w:t>
      </w:r>
    </w:p>
    <w:p>
      <w:pPr>
        <w:spacing w:after="0" w:line="207" w:lineRule="exact"/>
        <w:rPr>
          <w:sz w:val="20"/>
          <w:szCs w:val="20"/>
          <w:color w:val="auto"/>
        </w:rPr>
      </w:pPr>
    </w:p>
    <w:p>
      <w:pPr>
        <w:ind w:left="1900" w:right="2199" w:hanging="1359"/>
        <w:spacing w:after="0" w:line="275" w:lineRule="auto"/>
        <w:tabs>
          <w:tab w:leader="none" w:pos="1880" w:val="left"/>
        </w:tabs>
        <w:rPr>
          <w:sz w:val="20"/>
          <w:szCs w:val="20"/>
          <w:color w:val="auto"/>
        </w:rPr>
      </w:pPr>
      <w:r>
        <w:rPr>
          <w:rFonts w:ascii="Courier New" w:cs="Courier New" w:eastAsia="Courier New" w:hAnsi="Courier New"/>
          <w:sz w:val="16"/>
          <w:szCs w:val="16"/>
          <w:color w:val="auto"/>
        </w:rPr>
        <w:t>3(d)</w:t>
      </w:r>
      <w:r>
        <w:rPr>
          <w:sz w:val="20"/>
          <w:szCs w:val="20"/>
          <w:color w:val="auto"/>
        </w:rPr>
        <w:tab/>
      </w:r>
      <w:r>
        <w:rPr>
          <w:rFonts w:ascii="Courier New" w:cs="Courier New" w:eastAsia="Courier New" w:hAnsi="Courier New"/>
          <w:sz w:val="16"/>
          <w:szCs w:val="16"/>
          <w:color w:val="auto"/>
        </w:rPr>
        <w:t>Certificate of Amendment to Restated Certificate of Incorporation of the Registrant (incorporated by reference to Exhibit 3 to the Registrant's Quarterly Report on Form 10-Q for the quarter ended June 30, 1996).</w:t>
      </w:r>
    </w:p>
    <w:p>
      <w:pPr>
        <w:spacing w:after="0" w:line="182" w:lineRule="exact"/>
        <w:rPr>
          <w:sz w:val="20"/>
          <w:szCs w:val="20"/>
          <w:color w:val="auto"/>
        </w:rPr>
      </w:pPr>
    </w:p>
    <w:p>
      <w:pPr>
        <w:ind w:left="1900" w:right="283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Registrant (incorporated by reference to Exhibit 3(e) to the Registrant's Annual Report on Form 10-K for the year 1993).</w:t>
      </w:r>
    </w:p>
    <w:p>
      <w:pPr>
        <w:spacing w:after="0" w:line="209" w:lineRule="exact"/>
        <w:rPr>
          <w:sz w:val="20"/>
          <w:szCs w:val="20"/>
          <w:color w:val="auto"/>
        </w:rPr>
      </w:pPr>
    </w:p>
    <w:p>
      <w:pPr>
        <w:ind w:left="1900" w:right="209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3(f)</w:t>
      </w:r>
      <w:r>
        <w:rPr>
          <w:sz w:val="20"/>
          <w:szCs w:val="20"/>
          <w:color w:val="auto"/>
        </w:rPr>
        <w:tab/>
      </w:r>
      <w:r>
        <w:rPr>
          <w:rFonts w:ascii="Courier New" w:cs="Courier New" w:eastAsia="Courier New" w:hAnsi="Courier New"/>
          <w:sz w:val="18"/>
          <w:szCs w:val="18"/>
          <w:color w:val="auto"/>
        </w:rPr>
        <w:t>Certificate of Elimination of Designations of Preferred Stock of the Registrant (incorporated by reference to Exhibit 3(f) to the Registrant's Annual Report on Form 10-K for the year 1993).</w:t>
      </w:r>
    </w:p>
    <w:p>
      <w:pPr>
        <w:spacing w:after="0" w:line="207" w:lineRule="exact"/>
        <w:rPr>
          <w:sz w:val="20"/>
          <w:szCs w:val="20"/>
          <w:color w:val="auto"/>
        </w:rPr>
      </w:pPr>
    </w:p>
    <w:p>
      <w:pPr>
        <w:ind w:left="1900" w:right="219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3(g)</w:t>
      </w:r>
      <w:r>
        <w:rPr>
          <w:sz w:val="20"/>
          <w:szCs w:val="20"/>
          <w:color w:val="auto"/>
        </w:rPr>
        <w:tab/>
      </w:r>
      <w:r>
        <w:rPr>
          <w:rFonts w:ascii="Courier New" w:cs="Courier New" w:eastAsia="Courier New" w:hAnsi="Courier New"/>
          <w:sz w:val="18"/>
          <w:szCs w:val="18"/>
          <w:color w:val="auto"/>
        </w:rPr>
        <w:t>Certificate of Ownership and Merger Merging Tiburon Systems, Inc. into the Registrant (incorporated by reference to Exhibit 4(g) to the Registrant's Registration Statement No. 333-41919 on Form S-8).</w:t>
      </w:r>
    </w:p>
    <w:p>
      <w:pPr>
        <w:spacing w:after="0" w:line="207" w:lineRule="exact"/>
        <w:rPr>
          <w:sz w:val="20"/>
          <w:szCs w:val="20"/>
          <w:color w:val="auto"/>
        </w:rPr>
      </w:pPr>
    </w:p>
    <w:p>
      <w:pPr>
        <w:ind w:left="1900" w:right="241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3(h)</w:t>
      </w:r>
      <w:r>
        <w:rPr>
          <w:sz w:val="20"/>
          <w:szCs w:val="20"/>
          <w:color w:val="auto"/>
        </w:rPr>
        <w:tab/>
      </w:r>
      <w:r>
        <w:rPr>
          <w:rFonts w:ascii="Courier New" w:cs="Courier New" w:eastAsia="Courier New" w:hAnsi="Courier New"/>
          <w:sz w:val="18"/>
          <w:szCs w:val="18"/>
          <w:color w:val="auto"/>
        </w:rPr>
        <w:t>Certificate of Ownership and Merger Merging Tartan, Inc. into the Registrant (incorporated by reference to Exhibit 4(h) to the Registrant's Registration Statement No. 333-41919 on Form S-8).</w:t>
      </w:r>
    </w:p>
    <w:p>
      <w:pPr>
        <w:spacing w:after="0" w:line="207" w:lineRule="exact"/>
        <w:rPr>
          <w:sz w:val="20"/>
          <w:szCs w:val="20"/>
          <w:color w:val="auto"/>
        </w:rPr>
      </w:pPr>
    </w:p>
    <w:p>
      <w:pPr>
        <w:ind w:left="1900" w:right="231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3(i)</w:t>
      </w:r>
      <w:r>
        <w:rPr>
          <w:sz w:val="20"/>
          <w:szCs w:val="20"/>
          <w:color w:val="auto"/>
        </w:rPr>
        <w:tab/>
      </w:r>
      <w:r>
        <w:rPr>
          <w:rFonts w:ascii="Courier New" w:cs="Courier New" w:eastAsia="Courier New" w:hAnsi="Courier New"/>
          <w:sz w:val="18"/>
          <w:szCs w:val="18"/>
          <w:color w:val="auto"/>
        </w:rPr>
        <w:t>Certificate of Designation relating to the Registrant's Participating Cumulative Preferred Stock (incorporated by reference to Exhibit 4(a) to the Registrant's Quarterly Report on Form 10-Q for the quarter ended September 30, 1998).</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type w:val="continuous"/>
        </w:sectPr>
      </w:pPr>
    </w:p>
    <w:bookmarkStart w:id="14" w:name="page15"/>
    <w:bookmarkEnd w:id="14"/>
    <w:p>
      <w:pPr>
        <w:ind w:left="700" w:right="209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3(j)</w:t>
      </w:r>
      <w:r>
        <w:rPr>
          <w:sz w:val="20"/>
          <w:szCs w:val="20"/>
          <w:color w:val="auto"/>
        </w:rPr>
        <w:tab/>
      </w:r>
      <w:r>
        <w:rPr>
          <w:rFonts w:ascii="Courier New" w:cs="Courier New" w:eastAsia="Courier New" w:hAnsi="Courier New"/>
          <w:sz w:val="18"/>
          <w:szCs w:val="18"/>
          <w:color w:val="auto"/>
        </w:rPr>
        <w:t>Certificate of Elimination of Designation of Preferred Stock of the Registrant (incorporated by reference to Exhibit 3(j) to the Registrant's Annual Report on Form 10-K for the year 1998).</w:t>
      </w:r>
    </w:p>
    <w:p>
      <w:pPr>
        <w:spacing w:after="0" w:line="207" w:lineRule="exact"/>
        <w:rPr>
          <w:sz w:val="20"/>
          <w:szCs w:val="20"/>
          <w:color w:val="auto"/>
        </w:rPr>
      </w:pPr>
    </w:p>
    <w:p>
      <w:pPr>
        <w:ind w:left="700" w:right="209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3(k)</w:t>
      </w:r>
      <w:r>
        <w:rPr>
          <w:sz w:val="20"/>
          <w:szCs w:val="20"/>
          <w:color w:val="auto"/>
        </w:rPr>
        <w:tab/>
      </w:r>
      <w:r>
        <w:rPr>
          <w:rFonts w:ascii="Courier New" w:cs="Courier New" w:eastAsia="Courier New" w:hAnsi="Courier New"/>
          <w:sz w:val="18"/>
          <w:szCs w:val="18"/>
          <w:color w:val="auto"/>
        </w:rPr>
        <w:t>Certificate of Ownership and Merger Merging Intersect Technologies, Inc. into the Registrant (incorporated by reference to Exhibit 3(k) to the Registrant's Annual Report on Form 10-K for the year 1999).</w:t>
      </w:r>
    </w:p>
    <w:p>
      <w:pPr>
        <w:spacing w:after="0" w:line="207" w:lineRule="exact"/>
        <w:rPr>
          <w:sz w:val="20"/>
          <w:szCs w:val="20"/>
          <w:color w:val="auto"/>
        </w:rPr>
      </w:pPr>
    </w:p>
    <w:p>
      <w:pPr>
        <w:ind w:left="700" w:right="209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3(l)</w:t>
      </w:r>
      <w:r>
        <w:rPr>
          <w:sz w:val="20"/>
          <w:szCs w:val="20"/>
          <w:color w:val="auto"/>
        </w:rPr>
        <w:tab/>
      </w:r>
      <w:r>
        <w:rPr>
          <w:rFonts w:ascii="Courier New" w:cs="Courier New" w:eastAsia="Courier New" w:hAnsi="Courier New"/>
          <w:sz w:val="18"/>
          <w:szCs w:val="18"/>
          <w:color w:val="auto"/>
        </w:rPr>
        <w:t>Certificate of Ownership and Merger Merging Soft Warehouse, Inc. into the Registrant (incorporated by reference to Exhibit 3(l) to the Registrant's Annual Report on Form 10-K for the year 1999).</w:t>
      </w:r>
    </w:p>
    <w:p>
      <w:pPr>
        <w:spacing w:after="0" w:line="207" w:lineRule="exact"/>
        <w:rPr>
          <w:sz w:val="20"/>
          <w:szCs w:val="20"/>
          <w:color w:val="auto"/>
        </w:rPr>
      </w:pPr>
    </w:p>
    <w:p>
      <w:pPr>
        <w:ind w:left="700" w:right="209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3(m)</w:t>
      </w:r>
      <w:r>
        <w:rPr>
          <w:sz w:val="20"/>
          <w:szCs w:val="20"/>
          <w:color w:val="auto"/>
        </w:rPr>
        <w:tab/>
      </w:r>
      <w:r>
        <w:rPr>
          <w:rFonts w:ascii="Courier New" w:cs="Courier New" w:eastAsia="Courier New" w:hAnsi="Courier New"/>
          <w:sz w:val="18"/>
          <w:szCs w:val="18"/>
          <w:color w:val="auto"/>
        </w:rPr>
        <w:t>Certificate of Ownership and Merger Merging Silicon Systems, Inc. into the Registrant (incorporated by reference to Exhibit 3(m) to the Registrant's Annual Report on Form 10-K for the year 1999).</w:t>
      </w:r>
    </w:p>
    <w:p>
      <w:pPr>
        <w:spacing w:after="0" w:line="207" w:lineRule="exact"/>
        <w:rPr>
          <w:sz w:val="20"/>
          <w:szCs w:val="20"/>
          <w:color w:val="auto"/>
        </w:rPr>
      </w:pPr>
    </w:p>
    <w:p>
      <w:pPr>
        <w:ind w:left="700" w:right="2939" w:hanging="1359"/>
        <w:spacing w:after="0" w:line="275" w:lineRule="auto"/>
        <w:tabs>
          <w:tab w:leader="none" w:pos="680" w:val="left"/>
        </w:tabs>
        <w:rPr>
          <w:sz w:val="20"/>
          <w:szCs w:val="20"/>
          <w:color w:val="auto"/>
        </w:rPr>
      </w:pPr>
      <w:r>
        <w:rPr>
          <w:rFonts w:ascii="Courier New" w:cs="Courier New" w:eastAsia="Courier New" w:hAnsi="Courier New"/>
          <w:sz w:val="16"/>
          <w:szCs w:val="16"/>
          <w:color w:val="auto"/>
        </w:rPr>
        <w:t>3(n)</w:t>
      </w:r>
      <w:r>
        <w:rPr>
          <w:sz w:val="20"/>
          <w:szCs w:val="20"/>
          <w:color w:val="auto"/>
        </w:rPr>
        <w:tab/>
      </w:r>
      <w:r>
        <w:rPr>
          <w:rFonts w:ascii="Courier New" w:cs="Courier New" w:eastAsia="Courier New" w:hAnsi="Courier New"/>
          <w:sz w:val="16"/>
          <w:szCs w:val="16"/>
          <w:color w:val="auto"/>
        </w:rPr>
        <w:t>Certificate of Amendment to Restated Certificate of Incorporation (incorporated by reference to Exhibit 3(n) to the Registrant's Registration Statement on Form S-4 No. 333-41030 filed on July 7, 2000).</w:t>
      </w:r>
    </w:p>
    <w:p>
      <w:pPr>
        <w:spacing w:after="0" w:line="182" w:lineRule="exact"/>
        <w:rPr>
          <w:sz w:val="20"/>
          <w:szCs w:val="20"/>
          <w:color w:val="auto"/>
        </w:rPr>
      </w:pPr>
    </w:p>
    <w:p>
      <w:pPr>
        <w:ind w:left="700" w:right="2099" w:hanging="1359"/>
        <w:spacing w:after="0" w:line="236" w:lineRule="auto"/>
        <w:tabs>
          <w:tab w:leader="none" w:pos="680" w:val="left"/>
        </w:tabs>
        <w:rPr>
          <w:sz w:val="20"/>
          <w:szCs w:val="20"/>
          <w:color w:val="auto"/>
        </w:rPr>
      </w:pPr>
      <w:r>
        <w:rPr>
          <w:rFonts w:ascii="Courier New" w:cs="Courier New" w:eastAsia="Courier New" w:hAnsi="Courier New"/>
          <w:sz w:val="18"/>
          <w:szCs w:val="18"/>
          <w:color w:val="auto"/>
        </w:rPr>
        <w:t>3(o)</w:t>
      </w:r>
      <w:r>
        <w:rPr>
          <w:sz w:val="20"/>
          <w:szCs w:val="20"/>
          <w:color w:val="auto"/>
        </w:rPr>
        <w:tab/>
      </w:r>
      <w:r>
        <w:rPr>
          <w:rFonts w:ascii="Courier New" w:cs="Courier New" w:eastAsia="Courier New" w:hAnsi="Courier New"/>
          <w:sz w:val="18"/>
          <w:szCs w:val="18"/>
          <w:color w:val="auto"/>
        </w:rPr>
        <w:t>By-Laws of the Registrant (incorporated by reference to Exhibit 3(n) to the Registrant's Annual Report on Form 10-K for the year 1999).</w:t>
      </w:r>
    </w:p>
    <w:p>
      <w:pPr>
        <w:spacing w:after="0" w:line="209" w:lineRule="exact"/>
        <w:rPr>
          <w:sz w:val="20"/>
          <w:szCs w:val="20"/>
          <w:color w:val="auto"/>
        </w:rPr>
      </w:pPr>
    </w:p>
    <w:p>
      <w:pPr>
        <w:ind w:left="700" w:right="2199" w:hanging="1368"/>
        <w:spacing w:after="0" w:line="237" w:lineRule="auto"/>
        <w:tabs>
          <w:tab w:leader="none" w:pos="680" w:val="left"/>
        </w:tabs>
        <w:rPr>
          <w:sz w:val="20"/>
          <w:szCs w:val="20"/>
          <w:color w:val="auto"/>
        </w:rPr>
      </w:pPr>
      <w:r>
        <w:rPr>
          <w:rFonts w:ascii="Courier New" w:cs="Courier New" w:eastAsia="Courier New" w:hAnsi="Courier New"/>
          <w:sz w:val="18"/>
          <w:szCs w:val="18"/>
          <w:color w:val="auto"/>
        </w:rPr>
        <w:t>4(a)(i)</w:t>
      </w:r>
      <w:r>
        <w:rPr>
          <w:sz w:val="20"/>
          <w:szCs w:val="20"/>
          <w:color w:val="auto"/>
        </w:rPr>
        <w:tab/>
      </w:r>
      <w:r>
        <w:rPr>
          <w:rFonts w:ascii="Courier New" w:cs="Courier New" w:eastAsia="Courier New" w:hAnsi="Courier New"/>
          <w:sz w:val="18"/>
          <w:szCs w:val="18"/>
          <w:color w:val="auto"/>
        </w:rPr>
        <w:t>Rights Agreement dated as of June 18, 1998 between the Registrant and Harris Trust and Savings Bank as Rights Agent, which includes as Exhibit B the form of Rights Certificate (incorporated by reference to Exhibit 1 to the Registrant's Registration Statement on Form 8-A dated June 23, 1998).</w:t>
      </w:r>
    </w:p>
    <w:p>
      <w:pPr>
        <w:spacing w:after="0" w:line="210" w:lineRule="exact"/>
        <w:rPr>
          <w:sz w:val="20"/>
          <w:szCs w:val="20"/>
          <w:color w:val="auto"/>
        </w:rPr>
      </w:pPr>
    </w:p>
    <w:p>
      <w:pPr>
        <w:ind w:left="700" w:right="2319" w:hanging="1368"/>
        <w:spacing w:after="0" w:line="237" w:lineRule="auto"/>
        <w:tabs>
          <w:tab w:leader="none" w:pos="680" w:val="left"/>
        </w:tabs>
        <w:rPr>
          <w:sz w:val="20"/>
          <w:szCs w:val="20"/>
          <w:color w:val="auto"/>
        </w:rPr>
      </w:pPr>
      <w:r>
        <w:rPr>
          <w:rFonts w:ascii="Courier New" w:cs="Courier New" w:eastAsia="Courier New" w:hAnsi="Courier New"/>
          <w:sz w:val="18"/>
          <w:szCs w:val="18"/>
          <w:color w:val="auto"/>
        </w:rPr>
        <w:t>4(a)(ii)</w:t>
      </w:r>
      <w:r>
        <w:rPr>
          <w:sz w:val="20"/>
          <w:szCs w:val="20"/>
          <w:color w:val="auto"/>
        </w:rPr>
        <w:tab/>
      </w:r>
      <w:r>
        <w:rPr>
          <w:rFonts w:ascii="Courier New" w:cs="Courier New" w:eastAsia="Courier New" w:hAnsi="Courier New"/>
          <w:sz w:val="18"/>
          <w:szCs w:val="18"/>
          <w:color w:val="auto"/>
        </w:rPr>
        <w:t>Amendment dated as of September 18, 1998 to the Rights Agreement (incorporated by reference to Exhibit 2 to the Registrant's Amendment No. 1 to Registration Statement on Form 8-A dated September 23, 1998).</w:t>
      </w:r>
    </w:p>
    <w:p>
      <w:pPr>
        <w:spacing w:after="0" w:line="207" w:lineRule="exact"/>
        <w:rPr>
          <w:sz w:val="20"/>
          <w:szCs w:val="20"/>
          <w:color w:val="auto"/>
        </w:rPr>
      </w:pPr>
    </w:p>
    <w:p>
      <w:pPr>
        <w:ind w:left="700" w:right="273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The Registrant agrees to provide the Commission, upon request, copies of instruments defining the rights of holders of long-term debt of the Registrant and its subsidiaries.</w:t>
      </w:r>
    </w:p>
    <w:p>
      <w:pPr>
        <w:spacing w:after="0" w:line="207" w:lineRule="exact"/>
        <w:rPr>
          <w:sz w:val="20"/>
          <w:szCs w:val="20"/>
          <w:color w:val="auto"/>
        </w:rPr>
      </w:pPr>
    </w:p>
    <w:p>
      <w:pPr>
        <w:ind w:left="700" w:right="2739" w:hanging="1359"/>
        <w:spacing w:after="0" w:line="237" w:lineRule="auto"/>
        <w:tabs>
          <w:tab w:leader="none" w:pos="680" w:val="left"/>
        </w:tabs>
        <w:rPr>
          <w:sz w:val="20"/>
          <w:szCs w:val="20"/>
          <w:color w:val="auto"/>
        </w:rPr>
      </w:pPr>
      <w:r>
        <w:rPr>
          <w:rFonts w:ascii="Courier New" w:cs="Courier New" w:eastAsia="Courier New" w:hAnsi="Courier New"/>
          <w:sz w:val="18"/>
          <w:szCs w:val="18"/>
          <w:color w:val="auto"/>
        </w:rPr>
        <w:t>10(a)(i)</w:t>
      </w:r>
      <w:r>
        <w:rPr>
          <w:sz w:val="20"/>
          <w:szCs w:val="20"/>
          <w:color w:val="auto"/>
        </w:rPr>
        <w:tab/>
      </w:r>
      <w:r>
        <w:rPr>
          <w:rFonts w:ascii="Courier New" w:cs="Courier New" w:eastAsia="Courier New" w:hAnsi="Courier New"/>
          <w:sz w:val="18"/>
          <w:szCs w:val="18"/>
          <w:color w:val="auto"/>
        </w:rPr>
        <w:t>Amended and Restated TI Deferred Compensation Plan (incorporated by reference to Exhibit 10(a)(i) to the Registrant's Annual Report on Form 10-K for the year 1999).*</w:t>
      </w:r>
    </w:p>
    <w:p>
      <w:pPr>
        <w:spacing w:after="0" w:line="202"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019"/>
          </w:cols>
          <w:pgMar w:left="1440" w:top="92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4320" w:type="dxa"/>
            <w:vAlign w:val="bottom"/>
          </w:tcPr>
          <w:p>
            <w:pPr>
              <w:ind w:left="160"/>
              <w:spacing w:after="0"/>
              <w:rPr>
                <w:sz w:val="20"/>
                <w:szCs w:val="20"/>
                <w:color w:val="auto"/>
              </w:rPr>
            </w:pPr>
            <w:r>
              <w:rPr>
                <w:rFonts w:ascii="Courier New" w:cs="Courier New" w:eastAsia="Courier New" w:hAnsi="Courier New"/>
                <w:sz w:val="18"/>
                <w:szCs w:val="18"/>
                <w:color w:val="auto"/>
                <w:w w:val="98"/>
              </w:rPr>
              <w:t>First Amendment to Restated TI Deferred</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Compensation</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Plan</w:t>
            </w:r>
          </w:p>
        </w:tc>
      </w:tr>
      <w:tr>
        <w:trPr>
          <w:trHeight w:val="203"/>
        </w:trPr>
        <w:tc>
          <w:tcPr>
            <w:tcW w:w="1200" w:type="dxa"/>
            <w:vAlign w:val="bottom"/>
          </w:tcPr>
          <w:p>
            <w:pPr>
              <w:spacing w:after="0"/>
              <w:rPr>
                <w:sz w:val="17"/>
                <w:szCs w:val="17"/>
                <w:color w:val="auto"/>
              </w:rPr>
            </w:pPr>
          </w:p>
        </w:tc>
        <w:tc>
          <w:tcPr>
            <w:tcW w:w="63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10(a)(ii) to the</w:t>
            </w:r>
          </w:p>
        </w:tc>
      </w:tr>
      <w:tr>
        <w:trPr>
          <w:trHeight w:val="203"/>
        </w:trPr>
        <w:tc>
          <w:tcPr>
            <w:tcW w:w="1200" w:type="dxa"/>
            <w:vAlign w:val="bottom"/>
          </w:tcPr>
          <w:p>
            <w:pPr>
              <w:spacing w:after="0"/>
              <w:rPr>
                <w:sz w:val="17"/>
                <w:szCs w:val="17"/>
                <w:color w:val="auto"/>
              </w:rPr>
            </w:pPr>
          </w:p>
        </w:tc>
        <w:tc>
          <w:tcPr>
            <w:tcW w:w="4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Annual Report on Form 10-K</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 year</w:t>
            </w:r>
          </w:p>
        </w:tc>
        <w:tc>
          <w:tcPr>
            <w:tcW w:w="6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4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638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8"/>
              </w:rPr>
              <w:t>Second Amendment to Restated TI Deferred Compensation Plan</w:t>
            </w:r>
          </w:p>
        </w:tc>
      </w:tr>
      <w:tr>
        <w:trPr>
          <w:trHeight w:val="203"/>
        </w:trPr>
        <w:tc>
          <w:tcPr>
            <w:tcW w:w="1200" w:type="dxa"/>
            <w:vAlign w:val="bottom"/>
          </w:tcPr>
          <w:p>
            <w:pPr>
              <w:spacing w:after="0"/>
              <w:rPr>
                <w:sz w:val="17"/>
                <w:szCs w:val="17"/>
                <w:color w:val="auto"/>
              </w:rPr>
            </w:pPr>
          </w:p>
        </w:tc>
        <w:tc>
          <w:tcPr>
            <w:tcW w:w="63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Exhibit 10(a)(iii) to the</w:t>
            </w:r>
          </w:p>
        </w:tc>
      </w:tr>
      <w:tr>
        <w:trPr>
          <w:trHeight w:val="203"/>
        </w:trPr>
        <w:tc>
          <w:tcPr>
            <w:tcW w:w="1200" w:type="dxa"/>
            <w:vAlign w:val="bottom"/>
          </w:tcPr>
          <w:p>
            <w:pPr>
              <w:spacing w:after="0"/>
              <w:rPr>
                <w:sz w:val="17"/>
                <w:szCs w:val="17"/>
                <w:color w:val="auto"/>
              </w:rPr>
            </w:pPr>
          </w:p>
        </w:tc>
        <w:tc>
          <w:tcPr>
            <w:tcW w:w="4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Registrant's Annual Report on Form 10-K</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 the year</w:t>
            </w:r>
          </w:p>
        </w:tc>
        <w:tc>
          <w:tcPr>
            <w:tcW w:w="68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4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10(a)(iv)</w:t>
            </w:r>
          </w:p>
        </w:tc>
        <w:tc>
          <w:tcPr>
            <w:tcW w:w="4320" w:type="dxa"/>
            <w:vAlign w:val="bottom"/>
          </w:tcPr>
          <w:p>
            <w:pPr>
              <w:ind w:left="160"/>
              <w:spacing w:after="0"/>
              <w:rPr>
                <w:sz w:val="20"/>
                <w:szCs w:val="20"/>
                <w:color w:val="auto"/>
              </w:rPr>
            </w:pPr>
            <w:r>
              <w:rPr>
                <w:rFonts w:ascii="Courier New" w:cs="Courier New" w:eastAsia="Courier New" w:hAnsi="Courier New"/>
                <w:sz w:val="18"/>
                <w:szCs w:val="18"/>
                <w:color w:val="auto"/>
                <w:w w:val="98"/>
              </w:rPr>
              <w:t>Third Amendment to Restated TI Deferred</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Compensation</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w w:val="95"/>
              </w:rPr>
              <w:t>Plan.*</w:t>
            </w:r>
          </w:p>
        </w:tc>
      </w:tr>
    </w:tbl>
    <w:p>
      <w:pPr>
        <w:spacing w:after="0" w:line="207" w:lineRule="exact"/>
        <w:rPr>
          <w:sz w:val="20"/>
          <w:szCs w:val="20"/>
          <w:color w:val="auto"/>
        </w:rPr>
      </w:pPr>
    </w:p>
    <w:p>
      <w:pPr>
        <w:jc w:val="both"/>
        <w:ind w:left="1360" w:right="2419" w:hanging="1359"/>
        <w:spacing w:after="0" w:line="236" w:lineRule="auto"/>
        <w:tabs>
          <w:tab w:leader="none" w:pos="1340" w:val="left"/>
        </w:tabs>
        <w:rPr>
          <w:sz w:val="20"/>
          <w:szCs w:val="20"/>
          <w:color w:val="auto"/>
        </w:rPr>
      </w:pPr>
      <w:r>
        <w:rPr>
          <w:rFonts w:ascii="Courier New" w:cs="Courier New" w:eastAsia="Courier New" w:hAnsi="Courier New"/>
          <w:sz w:val="18"/>
          <w:szCs w:val="18"/>
          <w:color w:val="auto"/>
        </w:rPr>
        <w:t>10(b)(i)</w:t>
      </w:r>
      <w:r>
        <w:rPr>
          <w:sz w:val="20"/>
          <w:szCs w:val="20"/>
          <w:color w:val="auto"/>
        </w:rPr>
        <w:tab/>
      </w:r>
      <w:r>
        <w:rPr>
          <w:rFonts w:ascii="Courier New" w:cs="Courier New" w:eastAsia="Courier New" w:hAnsi="Courier New"/>
          <w:sz w:val="18"/>
          <w:szCs w:val="18"/>
          <w:color w:val="auto"/>
        </w:rPr>
        <w:t>TI Employees Supplemental Pension Plan (incorporated by reference to Exhibit 10(b)(i) to the Registrant's Annual Report on Form 10-K for the year 1999).*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3840" w:type="dxa"/>
            <w:vAlign w:val="bottom"/>
          </w:tcPr>
          <w:p>
            <w:pPr>
              <w:ind w:left="200"/>
              <w:spacing w:after="0"/>
              <w:rPr>
                <w:sz w:val="20"/>
                <w:szCs w:val="20"/>
                <w:color w:val="auto"/>
              </w:rPr>
            </w:pPr>
            <w:r>
              <w:rPr>
                <w:rFonts w:ascii="Courier New" w:cs="Courier New" w:eastAsia="Courier New" w:hAnsi="Courier New"/>
                <w:sz w:val="18"/>
                <w:szCs w:val="18"/>
                <w:color w:val="auto"/>
                <w:w w:val="98"/>
              </w:rPr>
              <w:t>First Amendment to TI Supplemental</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w w:val="98"/>
              </w:rPr>
              <w:t>Pension Plan</w:t>
            </w:r>
          </w:p>
        </w:tc>
        <w:tc>
          <w:tcPr>
            <w:tcW w:w="7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(incorporated by reference to Exhibit 10(b)(ii)</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to the</w:t>
            </w:r>
          </w:p>
        </w:tc>
      </w:tr>
      <w:tr>
        <w:trPr>
          <w:trHeight w:val="203"/>
        </w:trPr>
        <w:tc>
          <w:tcPr>
            <w:tcW w:w="116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Registrant's Annual Report on Form</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10-K for the</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w:t>
            </w:r>
          </w:p>
        </w:tc>
      </w:tr>
      <w:tr>
        <w:trPr>
          <w:trHeight w:val="203"/>
        </w:trPr>
        <w:tc>
          <w:tcPr>
            <w:tcW w:w="116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1999).*</w:t>
            </w: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7" w:lineRule="exact"/>
        <w:rPr>
          <w:sz w:val="20"/>
          <w:szCs w:val="20"/>
          <w:color w:val="auto"/>
        </w:rPr>
      </w:pPr>
    </w:p>
    <w:p>
      <w:pPr>
        <w:ind w:left="1360" w:right="2099" w:hanging="1359"/>
        <w:spacing w:after="0" w:line="236" w:lineRule="auto"/>
        <w:tabs>
          <w:tab w:leader="none" w:pos="13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Texas Instruments Long-Term Incentive Plan (incorporated by reference to Exhibit 10(a)(ii) to the Registrant's Annual Report on Form 10-K for the year 1993).*</w:t>
      </w:r>
    </w:p>
    <w:p>
      <w:pPr>
        <w:spacing w:after="0" w:line="209" w:lineRule="exact"/>
        <w:rPr>
          <w:sz w:val="20"/>
          <w:szCs w:val="20"/>
          <w:color w:val="auto"/>
        </w:rPr>
      </w:pPr>
    </w:p>
    <w:p>
      <w:pPr>
        <w:ind w:left="1360" w:right="219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Texas Instruments 1996 Long-Term Incentive Plan (incorporated by reference to Exhibit 10 to the Registrant's Quarterly Report on Form 10-Q for the quarter ended June 30, 1996).*</w:t>
      </w:r>
    </w:p>
    <w:p>
      <w:pPr>
        <w:spacing w:after="0" w:line="207" w:lineRule="exact"/>
        <w:rPr>
          <w:sz w:val="20"/>
          <w:szCs w:val="20"/>
          <w:color w:val="auto"/>
        </w:rPr>
      </w:pPr>
    </w:p>
    <w:p>
      <w:pPr>
        <w:ind w:left="1360" w:right="303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Texas Instruments 2000 Long-Term Incentive Plan (incorporated by reference to Exhibit 10(e) to the Registrant's Registration Statement on Form S-4 No. 333-41030 filed on July 7, 2000).*</w:t>
      </w:r>
    </w:p>
    <w:p>
      <w:pPr>
        <w:spacing w:after="0" w:line="207" w:lineRule="exact"/>
        <w:rPr>
          <w:sz w:val="20"/>
          <w:szCs w:val="20"/>
          <w:color w:val="auto"/>
        </w:rPr>
      </w:pPr>
    </w:p>
    <w:p>
      <w:pPr>
        <w:ind w:left="1360" w:right="2099" w:hanging="1359"/>
        <w:spacing w:after="0" w:line="279" w:lineRule="auto"/>
        <w:tabs>
          <w:tab w:leader="none" w:pos="1340" w:val="left"/>
        </w:tabs>
        <w:rPr>
          <w:sz w:val="20"/>
          <w:szCs w:val="20"/>
          <w:color w:val="auto"/>
        </w:rPr>
      </w:pPr>
      <w:r>
        <w:rPr>
          <w:rFonts w:ascii="Courier New" w:cs="Courier New" w:eastAsia="Courier New" w:hAnsi="Courier New"/>
          <w:sz w:val="16"/>
          <w:szCs w:val="16"/>
          <w:color w:val="auto"/>
        </w:rPr>
        <w:t>10(f)</w:t>
      </w:r>
      <w:r>
        <w:rPr>
          <w:sz w:val="20"/>
          <w:szCs w:val="20"/>
          <w:color w:val="auto"/>
        </w:rPr>
        <w:tab/>
      </w:r>
      <w:r>
        <w:rPr>
          <w:rFonts w:ascii="Courier New" w:cs="Courier New" w:eastAsia="Courier New" w:hAnsi="Courier New"/>
          <w:sz w:val="16"/>
          <w:szCs w:val="16"/>
          <w:color w:val="auto"/>
        </w:rPr>
        <w:t>Texas Instruments Executive Officer Performance Plan (incorporated by reference to the Registrant's Quarterly Report on Form 10-Q for the quarter ended March 31, 1997).*</w:t>
      </w:r>
    </w:p>
    <w:p>
      <w:pPr>
        <w:spacing w:after="0" w:line="178" w:lineRule="exact"/>
        <w:rPr>
          <w:sz w:val="20"/>
          <w:szCs w:val="20"/>
          <w:color w:val="auto"/>
        </w:rPr>
      </w:pPr>
    </w:p>
    <w:p>
      <w:pPr>
        <w:ind w:left="1360" w:right="219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10(g)</w:t>
      </w:r>
      <w:r>
        <w:rPr>
          <w:sz w:val="20"/>
          <w:szCs w:val="20"/>
          <w:color w:val="auto"/>
        </w:rPr>
        <w:tab/>
      </w:r>
      <w:r>
        <w:rPr>
          <w:rFonts w:ascii="Courier New" w:cs="Courier New" w:eastAsia="Courier New" w:hAnsi="Courier New"/>
          <w:sz w:val="18"/>
          <w:szCs w:val="18"/>
          <w:color w:val="auto"/>
        </w:rPr>
        <w:t>Texas Instruments Restricted Stock Unit Plan for Directors (incorporated by reference to Exhibit 10(e) to the Registrant's Quarterly Report on Form 10-Q for the quarter ended March 31, 1998).</w:t>
      </w:r>
    </w:p>
    <w:p>
      <w:pPr>
        <w:spacing w:after="0" w:line="207" w:lineRule="exact"/>
        <w:rPr>
          <w:sz w:val="20"/>
          <w:szCs w:val="20"/>
          <w:color w:val="auto"/>
        </w:rPr>
      </w:pPr>
    </w:p>
    <w:p>
      <w:pPr>
        <w:ind w:left="1360" w:right="2199" w:hanging="1359"/>
        <w:spacing w:after="0" w:line="237" w:lineRule="auto"/>
        <w:tabs>
          <w:tab w:leader="none" w:pos="1340" w:val="left"/>
        </w:tabs>
        <w:rPr>
          <w:sz w:val="20"/>
          <w:szCs w:val="20"/>
          <w:color w:val="auto"/>
        </w:rPr>
      </w:pPr>
      <w:r>
        <w:rPr>
          <w:rFonts w:ascii="Courier New" w:cs="Courier New" w:eastAsia="Courier New" w:hAnsi="Courier New"/>
          <w:sz w:val="18"/>
          <w:szCs w:val="18"/>
          <w:color w:val="auto"/>
        </w:rPr>
        <w:t>10(h)</w:t>
      </w:r>
      <w:r>
        <w:rPr>
          <w:sz w:val="20"/>
          <w:szCs w:val="20"/>
          <w:color w:val="auto"/>
        </w:rPr>
        <w:tab/>
      </w:r>
      <w:r>
        <w:rPr>
          <w:rFonts w:ascii="Courier New" w:cs="Courier New" w:eastAsia="Courier New" w:hAnsi="Courier New"/>
          <w:sz w:val="18"/>
          <w:szCs w:val="18"/>
          <w:color w:val="auto"/>
        </w:rPr>
        <w:t>Texas Instruments Directors Deferred Compensation Plan (incorporated by reference to Exhibit 10(f) to the Registrant's Quarterly Report on Form 10-Q for the quarter ended March 31, 1998).</w:t>
      </w:r>
    </w:p>
    <w:p>
      <w:pPr>
        <w:spacing w:after="0" w:line="207" w:lineRule="exact"/>
        <w:rPr>
          <w:sz w:val="20"/>
          <w:szCs w:val="20"/>
          <w:color w:val="auto"/>
        </w:rPr>
      </w:pPr>
    </w:p>
    <w:p>
      <w:pPr>
        <w:ind w:left="1360" w:right="2839" w:hanging="1359"/>
        <w:spacing w:after="0" w:line="235" w:lineRule="auto"/>
        <w:tabs>
          <w:tab w:leader="none" w:pos="1340" w:val="left"/>
        </w:tabs>
        <w:rPr>
          <w:sz w:val="20"/>
          <w:szCs w:val="20"/>
          <w:color w:val="auto"/>
        </w:rPr>
      </w:pPr>
      <w:r>
        <w:rPr>
          <w:rFonts w:ascii="Courier New" w:cs="Courier New" w:eastAsia="Courier New" w:hAnsi="Courier New"/>
          <w:sz w:val="18"/>
          <w:szCs w:val="18"/>
          <w:color w:val="auto"/>
        </w:rPr>
        <w:t>10(i)</w:t>
      </w:r>
      <w:r>
        <w:rPr>
          <w:sz w:val="20"/>
          <w:szCs w:val="20"/>
          <w:color w:val="auto"/>
        </w:rPr>
        <w:tab/>
      </w:r>
      <w:r>
        <w:rPr>
          <w:rFonts w:ascii="Courier New" w:cs="Courier New" w:eastAsia="Courier New" w:hAnsi="Courier New"/>
          <w:sz w:val="18"/>
          <w:szCs w:val="18"/>
          <w:color w:val="auto"/>
        </w:rPr>
        <w:t>Texas Instruments Stock Option Plan for Non-Employee Directors.</w:t>
      </w:r>
    </w:p>
    <w:p>
      <w:pPr>
        <w:spacing w:after="0" w:line="203"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79"/>
          </w:cols>
          <w:pgMar w:left="780" w:top="919" w:right="1440" w:bottom="1440" w:gutter="0" w:footer="0" w:header="0"/>
        </w:sectPr>
      </w:pPr>
    </w:p>
    <w:bookmarkStart w:id="16" w:name="page17"/>
    <w:bookmarkEnd w:id="16"/>
    <w:p>
      <w:pPr>
        <w:ind w:left="540"/>
        <w:spacing w:after="0"/>
        <w:tabs>
          <w:tab w:leader="none" w:pos="1880" w:val="left"/>
        </w:tabs>
        <w:rPr>
          <w:sz w:val="20"/>
          <w:szCs w:val="20"/>
          <w:color w:val="auto"/>
        </w:rPr>
      </w:pPr>
      <w:r>
        <w:rPr>
          <w:rFonts w:ascii="Courier New" w:cs="Courier New" w:eastAsia="Courier New" w:hAnsi="Courier New"/>
          <w:sz w:val="18"/>
          <w:szCs w:val="18"/>
          <w:color w:val="auto"/>
        </w:rPr>
        <w:t>10(j)</w:t>
      </w:r>
      <w:r>
        <w:rPr>
          <w:sz w:val="20"/>
          <w:szCs w:val="20"/>
          <w:color w:val="auto"/>
        </w:rPr>
        <w:tab/>
      </w:r>
      <w:r>
        <w:rPr>
          <w:rFonts w:ascii="Courier New" w:cs="Courier New" w:eastAsia="Courier New" w:hAnsi="Courier New"/>
          <w:sz w:val="18"/>
          <w:szCs w:val="18"/>
          <w:color w:val="auto"/>
        </w:rPr>
        <w:t>Acquisition Agreement dated as of June 18, 1998 between</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Texas Instruments Incorporated and Micron Technology, Inc.</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(exhibit C omitted) (incorporated by reference to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Exhibit 2.1 to the Registrant's Current Report on Form 8-K</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dated June 18, 1998).</w:t>
      </w:r>
    </w:p>
    <w:p>
      <w:pPr>
        <w:spacing w:after="0" w:line="207" w:lineRule="exact"/>
        <w:rPr>
          <w:sz w:val="20"/>
          <w:szCs w:val="20"/>
          <w:color w:val="auto"/>
        </w:rPr>
      </w:pPr>
    </w:p>
    <w:p>
      <w:pPr>
        <w:ind w:left="1900" w:right="219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10(k)</w:t>
      </w:r>
      <w:r>
        <w:rPr>
          <w:sz w:val="20"/>
          <w:szCs w:val="20"/>
          <w:color w:val="auto"/>
        </w:rPr>
        <w:tab/>
      </w:r>
      <w:r>
        <w:rPr>
          <w:rFonts w:ascii="Courier New" w:cs="Courier New" w:eastAsia="Courier New" w:hAnsi="Courier New"/>
          <w:sz w:val="18"/>
          <w:szCs w:val="18"/>
          <w:color w:val="auto"/>
        </w:rPr>
        <w:t>Second Amendment to Acquisition Agreement dated as of September 30, 1998 between Texas Instruments Incorporated and Micron Technology, Inc. (incorporated by reference to Exhibit 2.2 to the Registrant's Current Report on Form 8-K dated October 15, 1998).</w:t>
      </w:r>
    </w:p>
    <w:p>
      <w:pPr>
        <w:spacing w:after="0" w:line="209" w:lineRule="exact"/>
        <w:rPr>
          <w:sz w:val="20"/>
          <w:szCs w:val="20"/>
          <w:color w:val="auto"/>
        </w:rPr>
      </w:pPr>
    </w:p>
    <w:p>
      <w:pPr>
        <w:ind w:left="1900" w:right="2319" w:hanging="1359"/>
        <w:spacing w:after="0" w:line="237" w:lineRule="auto"/>
        <w:tabs>
          <w:tab w:leader="none" w:pos="1880" w:val="left"/>
        </w:tabs>
        <w:rPr>
          <w:sz w:val="20"/>
          <w:szCs w:val="20"/>
          <w:color w:val="auto"/>
        </w:rPr>
      </w:pPr>
      <w:r>
        <w:rPr>
          <w:rFonts w:ascii="Courier New" w:cs="Courier New" w:eastAsia="Courier New" w:hAnsi="Courier New"/>
          <w:sz w:val="18"/>
          <w:szCs w:val="18"/>
          <w:color w:val="auto"/>
        </w:rPr>
        <w:t>10(l)</w:t>
      </w:r>
      <w:r>
        <w:rPr>
          <w:sz w:val="20"/>
          <w:szCs w:val="20"/>
          <w:color w:val="auto"/>
        </w:rPr>
        <w:tab/>
      </w:r>
      <w:r>
        <w:rPr>
          <w:rFonts w:ascii="Courier New" w:cs="Courier New" w:eastAsia="Courier New" w:hAnsi="Courier New"/>
          <w:sz w:val="18"/>
          <w:szCs w:val="18"/>
          <w:color w:val="auto"/>
        </w:rPr>
        <w:t>Securities Rights and Restrictions Agreement dated as of September 30, 1998 between Texas Instruments Incorporated and Micron Technology, Inc. (incorporated by reference to Exhibit 10(k) to the Registrant's Annual Report on Form 10-K for the year 1998).</w:t>
      </w:r>
    </w:p>
    <w:p>
      <w:pPr>
        <w:spacing w:after="0" w:line="209" w:lineRule="exact"/>
        <w:rPr>
          <w:sz w:val="20"/>
          <w:szCs w:val="20"/>
          <w:color w:val="auto"/>
        </w:rPr>
      </w:pPr>
    </w:p>
    <w:p>
      <w:pPr>
        <w:ind w:left="1900" w:right="2319" w:hanging="1365"/>
        <w:spacing w:after="0" w:line="23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Earnings Per Common and Dilutive Potential Common Share.</w:t>
      </w:r>
    </w:p>
    <w:p>
      <w:pPr>
        <w:spacing w:after="0" w:line="202" w:lineRule="exact"/>
        <w:rPr>
          <w:rFonts w:ascii="Courier New" w:cs="Courier New" w:eastAsia="Courier New" w:hAnsi="Courier New"/>
          <w:sz w:val="18"/>
          <w:szCs w:val="18"/>
          <w:color w:val="auto"/>
        </w:rPr>
      </w:pPr>
    </w:p>
    <w:p>
      <w:pPr>
        <w:ind w:left="1900" w:hanging="1365"/>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w:t>
      </w:r>
    </w:p>
    <w:p>
      <w:pPr>
        <w:spacing w:after="0" w:line="206" w:lineRule="exact"/>
        <w:rPr>
          <w:rFonts w:ascii="Courier New" w:cs="Courier New" w:eastAsia="Courier New" w:hAnsi="Courier New"/>
          <w:sz w:val="18"/>
          <w:szCs w:val="18"/>
          <w:color w:val="auto"/>
        </w:rPr>
      </w:pPr>
    </w:p>
    <w:p>
      <w:pPr>
        <w:ind w:left="1900" w:right="2099" w:hanging="1365"/>
        <w:spacing w:after="0" w:line="237"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Registrant's Proxy Statement for 2001 Annual Meeting of Stockholders Incorporated by Reference Herein (incorporated by reference to Exhibit B to the Registrant's Proxy Statement for the 2001 Annual Meeting of Stockholders).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List of Subsidiaries of the Registrant.</w:t>
      </w:r>
    </w:p>
    <w:p>
      <w:pPr>
        <w:spacing w:after="0" w:line="201" w:lineRule="exact"/>
        <w:rPr>
          <w:sz w:val="20"/>
          <w:szCs w:val="20"/>
          <w:color w:val="auto"/>
        </w:rPr>
      </w:pPr>
    </w:p>
    <w:p>
      <w:pPr>
        <w:ind w:left="1900" w:hanging="1365"/>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Executive Compensation Plans and Arrangements.</w:t>
      </w:r>
    </w:p>
    <w:p>
      <w:pPr>
        <w:spacing w:after="0" w:line="200" w:lineRule="exact"/>
        <w:rPr>
          <w:sz w:val="20"/>
          <w:szCs w:val="20"/>
          <w:color w:val="auto"/>
        </w:rPr>
      </w:pPr>
    </w:p>
    <w:p>
      <w:pPr>
        <w:spacing w:after="0" w:line="210" w:lineRule="exact"/>
        <w:rPr>
          <w:sz w:val="20"/>
          <w:szCs w:val="20"/>
          <w:color w:val="auto"/>
        </w:rPr>
      </w:pPr>
    </w:p>
    <w:p>
      <w:pPr>
        <w:ind w:right="7679" w:firstLine="8"/>
        <w:spacing w:after="0" w:line="470"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Not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1440" w:gutter="0" w:footer="0" w:header="0"/>
        </w:sectPr>
      </w:pPr>
    </w:p>
    <w:bookmarkStart w:id="17" w:name="page18"/>
    <w:bookmarkEnd w:id="17"/>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38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TI or its management:</w:t>
      </w:r>
    </w:p>
    <w:p>
      <w:pPr>
        <w:spacing w:after="0" w:line="209" w:lineRule="exact"/>
        <w:rPr>
          <w:sz w:val="20"/>
          <w:szCs w:val="20"/>
          <w:color w:val="auto"/>
        </w:rPr>
      </w:pPr>
    </w:p>
    <w:p>
      <w:pPr>
        <w:ind w:left="420" w:right="2739" w:hanging="412"/>
        <w:spacing w:after="0" w:line="236"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Market demand for semiconductors, particularly for digital signal processors and analog integrated circuits in key markets, such as telecommunications and computers.</w:t>
      </w:r>
    </w:p>
    <w:p>
      <w:pPr>
        <w:spacing w:after="0" w:line="208" w:lineRule="exact"/>
        <w:rPr>
          <w:rFonts w:ascii="Courier New" w:cs="Courier New" w:eastAsia="Courier New" w:hAnsi="Courier New"/>
          <w:sz w:val="18"/>
          <w:szCs w:val="18"/>
          <w:color w:val="auto"/>
        </w:rPr>
      </w:pPr>
    </w:p>
    <w:p>
      <w:pPr>
        <w:ind w:left="420" w:right="1999" w:hanging="412"/>
        <w:spacing w:after="0" w:line="235"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420" w:right="3039" w:hanging="412"/>
        <w:spacing w:after="0" w:line="235"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420" w:right="2519" w:hanging="412"/>
        <w:spacing w:after="0" w:line="235"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maintain and enforce a strong intellectual property portfolio and obtain needed licenses from third parties.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Timely completion and successful integration of announced acquisitions.</w:t>
      </w:r>
    </w:p>
    <w:p>
      <w:pPr>
        <w:spacing w:after="0" w:line="223" w:lineRule="exact"/>
        <w:rPr>
          <w:rFonts w:ascii="Courier New" w:cs="Courier New" w:eastAsia="Courier New" w:hAnsi="Courier New"/>
          <w:sz w:val="16"/>
          <w:szCs w:val="16"/>
          <w:color w:val="auto"/>
        </w:rPr>
      </w:pPr>
    </w:p>
    <w:p>
      <w:pPr>
        <w:ind w:left="420" w:right="2199" w:hanging="412"/>
        <w:spacing w:after="0" w:line="236"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Global economic, social and political conditions in the countries in which TI and its customers and suppliers operate, including fluctuations in foreign currency exchange rates.</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20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Losses or curtailments of purchases from key customers or the timing of customer inventory corrections.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TI's ability to recruit and retain skilled personnel.</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Availability of raw materials and critical manufacturing equipment.</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this report. The forward-looking statements included in this report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128" w:right="1440" w:bottom="1440" w:gutter="0" w:footer="0" w:header="0"/>
        </w:sectPr>
      </w:pPr>
    </w:p>
    <w:bookmarkStart w:id="18" w:name="page19"/>
    <w:bookmarkEnd w:id="18"/>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A. Aylesworth</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060"/>
        <w:spacing w:after="0"/>
        <w:rPr>
          <w:sz w:val="20"/>
          <w:szCs w:val="20"/>
          <w:color w:val="auto"/>
        </w:rPr>
      </w:pPr>
      <w:r>
        <w:rPr>
          <w:rFonts w:ascii="Courier New" w:cs="Courier New" w:eastAsia="Courier New" w:hAnsi="Courier New"/>
          <w:sz w:val="18"/>
          <w:szCs w:val="18"/>
          <w:color w:val="auto"/>
        </w:rPr>
        <w:t>Treasurer and Chief</w:t>
      </w:r>
    </w:p>
    <w:p>
      <w:pPr>
        <w:ind w:left="5060"/>
        <w:spacing w:after="0" w:line="237" w:lineRule="auto"/>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27, 2001</w:t>
      </w:r>
    </w:p>
    <w:p>
      <w:pPr>
        <w:spacing w:after="0" w:line="200" w:lineRule="exact"/>
        <w:rPr>
          <w:sz w:val="20"/>
          <w:szCs w:val="20"/>
          <w:color w:val="auto"/>
        </w:rPr>
      </w:pP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indicated on the 27th day of February 2001.</w:t>
      </w:r>
    </w:p>
    <w:p>
      <w:pPr>
        <w:sectPr>
          <w:pgSz w:w="11900" w:h="16838" w:orient="portrait"/>
          <w:cols w:equalWidth="0" w:num="1">
            <w:col w:w="10219"/>
          </w:cols>
          <w:pgMar w:left="240" w:top="919" w:right="1440" w:bottom="1440" w:gutter="0" w:footer="0" w:header="0"/>
        </w:sectPr>
      </w:pP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 JAMES R. ADAMS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R. Adams</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 Director</w:t>
      </w:r>
    </w:p>
    <w:p>
      <w:pPr>
        <w:spacing w:after="0" w:line="40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type w:val="continuous"/>
        </w:sectPr>
      </w:pPr>
    </w:p>
    <w:bookmarkStart w:id="19" w:name="page20"/>
    <w:bookmarkEnd w:id="19"/>
    <w:p>
      <w:pPr>
        <w:ind w:left="420"/>
        <w:spacing w:after="0"/>
        <w:rPr>
          <w:sz w:val="20"/>
          <w:szCs w:val="20"/>
          <w:color w:val="auto"/>
        </w:rPr>
      </w:pPr>
      <w:r>
        <w:rPr>
          <w:rFonts w:ascii="Courier New" w:cs="Courier New" w:eastAsia="Courier New" w:hAnsi="Courier New"/>
          <w:sz w:val="18"/>
          <w:szCs w:val="18"/>
          <w:color w:val="auto"/>
        </w:rPr>
        <w:t>/S/ GERALD W. FRONTERHOUSE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Gerald W. Fronterhouse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sect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spacing w:after="0" w:line="238" w:lineRule="auto"/>
        <w:rPr>
          <w:sz w:val="20"/>
          <w:szCs w:val="20"/>
          <w:color w:val="auto"/>
        </w:rPr>
      </w:pPr>
      <w:r>
        <w:rPr>
          <w:rFonts w:ascii="Courier New" w:cs="Courier New" w:eastAsia="Courier New" w:hAnsi="Courier New"/>
          <w:sz w:val="18"/>
          <w:szCs w:val="18"/>
          <w:color w:val="auto"/>
        </w:rPr>
        <w:t>David R. Goode</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RUTH J. SIMMONS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Ruth J. Simmons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Chief Financial Officer</w:t>
      </w:r>
    </w:p>
    <w:p>
      <w:pPr>
        <w:spacing w:after="0" w:line="419"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 M. SAMUEL SELF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Chief Accounting Officer</w:t>
      </w:r>
    </w:p>
    <w:p>
      <w:pPr>
        <w:spacing w:after="0" w:line="419"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type w:val="continuous"/>
        </w:sectPr>
      </w:pPr>
    </w:p>
    <w:bookmarkStart w:id="20" w:name="page21"/>
    <w:bookmarkEnd w:id="20"/>
    <w:p>
      <w:pPr>
        <w:jc w:val="center"/>
        <w:ind w:right="1879"/>
        <w:spacing w:after="0"/>
        <w:rPr>
          <w:sz w:val="20"/>
          <w:szCs w:val="20"/>
          <w:color w:val="auto"/>
        </w:rPr>
      </w:pPr>
      <w:r>
        <w:rPr>
          <w:rFonts w:ascii="Courier New" w:cs="Courier New" w:eastAsia="Courier New" w:hAnsi="Courier New"/>
          <w:sz w:val="16"/>
          <w:szCs w:val="16"/>
          <w:color w:val="auto"/>
        </w:rPr>
        <w:t>TEXAS INSTRUMENTS INCORPORATED AND SUBSIDIARIES</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INDEX TO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FINANCIAL STATEMENT SCHEDULES</w:t>
      </w:r>
    </w:p>
    <w:p>
      <w:pPr>
        <w:jc w:val="center"/>
        <w:ind w:right="1979"/>
        <w:spacing w:after="0"/>
        <w:rPr>
          <w:sz w:val="20"/>
          <w:szCs w:val="20"/>
          <w:color w:val="auto"/>
        </w:rPr>
      </w:pPr>
      <w:r>
        <w:rPr>
          <w:rFonts w:ascii="Courier New" w:cs="Courier New" w:eastAsia="Courier New" w:hAnsi="Courier New"/>
          <w:sz w:val="18"/>
          <w:szCs w:val="18"/>
          <w:color w:val="auto"/>
        </w:rPr>
        <w:t>(Item 14(a))</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Form 10-K</w:t>
      </w:r>
    </w:p>
    <w:p>
      <w:pPr>
        <w:spacing w:after="0" w:line="2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Reference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Proxy Statement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for the 2001</w:t>
      </w:r>
    </w:p>
    <w:p>
      <w:pPr>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Stockholders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600" w:space="520"/>
            <w:col w:w="409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Information incorporated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Registrant's Proxy Statement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2001 Annual Meeting of Stockholders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Financial Statements:</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Income for each of the three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years in the period ended</w:t>
      </w:r>
    </w:p>
    <w:p>
      <w:pPr>
        <w:ind w:left="1280"/>
        <w:spacing w:after="0" w:line="238" w:lineRule="auto"/>
        <w:rPr>
          <w:sz w:val="20"/>
          <w:szCs w:val="20"/>
          <w:color w:val="auto"/>
        </w:rPr>
      </w:pPr>
      <w:r>
        <w:rPr>
          <w:rFonts w:ascii="Courier New" w:cs="Courier New" w:eastAsia="Courier New" w:hAnsi="Courier New"/>
          <w:sz w:val="18"/>
          <w:szCs w:val="18"/>
          <w:color w:val="auto"/>
        </w:rPr>
        <w:t>December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B-1</w:t>
      </w:r>
    </w:p>
    <w:p>
      <w:pPr>
        <w:spacing w:after="0" w:line="216" w:lineRule="exact"/>
        <w:rPr>
          <w:sz w:val="20"/>
          <w:szCs w:val="20"/>
          <w:color w:val="auto"/>
        </w:rPr>
      </w:pPr>
    </w:p>
    <w:p>
      <w:pPr>
        <w:sectPr>
          <w:pgSz w:w="11900" w:h="16838" w:orient="portrait"/>
          <w:cols w:equalWidth="0" w:num="2">
            <w:col w:w="6240" w:space="720"/>
            <w:col w:w="3259"/>
          </w:cols>
          <w:pgMar w:left="240" w:top="925" w:right="1440"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Balance sheet at December 31,</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2000 and 1999</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B-2</w:t>
      </w:r>
    </w:p>
    <w:p>
      <w:pPr>
        <w:spacing w:after="0" w:line="216" w:lineRule="exact"/>
        <w:rPr>
          <w:sz w:val="20"/>
          <w:szCs w:val="20"/>
          <w:color w:val="auto"/>
        </w:rPr>
      </w:pPr>
    </w:p>
    <w:p>
      <w:pPr>
        <w:sectPr>
          <w:pgSz w:w="11900" w:h="16838" w:orient="portrait"/>
          <w:cols w:equalWidth="0" w:num="2">
            <w:col w:w="6240" w:space="720"/>
            <w:col w:w="3259"/>
          </w:cols>
          <w:pgMar w:left="240" w:top="925" w:right="1440" w:bottom="1440" w:gutter="0" w:footer="0" w:header="0"/>
          <w:type w:val="continuous"/>
        </w:sectPr>
      </w:pP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Cash flows for each of the</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three years in the period</w:t>
      </w:r>
    </w:p>
    <w:p>
      <w:pPr>
        <w:ind w:left="1280"/>
        <w:spacing w:after="0" w:line="238" w:lineRule="auto"/>
        <w:rPr>
          <w:sz w:val="20"/>
          <w:szCs w:val="20"/>
          <w:color w:val="auto"/>
        </w:rPr>
      </w:pPr>
      <w:r>
        <w:rPr>
          <w:rFonts w:ascii="Courier New" w:cs="Courier New" w:eastAsia="Courier New" w:hAnsi="Courier New"/>
          <w:sz w:val="18"/>
          <w:szCs w:val="18"/>
          <w:color w:val="auto"/>
        </w:rPr>
        <w:t>ended December 31, 2000</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B-3</w:t>
      </w:r>
    </w:p>
    <w:p>
      <w:pPr>
        <w:spacing w:after="0" w:line="216" w:lineRule="exact"/>
        <w:rPr>
          <w:sz w:val="20"/>
          <w:szCs w:val="20"/>
          <w:color w:val="auto"/>
        </w:rPr>
      </w:pPr>
    </w:p>
    <w:p>
      <w:pPr>
        <w:sectPr>
          <w:pgSz w:w="11900" w:h="16838" w:orient="portrait"/>
          <w:cols w:equalWidth="0" w:num="2">
            <w:col w:w="6240" w:space="720"/>
            <w:col w:w="3259"/>
          </w:cols>
          <w:pgMar w:left="240" w:top="925" w:right="1440" w:bottom="1440" w:gutter="0" w:footer="0" w:header="0"/>
          <w:type w:val="continuous"/>
        </w:sectPr>
      </w:pP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Stockholders' equity for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each of the three years in the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period ended December 31, 2000</w:t>
      </w:r>
    </w:p>
    <w:p>
      <w:pPr>
        <w:spacing w:after="0" w:line="2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Report of Independent Auditors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B-5 - B-37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B-38</w:t>
      </w:r>
    </w:p>
    <w:p>
      <w:pPr>
        <w:spacing w:after="0" w:line="200" w:lineRule="exact"/>
        <w:rPr>
          <w:sz w:val="20"/>
          <w:szCs w:val="20"/>
          <w:color w:val="auto"/>
        </w:rPr>
      </w:pPr>
    </w:p>
    <w:p>
      <w:pPr>
        <w:sectPr>
          <w:pgSz w:w="11900" w:h="16838" w:orient="portrait"/>
          <w:cols w:equalWidth="0" w:num="2">
            <w:col w:w="6240" w:space="720"/>
            <w:col w:w="325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Schedule for each of the three</w:t>
      </w:r>
    </w:p>
    <w:p>
      <w:pPr>
        <w:spacing w:after="0" w:line="238" w:lineRule="auto"/>
        <w:rPr>
          <w:sz w:val="20"/>
          <w:szCs w:val="20"/>
          <w:color w:val="auto"/>
        </w:rPr>
      </w:pPr>
      <w:r>
        <w:rPr>
          <w:rFonts w:ascii="Courier New" w:cs="Courier New" w:eastAsia="Courier New" w:hAnsi="Courier New"/>
          <w:sz w:val="18"/>
          <w:szCs w:val="18"/>
          <w:color w:val="auto"/>
        </w:rPr>
        <w:t>years in the period ended December 31, 2000:</w:t>
      </w:r>
    </w:p>
    <w:p>
      <w:pPr>
        <w:spacing w:after="0" w:line="202" w:lineRule="exact"/>
        <w:rPr>
          <w:sz w:val="20"/>
          <w:szCs w:val="20"/>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 Losses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type w:val="continuous"/>
        </w:sectPr>
      </w:pPr>
    </w:p>
    <w:bookmarkStart w:id="21" w:name="page22"/>
    <w:bookmarkEnd w:id="21"/>
    <w:p>
      <w:pPr>
        <w:ind w:left="6540"/>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640"/>
        <w:spacing w:after="0" w:line="238" w:lineRule="auto"/>
        <w:rPr>
          <w:sz w:val="20"/>
          <w:szCs w:val="20"/>
          <w:color w:val="auto"/>
        </w:rPr>
      </w:pPr>
      <w:r>
        <w:rPr>
          <w:rFonts w:ascii="Courier New" w:cs="Courier New" w:eastAsia="Courier New" w:hAnsi="Courier New"/>
          <w:sz w:val="18"/>
          <w:szCs w:val="18"/>
          <w:color w:val="auto"/>
        </w:rPr>
        <w:t>ALLOWANCE FOR LOSSES</w:t>
      </w:r>
    </w:p>
    <w:p>
      <w:pPr>
        <w:ind w:left="2440"/>
        <w:spacing w:after="0"/>
        <w:rPr>
          <w:sz w:val="20"/>
          <w:szCs w:val="20"/>
          <w:color w:val="auto"/>
        </w:rPr>
      </w:pPr>
      <w:r>
        <w:rPr>
          <w:rFonts w:ascii="Courier New" w:cs="Courier New" w:eastAsia="Courier New" w:hAnsi="Courier New"/>
          <w:sz w:val="18"/>
          <w:szCs w:val="18"/>
          <w:color w:val="auto"/>
        </w:rPr>
        <w:t>(In Millions of Dollars)</w:t>
      </w:r>
    </w:p>
    <w:p>
      <w:pPr>
        <w:ind w:left="1480"/>
        <w:spacing w:after="0" w:line="237" w:lineRule="auto"/>
        <w:rPr>
          <w:sz w:val="20"/>
          <w:szCs w:val="20"/>
          <w:color w:val="auto"/>
        </w:rPr>
      </w:pPr>
      <w:r>
        <w:rPr>
          <w:rFonts w:ascii="Courier New" w:cs="Courier New" w:eastAsia="Courier New" w:hAnsi="Courier New"/>
          <w:sz w:val="18"/>
          <w:szCs w:val="18"/>
          <w:color w:val="auto"/>
        </w:rPr>
        <w:t>Years Ended December 31, 2000, 1999, 1998</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8"/>
                <w:szCs w:val="18"/>
                <w:color w:val="auto"/>
                <w:w w:val="96"/>
              </w:rPr>
              <w:t>Additions</w:t>
            </w:r>
          </w:p>
        </w:tc>
        <w:tc>
          <w:tcPr>
            <w:tcW w:w="1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Balance at</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Charged to</w:t>
            </w:r>
          </w:p>
        </w:tc>
        <w:tc>
          <w:tcPr>
            <w:tcW w:w="184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Balance</w:t>
            </w:r>
          </w:p>
        </w:tc>
      </w:tr>
      <w:tr>
        <w:trPr>
          <w:trHeight w:val="203"/>
        </w:trPr>
        <w:tc>
          <w:tcPr>
            <w:tcW w:w="96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Beginning</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c>
          <w:tcPr>
            <w:tcW w:w="184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at End</w:t>
            </w:r>
          </w:p>
        </w:tc>
      </w:tr>
      <w:tr>
        <w:trPr>
          <w:trHeight w:val="203"/>
        </w:trPr>
        <w:tc>
          <w:tcPr>
            <w:tcW w:w="96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Year</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Results</w:t>
            </w:r>
          </w:p>
        </w:tc>
        <w:tc>
          <w:tcPr>
            <w:tcW w:w="1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Usage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of Year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w:t>
            </w:r>
          </w:p>
        </w:tc>
        <w:tc>
          <w:tcPr>
            <w:tcW w:w="1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$56</w:t>
            </w:r>
          </w:p>
        </w:tc>
        <w:tc>
          <w:tcPr>
            <w:tcW w:w="1540" w:type="dxa"/>
            <w:vAlign w:val="bottom"/>
          </w:tcPr>
          <w:p>
            <w:pPr>
              <w:ind w:left="1020"/>
              <w:spacing w:after="0" w:line="203" w:lineRule="exact"/>
              <w:rPr>
                <w:sz w:val="20"/>
                <w:szCs w:val="20"/>
                <w:color w:val="auto"/>
              </w:rPr>
            </w:pPr>
            <w:r>
              <w:rPr>
                <w:rFonts w:ascii="Courier New" w:cs="Courier New" w:eastAsia="Courier New" w:hAnsi="Courier New"/>
                <w:sz w:val="18"/>
                <w:szCs w:val="18"/>
                <w:color w:val="auto"/>
              </w:rPr>
              <w:t>$79</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1999</w:t>
            </w:r>
          </w:p>
        </w:tc>
        <w:tc>
          <w:tcPr>
            <w:tcW w:w="1620" w:type="dxa"/>
            <w:vAlign w:val="bottom"/>
          </w:tcPr>
          <w:p>
            <w:pPr>
              <w:ind w:left="420"/>
              <w:spacing w:after="0"/>
              <w:rPr>
                <w:sz w:val="20"/>
                <w:szCs w:val="20"/>
                <w:color w:val="auto"/>
              </w:rPr>
            </w:pPr>
            <w:r>
              <w:rPr>
                <w:rFonts w:ascii="Courier New" w:cs="Courier New" w:eastAsia="Courier New" w:hAnsi="Courier New"/>
                <w:sz w:val="18"/>
                <w:szCs w:val="18"/>
                <w:color w:val="auto"/>
              </w:rPr>
              <w:t>$60</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$83</w:t>
            </w:r>
          </w:p>
        </w:tc>
        <w:tc>
          <w:tcPr>
            <w:tcW w:w="1840" w:type="dxa"/>
            <w:vAlign w:val="bottom"/>
          </w:tcPr>
          <w:p>
            <w:pPr>
              <w:ind w:left="320"/>
              <w:spacing w:after="0"/>
              <w:rPr>
                <w:sz w:val="20"/>
                <w:szCs w:val="20"/>
                <w:color w:val="auto"/>
              </w:rPr>
            </w:pPr>
            <w:r>
              <w:rPr>
                <w:rFonts w:ascii="Courier New" w:cs="Courier New" w:eastAsia="Courier New" w:hAnsi="Courier New"/>
                <w:sz w:val="18"/>
                <w:szCs w:val="18"/>
                <w:color w:val="auto"/>
              </w:rPr>
              <w:t>$(87)</w:t>
            </w:r>
          </w:p>
        </w:tc>
        <w:tc>
          <w:tcPr>
            <w:tcW w:w="1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1998</w:t>
            </w:r>
          </w:p>
        </w:tc>
        <w:tc>
          <w:tcPr>
            <w:tcW w:w="1620" w:type="dxa"/>
            <w:vAlign w:val="bottom"/>
          </w:tcPr>
          <w:p>
            <w:pPr>
              <w:ind w:left="420"/>
              <w:spacing w:after="0"/>
              <w:rPr>
                <w:sz w:val="20"/>
                <w:szCs w:val="20"/>
                <w:color w:val="auto"/>
              </w:rPr>
            </w:pPr>
            <w:r>
              <w:rPr>
                <w:rFonts w:ascii="Courier New" w:cs="Courier New" w:eastAsia="Courier New" w:hAnsi="Courier New"/>
                <w:sz w:val="18"/>
                <w:szCs w:val="18"/>
                <w:color w:val="auto"/>
              </w:rPr>
              <w:t>$63</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$74</w:t>
            </w:r>
          </w:p>
        </w:tc>
        <w:tc>
          <w:tcPr>
            <w:tcW w:w="1840" w:type="dxa"/>
            <w:vAlign w:val="bottom"/>
          </w:tcPr>
          <w:p>
            <w:pPr>
              <w:ind w:left="320"/>
              <w:spacing w:after="0"/>
              <w:rPr>
                <w:sz w:val="20"/>
                <w:szCs w:val="20"/>
                <w:color w:val="auto"/>
              </w:rPr>
            </w:pPr>
            <w:r>
              <w:rPr>
                <w:rFonts w:ascii="Courier New" w:cs="Courier New" w:eastAsia="Courier New" w:hAnsi="Courier New"/>
                <w:sz w:val="18"/>
                <w:szCs w:val="18"/>
                <w:color w:val="auto"/>
              </w:rPr>
              <w:t>$(77)</w:t>
            </w:r>
          </w:p>
        </w:tc>
        <w:tc>
          <w:tcPr>
            <w:tcW w:w="1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8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Allowances for losses from uncollectible accounts, returns, etc., are deducted from accounts receivable in the balance sheet.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 of</w:t>
      </w:r>
    </w:p>
    <w:p>
      <w:pPr>
        <w:spacing w:after="0" w:line="238" w:lineRule="auto"/>
        <w:rPr>
          <w:sz w:val="20"/>
          <w:szCs w:val="20"/>
          <w:color w:val="auto"/>
        </w:rPr>
      </w:pPr>
      <w:r>
        <w:rPr>
          <w:rFonts w:ascii="Courier New" w:cs="Courier New" w:eastAsia="Courier New" w:hAnsi="Courier New"/>
          <w:sz w:val="18"/>
          <w:szCs w:val="18"/>
          <w:color w:val="auto"/>
        </w:rPr>
        <w:t>Exhibit in</w:t>
      </w:r>
    </w:p>
    <w:p>
      <w:pPr>
        <w:spacing w:after="0"/>
        <w:tabs>
          <w:tab w:leader="none" w:pos="1980" w:val="left"/>
        </w:tabs>
        <w:rPr>
          <w:sz w:val="20"/>
          <w:szCs w:val="20"/>
          <w:color w:val="auto"/>
        </w:rPr>
      </w:pPr>
      <w:r>
        <w:rPr>
          <w:rFonts w:ascii="Courier New" w:cs="Courier New" w:eastAsia="Courier New" w:hAnsi="Courier New"/>
          <w:sz w:val="18"/>
          <w:szCs w:val="18"/>
          <w:color w:val="auto"/>
        </w:rPr>
        <w:t>this Report</w:t>
      </w:r>
      <w:r>
        <w:rPr>
          <w:sz w:val="20"/>
          <w:szCs w:val="20"/>
          <w:color w:val="auto"/>
        </w:rPr>
        <w:tab/>
      </w:r>
      <w:r>
        <w:rPr>
          <w:rFonts w:ascii="Courier New" w:cs="Courier New" w:eastAsia="Courier New" w:hAnsi="Courier New"/>
          <w:sz w:val="16"/>
          <w:szCs w:val="16"/>
          <w:color w:val="auto"/>
        </w:rPr>
        <w:t>Description of Exhibit</w:t>
      </w:r>
    </w:p>
    <w:p>
      <w:pPr>
        <w:spacing w:after="0"/>
        <w:tabs>
          <w:tab w:leader="none" w:pos="22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10" w:lineRule="exact"/>
        <w:rPr>
          <w:sz w:val="20"/>
          <w:szCs w:val="20"/>
          <w:color w:val="auto"/>
        </w:rPr>
      </w:pPr>
    </w:p>
    <w:p>
      <w:pPr>
        <w:ind w:left="1280" w:hanging="1272"/>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21, 2000, by and among the Registrant, Burr-Brown Corporation and Burma Acquisition Corp. (disclosure schedules omitted; Registrant agrees to provide the Commission, upon request, copies of such schedules) (incorporated by reference to Texas Instruments Tucson Corporation's Current Report on Form 8-K dated June 22, 2000).</w:t>
      </w:r>
    </w:p>
    <w:p>
      <w:pPr>
        <w:spacing w:after="0" w:line="212" w:lineRule="exact"/>
        <w:rPr>
          <w:sz w:val="20"/>
          <w:szCs w:val="20"/>
          <w:color w:val="auto"/>
        </w:rPr>
      </w:pPr>
    </w:p>
    <w:p>
      <w:pPr>
        <w:ind w:left="1280" w:right="5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3(a)</w:t>
      </w:r>
      <w:r>
        <w:rPr>
          <w:sz w:val="20"/>
          <w:szCs w:val="20"/>
          <w:color w:val="auto"/>
        </w:rPr>
        <w:tab/>
      </w:r>
      <w:r>
        <w:rPr>
          <w:rFonts w:ascii="Courier New" w:cs="Courier New" w:eastAsia="Courier New" w:hAnsi="Courier New"/>
          <w:sz w:val="18"/>
          <w:szCs w:val="18"/>
          <w:color w:val="auto"/>
        </w:rPr>
        <w:t>Restated Certificate of Incorporation of the Registrant (incorporated by reference to Exhibit 3(a) to the Registrant's Annual Report on Form 10-K for the year 1993).</w:t>
      </w:r>
    </w:p>
    <w:p>
      <w:pPr>
        <w:spacing w:after="0" w:line="207" w:lineRule="exact"/>
        <w:rPr>
          <w:sz w:val="20"/>
          <w:szCs w:val="20"/>
          <w:color w:val="auto"/>
        </w:rPr>
      </w:pPr>
    </w:p>
    <w:p>
      <w:pPr>
        <w:ind w:left="1280" w:right="3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3(b) to the Registrant's Annual Report on Form 10-K for the year 1993).</w:t>
      </w:r>
    </w:p>
    <w:p>
      <w:pPr>
        <w:spacing w:after="0" w:line="209" w:lineRule="exact"/>
        <w:rPr>
          <w:sz w:val="20"/>
          <w:szCs w:val="20"/>
          <w:color w:val="auto"/>
        </w:rPr>
      </w:pPr>
    </w:p>
    <w:p>
      <w:pPr>
        <w:ind w:left="1280" w:right="3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3(c)</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3(c) to the Registrant's Annual Report on Form 10-K for the year 1993).</w:t>
      </w:r>
    </w:p>
    <w:p>
      <w:pPr>
        <w:spacing w:after="0" w:line="209" w:lineRule="exact"/>
        <w:rPr>
          <w:sz w:val="20"/>
          <w:szCs w:val="20"/>
          <w:color w:val="auto"/>
        </w:rPr>
      </w:pPr>
    </w:p>
    <w:p>
      <w:pPr>
        <w:ind w:left="1280" w:right="3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3(d)</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 to the Registrant's Quarterly Report on Form 10-Q for the quarter ended June 30, 1996).</w:t>
      </w:r>
    </w:p>
    <w:p>
      <w:pPr>
        <w:spacing w:after="0" w:line="209" w:lineRule="exact"/>
        <w:rPr>
          <w:sz w:val="20"/>
          <w:szCs w:val="20"/>
          <w:color w:val="auto"/>
        </w:rPr>
      </w:pPr>
    </w:p>
    <w:p>
      <w:pPr>
        <w:ind w:left="1280" w:right="5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Registrant(incorporated by reference to Exhibit 3(e) to the Registrant's Annual Report on Form 10-K for the year 1993)</w:t>
      </w:r>
    </w:p>
    <w:p>
      <w:pPr>
        <w:spacing w:after="0" w:line="209" w:lineRule="exact"/>
        <w:rPr>
          <w:sz w:val="20"/>
          <w:szCs w:val="20"/>
          <w:color w:val="auto"/>
        </w:rPr>
      </w:pPr>
    </w:p>
    <w:p>
      <w:pPr>
        <w:ind w:left="1280" w:right="520" w:hanging="1279"/>
        <w:spacing w:after="0" w:line="275" w:lineRule="auto"/>
        <w:tabs>
          <w:tab w:leader="none" w:pos="1260" w:val="left"/>
        </w:tabs>
        <w:rPr>
          <w:sz w:val="20"/>
          <w:szCs w:val="20"/>
          <w:color w:val="auto"/>
        </w:rPr>
      </w:pPr>
      <w:r>
        <w:rPr>
          <w:rFonts w:ascii="Courier New" w:cs="Courier New" w:eastAsia="Courier New" w:hAnsi="Courier New"/>
          <w:sz w:val="16"/>
          <w:szCs w:val="16"/>
          <w:color w:val="auto"/>
        </w:rPr>
        <w:t>3(f)</w:t>
      </w:r>
      <w:r>
        <w:rPr>
          <w:sz w:val="20"/>
          <w:szCs w:val="20"/>
          <w:color w:val="auto"/>
        </w:rPr>
        <w:tab/>
      </w:r>
      <w:r>
        <w:rPr>
          <w:rFonts w:ascii="Courier New" w:cs="Courier New" w:eastAsia="Courier New" w:hAnsi="Courier New"/>
          <w:sz w:val="16"/>
          <w:szCs w:val="16"/>
          <w:color w:val="auto"/>
        </w:rPr>
        <w:t>Certificate of Elimination of Designations of Stock of the Registrant (incorporated by reference to Exhibit 3(f) to the Registrant's Annual Report on Form 10-K for the year 1993).</w:t>
      </w:r>
    </w:p>
    <w:p>
      <w:pPr>
        <w:spacing w:after="0" w:line="182" w:lineRule="exact"/>
        <w:rPr>
          <w:sz w:val="20"/>
          <w:szCs w:val="20"/>
          <w:color w:val="auto"/>
        </w:rPr>
      </w:pPr>
    </w:p>
    <w:p>
      <w:pPr>
        <w:ind w:left="1280" w:right="6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3(g)</w:t>
      </w:r>
      <w:r>
        <w:rPr>
          <w:sz w:val="20"/>
          <w:szCs w:val="20"/>
          <w:color w:val="auto"/>
        </w:rPr>
        <w:tab/>
      </w:r>
      <w:r>
        <w:rPr>
          <w:rFonts w:ascii="Courier New" w:cs="Courier New" w:eastAsia="Courier New" w:hAnsi="Courier New"/>
          <w:sz w:val="18"/>
          <w:szCs w:val="18"/>
          <w:color w:val="auto"/>
        </w:rPr>
        <w:t>Certificate of Ownership and Merger Merging Tiburon Systems, Inc. into the Registrant (incorporated by reference to Exhibit 4(g) to the Registrant's Registration Statement</w:t>
      </w:r>
    </w:p>
    <w:p>
      <w:pPr>
        <w:ind w:left="1280"/>
        <w:spacing w:after="0"/>
        <w:rPr>
          <w:sz w:val="20"/>
          <w:szCs w:val="20"/>
          <w:color w:val="auto"/>
        </w:rPr>
      </w:pPr>
      <w:r>
        <w:rPr>
          <w:rFonts w:ascii="Courier New" w:cs="Courier New" w:eastAsia="Courier New" w:hAnsi="Courier New"/>
          <w:sz w:val="18"/>
          <w:szCs w:val="18"/>
          <w:color w:val="auto"/>
        </w:rPr>
        <w:t>No. 333-41919 on Form S-8).</w:t>
      </w:r>
    </w:p>
    <w:p>
      <w:pPr>
        <w:spacing w:after="0" w:line="206" w:lineRule="exact"/>
        <w:rPr>
          <w:sz w:val="20"/>
          <w:szCs w:val="20"/>
          <w:color w:val="auto"/>
        </w:rPr>
      </w:pPr>
    </w:p>
    <w:p>
      <w:pPr>
        <w:ind w:left="1280" w:right="520" w:hanging="1279"/>
        <w:spacing w:after="0" w:line="237" w:lineRule="auto"/>
        <w:tabs>
          <w:tab w:leader="none" w:pos="1260" w:val="left"/>
        </w:tabs>
        <w:rPr>
          <w:sz w:val="20"/>
          <w:szCs w:val="20"/>
          <w:color w:val="auto"/>
        </w:rPr>
      </w:pPr>
      <w:r>
        <w:rPr>
          <w:rFonts w:ascii="Courier New" w:cs="Courier New" w:eastAsia="Courier New" w:hAnsi="Courier New"/>
          <w:sz w:val="18"/>
          <w:szCs w:val="18"/>
          <w:color w:val="auto"/>
        </w:rPr>
        <w:t>3(h)</w:t>
      </w:r>
      <w:r>
        <w:rPr>
          <w:sz w:val="20"/>
          <w:szCs w:val="20"/>
          <w:color w:val="auto"/>
        </w:rPr>
        <w:tab/>
      </w:r>
      <w:r>
        <w:rPr>
          <w:rFonts w:ascii="Courier New" w:cs="Courier New" w:eastAsia="Courier New" w:hAnsi="Courier New"/>
          <w:sz w:val="18"/>
          <w:szCs w:val="18"/>
          <w:color w:val="auto"/>
        </w:rPr>
        <w:t>Certificate of Ownership and Merger Merging Tartan, Inc. into the Registrant (incorporated by reference to Exhibit 4(h) to the Registrant's Registration Statement</w:t>
      </w:r>
    </w:p>
    <w:p>
      <w:pPr>
        <w:ind w:left="1280"/>
        <w:spacing w:after="0"/>
        <w:rPr>
          <w:sz w:val="20"/>
          <w:szCs w:val="20"/>
          <w:color w:val="auto"/>
        </w:rPr>
      </w:pPr>
      <w:r>
        <w:rPr>
          <w:rFonts w:ascii="Courier New" w:cs="Courier New" w:eastAsia="Courier New" w:hAnsi="Courier New"/>
          <w:sz w:val="18"/>
          <w:szCs w:val="18"/>
          <w:color w:val="auto"/>
        </w:rPr>
        <w:t>No. 333-41919 on Form S-8).</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w:t>
      </w:r>
    </w:p>
    <w:p>
      <w:pPr>
        <w:spacing w:after="0" w:line="238" w:lineRule="auto"/>
        <w:rPr>
          <w:sz w:val="20"/>
          <w:szCs w:val="20"/>
          <w:color w:val="auto"/>
        </w:rPr>
      </w:pPr>
      <w:r>
        <w:rPr>
          <w:rFonts w:ascii="Courier New" w:cs="Courier New" w:eastAsia="Courier New" w:hAnsi="Courier New"/>
          <w:sz w:val="18"/>
          <w:szCs w:val="18"/>
          <w:color w:val="auto"/>
        </w:rPr>
        <w:t>or Paper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2">
            <w:col w:w="6640" w:space="420"/>
            <w:col w:w="3159"/>
          </w:cols>
          <w:pgMar w:left="240" w:top="13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3(i)</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Designation relating to the</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Registrant's Participating Cumulative Preferred</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Stock (incorporated by reference to</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Exhibit 4(a) to the Registrant's Quarterly</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Report on Form 10-Q for the quarter ended</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September 30, 1998).</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3(j)</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Elimination of Designation of</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Preferred Stock of the Registrant (incorporated</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by reference to Exhibit 3(j) to the</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Registrant's Annual Report on Form 10-K for the</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year 1998).</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3(k)</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Intersect Technologies, Inc. into the</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Registrant (incorporated by reference to</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Exhibit 3(k) to the Registrant's Annual Report</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on Form 10-K for the year 1999).</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3(l)</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Soft Warehouse, Inc. into the Registrant</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(incorporated by reference to Exhibit 3(l) to</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Registrant's Annual Report on Form 10-K for</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year 1998).</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3(m)</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Ownership and Merger Merging</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Silicon Systems, Inc. into the Registrant</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(incorporated by reference to Exhibit 3(m) to</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Registrant's Annual Report on Form 10-K for</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year 1998).</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3(n)</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Certificate of Amendment to Restated Certificate of</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Incorporation (incorporated by reference to</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Exhibit 3(n) to the Registrant's Registration</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Statement on Form S-4 No. 333-41030 filed on</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July 7, 2000).</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3(o)</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By-Laws of the Registrant (incorporated by</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reference to Exhibit 3(n) to the Registrant's</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Annual Report on Form 10-K for the year 1999).</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4(a)(i)</w:t>
            </w:r>
          </w:p>
        </w:tc>
        <w:tc>
          <w:tcPr>
            <w:tcW w:w="6020" w:type="dxa"/>
            <w:vAlign w:val="bottom"/>
          </w:tcPr>
          <w:p>
            <w:pPr>
              <w:ind w:left="280"/>
              <w:spacing w:after="0"/>
              <w:rPr>
                <w:sz w:val="20"/>
                <w:szCs w:val="20"/>
                <w:color w:val="auto"/>
              </w:rPr>
            </w:pPr>
            <w:r>
              <w:rPr>
                <w:rFonts w:ascii="Courier New" w:cs="Courier New" w:eastAsia="Courier New" w:hAnsi="Courier New"/>
                <w:sz w:val="18"/>
                <w:szCs w:val="18"/>
                <w:color w:val="auto"/>
              </w:rPr>
              <w:t>Rights Agreement dated as of June 18, 1998</w:t>
            </w:r>
          </w:p>
        </w:tc>
        <w:tc>
          <w:tcPr>
            <w:tcW w:w="460" w:type="dxa"/>
            <w:vAlign w:val="bottom"/>
          </w:tcPr>
          <w:p>
            <w:pPr>
              <w:ind w:left="36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between the Registrant and Harris Trust and</w:t>
            </w:r>
          </w:p>
        </w:tc>
        <w:tc>
          <w:tcPr>
            <w:tcW w:w="46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0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Savings Bank as Rights Agent, which includes as</w:t>
            </w:r>
          </w:p>
        </w:tc>
        <w:tc>
          <w:tcPr>
            <w:tcW w:w="460" w:type="dxa"/>
            <w:vAlign w:val="bottom"/>
          </w:tcPr>
          <w:p>
            <w:pPr>
              <w:spacing w:after="0"/>
              <w:rPr>
                <w:sz w:val="17"/>
                <w:szCs w:val="17"/>
                <w:color w:val="auto"/>
              </w:rPr>
            </w:pPr>
          </w:p>
        </w:tc>
      </w:tr>
    </w:tbl>
    <w:p>
      <w:pPr>
        <w:ind w:left="1280"/>
        <w:spacing w:after="0" w:line="238" w:lineRule="auto"/>
        <w:rPr>
          <w:sz w:val="20"/>
          <w:szCs w:val="20"/>
          <w:color w:val="auto"/>
        </w:rPr>
      </w:pPr>
      <w:r>
        <w:rPr>
          <w:rFonts w:ascii="Courier New" w:cs="Courier New" w:eastAsia="Courier New" w:hAnsi="Courier New"/>
          <w:sz w:val="18"/>
          <w:szCs w:val="18"/>
          <w:color w:val="auto"/>
        </w:rPr>
        <w:t>Exhibit B the form of Rights Certificate</w:t>
      </w:r>
    </w:p>
    <w:p>
      <w:pPr>
        <w:ind w:left="1280"/>
        <w:spacing w:after="0"/>
        <w:rPr>
          <w:sz w:val="20"/>
          <w:szCs w:val="20"/>
          <w:color w:val="auto"/>
        </w:rPr>
      </w:pPr>
      <w:r>
        <w:rPr>
          <w:rFonts w:ascii="Courier New" w:cs="Courier New" w:eastAsia="Courier New" w:hAnsi="Courier New"/>
          <w:sz w:val="18"/>
          <w:szCs w:val="18"/>
          <w:color w:val="auto"/>
        </w:rPr>
        <w:t>(incorporated by reference to Exhibit 1 to the</w:t>
      </w:r>
    </w:p>
    <w:p>
      <w:pPr>
        <w:ind w:left="1280"/>
        <w:spacing w:after="0" w:line="237" w:lineRule="auto"/>
        <w:rPr>
          <w:sz w:val="20"/>
          <w:szCs w:val="20"/>
          <w:color w:val="auto"/>
        </w:rPr>
      </w:pPr>
      <w:r>
        <w:rPr>
          <w:rFonts w:ascii="Courier New" w:cs="Courier New" w:eastAsia="Courier New" w:hAnsi="Courier New"/>
          <w:sz w:val="18"/>
          <w:szCs w:val="18"/>
          <w:color w:val="auto"/>
        </w:rPr>
        <w:t>Registrant's Registration Statement on Form 8-A</w:t>
      </w:r>
    </w:p>
    <w:p>
      <w:pPr>
        <w:ind w:left="1280"/>
        <w:spacing w:after="0" w:line="238" w:lineRule="auto"/>
        <w:rPr>
          <w:sz w:val="20"/>
          <w:szCs w:val="20"/>
          <w:color w:val="auto"/>
        </w:rPr>
      </w:pPr>
      <w:r>
        <w:rPr>
          <w:rFonts w:ascii="Courier New" w:cs="Courier New" w:eastAsia="Courier New" w:hAnsi="Courier New"/>
          <w:sz w:val="18"/>
          <w:szCs w:val="18"/>
          <w:color w:val="auto"/>
        </w:rPr>
        <w:t>dated June 23, 1998).</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4(a)(ii)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Amendment dated as of September 18, 1998 to the</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Rights Agreement (incorporated by reference to</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2 to the Registrant's Amendment No. 1</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Registration Statement on Form 8-A dated</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September 23, 1998).</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The Registrant agrees to provide the</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Commission, upon request, copies of instruments</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defining the rights of holders of long-term</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 of the Registrant and its subsidiaries.</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10(a)(i)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Amended and Restated TI Deferred Compensation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10(a)(i)</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the year 1999).*</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10(a)(ii)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First Amendment to Restated TI Deferred</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 (incorporated by reference to</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10(a)(ii) to the Registrant's Annual</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 on Form 10-K for the year 1999).*</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10(a)(iii)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Second Amendment to Restated TI Deferred</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 (incorporated by reference to</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Exhibit 10(a)(iii) to the Registrant's Annual</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 on Form 10-K for the year 1999).*</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10(a)(iv)</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Third Amendment to Restated TI Deferred</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Compensation Plan.*</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10(b)(i)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TI Employees Supplemental Pension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10(b)(i)</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the year 1999).*</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10(b)(ii)</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First Amendment to TI Supplemental Pension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10(b)(ii)</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the year 1999).*</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10(c)</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Texas Instruments Long-Term Incentive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10(a)(ii)</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the Registrant's Annual Report on Form 10-K</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 the year 1993).*</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10(d)</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Texas Instruments 1996 Long-Term Incentive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 to the</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quarter ended June 30, 1996).*</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10(e)</w:t>
            </w:r>
          </w:p>
        </w:tc>
        <w:tc>
          <w:tcPr>
            <w:tcW w:w="5800" w:type="dxa"/>
            <w:vAlign w:val="bottom"/>
          </w:tcPr>
          <w:p>
            <w:pPr>
              <w:ind w:left="120"/>
              <w:spacing w:after="0"/>
              <w:rPr>
                <w:sz w:val="20"/>
                <w:szCs w:val="20"/>
                <w:color w:val="auto"/>
              </w:rPr>
            </w:pPr>
            <w:r>
              <w:rPr>
                <w:rFonts w:ascii="Courier New" w:cs="Courier New" w:eastAsia="Courier New" w:hAnsi="Courier New"/>
                <w:sz w:val="18"/>
                <w:szCs w:val="18"/>
                <w:color w:val="auto"/>
              </w:rPr>
              <w:t>Texas Instruments 2000 Long-Term Incentive Plan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(incorporated by reference to Exhibit 10(e) to the</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Registrant's Registration Statement on Form S-4</w:t>
            </w:r>
          </w:p>
        </w:tc>
        <w:tc>
          <w:tcPr>
            <w:tcW w:w="52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5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 333-41030 filed on July 7, 2000).*</w:t>
            </w:r>
          </w:p>
        </w:tc>
        <w:tc>
          <w:tcPr>
            <w:tcW w:w="52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800" w:type="dxa"/>
            <w:vAlign w:val="bottom"/>
          </w:tcPr>
          <w:p>
            <w:pPr>
              <w:ind w:left="3160"/>
              <w:spacing w:after="0"/>
              <w:rPr>
                <w:sz w:val="20"/>
                <w:szCs w:val="20"/>
                <w:color w:val="auto"/>
              </w:rPr>
            </w:pPr>
            <w:r>
              <w:rPr>
                <w:rFonts w:ascii="Courier New" w:cs="Courier New" w:eastAsia="Courier New" w:hAnsi="Courier New"/>
                <w:sz w:val="18"/>
                <w:szCs w:val="18"/>
                <w:color w:val="auto"/>
              </w:rPr>
              <w:t>25</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10(f)</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Texas Instruments Executive Officer Performance</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Plan (incorporated by reference to the</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Registrant's Quarterly Report on Form 10-Q for</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 quarter ended March 31, 1997).*</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Texas Instruments Restricted Stock Unit Plan for</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Directors (incorporated by reference to Exhibit</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10(e) to the Registrant's Quarterly Report on</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Form 10-Q for the quarter ended March 31, 1998).</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Texas Instruments Directors Deferred Compensation</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Plan (incorporated by reference to Exhibit</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10(f) to the Registrant's Quarterly Report on</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Form 10-Q for the quarter ended March 31,</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1998).</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Texas Instruments Stock Option Plan for</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Non-Employee Directors.</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10(j)</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Acquisition Agreement dated as of June 18, 1998</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between Texas Instruments Incorporated and</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Micron Technology, Inc. (exhibit C omitted)</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(incorporated by reference to Exhibit 2.1 to</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 Registrant's Current Report on Form 8-K</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dated June 18, 1998).</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10(k)</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Second Amendment to Acquisition Agreement dated as</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 September 30, 1998 between Texas Instruments</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Incorporated and Micron Technology, Inc.</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(incorporated by reference to Exhibit 2.2 to</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the Registrant's Current Report on Form 8-K</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dated October 15, 1998).</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10(l)</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Securities Rights and Restrictions Agreement dated</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as of September 30, 1998 between Texas</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Instruments Incorporated and Micron Technology,</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Inc. (incorporated by reference to Exhibit</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10(k) to the Registrant's Annual Report on Form</w:t>
            </w:r>
          </w:p>
        </w:tc>
        <w:tc>
          <w:tcPr>
            <w:tcW w:w="5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10-K for the year 1998).</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Computation of Earnings Per Common and Dilutive</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900" w:type="dxa"/>
            <w:vAlign w:val="bottom"/>
          </w:tcPr>
          <w:p>
            <w:pPr>
              <w:spacing w:after="0"/>
              <w:rPr>
                <w:sz w:val="17"/>
                <w:szCs w:val="17"/>
                <w:color w:val="auto"/>
              </w:rPr>
            </w:pPr>
          </w:p>
        </w:tc>
        <w:tc>
          <w:tcPr>
            <w:tcW w:w="6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Potential Common Share.</w:t>
            </w:r>
          </w:p>
        </w:tc>
        <w:tc>
          <w:tcPr>
            <w:tcW w:w="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Computation of Ratio of Earnings to Fixed Charges.</w:t>
            </w:r>
          </w:p>
        </w:tc>
        <w:tc>
          <w:tcPr>
            <w:tcW w:w="520" w:type="dxa"/>
            <w:vAlign w:val="bottom"/>
          </w:tcPr>
          <w:p>
            <w:pPr>
              <w:ind w:left="420"/>
              <w:spacing w:after="0"/>
              <w:rPr>
                <w:sz w:val="20"/>
                <w:szCs w:val="20"/>
                <w:color w:val="auto"/>
              </w:rPr>
            </w:pPr>
            <w:r>
              <w:rPr>
                <w:rFonts w:ascii="Courier New" w:cs="Courier New" w:eastAsia="Courier New" w:hAnsi="Courier New"/>
                <w:sz w:val="18"/>
                <w:szCs w:val="18"/>
                <w:color w:val="auto"/>
                <w:w w:val="73"/>
              </w:rPr>
              <w:t>E</w:t>
            </w:r>
          </w:p>
        </w:tc>
      </w:tr>
      <w:tr>
        <w:trPr>
          <w:trHeight w:val="608"/>
        </w:trPr>
        <w:tc>
          <w:tcPr>
            <w:tcW w:w="900" w:type="dxa"/>
            <w:vAlign w:val="bottom"/>
          </w:tcPr>
          <w:p>
            <w:pPr>
              <w:spacing w:after="0"/>
              <w:rPr>
                <w:sz w:val="24"/>
                <w:szCs w:val="24"/>
                <w:color w:val="auto"/>
              </w:rPr>
            </w:pPr>
          </w:p>
        </w:tc>
        <w:tc>
          <w:tcPr>
            <w:tcW w:w="6060" w:type="dxa"/>
            <w:vAlign w:val="bottom"/>
          </w:tcPr>
          <w:p>
            <w:pPr>
              <w:ind w:left="3420"/>
              <w:spacing w:after="0"/>
              <w:rPr>
                <w:sz w:val="20"/>
                <w:szCs w:val="20"/>
                <w:color w:val="auto"/>
              </w:rPr>
            </w:pPr>
            <w:r>
              <w:rPr>
                <w:rFonts w:ascii="Courier New" w:cs="Courier New" w:eastAsia="Courier New" w:hAnsi="Courier New"/>
                <w:sz w:val="18"/>
                <w:szCs w:val="18"/>
                <w:color w:val="auto"/>
              </w:rPr>
              <w:t>26</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6120" w:type="dxa"/>
            <w:vAlign w:val="bottom"/>
          </w:tcPr>
          <w:p>
            <w:pPr>
              <w:ind w:left="540"/>
              <w:spacing w:after="0"/>
              <w:rPr>
                <w:sz w:val="20"/>
                <w:szCs w:val="20"/>
                <w:color w:val="auto"/>
              </w:rPr>
            </w:pPr>
            <w:r>
              <w:rPr>
                <w:rFonts w:ascii="Courier New" w:cs="Courier New" w:eastAsia="Courier New" w:hAnsi="Courier New"/>
                <w:sz w:val="18"/>
                <w:szCs w:val="18"/>
                <w:color w:val="auto"/>
              </w:rPr>
              <w:t>Portions of Registrant's Proxy Statement for the</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E</w:t>
            </w:r>
          </w:p>
        </w:tc>
      </w:tr>
      <w:tr>
        <w:trPr>
          <w:trHeight w:val="203"/>
        </w:trPr>
        <w:tc>
          <w:tcPr>
            <w:tcW w:w="7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2001 Annual Meeting of Stockholders</w:t>
            </w:r>
          </w:p>
        </w:tc>
        <w:tc>
          <w:tcPr>
            <w:tcW w:w="6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Incorporated by Reference Herein (incorporated</w:t>
            </w:r>
          </w:p>
        </w:tc>
        <w:tc>
          <w:tcPr>
            <w:tcW w:w="6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by reference to Exhibit B to the Registrant's</w:t>
            </w:r>
          </w:p>
        </w:tc>
        <w:tc>
          <w:tcPr>
            <w:tcW w:w="6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Proxy Statement for the 2001 Annual Meeting of</w:t>
            </w:r>
          </w:p>
        </w:tc>
        <w:tc>
          <w:tcPr>
            <w:tcW w:w="62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6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Stockholders).</w:t>
            </w:r>
          </w:p>
        </w:tc>
        <w:tc>
          <w:tcPr>
            <w:tcW w:w="62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120" w:type="dxa"/>
            <w:vAlign w:val="bottom"/>
          </w:tcPr>
          <w:p>
            <w:pPr>
              <w:ind w:left="540"/>
              <w:spacing w:after="0"/>
              <w:rPr>
                <w:sz w:val="20"/>
                <w:szCs w:val="20"/>
                <w:color w:val="auto"/>
              </w:rPr>
            </w:pPr>
            <w:r>
              <w:rPr>
                <w:rFonts w:ascii="Courier New" w:cs="Courier New" w:eastAsia="Courier New" w:hAnsi="Courier New"/>
                <w:sz w:val="18"/>
                <w:szCs w:val="18"/>
                <w:color w:val="auto"/>
              </w:rPr>
              <w:t>List of Subsidiaries of the Registrant.</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E</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6120" w:type="dxa"/>
            <w:vAlign w:val="bottom"/>
          </w:tcPr>
          <w:p>
            <w:pPr>
              <w:ind w:left="540"/>
              <w:spacing w:after="0"/>
              <w:rPr>
                <w:sz w:val="20"/>
                <w:szCs w:val="20"/>
                <w:color w:val="auto"/>
              </w:rPr>
            </w:pPr>
            <w:r>
              <w:rPr>
                <w:rFonts w:ascii="Courier New" w:cs="Courier New" w:eastAsia="Courier New" w:hAnsi="Courier New"/>
                <w:sz w:val="18"/>
                <w:szCs w:val="18"/>
                <w:color w:val="auto"/>
              </w:rPr>
              <w:t>Consent of Ernst &amp; Young LLP.</w:t>
            </w:r>
          </w:p>
        </w:tc>
        <w:tc>
          <w:tcPr>
            <w:tcW w:w="620" w:type="dxa"/>
            <w:vAlign w:val="bottom"/>
          </w:tcPr>
          <w:p>
            <w:pPr>
              <w:ind w:left="520"/>
              <w:spacing w:after="0"/>
              <w:rPr>
                <w:sz w:val="20"/>
                <w:szCs w:val="20"/>
                <w:color w:val="auto"/>
              </w:rPr>
            </w:pPr>
            <w:r>
              <w:rPr>
                <w:rFonts w:ascii="Courier New" w:cs="Courier New" w:eastAsia="Courier New" w:hAnsi="Courier New"/>
                <w:sz w:val="18"/>
                <w:szCs w:val="18"/>
                <w:color w:val="auto"/>
                <w:w w:val="73"/>
              </w:rPr>
              <w:t>E</w:t>
            </w:r>
          </w:p>
        </w:tc>
      </w:tr>
      <w:tr>
        <w:trPr>
          <w:trHeight w:val="405"/>
        </w:trPr>
        <w:tc>
          <w:tcPr>
            <w:tcW w:w="68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620" w:type="dxa"/>
            <w:vAlign w:val="bottom"/>
          </w:tcPr>
          <w:p>
            <w:pPr>
              <w:spacing w:after="0"/>
              <w:rPr>
                <w:sz w:val="24"/>
                <w:szCs w:val="24"/>
                <w:color w:val="auto"/>
              </w:rPr>
            </w:pPr>
          </w:p>
        </w:tc>
      </w:tr>
      <w:tr>
        <w:trPr>
          <w:trHeight w:val="203"/>
        </w:trPr>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*Executive Compensation Plans and Arrangements.</w:t>
            </w:r>
          </w:p>
        </w:tc>
        <w:tc>
          <w:tcPr>
            <w:tcW w:w="620" w:type="dxa"/>
            <w:vAlign w:val="bottom"/>
          </w:tcPr>
          <w:p>
            <w:pPr>
              <w:spacing w:after="0"/>
              <w:rPr>
                <w:sz w:val="17"/>
                <w:szCs w:val="17"/>
                <w:color w:val="auto"/>
              </w:rPr>
            </w:pPr>
          </w:p>
        </w:tc>
      </w:tr>
      <w:tr>
        <w:trPr>
          <w:trHeight w:val="608"/>
        </w:trPr>
        <w:tc>
          <w:tcPr>
            <w:tcW w:w="740" w:type="dxa"/>
            <w:vAlign w:val="bottom"/>
          </w:tcPr>
          <w:p>
            <w:pPr>
              <w:spacing w:after="0"/>
              <w:rPr>
                <w:sz w:val="24"/>
                <w:szCs w:val="24"/>
                <w:color w:val="auto"/>
              </w:rPr>
            </w:pPr>
          </w:p>
        </w:tc>
        <w:tc>
          <w:tcPr>
            <w:tcW w:w="6120" w:type="dxa"/>
            <w:vAlign w:val="bottom"/>
          </w:tcPr>
          <w:p>
            <w:pPr>
              <w:ind w:left="3380"/>
              <w:spacing w:after="0"/>
              <w:rPr>
                <w:sz w:val="20"/>
                <w:szCs w:val="20"/>
                <w:color w:val="auto"/>
              </w:rPr>
            </w:pPr>
            <w:r>
              <w:rPr>
                <w:rFonts w:ascii="Courier New" w:cs="Courier New" w:eastAsia="Courier New" w:hAnsi="Courier New"/>
                <w:sz w:val="18"/>
                <w:szCs w:val="18"/>
                <w:color w:val="auto"/>
              </w:rPr>
              <w:t>27</w:t>
            </w:r>
          </w:p>
        </w:tc>
        <w:tc>
          <w:tcPr>
            <w:tcW w:w="6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ind w:right="1879"/>
        <w:spacing w:after="0"/>
        <w:rPr>
          <w:sz w:val="20"/>
          <w:szCs w:val="20"/>
          <w:color w:val="auto"/>
        </w:rPr>
      </w:pPr>
      <w:r>
        <w:rPr>
          <w:rFonts w:ascii="Courier New" w:cs="Courier New" w:eastAsia="Courier New" w:hAnsi="Courier New"/>
          <w:sz w:val="18"/>
          <w:szCs w:val="18"/>
          <w:color w:val="auto"/>
        </w:rPr>
        <w:t>THIRD AMENDMENT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TO RESTATED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TI DEFERRED COMPENSATION PLAN</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TEXAS INSTRUMENTS INCORPORATED, a Delaware corporation with its principal offices in Dallas, Texas (hereinafter referred to as "TI" or the "Company") hereby adopts this Third Amendment to the restated TI Deferred Compensation Plan (the "Plan").</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This Third Amendment to the restated TI Deferred Compensation Plan shall be effective as of the dates specified. Except as hereby amended by this Third Amendment, the Plan, as previously amended, shall continue in full force and effect.</w:t>
      </w:r>
    </w:p>
    <w:p>
      <w:pPr>
        <w:spacing w:after="0" w:line="207" w:lineRule="exact"/>
        <w:rPr>
          <w:sz w:val="20"/>
          <w:szCs w:val="20"/>
          <w:color w:val="auto"/>
        </w:rPr>
      </w:pPr>
    </w:p>
    <w:p>
      <w:pPr>
        <w:ind w:right="2099" w:firstLine="429"/>
        <w:spacing w:after="0" w:line="235"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15, 2000, Section 2.1 is hereby amended and restated in the entirety to read as follows:</w:t>
      </w:r>
    </w:p>
    <w:p>
      <w:pPr>
        <w:spacing w:after="0" w:line="208" w:lineRule="exact"/>
        <w:rPr>
          <w:sz w:val="20"/>
          <w:szCs w:val="20"/>
          <w:color w:val="auto"/>
        </w:rPr>
      </w:pPr>
    </w:p>
    <w:p>
      <w:pPr>
        <w:ind w:left="540" w:right="2519" w:hanging="104"/>
        <w:spacing w:after="0" w:line="235" w:lineRule="auto"/>
        <w:rPr>
          <w:sz w:val="20"/>
          <w:szCs w:val="20"/>
          <w:color w:val="auto"/>
        </w:rPr>
      </w:pPr>
      <w:r>
        <w:rPr>
          <w:rFonts w:ascii="Courier New" w:cs="Courier New" w:eastAsia="Courier New" w:hAnsi="Courier New"/>
          <w:sz w:val="18"/>
          <w:szCs w:val="18"/>
          <w:color w:val="auto"/>
        </w:rPr>
        <w:t>"Sec. 2-1.</w:t>
      </w:r>
      <w:r>
        <w:rPr>
          <w:sz w:val="20"/>
          <w:szCs w:val="20"/>
          <w:color w:val="auto"/>
        </w:rPr>
        <w:t xml:space="preserve"> </w:t>
      </w:r>
      <w:r>
        <w:rPr>
          <w:rFonts w:ascii="Courier New" w:cs="Courier New" w:eastAsia="Courier New" w:hAnsi="Courier New"/>
          <w:sz w:val="18"/>
          <w:szCs w:val="18"/>
          <w:color w:val="auto"/>
        </w:rPr>
        <w:t>Eligibility. A Designated Employee shall be eligible to participate in:</w:t>
      </w:r>
    </w:p>
    <w:p>
      <w:pPr>
        <w:spacing w:after="0" w:line="208" w:lineRule="exact"/>
        <w:rPr>
          <w:sz w:val="20"/>
          <w:szCs w:val="20"/>
          <w:color w:val="auto"/>
        </w:rPr>
      </w:pPr>
    </w:p>
    <w:p>
      <w:pPr>
        <w:ind w:left="1580" w:right="2939" w:hanging="72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Deferred Compensation Account in accordance with the provisions of Section 2.2 below, and/or</w:t>
      </w:r>
    </w:p>
    <w:p>
      <w:pPr>
        <w:spacing w:after="0" w:line="208" w:lineRule="exact"/>
        <w:rPr>
          <w:rFonts w:ascii="Courier New" w:cs="Courier New" w:eastAsia="Courier New" w:hAnsi="Courier New"/>
          <w:sz w:val="18"/>
          <w:szCs w:val="18"/>
          <w:color w:val="auto"/>
        </w:rPr>
      </w:pPr>
    </w:p>
    <w:p>
      <w:pPr>
        <w:ind w:left="1580" w:right="1999" w:hanging="729"/>
        <w:spacing w:after="0" w:line="235"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Benefit Restoration Account in accordance with the provisions of Section 2-3 or Section 2-4 below.</w:t>
      </w:r>
    </w:p>
    <w:p>
      <w:pPr>
        <w:spacing w:after="0" w:line="208" w:lineRule="exact"/>
        <w:rPr>
          <w:sz w:val="20"/>
          <w:szCs w:val="20"/>
          <w:color w:val="auto"/>
        </w:rPr>
      </w:pPr>
    </w:p>
    <w:p>
      <w:pPr>
        <w:ind w:left="420" w:right="1879"/>
        <w:spacing w:after="0" w:line="272" w:lineRule="auto"/>
        <w:rPr>
          <w:sz w:val="20"/>
          <w:szCs w:val="20"/>
          <w:color w:val="auto"/>
        </w:rPr>
      </w:pPr>
      <w:r>
        <w:rPr>
          <w:rFonts w:ascii="Courier New" w:cs="Courier New" w:eastAsia="Courier New" w:hAnsi="Courier New"/>
          <w:sz w:val="16"/>
          <w:szCs w:val="16"/>
          <w:color w:val="auto"/>
        </w:rPr>
        <w:t>Any Employee who receives a credit pursuant to Section 2-3 or Section 2-4 shall be a Participant, but will be a Benefit Restoration Only Participant unless the Employee is also a Designated Employee. The participation of a Benefit Restoration Only Participant, and the participation of a Designated Employee who is subject to Section 2-3 or Section 2-4 shall be automatic. The participation of a Designated Employee in a Deferred Compensation Account is elective, as described below."</w:t>
      </w:r>
    </w:p>
    <w:p>
      <w:pPr>
        <w:spacing w:after="0" w:line="388" w:lineRule="exact"/>
        <w:rPr>
          <w:sz w:val="20"/>
          <w:szCs w:val="20"/>
          <w:color w:val="auto"/>
        </w:rPr>
      </w:pPr>
    </w:p>
    <w:p>
      <w:pPr>
        <w:ind w:left="420" w:right="2199" w:firstLine="9"/>
        <w:spacing w:after="0" w:line="236"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by this Third Amendment, the Company hereby ratifies the Plan as last amended and restated in the entirety effective January 1, 1998, and as amended thereafter.</w:t>
      </w:r>
    </w:p>
    <w:p>
      <w:pPr>
        <w:spacing w:after="0" w:line="209"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IN WITNESS WHEREOF, Texas Instruments Incorporated has caused this instrument to be executed by its duly authorized officer.</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__________________________</w:t>
      </w:r>
    </w:p>
    <w:p>
      <w:pPr>
        <w:sectPr>
          <w:pgSz w:w="11900" w:h="16838" w:orient="portrait"/>
          <w:cols w:equalWidth="0" w:num="1">
            <w:col w:w="10219"/>
          </w:cols>
          <w:pgMar w:left="240" w:top="136" w:right="1440" w:bottom="1440" w:gutter="0" w:footer="0" w:header="0"/>
        </w:sectPr>
      </w:pPr>
    </w:p>
    <w:bookmarkStart w:id="29" w:name="page30"/>
    <w:bookmarkEnd w:id="29"/>
    <w:p>
      <w:pPr>
        <w:ind w:left="3060"/>
        <w:spacing w:after="0"/>
        <w:rPr>
          <w:sz w:val="20"/>
          <w:szCs w:val="20"/>
          <w:color w:val="auto"/>
        </w:rPr>
      </w:pPr>
      <w:r>
        <w:rPr>
          <w:rFonts w:ascii="Courier New" w:cs="Courier New" w:eastAsia="Courier New" w:hAnsi="Courier New"/>
          <w:sz w:val="18"/>
          <w:szCs w:val="18"/>
          <w:color w:val="auto"/>
        </w:rPr>
        <w:t>TEXAS INSTRUMENTS</w:t>
      </w:r>
    </w:p>
    <w:p>
      <w:pPr>
        <w:ind w:left="1580"/>
        <w:spacing w:after="0" w:line="238" w:lineRule="auto"/>
        <w:rPr>
          <w:sz w:val="20"/>
          <w:szCs w:val="20"/>
          <w:color w:val="auto"/>
        </w:rPr>
      </w:pPr>
      <w:r>
        <w:rPr>
          <w:rFonts w:ascii="Courier New" w:cs="Courier New" w:eastAsia="Courier New" w:hAnsi="Courier New"/>
          <w:sz w:val="18"/>
          <w:szCs w:val="18"/>
          <w:color w:val="auto"/>
        </w:rPr>
        <w:t>STOCK OPTION PLAN FOR NON-EMPLOYEE DIRECTORS</w:t>
      </w:r>
    </w:p>
    <w:p>
      <w:pPr>
        <w:ind w:left="960"/>
        <w:spacing w:after="0"/>
        <w:rPr>
          <w:sz w:val="20"/>
          <w:szCs w:val="20"/>
          <w:color w:val="auto"/>
        </w:rPr>
      </w:pPr>
      <w:r>
        <w:rPr>
          <w:rFonts w:ascii="Courier New" w:cs="Courier New" w:eastAsia="Courier New" w:hAnsi="Courier New"/>
          <w:sz w:val="18"/>
          <w:szCs w:val="18"/>
          <w:color w:val="auto"/>
        </w:rPr>
        <w:t>As Adopted April 16, 1998 and Amended November 30, 2000</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purpose of the Texas Instruments Stock Option Plan for Non-Employee Directors (the "Plan") is to increase the proprietary and vested interest of the non-employee directors of Texas Instruments Incorporated (the "Company") in the growth and performance of the Company by granting such directors options to purchase shares of the common stock of the Company, $1.00 par value ("Shares").</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Administration.</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Plan shall be administered by the Secretary of the Company (the "Secretary"). Subject to the provisions of the Plan, the Secretary shall have full power and authority to construe, interpret and administer the Plan. The Secretary may issue rules and regulations for administration of the Plan. All decisions of the Secretary shall be final, conclusive and binding upon all parties, including the Company, the stockholders and the directors. In the event of the absence or inability of the Secretary, any Assistant Secretary shall have the authority to act in his place.</w:t>
      </w:r>
    </w:p>
    <w:p>
      <w:pPr>
        <w:spacing w:after="0" w:line="214"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Subject to the terms of the Plan and applicable law, the Secretary shall have full power and authority to: (i) interpret and administer the Plan and any instrument or agreement relating to, or options to purchase common stock of the Company granted under, the Plan; (ii) establish amend, suspend or waive such rules and regulations and appoint such agents as the Secretary shall deem appropriate for the proper administration of the Plan; and (iii) make any other determination and take any other action that the Secretary deems necessary or desirable for the administration of the Plan.</w:t>
      </w: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A member of the Board of Directors of the Company (the "Board") who is not an employee of the Company or its subsidiaries shall be eligible for grant of options under the Plan ("Eligible Director"). Any holder of an option granted hereunder shall hereinafter be referred to as a "Participant."</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Shares Subject to the Plan.</w:t>
      </w:r>
    </w:p>
    <w:p>
      <w:pPr>
        <w:spacing w:after="0" w:line="207"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Shares deliverable upon the exercise of options will be made available from treasury Shares.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Option Grants.</w:t>
      </w:r>
    </w:p>
    <w:p>
      <w:pPr>
        <w:spacing w:after="0" w:line="207" w:lineRule="exact"/>
        <w:rPr>
          <w:sz w:val="20"/>
          <w:szCs w:val="20"/>
          <w:color w:val="auto"/>
        </w:rPr>
      </w:pPr>
    </w:p>
    <w:p>
      <w:pPr>
        <w:ind w:right="2619" w:firstLine="527"/>
        <w:spacing w:after="0" w:line="271" w:lineRule="auto"/>
        <w:rPr>
          <w:sz w:val="20"/>
          <w:szCs w:val="20"/>
          <w:color w:val="auto"/>
        </w:rPr>
      </w:pPr>
      <w:r>
        <w:rPr>
          <w:rFonts w:ascii="Courier New" w:cs="Courier New" w:eastAsia="Courier New" w:hAnsi="Courier New"/>
          <w:sz w:val="16"/>
          <w:szCs w:val="16"/>
          <w:color w:val="auto"/>
        </w:rPr>
        <w:t>Each individual who is an Eligible Director will be granted an option to purchase 10,000 Shares as of the date of each regular January meeting of the Compensation Committee of the Board or any successor committee (the "Compensation Committee") following the effective date of the Plan or, if no such January meeting is held, as of the date of the first meeting of the Compensation Committee during a calendar year. The options granted will be nonstatutory stock options not intended to</w:t>
      </w:r>
    </w:p>
    <w:p>
      <w:pPr>
        <w:spacing w:after="0" w:line="188"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qualify under Section 422 of the Internal Revenue Code of 1986, as amended (the "Code") and shall have the following terms and conditions:</w:t>
      </w:r>
    </w:p>
    <w:p>
      <w:pPr>
        <w:spacing w:after="0" w:line="170" w:lineRule="exact"/>
        <w:rPr>
          <w:sz w:val="20"/>
          <w:szCs w:val="20"/>
          <w:color w:val="auto"/>
        </w:rPr>
      </w:pPr>
    </w:p>
    <w:p>
      <w:pPr>
        <w:ind w:left="1900" w:right="2619" w:hanging="628"/>
        <w:spacing w:after="0" w:line="270"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The Purchase price per share of Shares deliverable upon the exercise of each option shall be 100% of the Fair Market Value per share of the Shares on the date the option is granted. For purposes of this Plan, Fair Market Value shall be determined to be equal to the simple average of the high and low prices of the Shares on the date of grant (or, if there is no trading on the New York Stock Exchange on such date, then on the first previous date on which there is such trading) as reported in "New York Stock Exchange Composite Transactions" in "The Wall Street Journal," rounded upward to the next whole cent if such Fair Market Value should include a fraction of a cent.</w:t>
      </w:r>
    </w:p>
    <w:p>
      <w:pPr>
        <w:spacing w:after="0" w:line="389" w:lineRule="exact"/>
        <w:rPr>
          <w:rFonts w:ascii="Courier New" w:cs="Courier New" w:eastAsia="Courier New" w:hAnsi="Courier New"/>
          <w:sz w:val="16"/>
          <w:szCs w:val="16"/>
          <w:color w:val="auto"/>
        </w:rPr>
      </w:pPr>
    </w:p>
    <w:p>
      <w:pPr>
        <w:ind w:left="1900" w:right="2619" w:hanging="628"/>
        <w:spacing w:after="0" w:line="271"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The Secretary shall determine the method or methods by which, and the form or forms, including, without limitation, cash, Shares, or other property, or any combination thereof, having a Fair Market Value on the exercise date equal to the relevant exercise price, in which payment of the exercise price with respect to an option may be made or deemed to have</w:t>
      </w:r>
    </w:p>
    <w:p>
      <w:pPr>
        <w:sectPr>
          <w:pgSz w:w="11900" w:h="16838" w:orient="portrait"/>
          <w:cols w:equalWidth="0" w:num="1">
            <w:col w:w="10219"/>
          </w:cols>
          <w:pgMar w:left="240" w:top="136" w:right="1440" w:bottom="0" w:gutter="0" w:footer="0" w:header="0"/>
        </w:sectPr>
      </w:pPr>
    </w:p>
    <w:bookmarkStart w:id="30" w:name="page31"/>
    <w:bookmarkEnd w:id="30"/>
    <w:p>
      <w:pPr>
        <w:ind w:left="1900"/>
        <w:spacing w:after="0"/>
        <w:rPr>
          <w:sz w:val="20"/>
          <w:szCs w:val="20"/>
          <w:color w:val="auto"/>
        </w:rPr>
      </w:pPr>
      <w:r>
        <w:rPr>
          <w:rFonts w:ascii="Courier New" w:cs="Courier New" w:eastAsia="Courier New" w:hAnsi="Courier New"/>
          <w:sz w:val="18"/>
          <w:szCs w:val="18"/>
          <w:color w:val="auto"/>
        </w:rPr>
        <w:t>been made.</w:t>
      </w:r>
    </w:p>
    <w:p>
      <w:pPr>
        <w:spacing w:after="0" w:line="207" w:lineRule="exact"/>
        <w:rPr>
          <w:sz w:val="20"/>
          <w:szCs w:val="20"/>
          <w:color w:val="auto"/>
        </w:rPr>
      </w:pPr>
    </w:p>
    <w:p>
      <w:pPr>
        <w:ind w:left="1900" w:right="2619" w:hanging="628"/>
        <w:spacing w:after="0" w:line="271"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and Term of Options. Subject to Section 4(d), options shall become exercisable in four equal annual installments commencing on the first anniversary date of the grant, provided the holder of such option remains an Eligible Director until such anniversary date, and shall be exercisable through the tenth anniversary date of the grant.</w:t>
      </w:r>
    </w:p>
    <w:p>
      <w:pPr>
        <w:spacing w:after="0" w:line="187" w:lineRule="exact"/>
        <w:rPr>
          <w:rFonts w:ascii="Courier New" w:cs="Courier New" w:eastAsia="Courier New" w:hAnsi="Courier New"/>
          <w:sz w:val="16"/>
          <w:szCs w:val="16"/>
          <w:color w:val="auto"/>
        </w:rPr>
      </w:pPr>
    </w:p>
    <w:p>
      <w:pPr>
        <w:ind w:left="1900" w:right="2739" w:hanging="628"/>
        <w:spacing w:after="0" w:line="236"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as Eligible Director. The effect of a Participant's termination of service as a director of the Company shall be as follows:</w:t>
      </w:r>
    </w:p>
    <w:p>
      <w:pPr>
        <w:spacing w:after="0" w:line="208" w:lineRule="exact"/>
        <w:rPr>
          <w:rFonts w:ascii="Courier New" w:cs="Courier New" w:eastAsia="Courier New" w:hAnsi="Courier New"/>
          <w:sz w:val="18"/>
          <w:szCs w:val="18"/>
          <w:color w:val="auto"/>
        </w:rPr>
      </w:pPr>
    </w:p>
    <w:p>
      <w:pPr>
        <w:ind w:left="2540" w:right="2739" w:hanging="636"/>
        <w:spacing w:after="0" w:line="236"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All outstanding options held by the Participant shall be canceled immediately upon termination.</w:t>
      </w:r>
    </w:p>
    <w:p>
      <w:pPr>
        <w:spacing w:after="0" w:line="203"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All outstanding options held by</w:t>
      </w:r>
    </w:p>
    <w:p>
      <w:pPr>
        <w:spacing w:after="0" w:line="4" w:lineRule="exact"/>
        <w:rPr>
          <w:rFonts w:ascii="Courier New" w:cs="Courier New" w:eastAsia="Courier New" w:hAnsi="Courier New"/>
          <w:sz w:val="18"/>
          <w:szCs w:val="18"/>
          <w:color w:val="auto"/>
        </w:rPr>
      </w:pPr>
    </w:p>
    <w:p>
      <w:pPr>
        <w:ind w:left="2540"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continue to full term, becoming exercisable in accordance with Section 4(c), and shall be exercisable by such Participant's heirs.</w:t>
      </w:r>
    </w:p>
    <w:p>
      <w:pPr>
        <w:spacing w:after="0" w:line="207" w:lineRule="exact"/>
        <w:rPr>
          <w:rFonts w:ascii="Courier New" w:cs="Courier New" w:eastAsia="Courier New" w:hAnsi="Courier New"/>
          <w:sz w:val="18"/>
          <w:szCs w:val="18"/>
          <w:color w:val="auto"/>
        </w:rPr>
      </w:pPr>
    </w:p>
    <w:p>
      <w:pPr>
        <w:ind w:left="2540" w:right="2619" w:hanging="636"/>
        <w:spacing w:after="0" w:line="237"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Permanent disability: All outstanding options held by the Participant shall continue to full term, becoming exercisable in accordance with Section 4(c).</w:t>
      </w:r>
    </w:p>
    <w:p>
      <w:pPr>
        <w:spacing w:after="0" w:line="207" w:lineRule="exact"/>
        <w:rPr>
          <w:rFonts w:ascii="Courier New" w:cs="Courier New" w:eastAsia="Courier New" w:hAnsi="Courier New"/>
          <w:sz w:val="18"/>
          <w:szCs w:val="18"/>
          <w:color w:val="auto"/>
        </w:rPr>
      </w:pPr>
    </w:p>
    <w:p>
      <w:pPr>
        <w:ind w:left="2540" w:right="2739" w:hanging="636"/>
        <w:spacing w:after="0" w:line="237" w:lineRule="auto"/>
        <w:tabs>
          <w:tab w:leader="none" w:pos="25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after 8 years of service: All outstanding options held by the Participant shall continue to full term, becoming exercisable in accordance with Section 4(c), except that any option granted within less than six months prior to termination shall be cancelled immediately upon termination.</w:t>
      </w:r>
    </w:p>
    <w:p>
      <w:pPr>
        <w:spacing w:after="0" w:line="211" w:lineRule="exact"/>
        <w:rPr>
          <w:rFonts w:ascii="Courier New" w:cs="Courier New" w:eastAsia="Courier New" w:hAnsi="Courier New"/>
          <w:sz w:val="18"/>
          <w:szCs w:val="18"/>
          <w:color w:val="auto"/>
        </w:rPr>
      </w:pPr>
    </w:p>
    <w:p>
      <w:pPr>
        <w:ind w:left="2640" w:right="2619" w:hanging="630"/>
        <w:spacing w:after="0" w:line="268" w:lineRule="auto"/>
        <w:tabs>
          <w:tab w:leader="none" w:pos="264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ineligibility to stand for reelection under the Company's by-laws:</w:t>
      </w:r>
    </w:p>
    <w:p>
      <w:pPr>
        <w:ind w:left="2640" w:right="26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outstanding options held by the Participant shall continue to full term, becoming exercisable in accordance with Section 4(c).</w:t>
      </w:r>
    </w:p>
    <w:p>
      <w:pPr>
        <w:spacing w:after="0" w:line="178" w:lineRule="exact"/>
        <w:rPr>
          <w:sz w:val="20"/>
          <w:szCs w:val="20"/>
          <w:color w:val="auto"/>
        </w:rPr>
      </w:pPr>
    </w:p>
    <w:p>
      <w:pPr>
        <w:ind w:left="2640" w:right="2619" w:hanging="630"/>
        <w:spacing w:after="0" w:line="272" w:lineRule="auto"/>
        <w:tabs>
          <w:tab w:leader="none" w:pos="264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185" w:lineRule="exact"/>
        <w:rPr>
          <w:rFonts w:ascii="Courier New" w:cs="Courier New" w:eastAsia="Courier New" w:hAnsi="Courier New"/>
          <w:sz w:val="16"/>
          <w:szCs w:val="16"/>
          <w:color w:val="auto"/>
        </w:rPr>
      </w:pPr>
    </w:p>
    <w:p>
      <w:pPr>
        <w:ind w:left="3280" w:right="2619" w:hanging="638"/>
        <w:spacing w:after="0" w:line="271" w:lineRule="auto"/>
        <w:tabs>
          <w:tab w:leader="none" w:pos="328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87" w:lineRule="exact"/>
        <w:rPr>
          <w:rFonts w:ascii="Courier New" w:cs="Courier New" w:eastAsia="Courier New" w:hAnsi="Courier New"/>
          <w:sz w:val="16"/>
          <w:szCs w:val="16"/>
          <w:color w:val="auto"/>
        </w:rPr>
      </w:pPr>
    </w:p>
    <w:p>
      <w:pPr>
        <w:ind w:left="3280" w:right="2619" w:hanging="638"/>
        <w:spacing w:after="0" w:line="271" w:lineRule="auto"/>
        <w:tabs>
          <w:tab w:leader="none" w:pos="3280"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Participant's termination occurs within 30 days before the effective date of a Change in Control (as defined in Section 6), then the Change in Control will be deemed to have occurred first and the options shall be exercisable in accordance with Section 4(c).</w:t>
      </w:r>
    </w:p>
    <w:p>
      <w:pPr>
        <w:spacing w:after="0" w:line="187" w:lineRule="exact"/>
        <w:rPr>
          <w:rFonts w:ascii="Courier New" w:cs="Courier New" w:eastAsia="Courier New" w:hAnsi="Courier New"/>
          <w:sz w:val="16"/>
          <w:szCs w:val="16"/>
          <w:color w:val="auto"/>
        </w:rPr>
      </w:pPr>
    </w:p>
    <w:p>
      <w:pPr>
        <w:ind w:left="1900" w:right="2619" w:hanging="628"/>
        <w:spacing w:after="0" w:line="272" w:lineRule="auto"/>
        <w:tabs>
          <w:tab w:leader="none" w:pos="19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Options. No option shall be transferable by a Participant except by will or by the laws of descent and distribution, and during the Participant's lifetime may be exercised only by Participant or, if permissible under applicable law, by the Participant's legal guardian or representative.</w:t>
      </w:r>
    </w:p>
    <w:p>
      <w:pPr>
        <w:spacing w:after="0" w:line="185" w:lineRule="exact"/>
        <w:rPr>
          <w:rFonts w:ascii="Courier New" w:cs="Courier New" w:eastAsia="Courier New" w:hAnsi="Courier New"/>
          <w:sz w:val="16"/>
          <w:szCs w:val="16"/>
          <w:color w:val="auto"/>
        </w:rPr>
      </w:pPr>
    </w:p>
    <w:p>
      <w:pPr>
        <w:ind w:left="1900" w:right="2619" w:hanging="628"/>
        <w:spacing w:after="0" w:line="237" w:lineRule="auto"/>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Agreement. Each option granted hereunder shall be evidenced by an agreement with the Company which shall contain the terms and provisions set forth herein and shall otherwise be consistent with the provisions of the Plan.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Adjustment of and Changes in Shares.</w:t>
      </w:r>
    </w:p>
    <w:p>
      <w:pPr>
        <w:sectPr>
          <w:pgSz w:w="11900" w:h="16838" w:orient="portrait"/>
          <w:cols w:equalWidth="0" w:num="1">
            <w:col w:w="10219"/>
          </w:cols>
          <w:pgMar w:left="240" w:top="136" w:right="1440" w:bottom="0" w:gutter="0" w:footer="0" w:header="0"/>
        </w:sectPr>
      </w:pPr>
    </w:p>
    <w:bookmarkStart w:id="31" w:name="page32"/>
    <w:bookmarkEnd w:id="31"/>
    <w:p>
      <w:pPr>
        <w:ind w:right="1879" w:firstLine="527"/>
        <w:spacing w:after="0"/>
        <w:rPr>
          <w:sz w:val="20"/>
          <w:szCs w:val="20"/>
          <w:color w:val="auto"/>
        </w:rPr>
      </w:pPr>
      <w:r>
        <w:rPr>
          <w:rFonts w:ascii="Courier New" w:cs="Courier New" w:eastAsia="Courier New" w:hAnsi="Courier New"/>
          <w:sz w:val="18"/>
          <w:szCs w:val="18"/>
          <w:color w:val="auto"/>
        </w:rPr>
        <w:t>In the event that the Secretary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Secretary to be appropriate in order to prevent dilution or enlargement of the benefits or potential benefits intended to be made available under the Plan, then the Secretary shall, in such manner as he or she may deem equitable, adjust any or all of (a) the number and type of Shares subject to outstanding options, and (b) the exercise price with respect to any option or, if deemed appropriate, make provision for a cash payment to the holder of an outstanding option; provided, however, that no fractional Shares shall be issued or outstanding hereunder. Notwithstanding any such corporate transaction or event, no adjustment shall be made in the number of Shares subject to options to be granted after the occurrence of any such corporate transaction or event.</w:t>
      </w:r>
    </w:p>
    <w:p>
      <w:pPr>
        <w:spacing w:after="0" w:line="37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Change of Control.</w:t>
      </w:r>
    </w:p>
    <w:p>
      <w:pPr>
        <w:spacing w:after="0" w:line="207" w:lineRule="exact"/>
        <w:rPr>
          <w:sz w:val="20"/>
          <w:szCs w:val="20"/>
          <w:color w:val="auto"/>
        </w:rPr>
      </w:pPr>
    </w:p>
    <w:p>
      <w:pPr>
        <w:ind w:right="2619" w:firstLine="527"/>
        <w:spacing w:after="0" w:line="270" w:lineRule="auto"/>
        <w:rPr>
          <w:sz w:val="20"/>
          <w:szCs w:val="20"/>
          <w:color w:val="auto"/>
        </w:rPr>
      </w:pPr>
      <w:r>
        <w:rPr>
          <w:rFonts w:ascii="Courier New" w:cs="Courier New" w:eastAsia="Courier New" w:hAnsi="Courier New"/>
          <w:sz w:val="16"/>
          <w:szCs w:val="16"/>
          <w:color w:val="auto"/>
        </w:rPr>
        <w:t>The provisions of Section 4(c) shall not apply and options outstanding under the Plan shall be exercisable in full if a Change in Control occurs. Change in Control means an event when (a) any Person, alone or together with its Affiliates and Associates or otherwise, shall become an Acquiring Person otherwise than pursuant to a transaction or agreement approved by the Board of Directors of the Company prior to the time the Acquiring Person became such, or (b)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w:t>
      </w:r>
    </w:p>
    <w:p>
      <w:pPr>
        <w:spacing w:after="0" w:line="18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June 17, 1988 between the Company and Harris Trust and Savings Bank, successor in interest to First Chicago Trust Company of New York, (formerly Morgan Shareholder Services Trust Company), as in effect on the date hereof; provided, however, that if the percentage employed in the definition of Acquiring Person is reduced hereafter from 20% in such Rights Agreement, then such reduction shall also be applicable for the purposes hereof.</w:t>
      </w: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No Rights of Stockholders.</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Neither a Participant nor a Participant's legal representative shall be, or have any of the rights and privileges of, a stockholder of the Company in respect of any shares purchasable upon the exercise of any option, in whole or in part, unless and until certificates for such shares shall have been issued.</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Plan Amendments.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Board may amend, alter, suspend, discontinue or terminate the Plan without the consent of any stockholder or Participant or other person: provided, however, that no such action shall impair the rights under any option theretofore granted under the Plan and that, notwithstanding any other provision of the Plan or any option agreement, no such amendment, alteration, suspension, discontinuation or termination shall be made that would permit options to be granted with a per Share exercise price of less than the Fair Market Value of a Share on the date of grant thereof.</w:t>
      </w: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Effective Date.</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The Plan shall become effective on April 16, 1998. The Plan shall terminate April 16, 2003 unless the Plan is extended or terminated at an earlier date.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No Limit on Other Compensation Arrangements.</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The validity, construction, and effect of the Plan and any rules and regulations relating to the Plan shall be determined in accordance with</w:t>
      </w:r>
    </w:p>
    <w:p>
      <w:pPr>
        <w:sectPr>
          <w:pgSz w:w="11900" w:h="16838" w:orient="portrait"/>
          <w:cols w:equalWidth="0" w:num="1">
            <w:col w:w="10219"/>
          </w:cols>
          <w:pgMar w:left="240" w:top="142"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the laws of the State of Delaware and applicable Federal law.</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If any provision of the Plan or any option is or becomes or is deemed to be invalid, illegal, or unenforceable in any jurisdiction, or as to any person or option, or would disqualify the Plan or any option under any law deemed applicable by the Board, such provision shall be construed or deemed amended to conform to applicable laws, or if it cannot be so construed or deemed amended without, in the determination of the Board, materially altering the intent of the Plan or the option, such provision shall be stricken as to such jurisdiction, person or option, and the remainder of the Plan and any such option shall remain in full force and effect.</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No Right to Continued Board Membership.</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grant of options shall not be construed as giving a participant the right to 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options.</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No Trust or Fund Created.</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Neither the Plan nor any options shall create or be construed to create a trust or separate fund of any kind or a fiduciary relationship between the Company and a participant or any other person. To the extent that any person acquires a right to receive options, or Shares pursuant to options, from the Company pursuant to this Plan, such right shall be no greater than the right of any unsecured general creditor of the Company.</w:t>
      </w:r>
    </w:p>
    <w:p>
      <w:pPr>
        <w:sectPr>
          <w:pgSz w:w="11900" w:h="16838" w:orient="portrait"/>
          <w:cols w:equalWidth="0" w:num="1">
            <w:col w:w="10219"/>
          </w:cols>
          <w:pgMar w:left="240" w:top="136" w:right="1440" w:bottom="1440" w:gutter="0" w:footer="0" w:header="0"/>
        </w:sectPr>
      </w:pPr>
    </w:p>
    <w:bookmarkStart w:id="33" w:name="page34"/>
    <w:bookmarkEnd w:id="33"/>
    <w:p>
      <w:pPr>
        <w:ind w:left="7180"/>
        <w:spacing w:after="0"/>
        <w:rPr>
          <w:sz w:val="20"/>
          <w:szCs w:val="20"/>
          <w:color w:val="auto"/>
        </w:rPr>
      </w:pPr>
      <w:r>
        <w:rPr>
          <w:rFonts w:ascii="Courier New" w:cs="Courier New" w:eastAsia="Courier New" w:hAnsi="Courier New"/>
          <w:sz w:val="18"/>
          <w:szCs w:val="18"/>
          <w:color w:val="auto"/>
        </w:rPr>
        <w:t>EXHIBIT 11</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1800"/>
        <w:spacing w:after="0" w:line="238" w:lineRule="auto"/>
        <w:rPr>
          <w:sz w:val="20"/>
          <w:szCs w:val="20"/>
          <w:color w:val="auto"/>
        </w:rPr>
      </w:pPr>
      <w:r>
        <w:rPr>
          <w:rFonts w:ascii="Courier New" w:cs="Courier New" w:eastAsia="Courier New" w:hAnsi="Courier New"/>
          <w:sz w:val="18"/>
          <w:szCs w:val="18"/>
          <w:color w:val="auto"/>
        </w:rPr>
        <w:t>EARNINGS PER COMMON AND DILUTIVE POTENTIAL COMMON SHARE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442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4020" w:type="dxa"/>
            <w:vAlign w:val="bottom"/>
          </w:tcPr>
          <w:p>
            <w:pPr>
              <w:spacing w:after="0"/>
              <w:rPr>
                <w:sz w:val="17"/>
                <w:szCs w:val="17"/>
                <w:color w:val="auto"/>
              </w:rPr>
            </w:pPr>
          </w:p>
        </w:tc>
        <w:tc>
          <w:tcPr>
            <w:tcW w:w="4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1998</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before cumulative effect of an</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accounting change (in millions).....</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$3,087</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$ 452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Add: Interest, net of tax effect</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convertible debentures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assumed converted...................</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income before cumulative</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effect of an accounting change....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3,093</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an accounting</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net income.................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$3,064</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$1,451</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$ 452</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Diluted earnings per common and</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dilutive potential common share:</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(in thousands).........</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1,717,484</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1,680,282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1,665,307</w:t>
            </w:r>
          </w:p>
        </w:tc>
      </w:tr>
      <w:tr>
        <w:trPr>
          <w:trHeight w:val="405"/>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w w:val="99"/>
              </w:rPr>
              <w:t>Weighted average dilutive potential</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 option and</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compensation plans.............</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69,367</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69,377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45,838</w:t>
            </w: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4,779</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and dilutive</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potential common shares.........</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1,791,630</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1,749,659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1,711,145</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an accounting change.......</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$1.73</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$0.83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an</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accounting change.............</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(0.02)</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$1.71</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$0.83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(in thousands).........</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1,717,484</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1,680,282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1,665,307</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an accounting change.......</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an</w:t>
            </w: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accounting change.............</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(0.02)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$0.86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02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w:t>
            </w:r>
          </w:p>
        </w:tc>
      </w:tr>
      <w:tr>
        <w:trPr>
          <w:trHeight w:val="203"/>
        </w:trPr>
        <w:tc>
          <w:tcPr>
            <w:tcW w:w="4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60" w:type="dxa"/>
            <w:vAlign w:val="bottom"/>
            <w:gridSpan w:val="5"/>
          </w:tcPr>
          <w:p>
            <w:pPr>
              <w:jc w:val="center"/>
              <w:ind w:left="2292"/>
              <w:spacing w:after="0"/>
              <w:rPr>
                <w:sz w:val="20"/>
                <w:szCs w:val="20"/>
                <w:color w:val="auto"/>
              </w:rPr>
            </w:pPr>
            <w:r>
              <w:rPr>
                <w:rFonts w:ascii="Courier New" w:cs="Courier New" w:eastAsia="Courier New" w:hAnsi="Courier New"/>
                <w:sz w:val="18"/>
                <w:szCs w:val="18"/>
                <w:color w:val="auto"/>
                <w:w w:val="97"/>
              </w:rPr>
              <w:t>TEXAS INSTRUMENTS INCORPORATED AND SUBSIDIARIES</w:t>
            </w:r>
          </w:p>
        </w:tc>
        <w:tc>
          <w:tcPr>
            <w:tcW w:w="580" w:type="dxa"/>
            <w:vAlign w:val="bottom"/>
          </w:tcPr>
          <w:p>
            <w:pPr>
              <w:spacing w:after="0"/>
              <w:rPr>
                <w:sz w:val="24"/>
                <w:szCs w:val="24"/>
                <w:color w:val="auto"/>
              </w:rPr>
            </w:pPr>
          </w:p>
        </w:tc>
      </w:tr>
      <w:tr>
        <w:trPr>
          <w:trHeight w:val="203"/>
        </w:trPr>
        <w:tc>
          <w:tcPr>
            <w:tcW w:w="7860" w:type="dxa"/>
            <w:vAlign w:val="bottom"/>
            <w:gridSpan w:val="5"/>
          </w:tcPr>
          <w:p>
            <w:pPr>
              <w:jc w:val="center"/>
              <w:ind w:left="2292"/>
              <w:spacing w:after="0" w:line="203" w:lineRule="exact"/>
              <w:rPr>
                <w:sz w:val="20"/>
                <w:szCs w:val="20"/>
                <w:color w:val="auto"/>
              </w:rPr>
            </w:pPr>
            <w:r>
              <w:rPr>
                <w:rFonts w:ascii="Courier New" w:cs="Courier New" w:eastAsia="Courier New" w:hAnsi="Courier New"/>
                <w:sz w:val="18"/>
                <w:szCs w:val="18"/>
                <w:color w:val="auto"/>
                <w:w w:val="97"/>
              </w:rPr>
              <w:t>COMPUTATION OF RATIO OF EARNINGS TO FIXED CHARGES</w:t>
            </w:r>
          </w:p>
        </w:tc>
        <w:tc>
          <w:tcPr>
            <w:tcW w:w="58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(Dollars in Millions)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1999</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1998</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Earnings:</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before income taxes plus fixed</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charges and amortization of</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less</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6"/>
              </w:rPr>
              <w:t>interest capitalized................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$815</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6"/>
              </w:rPr>
              <w:t>and capitalized)....................</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$115</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86"/>
              </w:rPr>
              <w:t>and lease expense...................</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Fixed charges.............................</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$159</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w:t>
            </w:r>
          </w:p>
        </w:tc>
      </w:tr>
      <w:tr>
        <w:trPr>
          <w:trHeight w:val="608"/>
        </w:trPr>
        <w:tc>
          <w:tcPr>
            <w:tcW w:w="4020" w:type="dxa"/>
            <w:vAlign w:val="bottom"/>
          </w:tcPr>
          <w:p>
            <w:pPr>
              <w:spacing w:after="0"/>
              <w:rPr>
                <w:sz w:val="20"/>
                <w:szCs w:val="20"/>
                <w:color w:val="auto"/>
              </w:rPr>
            </w:pPr>
            <w:r>
              <w:rPr>
                <w:rFonts w:ascii="Courier New" w:cs="Courier New" w:eastAsia="Courier New" w:hAnsi="Courier New"/>
                <w:sz w:val="18"/>
                <w:szCs w:val="18"/>
                <w:color w:val="auto"/>
                <w:w w:val="88"/>
              </w:rPr>
              <w:t>Ratio of earnings to fixed charges........</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36.2</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19.3</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6.1</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r>
    </w:tbl>
    <w:p>
      <w:pPr>
        <w:sectPr>
          <w:pgSz w:w="11900" w:h="16838" w:orient="portrait"/>
          <w:cols w:equalWidth="0" w:num="1">
            <w:col w:w="10219"/>
          </w:cols>
          <w:pgMar w:left="240" w:top="136" w:right="1440" w:bottom="1440" w:gutter="0" w:footer="0" w:header="0"/>
        </w:sectPr>
      </w:pPr>
    </w:p>
    <w:bookmarkStart w:id="35" w:name="page36"/>
    <w:bookmarkEnd w:id="35"/>
    <w:p>
      <w:pPr>
        <w:jc w:val="right"/>
        <w:ind w:right="1999"/>
        <w:spacing w:after="0"/>
        <w:rPr>
          <w:sz w:val="20"/>
          <w:szCs w:val="20"/>
          <w:color w:val="auto"/>
        </w:rPr>
      </w:pPr>
      <w:r>
        <w:rPr>
          <w:rFonts w:ascii="Courier New" w:cs="Courier New" w:eastAsia="Courier New" w:hAnsi="Courier New"/>
          <w:sz w:val="18"/>
          <w:szCs w:val="18"/>
          <w:color w:val="auto"/>
        </w:rPr>
        <w:t>Exhibit 21</w:t>
      </w:r>
    </w:p>
    <w:p>
      <w:pPr>
        <w:spacing w:after="0" w:line="4"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1800"/>
        <w:spacing w:after="0" w:line="238" w:lineRule="auto"/>
        <w:rPr>
          <w:sz w:val="20"/>
          <w:szCs w:val="20"/>
          <w:color w:val="auto"/>
        </w:rPr>
      </w:pPr>
      <w:r>
        <w:rPr>
          <w:rFonts w:ascii="Courier New" w:cs="Courier New" w:eastAsia="Courier New" w:hAnsi="Courier New"/>
          <w:sz w:val="18"/>
          <w:szCs w:val="18"/>
          <w:color w:val="auto"/>
        </w:rPr>
        <w:t>LIST OF SUBSIDIARIES OF THE 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are current subsidiaries of the Registrant.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Subsidiary and Name Under Which Business is Done</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Where Organized</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Amati Communications Corporation</w:t>
            </w:r>
          </w:p>
        </w:tc>
        <w:tc>
          <w:tcPr>
            <w:tcW w:w="2000" w:type="dxa"/>
            <w:vAlign w:val="bottom"/>
          </w:tcPr>
          <w:p>
            <w:pPr>
              <w:ind w:left="22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Auto Circuits,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Automotive Sensors &amp; Controls Dresden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Benchmarq Microelectronics Corporation of South Korea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AG</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Switzerland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Europe</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England</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Foreign Sales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B.V.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Holding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Burr-Brown International Srl</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Japan,</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Burr-Brown Ltd.</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Cayman Islands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Burr-Brown Pte Ltd</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Butterfly Communications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European Engineering and Technologies S.p.A.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Fast Forward Technologies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England and Wales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GO DSP Corporation</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ICOT International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Arizona</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Inc. Foreign Sales</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Corporation</w:t>
            </w:r>
          </w:p>
        </w:tc>
        <w:tc>
          <w:tcPr>
            <w:tcW w:w="39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Intelligent Instrumentation S.R.L.</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Power Trends, Inc.</w:t>
            </w:r>
          </w:p>
        </w:tc>
        <w:tc>
          <w:tcPr>
            <w:tcW w:w="3900" w:type="dxa"/>
            <w:vAlign w:val="bottom"/>
          </w:tcPr>
          <w:p>
            <w:pPr>
              <w:spacing w:after="0"/>
              <w:rPr>
                <w:sz w:val="17"/>
                <w:szCs w:val="17"/>
                <w:color w:val="auto"/>
              </w:rPr>
            </w:pP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Illinois</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Silicon Systems (Singapore) Pte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Singapore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Telogy Networks, Inc.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Texas Instrumentos Eletronicos do Brasil Limitada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Brazil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 Denmark</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Denmark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Asia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Australia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Australia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Automotive Sensors and Controls</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San Jose Inc.</w:t>
            </w:r>
          </w:p>
        </w:tc>
        <w:tc>
          <w:tcPr>
            <w:tcW w:w="39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(Bahamas)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Bahamas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Belgium</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Belgium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Expansion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Canada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Company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China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China Incorporated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Texas Instruments, Copenhagen ApS</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Denmark</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 Mexico, S.A. de C.V.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Mexico</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Deutschland G.m.b.H.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Germany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 Systems Sdn. Bhd.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Espana,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Spain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Sales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Barbados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 S.A.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Austria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Holland B.V.</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Netherlands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Hong Kong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Hong Kong</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(Bermuda)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Bermuda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Capital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(Overseas)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 Trade Corporation</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(Ireland)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Ireland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 Cable Broadband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5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Communications Ltd.</w:t>
            </w:r>
          </w:p>
        </w:tc>
        <w:tc>
          <w:tcPr>
            <w:tcW w:w="20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Israel Ltd.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Israel</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Italia S.p.A.</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Italy</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Japan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Japan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Korea 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Korea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Limited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Kingdom</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Malaysia Sdn. Bhd.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Malaysia</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Oy</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Finland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(Philippines) Incorporated</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Texas Instruments</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Richardson LLC</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Delaware</w:t>
            </w:r>
          </w:p>
        </w:tc>
      </w:tr>
    </w:tbl>
    <w:p>
      <w:pPr>
        <w:sectPr>
          <w:pgSz w:w="11900" w:h="16838" w:orient="portrait"/>
          <w:cols w:equalWidth="0" w:num="1">
            <w:col w:w="10219"/>
          </w:cols>
          <w:pgMar w:left="240" w:top="136" w:right="1440" w:bottom="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Texas Instruments San Diego Incorporated</w:t>
      </w:r>
    </w:p>
    <w:p>
      <w:pPr>
        <w:spacing w:after="0" w:line="238" w:lineRule="auto"/>
        <w:rPr>
          <w:sz w:val="20"/>
          <w:szCs w:val="20"/>
          <w:color w:val="auto"/>
        </w:rPr>
      </w:pPr>
      <w:r>
        <w:rPr>
          <w:rFonts w:ascii="Courier New" w:cs="Courier New" w:eastAsia="Courier New" w:hAnsi="Courier New"/>
          <w:sz w:val="18"/>
          <w:szCs w:val="18"/>
          <w:color w:val="auto"/>
        </w:rPr>
        <w:t>Texas Instruments Santa Rosa Incorporated</w:t>
      </w:r>
    </w:p>
    <w:p>
      <w:pPr>
        <w:spacing w:after="0"/>
        <w:rPr>
          <w:sz w:val="20"/>
          <w:szCs w:val="20"/>
          <w:color w:val="auto"/>
        </w:rPr>
      </w:pPr>
      <w:r>
        <w:rPr>
          <w:rFonts w:ascii="Courier New" w:cs="Courier New" w:eastAsia="Courier New" w:hAnsi="Courier New"/>
          <w:sz w:val="18"/>
          <w:szCs w:val="18"/>
          <w:color w:val="auto"/>
        </w:rPr>
        <w:t>Texas Instruments (Shanghai) Co., Ltd.</w:t>
      </w:r>
    </w:p>
    <w:p>
      <w:pPr>
        <w:spacing w:after="0" w:line="237" w:lineRule="auto"/>
        <w:rPr>
          <w:sz w:val="20"/>
          <w:szCs w:val="20"/>
          <w:color w:val="auto"/>
        </w:rPr>
      </w:pPr>
      <w:r>
        <w:rPr>
          <w:rFonts w:ascii="Courier New" w:cs="Courier New" w:eastAsia="Courier New" w:hAnsi="Courier New"/>
          <w:sz w:val="18"/>
          <w:szCs w:val="18"/>
          <w:color w:val="auto"/>
        </w:rPr>
        <w:t>Texas Instruments Singapore (Pte) Limited</w:t>
      </w:r>
    </w:p>
    <w:p>
      <w:pPr>
        <w:spacing w:after="0" w:line="238" w:lineRule="auto"/>
        <w:rPr>
          <w:sz w:val="20"/>
          <w:szCs w:val="20"/>
          <w:color w:val="auto"/>
        </w:rPr>
      </w:pPr>
      <w:r>
        <w:rPr>
          <w:rFonts w:ascii="Courier New" w:cs="Courier New" w:eastAsia="Courier New" w:hAnsi="Courier New"/>
          <w:sz w:val="18"/>
          <w:szCs w:val="18"/>
          <w:color w:val="auto"/>
        </w:rPr>
        <w:t>Texas Instruments Supply Company</w:t>
      </w:r>
    </w:p>
    <w:p>
      <w:pPr>
        <w:spacing w:after="0"/>
        <w:rPr>
          <w:sz w:val="20"/>
          <w:szCs w:val="20"/>
          <w:color w:val="auto"/>
        </w:rPr>
      </w:pPr>
      <w:r>
        <w:rPr>
          <w:rFonts w:ascii="Courier New" w:cs="Courier New" w:eastAsia="Courier New" w:hAnsi="Courier New"/>
          <w:sz w:val="18"/>
          <w:szCs w:val="18"/>
          <w:color w:val="auto"/>
        </w:rPr>
        <w:t>Texas Instruments Taiwan Limited</w:t>
      </w:r>
    </w:p>
    <w:p>
      <w:pPr>
        <w:spacing w:after="0" w:line="237" w:lineRule="auto"/>
        <w:rPr>
          <w:sz w:val="20"/>
          <w:szCs w:val="20"/>
          <w:color w:val="auto"/>
        </w:rPr>
      </w:pPr>
      <w:r>
        <w:rPr>
          <w:rFonts w:ascii="Courier New" w:cs="Courier New" w:eastAsia="Courier New" w:hAnsi="Courier New"/>
          <w:sz w:val="18"/>
          <w:szCs w:val="18"/>
          <w:color w:val="auto"/>
        </w:rPr>
        <w:t>Texas Instruments Trade &amp; Investment Company S.A.</w:t>
      </w:r>
    </w:p>
    <w:p>
      <w:pPr>
        <w:spacing w:after="0"/>
        <w:rPr>
          <w:sz w:val="20"/>
          <w:szCs w:val="20"/>
          <w:color w:val="auto"/>
        </w:rPr>
      </w:pPr>
      <w:r>
        <w:rPr>
          <w:rFonts w:ascii="Courier New" w:cs="Courier New" w:eastAsia="Courier New" w:hAnsi="Courier New"/>
          <w:sz w:val="18"/>
          <w:szCs w:val="18"/>
          <w:color w:val="auto"/>
        </w:rPr>
        <w:t>Texas Instruments Tucson Corporation</w:t>
      </w:r>
    </w:p>
    <w:p>
      <w:pPr>
        <w:spacing w:after="0" w:line="237" w:lineRule="auto"/>
        <w:rPr>
          <w:sz w:val="20"/>
          <w:szCs w:val="20"/>
          <w:color w:val="auto"/>
        </w:rPr>
      </w:pPr>
      <w:r>
        <w:rPr>
          <w:rFonts w:ascii="Courier New" w:cs="Courier New" w:eastAsia="Courier New" w:hAnsi="Courier New"/>
          <w:sz w:val="18"/>
          <w:szCs w:val="18"/>
          <w:color w:val="auto"/>
        </w:rPr>
        <w:t>TI Europe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 Information Engineering International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Mexico Trade, S.A. de C.V.</w:t>
      </w:r>
    </w:p>
    <w:p>
      <w:pPr>
        <w:spacing w:after="0" w:line="238" w:lineRule="auto"/>
        <w:rPr>
          <w:sz w:val="20"/>
          <w:szCs w:val="20"/>
          <w:color w:val="auto"/>
        </w:rPr>
      </w:pPr>
      <w:r>
        <w:rPr>
          <w:rFonts w:ascii="Courier New" w:cs="Courier New" w:eastAsia="Courier New" w:hAnsi="Courier New"/>
          <w:sz w:val="18"/>
          <w:szCs w:val="18"/>
          <w:color w:val="auto"/>
        </w:rPr>
        <w:t>Unitrode Corporation</w:t>
      </w:r>
    </w:p>
    <w:p>
      <w:pPr>
        <w:spacing w:after="0"/>
        <w:rPr>
          <w:sz w:val="20"/>
          <w:szCs w:val="20"/>
          <w:color w:val="auto"/>
        </w:rPr>
      </w:pPr>
      <w:r>
        <w:rPr>
          <w:rFonts w:ascii="Courier New" w:cs="Courier New" w:eastAsia="Courier New" w:hAnsi="Courier New"/>
          <w:sz w:val="18"/>
          <w:szCs w:val="18"/>
          <w:color w:val="auto"/>
        </w:rPr>
        <w:t>Unitrode Electronics Asia Limited</w:t>
      </w:r>
    </w:p>
    <w:p>
      <w:pPr>
        <w:spacing w:after="0" w:line="237" w:lineRule="auto"/>
        <w:rPr>
          <w:sz w:val="20"/>
          <w:szCs w:val="20"/>
          <w:color w:val="auto"/>
        </w:rPr>
      </w:pPr>
      <w:r>
        <w:rPr>
          <w:rFonts w:ascii="Courier New" w:cs="Courier New" w:eastAsia="Courier New" w:hAnsi="Courier New"/>
          <w:sz w:val="18"/>
          <w:szCs w:val="18"/>
          <w:color w:val="auto"/>
        </w:rPr>
        <w:t>Unitrode Electronics GmbH</w:t>
      </w:r>
    </w:p>
    <w:p>
      <w:pPr>
        <w:spacing w:after="0" w:line="238" w:lineRule="auto"/>
        <w:rPr>
          <w:sz w:val="20"/>
          <w:szCs w:val="20"/>
          <w:color w:val="auto"/>
        </w:rPr>
      </w:pPr>
      <w:r>
        <w:rPr>
          <w:rFonts w:ascii="Courier New" w:cs="Courier New" w:eastAsia="Courier New" w:hAnsi="Courier New"/>
          <w:sz w:val="18"/>
          <w:szCs w:val="18"/>
          <w:color w:val="auto"/>
        </w:rPr>
        <w:t>Unitrode Electronics (Singapore) Pte Ltd</w:t>
      </w:r>
    </w:p>
    <w:p>
      <w:pPr>
        <w:spacing w:after="0"/>
        <w:rPr>
          <w:sz w:val="20"/>
          <w:szCs w:val="20"/>
          <w:color w:val="auto"/>
        </w:rPr>
      </w:pPr>
      <w:r>
        <w:rPr>
          <w:rFonts w:ascii="Courier New" w:cs="Courier New" w:eastAsia="Courier New" w:hAnsi="Courier New"/>
          <w:sz w:val="18"/>
          <w:szCs w:val="18"/>
          <w:color w:val="auto"/>
        </w:rPr>
        <w:t>Unitrode-Maine</w:t>
      </w:r>
    </w:p>
    <w:p>
      <w:pPr>
        <w:spacing w:after="0" w:line="237" w:lineRule="auto"/>
        <w:rPr>
          <w:sz w:val="20"/>
          <w:szCs w:val="20"/>
          <w:color w:val="auto"/>
        </w:rPr>
      </w:pPr>
      <w:r>
        <w:rPr>
          <w:rFonts w:ascii="Courier New" w:cs="Courier New" w:eastAsia="Courier New" w:hAnsi="Courier New"/>
          <w:sz w:val="18"/>
          <w:szCs w:val="18"/>
          <w:color w:val="auto"/>
        </w:rPr>
        <w:t>Unitrode S.r.l.</w:t>
      </w:r>
    </w:p>
    <w:p>
      <w:pPr>
        <w:spacing w:after="0"/>
        <w:rPr>
          <w:sz w:val="20"/>
          <w:szCs w:val="20"/>
          <w:color w:val="auto"/>
        </w:rPr>
      </w:pPr>
      <w:r>
        <w:rPr>
          <w:rFonts w:ascii="Courier New" w:cs="Courier New" w:eastAsia="Courier New" w:hAnsi="Courier New"/>
          <w:sz w:val="18"/>
          <w:szCs w:val="18"/>
          <w:color w:val="auto"/>
        </w:rPr>
        <w:t>Unitrode Trading (Singapore) Pte. Ltd.</w:t>
      </w:r>
    </w:p>
    <w:p>
      <w:pPr>
        <w:spacing w:after="0" w:line="237" w:lineRule="auto"/>
        <w:rPr>
          <w:sz w:val="20"/>
          <w:szCs w:val="20"/>
          <w:color w:val="auto"/>
        </w:rPr>
      </w:pPr>
      <w:r>
        <w:rPr>
          <w:rFonts w:ascii="Courier New" w:cs="Courier New" w:eastAsia="Courier New" w:hAnsi="Courier New"/>
          <w:sz w:val="18"/>
          <w:szCs w:val="18"/>
          <w:color w:val="auto"/>
        </w:rPr>
        <w:t>Unitrode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California</w:t>
      </w:r>
    </w:p>
    <w:p>
      <w:pPr>
        <w:spacing w:after="0"/>
        <w:rPr>
          <w:sz w:val="20"/>
          <w:szCs w:val="20"/>
          <w:color w:val="auto"/>
        </w:rPr>
      </w:pPr>
      <w:r>
        <w:rPr>
          <w:rFonts w:ascii="Courier New" w:cs="Courier New" w:eastAsia="Courier New" w:hAnsi="Courier New"/>
          <w:sz w:val="18"/>
          <w:szCs w:val="18"/>
          <w:color w:val="auto"/>
        </w:rPr>
        <w:t>China</w:t>
      </w:r>
    </w:p>
    <w:p>
      <w:pPr>
        <w:spacing w:after="0" w:line="237" w:lineRule="auto"/>
        <w:rPr>
          <w:sz w:val="20"/>
          <w:szCs w:val="20"/>
          <w:color w:val="auto"/>
        </w:rPr>
      </w:pPr>
      <w:r>
        <w:rPr>
          <w:rFonts w:ascii="Courier New" w:cs="Courier New" w:eastAsia="Courier New" w:hAnsi="Courier New"/>
          <w:sz w:val="18"/>
          <w:szCs w:val="18"/>
          <w:color w:val="auto"/>
        </w:rPr>
        <w:t>Singapore</w:t>
      </w:r>
    </w:p>
    <w:p>
      <w:pPr>
        <w:spacing w:after="0" w:line="238" w:lineRule="auto"/>
        <w:rPr>
          <w:sz w:val="20"/>
          <w:szCs w:val="20"/>
          <w:color w:val="auto"/>
        </w:rPr>
      </w:pPr>
      <w:r>
        <w:rPr>
          <w:rFonts w:ascii="Courier New" w:cs="Courier New" w:eastAsia="Courier New" w:hAnsi="Courier New"/>
          <w:sz w:val="18"/>
          <w:szCs w:val="18"/>
          <w:color w:val="auto"/>
        </w:rPr>
        <w:t>Texas</w:t>
      </w:r>
    </w:p>
    <w:p>
      <w:pPr>
        <w:spacing w:after="0"/>
        <w:rPr>
          <w:sz w:val="20"/>
          <w:szCs w:val="20"/>
          <w:color w:val="auto"/>
        </w:rPr>
      </w:pPr>
      <w:r>
        <w:rPr>
          <w:rFonts w:ascii="Courier New" w:cs="Courier New" w:eastAsia="Courier New" w:hAnsi="Courier New"/>
          <w:sz w:val="18"/>
          <w:szCs w:val="18"/>
          <w:color w:val="auto"/>
        </w:rPr>
        <w:t>Taiwan</w:t>
      </w:r>
    </w:p>
    <w:p>
      <w:pPr>
        <w:spacing w:after="0" w:line="237" w:lineRule="auto"/>
        <w:rPr>
          <w:sz w:val="20"/>
          <w:szCs w:val="20"/>
          <w:color w:val="auto"/>
        </w:rPr>
      </w:pPr>
      <w:r>
        <w:rPr>
          <w:rFonts w:ascii="Courier New" w:cs="Courier New" w:eastAsia="Courier New" w:hAnsi="Courier New"/>
          <w:sz w:val="18"/>
          <w:szCs w:val="18"/>
          <w:color w:val="auto"/>
        </w:rPr>
        <w:t>Panama</w:t>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Mexico</w:t>
      </w:r>
    </w:p>
    <w:p>
      <w:pPr>
        <w:spacing w:after="0"/>
        <w:rPr>
          <w:sz w:val="20"/>
          <w:szCs w:val="20"/>
          <w:color w:val="auto"/>
        </w:rPr>
      </w:pPr>
      <w:r>
        <w:rPr>
          <w:rFonts w:ascii="Courier New" w:cs="Courier New" w:eastAsia="Courier New" w:hAnsi="Courier New"/>
          <w:sz w:val="18"/>
          <w:szCs w:val="18"/>
          <w:color w:val="auto"/>
        </w:rPr>
        <w:t>Maryland</w:t>
      </w:r>
    </w:p>
    <w:p>
      <w:pPr>
        <w:spacing w:after="0" w:line="237" w:lineRule="auto"/>
        <w:rPr>
          <w:sz w:val="20"/>
          <w:szCs w:val="20"/>
          <w:color w:val="auto"/>
        </w:rPr>
      </w:pPr>
      <w:r>
        <w:rPr>
          <w:rFonts w:ascii="Courier New" w:cs="Courier New" w:eastAsia="Courier New" w:hAnsi="Courier New"/>
          <w:sz w:val="18"/>
          <w:szCs w:val="18"/>
          <w:color w:val="auto"/>
        </w:rPr>
        <w:t>Hong Kong</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Singapore</w:t>
      </w:r>
    </w:p>
    <w:p>
      <w:pPr>
        <w:spacing w:after="0" w:line="237" w:lineRule="auto"/>
        <w:rPr>
          <w:sz w:val="20"/>
          <w:szCs w:val="20"/>
          <w:color w:val="auto"/>
        </w:rPr>
      </w:pPr>
      <w:r>
        <w:rPr>
          <w:rFonts w:ascii="Courier New" w:cs="Courier New" w:eastAsia="Courier New" w:hAnsi="Courier New"/>
          <w:sz w:val="18"/>
          <w:szCs w:val="18"/>
          <w:color w:val="auto"/>
        </w:rPr>
        <w:t>Maine</w:t>
      </w:r>
    </w:p>
    <w:p>
      <w:pPr>
        <w:spacing w:after="0"/>
        <w:rPr>
          <w:sz w:val="20"/>
          <w:szCs w:val="20"/>
          <w:color w:val="auto"/>
        </w:rPr>
      </w:pPr>
      <w:r>
        <w:rPr>
          <w:rFonts w:ascii="Courier New" w:cs="Courier New" w:eastAsia="Courier New" w:hAnsi="Courier New"/>
          <w:sz w:val="18"/>
          <w:szCs w:val="18"/>
          <w:color w:val="auto"/>
        </w:rPr>
        <w:t>Italy</w:t>
      </w:r>
    </w:p>
    <w:p>
      <w:pPr>
        <w:spacing w:after="0" w:line="237" w:lineRule="auto"/>
        <w:rPr>
          <w:sz w:val="20"/>
          <w:szCs w:val="20"/>
          <w:color w:val="auto"/>
        </w:rPr>
      </w:pPr>
      <w:r>
        <w:rPr>
          <w:rFonts w:ascii="Courier New" w:cs="Courier New" w:eastAsia="Courier New" w:hAnsi="Courier New"/>
          <w:sz w:val="18"/>
          <w:szCs w:val="18"/>
          <w:color w:val="auto"/>
        </w:rPr>
        <w:t>Singapore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ectPr>
          <w:pgSz w:w="11900" w:h="16838" w:orient="portrait"/>
          <w:cols w:equalWidth="0" w:num="2">
            <w:col w:w="5600" w:space="420"/>
            <w:col w:w="4199"/>
          </w:cols>
          <w:pgMar w:left="240" w:top="136" w:right="1440" w:bottom="1440" w:gutter="0" w:footer="0" w:header="0"/>
        </w:sectPr>
      </w:pPr>
    </w:p>
    <w:bookmarkStart w:id="37" w:name="page38"/>
    <w:bookmarkEnd w:id="37"/>
    <w:p>
      <w:pPr>
        <w:ind w:left="7180"/>
        <w:spacing w:after="0"/>
        <w:rPr>
          <w:sz w:val="20"/>
          <w:szCs w:val="20"/>
          <w:color w:val="auto"/>
        </w:rPr>
      </w:pPr>
      <w:r>
        <w:rPr>
          <w:rFonts w:ascii="Courier New" w:cs="Courier New" w:eastAsia="Courier New" w:hAnsi="Courier New"/>
          <w:sz w:val="18"/>
          <w:szCs w:val="18"/>
          <w:color w:val="auto"/>
        </w:rPr>
        <w:t>Exhibit 23</w:t>
      </w:r>
    </w:p>
    <w:p>
      <w:pPr>
        <w:ind w:left="71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on Form 10-K of Texas Instruments Incorporated of our report dated January 22, 2001, included in the proxy statement for the 2001 annual meeting of stockholders of Texas Instruments Incorporated.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Our audits also included the financial statement schedule of Texas Instruments Incorporated listed in Item 14(a). This schedule is the responsibility of the Registrant's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We also consent to</w:t>
            </w:r>
          </w:p>
        </w:tc>
        <w:tc>
          <w:tcPr>
            <w:tcW w:w="3580" w:type="dxa"/>
            <w:vAlign w:val="bottom"/>
          </w:tcPr>
          <w:p>
            <w:pPr>
              <w:ind w:left="40"/>
              <w:spacing w:after="0"/>
              <w:rPr>
                <w:sz w:val="20"/>
                <w:szCs w:val="20"/>
                <w:color w:val="auto"/>
              </w:rPr>
            </w:pPr>
            <w:r>
              <w:rPr>
                <w:rFonts w:ascii="Courier New" w:cs="Courier New" w:eastAsia="Courier New" w:hAnsi="Courier New"/>
                <w:sz w:val="18"/>
                <w:szCs w:val="18"/>
                <w:color w:val="auto"/>
                <w:w w:val="98"/>
              </w:rPr>
              <w:t>the incorporation by reference in</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w w:val="96"/>
              </w:rPr>
              <w:t>the following registration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statements, and in</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the related prospectuses thereto,</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our report dated</w:t>
            </w: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January 22, 2001 with respect to the consolidated financial statements and</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schedule of Texas Instruments Incorporated, included</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or incorporated by</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reference in this Annual Report on Form 10-K for the</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2000: Registration</w:t>
            </w:r>
          </w:p>
        </w:tc>
        <w:tc>
          <w:tcPr>
            <w:tcW w:w="63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Statements (Forms S-8) No. 33-61154, No. 33-21407 (as</w:t>
            </w: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amended), No. 33-42172, No. 33-54615, No. 333-07127 (as amended),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 333-41913, No.</w:t>
            </w:r>
          </w:p>
        </w:tc>
        <w:tc>
          <w:tcPr>
            <w:tcW w:w="63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333-41919, No. 333-31319, No.333-31321, No. 333-31323,</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 333-48389, and</w:t>
            </w:r>
          </w:p>
        </w:tc>
        <w:tc>
          <w:tcPr>
            <w:tcW w:w="63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333-44662, and Registration Statements (Forms S-3)</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 333-03571, No.</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333-93011, No. 333-37208, and No.</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333-44572 (as amended),</w:t>
            </w:r>
          </w:p>
        </w:tc>
      </w:tr>
      <w:tr>
        <w:trPr>
          <w:trHeight w:val="203"/>
        </w:trPr>
        <w:tc>
          <w:tcPr>
            <w:tcW w:w="83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and Registration Statements (Forms S-4) No. 333-89433, No. 333-89097,</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 333-87199, No.</w:t>
            </w:r>
          </w:p>
        </w:tc>
        <w:tc>
          <w:tcPr>
            <w:tcW w:w="63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333-80157, and No. 333-41030 (as amended).</w:t>
            </w:r>
          </w:p>
        </w:tc>
      </w:tr>
      <w:tr>
        <w:trPr>
          <w:trHeight w:val="608"/>
        </w:trPr>
        <w:tc>
          <w:tcPr>
            <w:tcW w:w="1960" w:type="dxa"/>
            <w:vAlign w:val="bottom"/>
          </w:tcPr>
          <w:p>
            <w:pPr>
              <w:spacing w:after="0"/>
              <w:rPr>
                <w:sz w:val="20"/>
                <w:szCs w:val="20"/>
                <w:color w:val="auto"/>
              </w:rPr>
            </w:pPr>
            <w:r>
              <w:rPr>
                <w:rFonts w:ascii="Courier New" w:cs="Courier New" w:eastAsia="Courier New" w:hAnsi="Courier New"/>
                <w:sz w:val="18"/>
                <w:szCs w:val="18"/>
                <w:color w:val="auto"/>
              </w:rPr>
              <w:t>Dallas, Texas</w:t>
            </w:r>
          </w:p>
        </w:tc>
        <w:tc>
          <w:tcPr>
            <w:tcW w:w="6380" w:type="dxa"/>
            <w:vAlign w:val="bottom"/>
            <w:gridSpan w:val="2"/>
          </w:tcPr>
          <w:p>
            <w:pPr>
              <w:ind w:left="2580"/>
              <w:spacing w:after="0"/>
              <w:rPr>
                <w:sz w:val="20"/>
                <w:szCs w:val="20"/>
                <w:color w:val="auto"/>
              </w:rPr>
            </w:pPr>
            <w:r>
              <w:rPr>
                <w:rFonts w:ascii="Courier New" w:cs="Courier New" w:eastAsia="Courier New" w:hAnsi="Courier New"/>
                <w:sz w:val="18"/>
                <w:szCs w:val="18"/>
                <w:color w:val="auto"/>
              </w:rPr>
              <w:t>ERNST &amp; YOUNG LLP</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26, 2001</w:t>
            </w:r>
          </w:p>
        </w:tc>
        <w:tc>
          <w:tcPr>
            <w:tcW w:w="358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2"/>
      <w:numFmt w:val="bullet"/>
      <w:start w:val="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
      <w:numFmt w:val="bullet"/>
      <w:start w:val="1"/>
    </w:lvl>
    <w:lvl w:ilvl="1">
      <w:lvlJc w:val="left"/>
      <w:lvlText w:val="%2"/>
      <w:numFmt w:val="decimal"/>
      <w:start w:val="23"/>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upperLetter"/>
      <w:start w:val="35"/>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decimal"/>
      <w:start w:val="2"/>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5"/>
    </w:lvl>
  </w:abstractNum>
  <w:abstractNum w:abstractNumId="16">
    <w:nsid w:val="519B500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7">
    <w:nsid w:val="431BD7B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2019-12-13T07:37:27Z</dcterms:created>
  <dcterms:modified xsi:type="dcterms:W3CDTF">2019-12-13T07:37:27Z</dcterms:modified>
</cp:coreProperties>
</file>