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64,081,361</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64,081,361</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64,081,361</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315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64,081,361 shares or 6.4% of the 999,485,728 shares believed to be outstanding as a result of CRMC acting as investment adviser to various investment</w:t>
      </w:r>
    </w:p>
    <w:p>
      <w:pPr>
        <w:ind w:left="740"/>
        <w:spacing w:after="0"/>
        <w:rPr>
          <w:sz w:val="20"/>
          <w:szCs w:val="20"/>
          <w:color w:val="auto"/>
        </w:rPr>
      </w:pPr>
      <w:r>
        <w:rPr>
          <w:rFonts w:ascii="Courier New" w:cs="Courier New" w:eastAsia="Courier New" w:hAnsi="Courier New"/>
          <w:sz w:val="18"/>
          <w:szCs w:val="18"/>
          <w:color w:val="auto"/>
        </w:rPr>
        <w:t>companies registered under Section 8 of the Investment Company</w:t>
      </w:r>
    </w:p>
    <w:p>
      <w:pPr>
        <w:ind w:left="740"/>
        <w:spacing w:after="0" w:line="237" w:lineRule="auto"/>
        <w:rPr>
          <w:sz w:val="20"/>
          <w:szCs w:val="20"/>
          <w:color w:val="auto"/>
        </w:rPr>
      </w:pPr>
      <w:r>
        <w:rPr>
          <w:rFonts w:ascii="Courier New" w:cs="Courier New" w:eastAsia="Courier New" w:hAnsi="Courier New"/>
          <w:sz w:val="18"/>
          <w:szCs w:val="18"/>
          <w:color w:val="auto"/>
        </w:rPr>
        <w:t>Act of 1940.</w:t>
      </w: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6"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10, 2017</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6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Armour - Partner</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Liliane Corzo</w:t>
      </w:r>
    </w:p>
    <w:p>
      <w:pPr>
        <w:ind w:left="1580"/>
        <w:spacing w:after="0" w:line="238" w:lineRule="auto"/>
        <w:rPr>
          <w:sz w:val="20"/>
          <w:szCs w:val="20"/>
          <w:color w:val="auto"/>
        </w:rPr>
      </w:pPr>
      <w:r>
        <w:rPr>
          <w:rFonts w:ascii="Courier New" w:cs="Courier New" w:eastAsia="Courier New" w:hAnsi="Courier New"/>
          <w:sz w:val="18"/>
          <w:szCs w:val="18"/>
          <w:color w:val="auto"/>
        </w:rPr>
        <w:t>Liliane Corzo</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6, 2017 included as an Exhibit to Schedule 13G filed with the Securities and Exchange Commission by Capital Research Global Investors on January 10, 2017 with respect to Sprouts Farmers Market, Inc.</w:t>
      </w:r>
    </w:p>
    <w:p>
      <w:pPr>
        <w:sectPr>
          <w:pgSz w:w="11900" w:h="16838" w:orient="portrait"/>
          <w:cols w:equalWidth="0" w:num="1">
            <w:col w:w="10219"/>
          </w:cols>
          <w:pgMar w:left="240" w:top="142" w:right="1440" w:bottom="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3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2019-12-21T03:58:31Z</dcterms:created>
  <dcterms:modified xsi:type="dcterms:W3CDTF">2019-12-21T03:58:31Z</dcterms:modified>
</cp:coreProperties>
</file>