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3734dsd.htm"/>
      <w:bookmarkStart w:id="1" w:name="ksd43734dsd"/>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SPECIALIZED DISCLOSURE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TEXAS INSTRUMENTS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75-0289970</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001-03761</w:t>
            </w:r>
          </w:p>
        </w:tc>
      </w:tr>
      <w:tr>
        <w:trPr/>
        <w:tc>
          <w:tcPr>
            <w:tcW w:w="3470" w:type="dxa"/>
            <w:tcBorders/>
          </w:tcPr>
          <w:p>
            <w:pPr>
              <w:pStyle w:val="TableContents"/>
              <w:bidi w:val="0"/>
              <w:spacing w:before="0" w:after="283"/>
              <w:jc w:val="center"/>
              <w:rPr>
                <w:b/>
              </w:rPr>
            </w:pPr>
            <w:r>
              <w:rPr>
                <w:b/>
              </w:rPr>
              <w:t>(State 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(I.R.S. Employer</w:t>
              <w:br/>
              <w:t>Identification No.)</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(Commission</w:t>
              <w:br/>
              <w:t>File Number)</w:t>
            </w:r>
          </w:p>
        </w:tc>
      </w:tr>
      <w:tr>
        <w:trPr>
          <w:trHeight w:val="240" w:hRule="atLeast"/>
        </w:trPr>
        <w:tc>
          <w:tcPr>
            <w:tcW w:w="3470" w:type="dxa"/>
            <w:tcBorders/>
            <w:vAlign w:val="center"/>
          </w:tcPr>
          <w:p>
            <w:pPr>
              <w:pStyle w:val="TableContents"/>
              <w:bidi w:val="0"/>
              <w:spacing w:before="0" w:after="283"/>
              <w:jc w:val="left"/>
              <w:rPr>
                <w:sz w:val="4"/>
                <w:szCs w:val="4"/>
              </w:rPr>
            </w:pPr>
            <w:r>
              <w:rPr>
                <w:sz w:val="4"/>
                <w:szCs w:val="4"/>
              </w:rPr>
            </w:r>
          </w:p>
        </w:tc>
        <w:tc>
          <w:tcPr>
            <w:tcW w:w="3367"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12500 TI Boulevard, Dallas, Texas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75243</w:t>
            </w:r>
          </w:p>
        </w:tc>
      </w:tr>
      <w:tr>
        <w:trPr/>
        <w:tc>
          <w:tcPr>
            <w:tcW w:w="3470" w:type="dxa"/>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Beverly Beasley, 214-567-8441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telephone, including area code, of the person to contact in connection with this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to indicate the rule pursuant to which this form is being filed, and provide the period to which the information in this form applies: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13p-1 under the Securities Exchange Act (17 CFR 240.13p-1) for the reporting period from January 1 to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13q-1 under the Securities Exchange Act (17 CFR 240.13q-1) for the fiscal year ending December 31, 2025.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 – Conflict Minerals Disclosure </w:t>
      </w:r>
    </w:p>
    <w:p>
      <w:pPr>
        <w:pStyle w:val="TextBody"/>
        <w:bidi w:val="0"/>
        <w:spacing w:before="120" w:after="0"/>
        <w:jc w:val="left"/>
        <w:rPr>
          <w:rFonts w:ascii="Times New Roman" w:hAnsi="Times New Roman"/>
          <w:b/>
          <w:sz w:val="20"/>
        </w:rPr>
      </w:pPr>
      <w:r>
        <w:rPr>
          <w:rFonts w:ascii="Times New Roman" w:hAnsi="Times New Roman"/>
          <w:b/>
          <w:sz w:val="20"/>
        </w:rPr>
        <w:t xml:space="preserve">ITEM 1.01 Conflict Minerals Disclosure and Report </w:t>
      </w:r>
    </w:p>
    <w:p>
      <w:pPr>
        <w:pStyle w:val="TextBody"/>
        <w:bidi w:val="0"/>
        <w:spacing w:before="120" w:after="0"/>
        <w:jc w:val="left"/>
        <w:rPr>
          <w:rFonts w:ascii="Times New Roman" w:hAnsi="Times New Roman"/>
          <w:sz w:val="20"/>
        </w:rPr>
      </w:pPr>
      <w:r>
        <w:rPr>
          <w:rFonts w:ascii="Times New Roman" w:hAnsi="Times New Roman"/>
          <w:sz w:val="20"/>
        </w:rPr>
        <w:t xml:space="preserve">This Form SD should be read in conjunction with the definitions contained in the U.S. Securities and Exchange Commission (“SEC”) instructions to Form SD and related rules. “Conflict minerals” refers to four specific metals regardless of their country of origin or whether they are financing or benefiting armed conflict: tantalum, tin, tungsten and gold.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conflict minerals necessary to the functionality or production of products manufactured by Texas Instruments Incorporated (“TI”), or contracted by TI to be manufactured, and required to be reported on Form SD for 2025 (collectively, “CMs”), we exercised due diligence concerning the source and chain of custody of the CMs. For a description of our due diligence (which included a reasonable country of origin inquiry), please see our Conflict Minerals Report (Exhibit 1.01). </w:t>
      </w:r>
    </w:p>
    <w:p>
      <w:pPr>
        <w:pStyle w:val="TextBody"/>
        <w:bidi w:val="0"/>
        <w:spacing w:before="240" w:after="0"/>
        <w:jc w:val="left"/>
        <w:rPr>
          <w:rFonts w:ascii="Times New Roman" w:hAnsi="Times New Roman"/>
          <w:sz w:val="20"/>
        </w:rPr>
      </w:pPr>
      <w:r>
        <w:rPr>
          <w:rFonts w:ascii="Times New Roman" w:hAnsi="Times New Roman"/>
          <w:sz w:val="20"/>
        </w:rPr>
        <w:t xml:space="preserve">This Form SD is available on our web site at ti.com/conflict-minerals. We are not incorporating by reference the contents of our web site into this Form SD. </w:t>
      </w:r>
    </w:p>
    <w:p>
      <w:pPr>
        <w:pStyle w:val="TextBody"/>
        <w:bidi w:val="0"/>
        <w:spacing w:before="360" w:after="0"/>
        <w:jc w:val="left"/>
        <w:rPr>
          <w:rFonts w:ascii="Times New Roman" w:hAnsi="Times New Roman"/>
          <w:b/>
          <w:sz w:val="20"/>
        </w:rPr>
      </w:pPr>
      <w:r>
        <w:rPr>
          <w:rFonts w:ascii="Times New Roman" w:hAnsi="Times New Roman"/>
          <w:b/>
          <w:sz w:val="20"/>
        </w:rPr>
        <w:t xml:space="preserve">ITEM 1.02 Exhibit </w:t>
      </w:r>
    </w:p>
    <w:p>
      <w:pPr>
        <w:pStyle w:val="TextBody"/>
        <w:bidi w:val="0"/>
        <w:spacing w:before="120" w:after="0"/>
        <w:jc w:val="left"/>
        <w:rPr>
          <w:rFonts w:ascii="Times New Roman" w:hAnsi="Times New Roman"/>
          <w:sz w:val="20"/>
        </w:rPr>
      </w:pPr>
      <w:r>
        <w:rPr>
          <w:rFonts w:ascii="Times New Roman" w:hAnsi="Times New Roman"/>
          <w:sz w:val="20"/>
        </w:rPr>
        <w:t xml:space="preserve">The registrant’s Conflict Minerals Report for 2025 is attached hereto as Exhibit 1.01.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 Resource Extraction Issuer Disclosure </w:t>
      </w:r>
    </w:p>
    <w:p>
      <w:pPr>
        <w:pStyle w:val="TextBody"/>
        <w:bidi w:val="0"/>
        <w:spacing w:before="120" w:after="0"/>
        <w:jc w:val="left"/>
        <w:rPr>
          <w:rFonts w:ascii="Times New Roman" w:hAnsi="Times New Roman"/>
          <w:b/>
          <w:sz w:val="20"/>
        </w:rPr>
      </w:pPr>
      <w:r>
        <w:rPr>
          <w:rFonts w:ascii="Times New Roman" w:hAnsi="Times New Roman"/>
          <w:b/>
          <w:sz w:val="20"/>
        </w:rPr>
        <w:t xml:space="preserve">ITEM 2.01 Resource Extraction Issuer Disclosure and Report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 –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ITEM 3.01 Exhibits </w:t>
      </w:r>
    </w:p>
    <w:p>
      <w:pPr>
        <w:pStyle w:val="TextBody"/>
        <w:bidi w:val="0"/>
        <w:spacing w:before="120" w:after="0"/>
        <w:jc w:val="left"/>
        <w:rPr/>
      </w:pPr>
      <w:r>
        <w:rPr>
          <w:rFonts w:ascii="Times New Roman" w:hAnsi="Times New Roman"/>
          <w:sz w:val="20"/>
        </w:rPr>
        <w:t xml:space="preserve">Exhibit 1.01 – </w:t>
      </w:r>
      <w:hyperlink w:anchor="d43734dex101.htm">
        <w:r>
          <w:rPr>
            <w:rStyle w:val="InternetLink"/>
            <w:rFonts w:ascii="Times New Roman" w:hAnsi="Times New Roman"/>
            <w:sz w:val="20"/>
          </w:rPr>
          <w:t xml:space="preserve">Conflict Minerals Report as required by Items 1.01 and 1.02 of this Form. </w:t>
        </w:r>
      </w:hyperlink>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duly authorized undersigned.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16"/>
        <w:gridCol w:w="107"/>
        <w:gridCol w:w="398"/>
        <w:gridCol w:w="107"/>
        <w:gridCol w:w="350"/>
        <w:gridCol w:w="107"/>
        <w:gridCol w:w="4620"/>
      </w:tblGrid>
      <w:tr>
        <w:trPr/>
        <w:tc>
          <w:tcPr>
            <w:tcW w:w="451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620" w:type="dxa"/>
            <w:tcBorders/>
            <w:vAlign w:val="center"/>
          </w:tcPr>
          <w:p>
            <w:pPr>
              <w:pStyle w:val="TableContents"/>
              <w:bidi w:val="0"/>
              <w:spacing w:before="0" w:after="283"/>
              <w:jc w:val="left"/>
              <w:rPr>
                <w:sz w:val="4"/>
                <w:szCs w:val="4"/>
              </w:rPr>
            </w:pPr>
            <w:r>
              <w:rPr>
                <w:sz w:val="4"/>
                <w:szCs w:val="4"/>
              </w:rPr>
            </w:r>
          </w:p>
        </w:tc>
      </w:tr>
      <w:tr>
        <w:trPr/>
        <w:tc>
          <w:tcPr>
            <w:tcW w:w="451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07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TEXAS INSTRUMENTS INCORPORATED</w:t>
            </w:r>
          </w:p>
        </w:tc>
      </w:tr>
      <w:tr>
        <w:trPr>
          <w:trHeight w:val="240" w:hRule="atLeast"/>
        </w:trPr>
        <w:tc>
          <w:tcPr>
            <w:tcW w:w="4516" w:type="dxa"/>
            <w:tcBorders/>
            <w:vAlign w:val="center"/>
          </w:tcPr>
          <w:p>
            <w:pPr>
              <w:pStyle w:val="TableContents"/>
              <w:bidi w:val="0"/>
              <w:spacing w:before="0" w:after="283"/>
              <w:jc w:val="left"/>
              <w:rPr>
                <w:sz w:val="4"/>
                <w:szCs w:val="4"/>
              </w:rPr>
            </w:pPr>
            <w:r>
              <w:rPr>
                <w:sz w:val="4"/>
                <w:szCs w:val="4"/>
              </w:rPr>
            </w:r>
          </w:p>
        </w:tc>
        <w:tc>
          <w:tcPr>
            <w:tcW w:w="505" w:type="dxa"/>
            <w:gridSpan w:val="2"/>
            <w:tcBorders/>
            <w:vAlign w:val="center"/>
          </w:tcPr>
          <w:p>
            <w:pPr>
              <w:pStyle w:val="TableContents"/>
              <w:bidi w:val="0"/>
              <w:spacing w:before="0" w:after="283"/>
              <w:jc w:val="left"/>
              <w:rPr>
                <w:sz w:val="4"/>
                <w:szCs w:val="4"/>
              </w:rPr>
            </w:pPr>
            <w:r>
              <w:rPr>
                <w:sz w:val="4"/>
                <w:szCs w:val="4"/>
              </w:rPr>
            </w:r>
          </w:p>
        </w:tc>
        <w:tc>
          <w:tcPr>
            <w:tcW w:w="457" w:type="dxa"/>
            <w:gridSpan w:val="2"/>
            <w:tcBorders/>
            <w:vAlign w:val="center"/>
          </w:tcPr>
          <w:p>
            <w:pPr>
              <w:pStyle w:val="TableContents"/>
              <w:bidi w:val="0"/>
              <w:spacing w:before="0" w:after="283"/>
              <w:jc w:val="left"/>
              <w:rPr>
                <w:sz w:val="4"/>
                <w:szCs w:val="4"/>
              </w:rPr>
            </w:pPr>
            <w:r>
              <w:rPr>
                <w:sz w:val="4"/>
                <w:szCs w:val="4"/>
              </w:rPr>
            </w:r>
          </w:p>
        </w:tc>
        <w:tc>
          <w:tcPr>
            <w:tcW w:w="4727" w:type="dxa"/>
            <w:gridSpan w:val="2"/>
            <w:tcBorders/>
            <w:vAlign w:val="center"/>
          </w:tcPr>
          <w:p>
            <w:pPr>
              <w:pStyle w:val="TableContents"/>
              <w:bidi w:val="0"/>
              <w:spacing w:before="0" w:after="283"/>
              <w:jc w:val="left"/>
              <w:rPr>
                <w:sz w:val="4"/>
                <w:szCs w:val="4"/>
              </w:rPr>
            </w:pPr>
            <w:r>
              <w:rPr>
                <w:sz w:val="4"/>
                <w:szCs w:val="4"/>
              </w:rPr>
            </w:r>
          </w:p>
        </w:tc>
      </w:tr>
      <w:tr>
        <w:trPr/>
        <w:tc>
          <w:tcPr>
            <w:tcW w:w="4516" w:type="dxa"/>
            <w:tcBorders/>
          </w:tcPr>
          <w:p>
            <w:pPr>
              <w:pStyle w:val="TableContents"/>
              <w:bidi w:val="0"/>
              <w:spacing w:before="0" w:after="0"/>
              <w:jc w:val="left"/>
              <w:rPr>
                <w:rFonts w:ascii="Times New Roman" w:hAnsi="Times New Roman"/>
                <w:sz w:val="20"/>
              </w:rPr>
            </w:pPr>
            <w:r>
              <w:rPr>
                <w:rFonts w:ascii="Times New Roman" w:hAnsi="Times New Roman"/>
                <w:sz w:val="20"/>
              </w:rPr>
              <w:t>Date: June 1, 2026</w:t>
            </w:r>
          </w:p>
        </w:tc>
        <w:tc>
          <w:tcPr>
            <w:tcW w:w="107"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5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620"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Rafael R. Lizardi</w:t>
            </w:r>
          </w:p>
        </w:tc>
      </w:tr>
      <w:tr>
        <w:trPr/>
        <w:tc>
          <w:tcPr>
            <w:tcW w:w="451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50"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20" w:type="dxa"/>
            <w:tcBorders/>
          </w:tcPr>
          <w:p>
            <w:pPr>
              <w:pStyle w:val="TableContents"/>
              <w:bidi w:val="0"/>
              <w:spacing w:before="0" w:after="0"/>
              <w:jc w:val="left"/>
              <w:rPr>
                <w:rFonts w:ascii="Times New Roman" w:hAnsi="Times New Roman"/>
                <w:sz w:val="20"/>
              </w:rPr>
            </w:pPr>
            <w:r>
              <w:rPr>
                <w:rFonts w:ascii="Times New Roman" w:hAnsi="Times New Roman"/>
                <w:sz w:val="20"/>
              </w:rPr>
              <w:t>Rafael R. Lizardi</w:t>
            </w:r>
          </w:p>
        </w:tc>
      </w:tr>
      <w:tr>
        <w:trPr/>
        <w:tc>
          <w:tcPr>
            <w:tcW w:w="451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50"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Senior Vice President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43734dex101.htm"/>
      <w:bookmarkStart w:id="3" w:name="ksd43734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Conflict Minerals Report of Texas Instruments Incorporated </w:t>
      </w:r>
    </w:p>
    <w:p>
      <w:pPr>
        <w:pStyle w:val="TextBody"/>
        <w:bidi w:val="0"/>
        <w:spacing w:before="0" w:after="0"/>
        <w:jc w:val="center"/>
        <w:rPr>
          <w:rFonts w:ascii="Times New Roman" w:hAnsi="Times New Roman"/>
          <w:sz w:val="20"/>
        </w:rPr>
      </w:pPr>
      <w:r>
        <w:rPr>
          <w:rFonts w:ascii="Times New Roman" w:hAnsi="Times New Roman"/>
          <w:sz w:val="20"/>
        </w:rPr>
        <w:t xml:space="preserve">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This Conflict Minerals Report should be read in conjunction with the definitions contained in the U.S. Securities and Exchange Commission (“SEC”) instructions to Form SD and related rules. This Conflict Minerals Report and our conflict minerals policy are available on our web site at ti.com/conflict-minerals. We are not incorporating by reference the contents of our web site into this Conflict Minerals Report. “Conflict minerals” refers to four specific metals regardless of their country of origin or whether they are financing or benefiting armed conflict: tantalum, tin, tungsten and gold.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 of Due Diligence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management systems and due diligence procedures (our “CM Process”) as a basis for supply-chain management and disclosure compliance relating to the conflict minerals necessary to the functionality or production of products manufactured by TI, or contracted by TI to be manufactured, and required to be reported for 2025 (collectively, “CMs”). We designed the CM Process with the intent to conform in all material respects with the five-step framework of the Organization for Economic Co-Operation and Development (“OECD”) Due Diligence Guidance for Responsible Supply Chains of Minerals from Conflict-Affected and High-Risk Areas (Third Edition): </w:t>
      </w:r>
    </w:p>
    <w:p>
      <w:pPr>
        <w:pStyle w:val="TextBody"/>
        <w:bidi w:val="0"/>
        <w:spacing w:before="240" w:after="0"/>
        <w:jc w:val="left"/>
        <w:rPr>
          <w:rFonts w:ascii="Times New Roman" w:hAnsi="Times New Roman"/>
          <w:sz w:val="20"/>
        </w:rPr>
      </w:pPr>
      <w:r>
        <w:rPr>
          <w:rFonts w:ascii="Times New Roman" w:hAnsi="Times New Roman"/>
          <w:sz w:val="20"/>
        </w:rPr>
        <w:t xml:space="preserve">Step 1: Establish strong company management systems </w:t>
      </w:r>
    </w:p>
    <w:p>
      <w:pPr>
        <w:pStyle w:val="TextBody"/>
        <w:bidi w:val="0"/>
        <w:spacing w:before="240" w:after="0"/>
        <w:jc w:val="left"/>
        <w:rPr>
          <w:rFonts w:ascii="Times New Roman" w:hAnsi="Times New Roman"/>
          <w:sz w:val="20"/>
        </w:rPr>
      </w:pPr>
      <w:r>
        <w:rPr>
          <w:rFonts w:ascii="Times New Roman" w:hAnsi="Times New Roman"/>
          <w:sz w:val="20"/>
        </w:rPr>
        <w:t xml:space="preserve">Step 2: Identify and assess risks in the supply chain </w:t>
      </w:r>
    </w:p>
    <w:p>
      <w:pPr>
        <w:pStyle w:val="TextBody"/>
        <w:bidi w:val="0"/>
        <w:spacing w:before="240" w:after="0"/>
        <w:jc w:val="left"/>
        <w:rPr>
          <w:rFonts w:ascii="Times New Roman" w:hAnsi="Times New Roman"/>
          <w:sz w:val="20"/>
        </w:rPr>
      </w:pPr>
      <w:r>
        <w:rPr>
          <w:rFonts w:ascii="Times New Roman" w:hAnsi="Times New Roman"/>
          <w:sz w:val="20"/>
        </w:rPr>
        <w:t xml:space="preserve">Step 3: Design and implement a strategy to respond to identified risks </w:t>
      </w:r>
    </w:p>
    <w:p>
      <w:pPr>
        <w:pStyle w:val="TextBody"/>
        <w:bidi w:val="0"/>
        <w:spacing w:before="240" w:after="0"/>
        <w:jc w:val="left"/>
        <w:rPr>
          <w:rFonts w:ascii="Times New Roman" w:hAnsi="Times New Roman"/>
          <w:sz w:val="20"/>
        </w:rPr>
      </w:pPr>
      <w:r>
        <w:rPr>
          <w:rFonts w:ascii="Times New Roman" w:hAnsi="Times New Roman"/>
          <w:sz w:val="20"/>
        </w:rPr>
        <w:t xml:space="preserve">Step 4: Carry out independent third-party audit of smelter/refiner’s due diligence practices </w:t>
      </w:r>
    </w:p>
    <w:p>
      <w:pPr>
        <w:pStyle w:val="TextBody"/>
        <w:bidi w:val="0"/>
        <w:spacing w:before="240" w:after="0"/>
        <w:jc w:val="left"/>
        <w:rPr>
          <w:rFonts w:ascii="Times New Roman" w:hAnsi="Times New Roman"/>
          <w:sz w:val="20"/>
        </w:rPr>
      </w:pPr>
      <w:r>
        <w:rPr>
          <w:rFonts w:ascii="Times New Roman" w:hAnsi="Times New Roman"/>
          <w:sz w:val="20"/>
        </w:rPr>
        <w:t xml:space="preserve">Step 5: Report annually on supply chain due diligence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Reliance on Third-Party Data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ability to determine the origin and chain of custody of CMs, and whether they directly or indirectly finance or benefit armed groups in the Democratic Republic of the Congo or any adjoining country (each a “Covered Country”) in any manner (the “Conflict Status”), is limited. Our supply chain for CMs is complex. In many cases, we are multiple steps removed from the smelter or refiner (“Smelter”), and we depend on information from our direct suppliers of materials that contain CMs and third-party manufacturers of our products that contain CMs (collectively, “Suppliers”) that themselves have incomplete information about the origin of the CMs incorporated in the products they supply to us. </w:t>
      </w:r>
    </w:p>
    <w:p>
      <w:pPr>
        <w:pStyle w:val="TextBody"/>
        <w:bidi w:val="0"/>
        <w:spacing w:before="240" w:after="0"/>
        <w:jc w:val="left"/>
        <w:rPr>
          <w:rFonts w:ascii="Times New Roman" w:hAnsi="Times New Roman"/>
          <w:sz w:val="20"/>
        </w:rPr>
      </w:pPr>
      <w:r>
        <w:rPr>
          <w:rFonts w:ascii="Times New Roman" w:hAnsi="Times New Roman"/>
          <w:sz w:val="20"/>
        </w:rPr>
        <w:t xml:space="preserve">To gain insight into the country of origin, chain of custody and Conflict Status of the CMs in our supply chain, we relied primarily on the findings of the Responsible Minerals Assurance Process (“RMAP”). The RMAP is a voluntary program in which an independent third party evaluates Smelters’ management systems and procurement practices and determines whether the Smelter is Conformant to RMAP standards. To be Conformant,1 a Smelter must have demonstrated, among other requirements, that CMs it processed originated from sources that are not financing or benefiting armed conflict in a Covered Country. The RMAP is overseen by the Responsible Minerals Initiative (“RMI”), which was established by members of the Responsible Business Alliance (“RBA”) and the Global e-Sustainability Initiative. TI is a member of the RBA and RMI.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Diligence Measures Taken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measures we took to exercise due diligence on the source and chain of custody of our CMs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Step 1: Establish strong company management systems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 and implement a conflict minerals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 an organizational structure and processes intended to ensure that Suppliers are made aware of TI’s policy on CMs and that information received by TI that is relevant to supply-chain due diligence reaches TI employees who have knowledge of the SEC disclosure requirements;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pPr>
            <w:r>
              <w:rPr/>
              <w:t>“</w:t>
            </w:r>
            <w:r>
              <w:rPr>
                <w:rFonts w:ascii="Times New Roman" w:hAnsi="Times New Roman"/>
                <w:sz w:val="20"/>
              </w:rPr>
              <w:t xml:space="preserve">Conformant” means a Smelter has successfully completed an assessment against the applicable RMAP standard or an equivalent cross-recognized assessment.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a process, which uses a reporting tool developed by the RMI and data gathered through the RMAP (as further described below), to achieve control and transparency over our CM supply chain and identify the risk that our products may contain CMs directly or indirectly financing or benefiting armed groups in any Covered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a mechanism for Suppliers and others to communicate to TI their concerns with respect to our CM Process;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Rely on the RMAP to validate supply chain due diligence.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Step 2: Identify and assess risks in the supply chain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Communicate our CM policy to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Suppliers to provide information concerning Smelters in their supply chains by completing and sending to us the Conflict Minerals Reporting Template (a tool developed by the RMI that provides a common means for suppliers to provide their customers with information on the source of conflict minerals);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Analyze Suppliers’ Conflict Minerals Reporting Template responses for completeness and internal consistency, and follow up with Suppliers in an effort to obtain more information and ensure accuracy of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 the information received from Suppliers with the data made available by the RMAP concerning the country of origin and Conflict Status of CMs processed or refined by Smelters;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other source materials for Smelters that are not compliant with the RMI if we were unable to determine, on the basis of the information provided by Suppliers and RMAP data, (i) the facility and country of origin of the CMs supplied to us, (ii) the Conflict Status of the CMs and (iii) whether the CMs were from recycled or scrap sources.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Step 3: Design and implement a strategy to respond to identified risks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 risk management plan in response to identified risks while continuing to do business with Supplier or suspending/terminating dealings with Supplier;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Communicate the risk management plan to senior management.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Step 4: Carry out independent third-party audit of smelter/refiner’s due diligence practices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information provided by independent third party audit programs, including the RMI, to confirm the existence and verify the OECD-conformance status of Smelters identified during due diligence.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Step 5: Report annually on the supply chain due diligence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Annually submit a Conflict Minerals Disclosure and Report to the SEC, which reports the results of TI’s due diligence. This Conflict Minerals Report has been filed with the SEC and is available on our website at ti.com/conflict-minerals.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Scope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2025, our products were divided into two reportable segments as described in our annual report on Form 10-K for the year ended December 31, 2025: Analog (consisting of Power and Signal Chain product lines) and Embedded Processing (including microcontrollers, digital signal processors, and applications processors). We report the results of our remaining business activities in Other. “Other” includes operating segments that do not meet the quantitative thresholds for individually reportable segments and cannot be aggregated with other operating segments (Other includes DLP® products, calculators, and certain custom semiconductors known as application-specific integrated circuits). For further information about our products, please see the description of our products in Item 1 of the Form 10-K, which description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Findings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integrated circuits (“ICs”)2 we have determined that approximately 99% (196) of the 197 Smelters identified by our Suppliers as being potentially in the supply chain in 2025 were Conformant. The remainder – less than 1% (1) – was designated as Active.3 ICs accounted for approximately 92% of TI revenue in 2025. </w:t>
      </w:r>
    </w:p>
    <w:p>
      <w:pPr>
        <w:pStyle w:val="TextBody"/>
        <w:bidi w:val="0"/>
        <w:spacing w:before="240" w:after="0"/>
        <w:jc w:val="left"/>
        <w:rPr>
          <w:rFonts w:ascii="Times New Roman" w:hAnsi="Times New Roman"/>
          <w:sz w:val="20"/>
        </w:rPr>
      </w:pPr>
      <w:r>
        <w:rPr>
          <w:rFonts w:ascii="Times New Roman" w:hAnsi="Times New Roman"/>
          <w:sz w:val="20"/>
        </w:rPr>
        <w:t xml:space="preserve">For our overall supply chain, which consists of ICs as well as other products manufactured by or for TI, we have determined that approximately 93% (211) of the 226 Smelters identified by our Suppliers as being potentially in the supply chain in 2025 were Conformant. Of the remaining 7% (15) of the Smelters identified for 2025, 5 were designated as Active, 8 were Non-Conformant4, and two were targeted for initial RMAP assessment. As of April 28, 2026, the number of Non-Conformant Smelters identified as potentially in TI’s supply chain was reduced to zero. In no instance did we find CMs in our supply chain to be from a source that, to our knowledge, was directly or indirectly financing or benefiting armed conflict in a Covered Country.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pPr>
            <w:r>
              <w:rPr/>
              <w:t>“</w:t>
            </w:r>
            <w:r>
              <w:rPr>
                <w:rFonts w:ascii="Times New Roman" w:hAnsi="Times New Roman"/>
                <w:sz w:val="20"/>
              </w:rPr>
              <w:t xml:space="preserve">Integrated circuits” refers to finished semiconductor products that contain chips manufactured by or for TI and packaging subcomponents such as mold compounds, bond wires and lead frames. It excludes DLP® products, semiconductor modules and all other products manufactured by or for TI.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pPr>
            <w:r>
              <w:rPr/>
              <w:t>“</w:t>
            </w:r>
            <w:r>
              <w:rPr>
                <w:rFonts w:ascii="Times New Roman" w:hAnsi="Times New Roman"/>
                <w:sz w:val="20"/>
              </w:rPr>
              <w:t xml:space="preserve">Active” means a Smelter has committed to undergo an RMAP assessment, completed the relevant documents, and scheduled the on-site assessment.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pPr>
            <w:r>
              <w:rPr/>
              <w:t>“</w:t>
            </w:r>
            <w:r>
              <w:rPr>
                <w:rFonts w:ascii="Times New Roman" w:hAnsi="Times New Roman"/>
                <w:sz w:val="20"/>
              </w:rPr>
              <w:t xml:space="preserve">Non-Conformant” means a Smelter has been independently assessed and found non-conformant with the relevant RMAP standard or equivalent cross-recognized assessment.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2025, we continued our due diligence efforts with regard to Smelters that are not compliant with the RMI RMAP standards. While we primarily relied on information from our first-tier suppliers, in some cases we contacted Smelters for more complete information. That information, combined with information available through the RMI, provided us with greater insight into the Conflict Status of CMs identified as potentially in our supply chain. </w:t>
      </w:r>
    </w:p>
    <w:p>
      <w:pPr>
        <w:pStyle w:val="TextBody"/>
        <w:bidi w:val="0"/>
        <w:spacing w:before="240" w:after="0"/>
        <w:jc w:val="left"/>
        <w:rPr>
          <w:rFonts w:ascii="Times New Roman" w:hAnsi="Times New Roman"/>
          <w:sz w:val="20"/>
        </w:rPr>
      </w:pPr>
      <w:r>
        <w:rPr>
          <w:rFonts w:ascii="Times New Roman" w:hAnsi="Times New Roman"/>
          <w:sz w:val="20"/>
        </w:rPr>
        <w:t xml:space="preserve">We do not have complete information about the CMs in our entire supply chain. For 2025, some of our Suppliers identified Smelters in their supply chains on a company-wide, division or product-line basis, without specifying which Smelters were relevant to products they supplied to TI. Accordingly, we refer in this Conflict Minerals Report to Smelters as being “potentially” in our supply chain and as CMs “potentially” supplied to TI. Industry efforts to collect and verify CM origin information remain an inherent limitation. For Smelters that are designated as Active, their status is currently undeterminable because the RMAP assessments are not complete or have not yet been dispositioned by the RMI. The results of our due diligence reflect these limitations. The Smelters identified by our Suppliers as potentially in our supply chain are listed in Appendix A hereto. Our efforts to determine the mine or location of origin of the CMs consisted of the due diligence measures described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VI.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Risk-Mitigation Efforts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Since the period covered by this Conflict Minerals Report, we have taken, or will take, the following steps to mitigate the risk that our CMs directly or indirectly finance or benefit armed groups in the Covered Countries: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redistribute copies of our CM policy to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emphasize to Suppliers our expectation that they respond fully and promptly to our information requests;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instruct Suppliers to advise us if they determine that any person or entity in their supply chain is directly or indirectly financing or benefiting armed groups in the Covered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encourage Suppliers to direct all Smelters in their supply chains to participate in the RMAP or a similar third-party audit program;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contact various Smelters directly for information if their operating status changed, their RMI status changed, or they have refused to participate in an RMI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2"/>
        <w:gridCol w:w="9793"/>
      </w:tblGrid>
      <w:tr>
        <w:trPr/>
        <w:tc>
          <w:tcPr>
            <w:tcW w:w="412" w:type="dxa"/>
            <w:tcBorders/>
          </w:tcPr>
          <w:p>
            <w:pPr>
              <w:pStyle w:val="TableContents"/>
              <w:bidi w:val="0"/>
              <w:spacing w:before="0" w:after="283"/>
              <w:jc w:val="left"/>
              <w:rPr/>
            </w:pPr>
            <w:r>
              <w:rPr/>
              <w:t>VII.</w:t>
            </w:r>
          </w:p>
        </w:tc>
        <w:tc>
          <w:tcPr>
            <w:tcW w:w="97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Independent Private Sector Audit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obtained an independent private sector audit of this Conflict Minerals Report. The report by Crowe LLP is set forth as Appendix B to this Conflict Minerals Report. </w:t>
      </w:r>
    </w:p>
    <w:p>
      <w:pPr>
        <w:pStyle w:val="TextBody"/>
        <w:bidi w:val="0"/>
        <w:spacing w:before="240" w:after="0"/>
        <w:jc w:val="center"/>
        <w:rPr>
          <w:rFonts w:ascii="Times New Roman" w:hAnsi="Times New Roman"/>
          <w:sz w:val="20"/>
        </w:rPr>
      </w:pPr>
      <w:r>
        <w:rPr>
          <w:rFonts w:ascii="Times New Roman" w:hAnsi="Times New Roman"/>
          <w:sz w:val="20"/>
        </w:rPr>
        <w:t xml:space="preserve">[Intentionally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Appendix A </w:t>
      </w:r>
    </w:p>
    <w:p>
      <w:pPr>
        <w:pStyle w:val="TextBody"/>
        <w:bidi w:val="0"/>
        <w:spacing w:before="240" w:after="0"/>
        <w:jc w:val="left"/>
        <w:rPr>
          <w:rFonts w:ascii="Times New Roman" w:hAnsi="Times New Roman"/>
          <w:sz w:val="20"/>
        </w:rPr>
      </w:pPr>
      <w:r>
        <w:rPr>
          <w:rFonts w:ascii="Times New Roman" w:hAnsi="Times New Roman"/>
          <w:sz w:val="20"/>
        </w:rPr>
        <w:t xml:space="preserve">Included in this Appendix A are Smelters that were identified to us by our Suppliers as potentially in our supply chain for 2025. As explained in this Conflict Minerals Report, the presence of a Smelter on the lists in this Appendix A does not mean that TI products necessarily contained CMs processed by that Smelter.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Table 1 – Conformant Smelters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Listed below are the 211 Smelters identified to us by our Suppliers as potentially in our supply chain for 2025 that the RMAP has reported as compliant with its RMI RMAP standards. On that basis, we have determined that the CMs supplied by these Smelters were Conformant. The RMAP status information is as reported by the RMI as of January 20,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Smelters that potentially supply the CMs for our ICs.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5"/>
        <w:gridCol w:w="120"/>
        <w:gridCol w:w="5065"/>
        <w:gridCol w:w="120"/>
        <w:gridCol w:w="1414"/>
        <w:gridCol w:w="120"/>
        <w:gridCol w:w="2941"/>
      </w:tblGrid>
      <w:tr>
        <w:trPr/>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Smelter</w:t>
            </w:r>
          </w:p>
        </w:tc>
        <w:tc>
          <w:tcPr>
            <w:tcW w:w="120" w:type="dxa"/>
            <w:tcBorders/>
            <w:vAlign w:val="bottom"/>
          </w:tcPr>
          <w:p>
            <w:pPr>
              <w:pStyle w:val="TableContents"/>
              <w:bidi w:val="0"/>
              <w:spacing w:before="0" w:after="283"/>
              <w:jc w:val="left"/>
              <w:rPr/>
            </w:pPr>
            <w:r>
              <w:rPr/>
              <w:t>  </w:t>
            </w:r>
          </w:p>
        </w:tc>
        <w:tc>
          <w:tcPr>
            <w:tcW w:w="141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Metal</w:t>
            </w:r>
          </w:p>
        </w:tc>
        <w:tc>
          <w:tcPr>
            <w:tcW w:w="120" w:type="dxa"/>
            <w:tcBorders/>
            <w:vAlign w:val="bottom"/>
          </w:tcPr>
          <w:p>
            <w:pPr>
              <w:pStyle w:val="TableContents"/>
              <w:bidi w:val="0"/>
              <w:spacing w:before="0" w:after="283"/>
              <w:jc w:val="left"/>
              <w:rPr/>
            </w:pPr>
            <w:r>
              <w:rPr/>
              <w:t>  </w:t>
            </w:r>
          </w:p>
        </w:tc>
        <w:tc>
          <w:tcPr>
            <w:tcW w:w="294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Country</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Abington Reldan Metals, LLC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Advanced Chemical Company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Agosi AG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GERMANY</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Aida Chemical Industries Co.,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Almalyk Mining and Metallurgical Complex (AMMC)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UZBEKISTAN</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AngloGold Ashanti Corrego do Sitio Mineracao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Argor-Heraeus S.A.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SWITZERLAND</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ASAHI METALFINE, Inc.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Asahi Refining Canada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CANADA</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Asahi Refining USA Inc.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Asaka Riken Co.,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Aurubis AG, Hamburg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GERMANY</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Bangalore Refinery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INDIA</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Bangko Sentral ng Pilipinas (Central Bank of the Philippines)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PHILIPPINES</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Boliden Mineral AB (Ronnskar)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SWEDEN</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C. Hafner GmbH + Co. KG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GERMANY</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Chimet S.p.A.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ITALY</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Chugai Mining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Coimpa Industrial LTDA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Dowa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25" w:type="dxa"/>
            <w:tcBorders/>
          </w:tcPr>
          <w:p>
            <w:pPr>
              <w:pStyle w:val="TableContents"/>
              <w:bidi w:val="0"/>
              <w:spacing w:before="0" w:after="0"/>
              <w:jc w:val="right"/>
              <w:rPr>
                <w:rFonts w:ascii="Times New Roman" w:hAnsi="Times New Roman"/>
                <w:sz w:val="20"/>
              </w:rPr>
            </w:pPr>
            <w:r>
              <w:rPr>
                <w:rFonts w:ascii="Times New Roman" w:hAnsi="Times New Roman"/>
                <w:sz w:val="20"/>
              </w:rPr>
              <w:t>21.</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DSC (Do Sung Corporation)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KOREA (REPUBLIC OF)</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Eco-System Recycling Co., Ltd. East Plant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Eco-System Recycling Co., Ltd. North Plant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Eco-System Recycling Co., Ltd. West Plant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Elite Industech Co.,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TAIWAN</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GG Refinery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TANZANIA</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Glencore Canada Corporation - CCR Refinery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CANADA</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Gold by Gold Colombia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COLOMBIA</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Gold Corporation - The Perth Mint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AUSTRALIA</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Heimerle + Meule GmbH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GERMANY</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Heraeus Germany GmbH Co. KG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GERMANY</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Heraeus Metals Hong Kong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Impala Platinum - Platinum Metals Refinery (PMR)</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SOUTH AFRICA</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Impala Platinum - Rustenburg Smelter</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SOUTH AFRICA</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Inner Mongolia Qiankun Gold and Silver Refinery Share Co.,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Ishifuku Metal Industry Co.,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Istanbul Gold Refinery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TURKEY</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Italpreziosi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ITALY</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Japan Mint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Jiangxi Copper Co.,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JX Advanced Metals Corporation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Kazzinc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KAZAKHSTAN</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Kennecott Utah Copper LLC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KGHM Polska Miedz Spolka Akcyjna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POLAND</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Kojima Chemicals Co.,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Korea Zinc Co.,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KOREA (REPUBLIC OF)</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LS MnM Inc.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KOREA (REPUBLIC OF)</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LT Metal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KOREA (REPUBLIC OF)</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Materion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Matsuda Sangyo Co.,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Metal Concentrators SA (Pty)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SOUTH AFRICA</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Metalor Technologies (Hong Kong)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Metalor Technologies (Singapore) Pte.,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SINGAPORE</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Metalor Technologies (Suzhou) Ltd.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Metalor Technologies S.A.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SWITZERLAND</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Metalor USA Refining Corporation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w:t>
            </w:r>
          </w:p>
        </w:tc>
        <w:tc>
          <w:tcPr>
            <w:tcW w:w="120" w:type="dxa"/>
            <w:tcBorders/>
            <w:vAlign w:val="bottom"/>
          </w:tcPr>
          <w:p>
            <w:pPr>
              <w:pStyle w:val="TableContents"/>
              <w:bidi w:val="0"/>
              <w:spacing w:before="0" w:after="283"/>
              <w:jc w:val="left"/>
              <w:rPr/>
            </w:pPr>
            <w:r>
              <w:rPr/>
              <w:t>  </w:t>
            </w:r>
          </w:p>
        </w:tc>
        <w:tc>
          <w:tcPr>
            <w:tcW w:w="5065" w:type="dxa"/>
            <w:tcBorders/>
          </w:tcPr>
          <w:p>
            <w:pPr>
              <w:pStyle w:val="TableContents"/>
              <w:bidi w:val="0"/>
              <w:spacing w:before="0" w:after="0"/>
              <w:jc w:val="left"/>
              <w:rPr>
                <w:rFonts w:ascii="Times New Roman" w:hAnsi="Times New Roman"/>
                <w:sz w:val="20"/>
              </w:rPr>
            </w:pPr>
            <w:r>
              <w:rPr>
                <w:rFonts w:ascii="Times New Roman" w:hAnsi="Times New Roman"/>
                <w:sz w:val="20"/>
              </w:rPr>
              <w:t>Metalurgica Met-Mex Penoles S.A. De C.V. *</w:t>
            </w:r>
          </w:p>
        </w:tc>
        <w:tc>
          <w:tcPr>
            <w:tcW w:w="120" w:type="dxa"/>
            <w:tcBorders/>
            <w:vAlign w:val="bottom"/>
          </w:tcPr>
          <w:p>
            <w:pPr>
              <w:pStyle w:val="TableContents"/>
              <w:bidi w:val="0"/>
              <w:spacing w:before="0" w:after="283"/>
              <w:jc w:val="left"/>
              <w:rPr/>
            </w:pPr>
            <w:r>
              <w:rPr/>
              <w:t>  </w:t>
            </w:r>
          </w:p>
        </w:tc>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0"/>
              <w:jc w:val="left"/>
              <w:rPr>
                <w:rFonts w:ascii="Times New Roman" w:hAnsi="Times New Roman"/>
                <w:sz w:val="20"/>
              </w:rPr>
            </w:pPr>
            <w:r>
              <w:rPr>
                <w:rFonts w:ascii="Times New Roman" w:hAnsi="Times New Roman"/>
                <w:sz w:val="20"/>
              </w:rPr>
              <w:t>MEXICO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47"/>
        <w:gridCol w:w="121"/>
        <w:gridCol w:w="5035"/>
        <w:gridCol w:w="121"/>
        <w:gridCol w:w="1468"/>
        <w:gridCol w:w="121"/>
        <w:gridCol w:w="2892"/>
      </w:tblGrid>
      <w:tr>
        <w:trPr/>
        <w:tc>
          <w:tcPr>
            <w:tcW w:w="44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03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Mitsubishi Materials Corporation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Mitsui Mining and Smelting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MKS PAMP SA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SWITZERLAND</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MMTC-PAMP India Pvt.,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INDIA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Nadir Metal Rafineri San. Ve Tic. A.S.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TURKEY</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Navoi Mining and Metallurgical Combinat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UZBEKISTAN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64.</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NH Recytech Company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KOREA (REPUBLIC OF)</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Nihon Material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66.</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Ohura Precious Metal Industry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Planta Recuperadora de Metales SpA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CHILE</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PT Aneka Tambang (Persero) Tbk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INDONESIA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PX Precinox S.A.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SWITZERLAND</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Rand Refinery (Pty)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SOUTH AFRICA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REMONDIS PMR B.V.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NETHERLANDS</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Royal Canadian Mint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CANADA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73.</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SAFINA A.S.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CZECHIA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SEMPSA Joyeria Plateria S.A.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SPAIN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Shandong Gold Smelting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Shandong Zhaojin Gold &amp; Silver Refinery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77.</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Sichuan Tianze Precious Metals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78.</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Solar Applied Materials Technology Corp.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TAIWAN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Sumitomo Metal Mining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80.</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SungEel HiMetal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KOREA (REPUBLIC OF)</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81.</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T.C.A S.p.A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ITALY</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82.</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Tanaka Kikinzoku Kogyo K.K.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83.</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Tokuriki Honten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84.</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TOO Tau-Ken-Altyn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KAZAKHSTAN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Umicore S.A. Business Unit Precious Metals Refining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BELGIUM</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86.</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United Precious Metal Refining, Inc.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87.</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Valcambi S.A.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SWITZERLAND</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88.</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WIELAND Edelmetalle GmbH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GERMANY</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Yamakin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Yokohama Metal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Zhongyuan Gold Smelter of Zhongjin Gold Corporation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Zijin Mining Group Gold Smelting Co. Ltd.</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93.</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AMG Brasil</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94.</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Changsha South Tantalum Niobium Co., Ltd.</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95.</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D Block Metals, LLC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96.</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F&amp;X Electro-Materials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97.</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FIR Metals &amp; Resource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98.</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Global Advanced Metals Aizu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Global Advanced Metals Boyertown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Guangdong Rising Rare Metals-EO Materials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Hengyang King Xing Lifeng New Materials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102.</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Jiangxi Dinghai Tantalum &amp; Niobium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103.</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Jiangxi Tuohong New Raw Material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104.</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JiuJiang JinXin Nonferrous Metals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Jiujiang Tanbre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Jiujiang Zhongao Tantalum &amp; Niobium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107.</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KEMET de Mexico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MEXICO</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108.</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Materion Newton Inc.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Metallurgical Products India Pvt.,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INDIA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110.</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Mineracao Taboca S.A.</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111.</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Mitsui Kinzoku Company, Limited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Ningxia Orient Tantalum Industry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NPM Silmet AS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ESTONIA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114.</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PowerX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RWANDA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115.</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QuantumClean</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116.</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Resind Industria e Comercio Ltda.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Taki Chemical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118.</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TANIOBIS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THAILAND</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119.</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TANIOBIS GmbH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GERMANY</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120.</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TANIOBIS Japan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121.</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TANIOBIS Smelting GmbH &amp; Co. KG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GERMANY</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122.</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Telex Metals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123.</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Ulba Metallurgical Plant JSC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KAZAKHSTAN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124.</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XIMEI RESOURCES (GUANGDONG) LIMITED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125.</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XinXing HaoRong Electronic Material Co., Ltd.</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126.</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Yanling Jincheng Tantalum &amp; Niobium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127.</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Alpha Assembly Solutions Inc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128.</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Aurubis Beerse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BELGIUM</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Aurubis Berango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SPAIN</w:t>
            </w:r>
          </w:p>
        </w:tc>
      </w:tr>
      <w:tr>
        <w:trPr/>
        <w:tc>
          <w:tcPr>
            <w:tcW w:w="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130.</w:t>
            </w:r>
          </w:p>
        </w:tc>
        <w:tc>
          <w:tcPr>
            <w:tcW w:w="121"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rFonts w:ascii="Times New Roman" w:hAnsi="Times New Roman"/>
                <w:sz w:val="20"/>
              </w:rPr>
            </w:pPr>
            <w:r>
              <w:rPr>
                <w:rFonts w:ascii="Times New Roman" w:hAnsi="Times New Roman"/>
                <w:sz w:val="20"/>
              </w:rPr>
              <w:t>Chenzhou Yunxiang Mining and Metallurgy Co., Ltd. *</w:t>
            </w:r>
          </w:p>
        </w:tc>
        <w:tc>
          <w:tcPr>
            <w:tcW w:w="121" w:type="dxa"/>
            <w:tcBorders/>
            <w:vAlign w:val="bottom"/>
          </w:tcPr>
          <w:p>
            <w:pPr>
              <w:pStyle w:val="TableContents"/>
              <w:bidi w:val="0"/>
              <w:spacing w:before="0" w:after="283"/>
              <w:jc w:val="left"/>
              <w:rPr/>
            </w:pPr>
            <w:r>
              <w:rPr/>
              <w:t>  </w:t>
            </w:r>
          </w:p>
        </w:tc>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1"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53"/>
        <w:gridCol w:w="120"/>
        <w:gridCol w:w="5129"/>
        <w:gridCol w:w="120"/>
        <w:gridCol w:w="1456"/>
        <w:gridCol w:w="120"/>
        <w:gridCol w:w="2807"/>
      </w:tblGrid>
      <w:tr>
        <w:trPr/>
        <w:tc>
          <w:tcPr>
            <w:tcW w:w="4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453" w:type="dxa"/>
            <w:tcBorders/>
          </w:tcPr>
          <w:p>
            <w:pPr>
              <w:pStyle w:val="TableContents"/>
              <w:bidi w:val="0"/>
              <w:spacing w:before="0" w:after="283"/>
              <w:jc w:val="right"/>
              <w:rPr/>
            </w:pPr>
            <w:r>
              <w:rPr/>
              <w:t>131.</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283"/>
              <w:jc w:val="left"/>
              <w:rPr/>
            </w:pPr>
            <w:r>
              <w:rPr/>
              <w:t>Chifeng Dajingzi Tin Industry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283"/>
              <w:jc w:val="left"/>
              <w:rPr/>
            </w:pPr>
            <w:r>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132.</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China Tin Group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CRM Synergies EMEA, S.L.U.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SPAIN</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CV Ayi Jaya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INDONESIA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135.</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Dongguan Best Alloys Co., Ltd.</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136.</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Dowa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137.</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EM Vinto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BOLIVIA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138.</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Estanho de Rondonia S.A.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139.</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Fabrica Auricchio Industria e Comercio Ltda.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140.</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Fenix Metals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POLAND</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141.</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Gejiu Non-Ferrous Metal Processing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Global Advanced Metals Greenbushes Pty Ltd.</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AUSTRALIA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143.</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Guangdong Hanhe Non-Ferrous Metal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144.</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Luna Smelter,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RWANDA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145.</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Magnu’s Minerais Metais e Ligas Ltda.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146.</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Malaysia Smelting Corporation (MSC)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MALAYSIA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Malaysia Smelting Corporation Berhad (Port Klang)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MALAYSIA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148.</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Metallic Resources, Inc.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149.</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Mineracao Taboca S.A.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150.</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Mining Minerals Resources SARL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CONGO, D.R.</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151.</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Minsur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PERU</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152.</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Mitsubishi Materials Corporation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153.</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O.M. Manufacturing (Thailand)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THAILAND</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154.</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O.M. Manufacturing Philippines, Inc.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PHILIPPINES</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155.</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Operaciones Metalurgicas S.A.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BOLIVIA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156.</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P Kay Metal, Inc</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157.</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PT ATD Makmur Mandiri Jaya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INDONESIA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158.</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PT Cipta Persada Mulia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INDONESIA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159.</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PT Mitra Stania Prima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INDONESIA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160.</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PT Mitra Sukses Globalindo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INDONESIA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161.</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PT Prima Timah Utama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INDONESIA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162.</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PT Putera Sarana Shakti (PT PSS)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INDONESIA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163.</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PT Rajehan Ariq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INDONESIA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164.</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PT Timah Tbk Kundur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INDONESIA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165.</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PT Timah Tbk Mentok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INDONESIA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166.</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Resind Industria e Comercio Ltda.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167.</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Rui Da Hung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TAIWAN</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168.</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Soft Metais Ltda.</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169.</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Super Ligas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r>
      <w:tr>
        <w:trPr/>
        <w:tc>
          <w:tcPr>
            <w:tcW w:w="453" w:type="dxa"/>
            <w:tcBorders/>
          </w:tcPr>
          <w:p>
            <w:pPr>
              <w:pStyle w:val="TableContents"/>
              <w:bidi w:val="0"/>
              <w:spacing w:before="0" w:after="0"/>
              <w:jc w:val="right"/>
              <w:rPr>
                <w:rFonts w:ascii="Times New Roman" w:hAnsi="Times New Roman"/>
                <w:sz w:val="20"/>
              </w:rPr>
            </w:pPr>
            <w:r>
              <w:rPr>
                <w:rFonts w:ascii="Times New Roman" w:hAnsi="Times New Roman"/>
                <w:sz w:val="20"/>
              </w:rPr>
              <w:t>170.</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Takehara PVD Materials Plant / PVD Materials Division of MITSUI MINING SMELTING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171.</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Thaisarco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THAILAND</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172.</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Tin Smelting Branch of Yunnan Tin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Tin Technology &amp; Refining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174.</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White Solder Metalurgia e Mineracao Ltda.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175.</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Woodcross Smelting Company Limited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UGANDA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176.</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Yunnan Yunfan Non-ferrous Metals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177.</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A.L.M.T. Corp.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178.</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Asia Tungsten Products Vietnam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VIET NAM</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179.</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China Molybdenum Tungsten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180.</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Chongyi Zhangyuan Tungsten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181.</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Cronimet Brasil Ltda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182.</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Fujian Xinlu Tungsten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183.</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Ganzhou Jiangwu Ferrotungsten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184.</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Ganzhou Seadragon W &amp; Mo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185.</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Global Tungsten &amp; Powders LLC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186.</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Guangdong Xianglu Tungsten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187.</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H.C. Starck Tungsten GmbH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GERMANY</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188.</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Hubei Green Tungsten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189.</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Japan New Metals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190.</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Jiangwu H.C. Starck Tungsten Products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191.</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Jiangxi Gan Bei Tungsten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192.</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Jiangxi Tonggu Non-ferrous Metallurgical &amp; Chemical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193.</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Jiangxi Xinsheng Tungsten Industry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194.</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Jiangxi Yaosheng Tungsten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195.</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Jing Yuan Tungsten Technology Co., Ltd.</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TAIWAN</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196.</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KENEE MINING VIETNAM COMPANY LIMITED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VIET NAM</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197.</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Kennametal Fallon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198.</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Kennametal Huntsville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199.</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Lianyou Metals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TAIWAN</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200.</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Lianyou Resources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TAIWAN</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201.</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Malipo Haiyu Tungsten Co., Ltd.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202.</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Masan High-Tech Materials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VIET NAM</w:t>
            </w:r>
          </w:p>
        </w:tc>
      </w:tr>
      <w:tr>
        <w:trPr/>
        <w:tc>
          <w:tcPr>
            <w:tcW w:w="4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203.</w:t>
            </w:r>
          </w:p>
        </w:tc>
        <w:tc>
          <w:tcPr>
            <w:tcW w:w="120"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Niagara Refining LLC *</w:t>
            </w:r>
          </w:p>
        </w:tc>
        <w:tc>
          <w:tcPr>
            <w:tcW w:w="120"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59"/>
        <w:gridCol w:w="120"/>
        <w:gridCol w:w="5011"/>
        <w:gridCol w:w="120"/>
        <w:gridCol w:w="1510"/>
        <w:gridCol w:w="120"/>
        <w:gridCol w:w="2865"/>
      </w:tblGrid>
      <w:tr>
        <w:trPr/>
        <w:tc>
          <w:tcPr>
            <w:tcW w:w="4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r>
      <w:tr>
        <w:trPr/>
        <w:tc>
          <w:tcPr>
            <w:tcW w:w="4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204.</w:t>
            </w:r>
          </w:p>
        </w:tc>
        <w:tc>
          <w:tcPr>
            <w:tcW w:w="120" w:type="dxa"/>
            <w:tcBorders/>
            <w:vAlign w:val="bottom"/>
          </w:tcPr>
          <w:p>
            <w:pPr>
              <w:pStyle w:val="TableContents"/>
              <w:bidi w:val="0"/>
              <w:spacing w:before="0" w:after="283"/>
              <w:jc w:val="left"/>
              <w:rPr/>
            </w:pPr>
            <w:r>
              <w:rPr/>
              <w:t>  </w:t>
            </w:r>
          </w:p>
        </w:tc>
        <w:tc>
          <w:tcPr>
            <w:tcW w:w="5011" w:type="dxa"/>
            <w:tcBorders/>
          </w:tcPr>
          <w:p>
            <w:pPr>
              <w:pStyle w:val="TableContents"/>
              <w:bidi w:val="0"/>
              <w:spacing w:before="0" w:after="0"/>
              <w:jc w:val="left"/>
              <w:rPr>
                <w:rFonts w:ascii="Times New Roman" w:hAnsi="Times New Roman"/>
                <w:sz w:val="20"/>
              </w:rPr>
            </w:pPr>
            <w:r>
              <w:rPr>
                <w:rFonts w:ascii="Times New Roman" w:hAnsi="Times New Roman"/>
                <w:sz w:val="20"/>
              </w:rPr>
              <w:t>Philippine Bonway Manufacturing Industrial Corporation</w:t>
            </w:r>
          </w:p>
        </w:tc>
        <w:tc>
          <w:tcPr>
            <w:tcW w:w="120"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PHILIPPINES</w:t>
            </w:r>
          </w:p>
        </w:tc>
      </w:tr>
      <w:tr>
        <w:trPr/>
        <w:tc>
          <w:tcPr>
            <w:tcW w:w="4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205.</w:t>
            </w:r>
          </w:p>
        </w:tc>
        <w:tc>
          <w:tcPr>
            <w:tcW w:w="120" w:type="dxa"/>
            <w:tcBorders/>
            <w:vAlign w:val="bottom"/>
          </w:tcPr>
          <w:p>
            <w:pPr>
              <w:pStyle w:val="TableContents"/>
              <w:bidi w:val="0"/>
              <w:spacing w:before="0" w:after="283"/>
              <w:jc w:val="left"/>
              <w:rPr/>
            </w:pPr>
            <w:r>
              <w:rPr/>
              <w:t>  </w:t>
            </w:r>
          </w:p>
        </w:tc>
        <w:tc>
          <w:tcPr>
            <w:tcW w:w="5011" w:type="dxa"/>
            <w:tcBorders/>
          </w:tcPr>
          <w:p>
            <w:pPr>
              <w:pStyle w:val="TableContents"/>
              <w:bidi w:val="0"/>
              <w:spacing w:before="0" w:after="0"/>
              <w:jc w:val="left"/>
              <w:rPr>
                <w:rFonts w:ascii="Times New Roman" w:hAnsi="Times New Roman"/>
                <w:sz w:val="20"/>
              </w:rPr>
            </w:pPr>
            <w:r>
              <w:rPr>
                <w:rFonts w:ascii="Times New Roman" w:hAnsi="Times New Roman"/>
                <w:sz w:val="20"/>
              </w:rPr>
              <w:t>S.P.T. spol.s r.o.</w:t>
            </w:r>
          </w:p>
        </w:tc>
        <w:tc>
          <w:tcPr>
            <w:tcW w:w="120"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CZECHIA</w:t>
            </w:r>
          </w:p>
        </w:tc>
      </w:tr>
      <w:tr>
        <w:trPr/>
        <w:tc>
          <w:tcPr>
            <w:tcW w:w="4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206.</w:t>
            </w:r>
          </w:p>
        </w:tc>
        <w:tc>
          <w:tcPr>
            <w:tcW w:w="120" w:type="dxa"/>
            <w:tcBorders/>
            <w:vAlign w:val="bottom"/>
          </w:tcPr>
          <w:p>
            <w:pPr>
              <w:pStyle w:val="TableContents"/>
              <w:bidi w:val="0"/>
              <w:spacing w:before="0" w:after="283"/>
              <w:jc w:val="left"/>
              <w:rPr/>
            </w:pPr>
            <w:r>
              <w:rPr/>
              <w:t>  </w:t>
            </w:r>
          </w:p>
        </w:tc>
        <w:tc>
          <w:tcPr>
            <w:tcW w:w="5011" w:type="dxa"/>
            <w:tcBorders/>
          </w:tcPr>
          <w:p>
            <w:pPr>
              <w:pStyle w:val="TableContents"/>
              <w:bidi w:val="0"/>
              <w:spacing w:before="0" w:after="0"/>
              <w:jc w:val="left"/>
              <w:rPr>
                <w:rFonts w:ascii="Times New Roman" w:hAnsi="Times New Roman"/>
                <w:sz w:val="20"/>
              </w:rPr>
            </w:pPr>
            <w:r>
              <w:rPr>
                <w:rFonts w:ascii="Times New Roman" w:hAnsi="Times New Roman"/>
                <w:sz w:val="20"/>
              </w:rPr>
              <w:t>Shinwon Tungsten (Fujian Shanghang) Co., Ltd. *</w:t>
            </w:r>
          </w:p>
        </w:tc>
        <w:tc>
          <w:tcPr>
            <w:tcW w:w="120"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207.</w:t>
            </w:r>
          </w:p>
        </w:tc>
        <w:tc>
          <w:tcPr>
            <w:tcW w:w="120" w:type="dxa"/>
            <w:tcBorders/>
            <w:vAlign w:val="bottom"/>
          </w:tcPr>
          <w:p>
            <w:pPr>
              <w:pStyle w:val="TableContents"/>
              <w:bidi w:val="0"/>
              <w:spacing w:before="0" w:after="283"/>
              <w:jc w:val="left"/>
              <w:rPr/>
            </w:pPr>
            <w:r>
              <w:rPr/>
              <w:t>  </w:t>
            </w:r>
          </w:p>
        </w:tc>
        <w:tc>
          <w:tcPr>
            <w:tcW w:w="5011" w:type="dxa"/>
            <w:tcBorders/>
          </w:tcPr>
          <w:p>
            <w:pPr>
              <w:pStyle w:val="TableContents"/>
              <w:bidi w:val="0"/>
              <w:spacing w:before="0" w:after="0"/>
              <w:jc w:val="left"/>
              <w:rPr>
                <w:rFonts w:ascii="Times New Roman" w:hAnsi="Times New Roman"/>
                <w:sz w:val="20"/>
              </w:rPr>
            </w:pPr>
            <w:r>
              <w:rPr>
                <w:rFonts w:ascii="Times New Roman" w:hAnsi="Times New Roman"/>
                <w:sz w:val="20"/>
              </w:rPr>
              <w:t>TANIOBIS Smelting GmbH &amp; Co. KG *</w:t>
            </w:r>
          </w:p>
        </w:tc>
        <w:tc>
          <w:tcPr>
            <w:tcW w:w="120"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GERMANY</w:t>
            </w:r>
          </w:p>
        </w:tc>
      </w:tr>
      <w:tr>
        <w:trPr/>
        <w:tc>
          <w:tcPr>
            <w:tcW w:w="459" w:type="dxa"/>
            <w:tcBorders/>
          </w:tcPr>
          <w:p>
            <w:pPr>
              <w:pStyle w:val="TableContents"/>
              <w:bidi w:val="0"/>
              <w:spacing w:before="0" w:after="283"/>
              <w:jc w:val="right"/>
              <w:rPr/>
            </w:pPr>
            <w:r>
              <w:rPr/>
              <w:t>208.</w:t>
            </w:r>
          </w:p>
        </w:tc>
        <w:tc>
          <w:tcPr>
            <w:tcW w:w="120" w:type="dxa"/>
            <w:tcBorders/>
            <w:vAlign w:val="bottom"/>
          </w:tcPr>
          <w:p>
            <w:pPr>
              <w:pStyle w:val="TableContents"/>
              <w:bidi w:val="0"/>
              <w:spacing w:before="0" w:after="283"/>
              <w:jc w:val="left"/>
              <w:rPr/>
            </w:pPr>
            <w:r>
              <w:rPr/>
              <w:t>  </w:t>
            </w:r>
          </w:p>
        </w:tc>
        <w:tc>
          <w:tcPr>
            <w:tcW w:w="5011" w:type="dxa"/>
            <w:tcBorders/>
          </w:tcPr>
          <w:p>
            <w:pPr>
              <w:pStyle w:val="TableContents"/>
              <w:bidi w:val="0"/>
              <w:spacing w:before="0" w:after="283"/>
              <w:jc w:val="left"/>
              <w:rPr/>
            </w:pPr>
            <w:r>
              <w:rPr/>
              <w:t>Tungsten Vietnam Joint Stock Company *</w:t>
            </w:r>
          </w:p>
        </w:tc>
        <w:tc>
          <w:tcPr>
            <w:tcW w:w="120"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2865" w:type="dxa"/>
            <w:tcBorders/>
          </w:tcPr>
          <w:p>
            <w:pPr>
              <w:pStyle w:val="TableContents"/>
              <w:bidi w:val="0"/>
              <w:spacing w:before="0" w:after="283"/>
              <w:jc w:val="left"/>
              <w:rPr/>
            </w:pPr>
            <w:r>
              <w:rPr/>
              <w:t>VIET NAM</w:t>
            </w:r>
          </w:p>
        </w:tc>
      </w:tr>
      <w:tr>
        <w:trPr/>
        <w:tc>
          <w:tcPr>
            <w:tcW w:w="4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209.</w:t>
            </w:r>
          </w:p>
        </w:tc>
        <w:tc>
          <w:tcPr>
            <w:tcW w:w="120" w:type="dxa"/>
            <w:tcBorders/>
            <w:vAlign w:val="bottom"/>
          </w:tcPr>
          <w:p>
            <w:pPr>
              <w:pStyle w:val="TableContents"/>
              <w:bidi w:val="0"/>
              <w:spacing w:before="0" w:after="283"/>
              <w:jc w:val="left"/>
              <w:rPr/>
            </w:pPr>
            <w:r>
              <w:rPr/>
              <w:t>  </w:t>
            </w:r>
          </w:p>
        </w:tc>
        <w:tc>
          <w:tcPr>
            <w:tcW w:w="5011" w:type="dxa"/>
            <w:tcBorders/>
          </w:tcPr>
          <w:p>
            <w:pPr>
              <w:pStyle w:val="TableContents"/>
              <w:bidi w:val="0"/>
              <w:spacing w:before="0" w:after="0"/>
              <w:jc w:val="left"/>
              <w:rPr>
                <w:rFonts w:ascii="Times New Roman" w:hAnsi="Times New Roman"/>
                <w:sz w:val="20"/>
              </w:rPr>
            </w:pPr>
            <w:r>
              <w:rPr>
                <w:rFonts w:ascii="Times New Roman" w:hAnsi="Times New Roman"/>
                <w:sz w:val="20"/>
              </w:rPr>
              <w:t>Wolfram Bergbau und Hutten AG *</w:t>
            </w:r>
          </w:p>
        </w:tc>
        <w:tc>
          <w:tcPr>
            <w:tcW w:w="120"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AUSTRIA</w:t>
            </w:r>
          </w:p>
        </w:tc>
      </w:tr>
      <w:tr>
        <w:trPr/>
        <w:tc>
          <w:tcPr>
            <w:tcW w:w="4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210.</w:t>
            </w:r>
          </w:p>
        </w:tc>
        <w:tc>
          <w:tcPr>
            <w:tcW w:w="120" w:type="dxa"/>
            <w:tcBorders/>
            <w:vAlign w:val="bottom"/>
          </w:tcPr>
          <w:p>
            <w:pPr>
              <w:pStyle w:val="TableContents"/>
              <w:bidi w:val="0"/>
              <w:spacing w:before="0" w:after="283"/>
              <w:jc w:val="left"/>
              <w:rPr/>
            </w:pPr>
            <w:r>
              <w:rPr/>
              <w:t>  </w:t>
            </w:r>
          </w:p>
        </w:tc>
        <w:tc>
          <w:tcPr>
            <w:tcW w:w="5011" w:type="dxa"/>
            <w:tcBorders/>
          </w:tcPr>
          <w:p>
            <w:pPr>
              <w:pStyle w:val="TableContents"/>
              <w:bidi w:val="0"/>
              <w:spacing w:before="0" w:after="0"/>
              <w:jc w:val="left"/>
              <w:rPr>
                <w:rFonts w:ascii="Times New Roman" w:hAnsi="Times New Roman"/>
                <w:sz w:val="20"/>
              </w:rPr>
            </w:pPr>
            <w:r>
              <w:rPr>
                <w:rFonts w:ascii="Times New Roman" w:hAnsi="Times New Roman"/>
                <w:sz w:val="20"/>
              </w:rPr>
              <w:t>Xiamen Tungsten (H.C.) Co., Ltd. *</w:t>
            </w:r>
          </w:p>
        </w:tc>
        <w:tc>
          <w:tcPr>
            <w:tcW w:w="120"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r>
        <w:trPr/>
        <w:tc>
          <w:tcPr>
            <w:tcW w:w="4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211.</w:t>
            </w:r>
          </w:p>
        </w:tc>
        <w:tc>
          <w:tcPr>
            <w:tcW w:w="120" w:type="dxa"/>
            <w:tcBorders/>
            <w:vAlign w:val="bottom"/>
          </w:tcPr>
          <w:p>
            <w:pPr>
              <w:pStyle w:val="TableContents"/>
              <w:bidi w:val="0"/>
              <w:spacing w:before="0" w:after="283"/>
              <w:jc w:val="left"/>
              <w:rPr/>
            </w:pPr>
            <w:r>
              <w:rPr/>
              <w:t>  </w:t>
            </w:r>
          </w:p>
        </w:tc>
        <w:tc>
          <w:tcPr>
            <w:tcW w:w="5011" w:type="dxa"/>
            <w:tcBorders/>
          </w:tcPr>
          <w:p>
            <w:pPr>
              <w:pStyle w:val="TableContents"/>
              <w:bidi w:val="0"/>
              <w:spacing w:before="0" w:after="0"/>
              <w:jc w:val="left"/>
              <w:rPr>
                <w:rFonts w:ascii="Times New Roman" w:hAnsi="Times New Roman"/>
                <w:sz w:val="20"/>
              </w:rPr>
            </w:pPr>
            <w:r>
              <w:rPr>
                <w:rFonts w:ascii="Times New Roman" w:hAnsi="Times New Roman"/>
                <w:sz w:val="20"/>
              </w:rPr>
              <w:t>Xiamen Tungsten Co., Ltd. *</w:t>
            </w:r>
          </w:p>
        </w:tc>
        <w:tc>
          <w:tcPr>
            <w:tcW w:w="120"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Table 2 – Other Smelters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Listed below are the 15 Smelters identified to us by our Suppliers as potentially in our supply chain for 2025 that have been designated as Active, Non-Conformant, or were targeted for RMAP assessment. The RMAP status information is as reported by the RMI as of January 20,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Smelters that potentially supply the CMs for our ICs.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sz w:val="13"/>
              </w:rPr>
              <w:t></w:t>
            </w: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Smelters no longer in our supply chain as of April 28, 2026.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9"/>
        <w:gridCol w:w="120"/>
        <w:gridCol w:w="4197"/>
        <w:gridCol w:w="120"/>
        <w:gridCol w:w="994"/>
        <w:gridCol w:w="120"/>
        <w:gridCol w:w="1817"/>
        <w:gridCol w:w="120"/>
        <w:gridCol w:w="2398"/>
      </w:tblGrid>
      <w:tr>
        <w:trPr/>
        <w:tc>
          <w:tcPr>
            <w:tcW w:w="3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1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r>
      <w:tr>
        <w:trPr/>
        <w:tc>
          <w:tcPr>
            <w:tcW w:w="319"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1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Smelter</w:t>
            </w:r>
          </w:p>
        </w:tc>
        <w:tc>
          <w:tcPr>
            <w:tcW w:w="120" w:type="dxa"/>
            <w:tcBorders/>
            <w:vAlign w:val="bottom"/>
          </w:tcPr>
          <w:p>
            <w:pPr>
              <w:pStyle w:val="TableContents"/>
              <w:bidi w:val="0"/>
              <w:spacing w:before="0" w:after="283"/>
              <w:jc w:val="left"/>
              <w:rPr/>
            </w:pPr>
            <w:r>
              <w:rPr/>
              <w:t>  </w:t>
            </w:r>
          </w:p>
        </w:tc>
        <w:tc>
          <w:tcPr>
            <w:tcW w:w="99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Metal</w:t>
            </w:r>
          </w:p>
        </w:tc>
        <w:tc>
          <w:tcPr>
            <w:tcW w:w="120" w:type="dxa"/>
            <w:tcBorders/>
            <w:vAlign w:val="bottom"/>
          </w:tcPr>
          <w:p>
            <w:pPr>
              <w:pStyle w:val="TableContents"/>
              <w:bidi w:val="0"/>
              <w:spacing w:before="0" w:after="283"/>
              <w:jc w:val="left"/>
              <w:rPr/>
            </w:pPr>
            <w:r>
              <w:rPr/>
              <w:t>  </w:t>
            </w:r>
          </w:p>
        </w:tc>
        <w:tc>
          <w:tcPr>
            <w:tcW w:w="181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Country</w:t>
            </w:r>
          </w:p>
        </w:tc>
        <w:tc>
          <w:tcPr>
            <w:tcW w:w="120" w:type="dxa"/>
            <w:tcBorders/>
            <w:vAlign w:val="bottom"/>
          </w:tcPr>
          <w:p>
            <w:pPr>
              <w:pStyle w:val="TableContents"/>
              <w:bidi w:val="0"/>
              <w:spacing w:before="0" w:after="283"/>
              <w:jc w:val="left"/>
              <w:rPr/>
            </w:pPr>
            <w:r>
              <w:rPr/>
              <w:t>  </w:t>
            </w:r>
          </w:p>
        </w:tc>
        <w:tc>
          <w:tcPr>
            <w:tcW w:w="239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Status</w:t>
            </w:r>
          </w:p>
        </w:tc>
      </w:tr>
      <w:tr>
        <w:trPr/>
        <w:tc>
          <w:tcPr>
            <w:tcW w:w="319" w:type="dxa"/>
            <w:tcBorders/>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120" w:type="dxa"/>
            <w:tcBorders/>
            <w:vAlign w:val="bottom"/>
          </w:tcPr>
          <w:p>
            <w:pPr>
              <w:pStyle w:val="TableContents"/>
              <w:bidi w:val="0"/>
              <w:spacing w:before="0" w:after="283"/>
              <w:jc w:val="left"/>
              <w:rPr/>
            </w:pPr>
            <w:r>
              <w:rPr/>
              <w:t>  </w:t>
            </w:r>
          </w:p>
        </w:tc>
        <w:tc>
          <w:tcPr>
            <w:tcW w:w="4197" w:type="dxa"/>
            <w:tcBorders/>
          </w:tcPr>
          <w:p>
            <w:pPr>
              <w:pStyle w:val="TableContents"/>
              <w:bidi w:val="0"/>
              <w:spacing w:before="0" w:after="0"/>
              <w:jc w:val="left"/>
              <w:rPr>
                <w:rFonts w:ascii="Times New Roman" w:hAnsi="Times New Roman"/>
                <w:sz w:val="20"/>
              </w:rPr>
            </w:pPr>
            <w:r>
              <w:rPr>
                <w:rFonts w:ascii="Times New Roman" w:hAnsi="Times New Roman"/>
                <w:sz w:val="20"/>
              </w:rPr>
              <w:t>Jiangxi Suns Nonferrous Materials Co. Ltd.</w:t>
            </w:r>
          </w:p>
        </w:tc>
        <w:tc>
          <w:tcPr>
            <w:tcW w:w="120"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0"/>
              <w:jc w:val="left"/>
              <w:rPr>
                <w:rFonts w:ascii="Times New Roman" w:hAnsi="Times New Roman"/>
                <w:sz w:val="20"/>
              </w:rPr>
            </w:pPr>
            <w:r>
              <w:rPr>
                <w:rFonts w:ascii="Times New Roman" w:hAnsi="Times New Roman"/>
                <w:sz w:val="20"/>
              </w:rPr>
              <w:t>Tantalum</w:t>
            </w:r>
          </w:p>
        </w:tc>
        <w:tc>
          <w:tcPr>
            <w:tcW w:w="120"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120" w:type="dxa"/>
            <w:tcBorders/>
            <w:vAlign w:val="bottom"/>
          </w:tcPr>
          <w:p>
            <w:pPr>
              <w:pStyle w:val="TableContents"/>
              <w:bidi w:val="0"/>
              <w:spacing w:before="0" w:after="283"/>
              <w:jc w:val="left"/>
              <w:rPr/>
            </w:pPr>
            <w:r>
              <w:rPr/>
              <w:t>  </w:t>
            </w:r>
          </w:p>
        </w:tc>
        <w:tc>
          <w:tcPr>
            <w:tcW w:w="2398" w:type="dxa"/>
            <w:tcBorders/>
          </w:tcPr>
          <w:p>
            <w:pPr>
              <w:pStyle w:val="TableContents"/>
              <w:bidi w:val="0"/>
              <w:spacing w:before="0" w:after="0"/>
              <w:jc w:val="left"/>
              <w:rPr>
                <w:rFonts w:ascii="Times New Roman" w:hAnsi="Times New Roman"/>
                <w:sz w:val="20"/>
              </w:rPr>
            </w:pPr>
            <w:r>
              <w:rPr>
                <w:rFonts w:ascii="Times New Roman" w:hAnsi="Times New Roman"/>
                <w:sz w:val="20"/>
              </w:rPr>
              <w:t>ACTIVE</w:t>
            </w:r>
          </w:p>
        </w:tc>
      </w:tr>
      <w:tr>
        <w:trPr/>
        <w:tc>
          <w:tcPr>
            <w:tcW w:w="319" w:type="dxa"/>
            <w:tcBorders/>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20" w:type="dxa"/>
            <w:tcBorders/>
            <w:vAlign w:val="bottom"/>
          </w:tcPr>
          <w:p>
            <w:pPr>
              <w:pStyle w:val="TableContents"/>
              <w:bidi w:val="0"/>
              <w:spacing w:before="0" w:after="283"/>
              <w:jc w:val="left"/>
              <w:rPr/>
            </w:pPr>
            <w:r>
              <w:rPr/>
              <w:t>  </w:t>
            </w:r>
          </w:p>
        </w:tc>
        <w:tc>
          <w:tcPr>
            <w:tcW w:w="4197" w:type="dxa"/>
            <w:tcBorders/>
          </w:tcPr>
          <w:p>
            <w:pPr>
              <w:pStyle w:val="TableContents"/>
              <w:bidi w:val="0"/>
              <w:spacing w:before="0" w:after="0"/>
              <w:jc w:val="left"/>
              <w:rPr>
                <w:rFonts w:ascii="Times New Roman" w:hAnsi="Times New Roman"/>
                <w:sz w:val="20"/>
              </w:rPr>
            </w:pPr>
            <w:r>
              <w:rPr>
                <w:rFonts w:ascii="Times New Roman" w:hAnsi="Times New Roman"/>
                <w:sz w:val="20"/>
              </w:rPr>
              <w:t>Minera Titan del Peru SRL (MTP) - Belen Plant</w:t>
            </w:r>
          </w:p>
        </w:tc>
        <w:tc>
          <w:tcPr>
            <w:tcW w:w="120"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0"/>
              <w:jc w:val="left"/>
              <w:rPr>
                <w:rFonts w:ascii="Times New Roman" w:hAnsi="Times New Roman"/>
                <w:sz w:val="20"/>
              </w:rPr>
            </w:pPr>
            <w:r>
              <w:rPr>
                <w:rFonts w:ascii="Times New Roman" w:hAnsi="Times New Roman"/>
                <w:sz w:val="20"/>
              </w:rPr>
              <w:t>PERU</w:t>
            </w:r>
          </w:p>
        </w:tc>
        <w:tc>
          <w:tcPr>
            <w:tcW w:w="120" w:type="dxa"/>
            <w:tcBorders/>
            <w:vAlign w:val="bottom"/>
          </w:tcPr>
          <w:p>
            <w:pPr>
              <w:pStyle w:val="TableContents"/>
              <w:bidi w:val="0"/>
              <w:spacing w:before="0" w:after="283"/>
              <w:jc w:val="left"/>
              <w:rPr/>
            </w:pPr>
            <w:r>
              <w:rPr/>
              <w:t>  </w:t>
            </w:r>
          </w:p>
        </w:tc>
        <w:tc>
          <w:tcPr>
            <w:tcW w:w="2398" w:type="dxa"/>
            <w:tcBorders/>
          </w:tcPr>
          <w:p>
            <w:pPr>
              <w:pStyle w:val="TableContents"/>
              <w:bidi w:val="0"/>
              <w:spacing w:before="0" w:after="0"/>
              <w:jc w:val="left"/>
              <w:rPr>
                <w:rFonts w:ascii="Times New Roman" w:hAnsi="Times New Roman"/>
                <w:sz w:val="20"/>
              </w:rPr>
            </w:pPr>
            <w:r>
              <w:rPr>
                <w:rFonts w:ascii="Times New Roman" w:hAnsi="Times New Roman"/>
                <w:sz w:val="20"/>
              </w:rPr>
              <w:t>ACTIVE</w:t>
            </w:r>
          </w:p>
        </w:tc>
      </w:tr>
      <w:tr>
        <w:trPr/>
        <w:tc>
          <w:tcPr>
            <w:tcW w:w="319" w:type="dxa"/>
            <w:tcBorders/>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20" w:type="dxa"/>
            <w:tcBorders/>
            <w:vAlign w:val="bottom"/>
          </w:tcPr>
          <w:p>
            <w:pPr>
              <w:pStyle w:val="TableContents"/>
              <w:bidi w:val="0"/>
              <w:spacing w:before="0" w:after="283"/>
              <w:jc w:val="left"/>
              <w:rPr/>
            </w:pPr>
            <w:r>
              <w:rPr/>
              <w:t>  </w:t>
            </w:r>
          </w:p>
        </w:tc>
        <w:tc>
          <w:tcPr>
            <w:tcW w:w="4197" w:type="dxa"/>
            <w:tcBorders/>
          </w:tcPr>
          <w:p>
            <w:pPr>
              <w:pStyle w:val="TableContents"/>
              <w:bidi w:val="0"/>
              <w:spacing w:before="0" w:after="0"/>
              <w:jc w:val="left"/>
              <w:rPr>
                <w:rFonts w:ascii="Times New Roman" w:hAnsi="Times New Roman"/>
                <w:sz w:val="20"/>
              </w:rPr>
            </w:pPr>
            <w:r>
              <w:rPr>
                <w:rFonts w:ascii="Times New Roman" w:hAnsi="Times New Roman"/>
                <w:sz w:val="20"/>
              </w:rPr>
              <w:t>Oegussa Oesterreichische Gold- und Silber-Scheideanstalt Gesm.b.H. *</w:t>
            </w:r>
          </w:p>
        </w:tc>
        <w:tc>
          <w:tcPr>
            <w:tcW w:w="120"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0"/>
              <w:jc w:val="left"/>
              <w:rPr>
                <w:rFonts w:ascii="Times New Roman" w:hAnsi="Times New Roman"/>
                <w:sz w:val="20"/>
              </w:rPr>
            </w:pPr>
            <w:r>
              <w:rPr>
                <w:rFonts w:ascii="Times New Roman" w:hAnsi="Times New Roman"/>
                <w:sz w:val="20"/>
              </w:rPr>
              <w:t>AUSTRIA</w:t>
            </w:r>
          </w:p>
        </w:tc>
        <w:tc>
          <w:tcPr>
            <w:tcW w:w="120" w:type="dxa"/>
            <w:tcBorders/>
            <w:vAlign w:val="bottom"/>
          </w:tcPr>
          <w:p>
            <w:pPr>
              <w:pStyle w:val="TableContents"/>
              <w:bidi w:val="0"/>
              <w:spacing w:before="0" w:after="283"/>
              <w:jc w:val="left"/>
              <w:rPr/>
            </w:pPr>
            <w:r>
              <w:rPr/>
              <w:t>  </w:t>
            </w:r>
          </w:p>
        </w:tc>
        <w:tc>
          <w:tcPr>
            <w:tcW w:w="2398" w:type="dxa"/>
            <w:tcBorders/>
          </w:tcPr>
          <w:p>
            <w:pPr>
              <w:pStyle w:val="TableContents"/>
              <w:bidi w:val="0"/>
              <w:spacing w:before="0" w:after="0"/>
              <w:jc w:val="left"/>
              <w:rPr>
                <w:rFonts w:ascii="Times New Roman" w:hAnsi="Times New Roman"/>
                <w:sz w:val="20"/>
              </w:rPr>
            </w:pPr>
            <w:r>
              <w:rPr>
                <w:rFonts w:ascii="Times New Roman" w:hAnsi="Times New Roman"/>
                <w:sz w:val="20"/>
              </w:rPr>
              <w:t>ACTIVE</w:t>
            </w:r>
          </w:p>
        </w:tc>
      </w:tr>
      <w:tr>
        <w:trPr/>
        <w:tc>
          <w:tcPr>
            <w:tcW w:w="319" w:type="dxa"/>
            <w:tcBorders/>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120" w:type="dxa"/>
            <w:tcBorders/>
            <w:vAlign w:val="bottom"/>
          </w:tcPr>
          <w:p>
            <w:pPr>
              <w:pStyle w:val="TableContents"/>
              <w:bidi w:val="0"/>
              <w:spacing w:before="0" w:after="283"/>
              <w:jc w:val="left"/>
              <w:rPr/>
            </w:pPr>
            <w:r>
              <w:rPr/>
              <w:t>  </w:t>
            </w:r>
          </w:p>
        </w:tc>
        <w:tc>
          <w:tcPr>
            <w:tcW w:w="41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TITAN COMPANY LIMITED, JEWELLERY DIVISION </w:t>
            </w:r>
            <w:r>
              <w:rPr>
                <w:rFonts w:ascii="Times New Roman" w:hAnsi="Times New Roman"/>
                <w:sz w:val="13"/>
              </w:rPr>
              <w:t></w:t>
            </w:r>
          </w:p>
        </w:tc>
        <w:tc>
          <w:tcPr>
            <w:tcW w:w="120"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0"/>
              <w:jc w:val="left"/>
              <w:rPr>
                <w:rFonts w:ascii="Times New Roman" w:hAnsi="Times New Roman"/>
                <w:sz w:val="20"/>
              </w:rPr>
            </w:pPr>
            <w:r>
              <w:rPr>
                <w:rFonts w:ascii="Times New Roman" w:hAnsi="Times New Roman"/>
                <w:sz w:val="20"/>
              </w:rPr>
              <w:t>INDIA</w:t>
            </w:r>
          </w:p>
        </w:tc>
        <w:tc>
          <w:tcPr>
            <w:tcW w:w="120" w:type="dxa"/>
            <w:tcBorders/>
            <w:vAlign w:val="bottom"/>
          </w:tcPr>
          <w:p>
            <w:pPr>
              <w:pStyle w:val="TableContents"/>
              <w:bidi w:val="0"/>
              <w:spacing w:before="0" w:after="283"/>
              <w:jc w:val="left"/>
              <w:rPr/>
            </w:pPr>
            <w:r>
              <w:rPr/>
              <w:t>  </w:t>
            </w:r>
          </w:p>
        </w:tc>
        <w:tc>
          <w:tcPr>
            <w:tcW w:w="2398" w:type="dxa"/>
            <w:tcBorders/>
          </w:tcPr>
          <w:p>
            <w:pPr>
              <w:pStyle w:val="TableContents"/>
              <w:bidi w:val="0"/>
              <w:spacing w:before="0" w:after="0"/>
              <w:jc w:val="left"/>
              <w:rPr>
                <w:rFonts w:ascii="Times New Roman" w:hAnsi="Times New Roman"/>
                <w:sz w:val="20"/>
              </w:rPr>
            </w:pPr>
            <w:r>
              <w:rPr>
                <w:rFonts w:ascii="Times New Roman" w:hAnsi="Times New Roman"/>
                <w:sz w:val="20"/>
              </w:rPr>
              <w:t>ACTIVE</w:t>
            </w:r>
          </w:p>
        </w:tc>
      </w:tr>
      <w:tr>
        <w:trPr/>
        <w:tc>
          <w:tcPr>
            <w:tcW w:w="319" w:type="dxa"/>
            <w:tcBorders/>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20" w:type="dxa"/>
            <w:tcBorders/>
            <w:vAlign w:val="bottom"/>
          </w:tcPr>
          <w:p>
            <w:pPr>
              <w:pStyle w:val="TableContents"/>
              <w:bidi w:val="0"/>
              <w:spacing w:before="0" w:after="283"/>
              <w:jc w:val="left"/>
              <w:rPr/>
            </w:pPr>
            <w:r>
              <w:rPr/>
              <w:t>  </w:t>
            </w:r>
          </w:p>
        </w:tc>
        <w:tc>
          <w:tcPr>
            <w:tcW w:w="41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Tungamoy Metals Inc. </w:t>
            </w:r>
            <w:r>
              <w:rPr>
                <w:rFonts w:ascii="Times New Roman" w:hAnsi="Times New Roman"/>
                <w:sz w:val="13"/>
              </w:rPr>
              <w:t></w:t>
            </w:r>
          </w:p>
        </w:tc>
        <w:tc>
          <w:tcPr>
            <w:tcW w:w="120"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0"/>
              <w:jc w:val="left"/>
              <w:rPr>
                <w:rFonts w:ascii="Times New Roman" w:hAnsi="Times New Roman"/>
                <w:sz w:val="20"/>
              </w:rPr>
            </w:pPr>
            <w:r>
              <w:rPr>
                <w:rFonts w:ascii="Times New Roman" w:hAnsi="Times New Roman"/>
                <w:sz w:val="20"/>
              </w:rPr>
              <w:t>KOREA (REPUBLIC OF)</w:t>
            </w:r>
          </w:p>
        </w:tc>
        <w:tc>
          <w:tcPr>
            <w:tcW w:w="120" w:type="dxa"/>
            <w:tcBorders/>
            <w:vAlign w:val="bottom"/>
          </w:tcPr>
          <w:p>
            <w:pPr>
              <w:pStyle w:val="TableContents"/>
              <w:bidi w:val="0"/>
              <w:spacing w:before="0" w:after="283"/>
              <w:jc w:val="left"/>
              <w:rPr/>
            </w:pPr>
            <w:r>
              <w:rPr/>
              <w:t>  </w:t>
            </w:r>
          </w:p>
        </w:tc>
        <w:tc>
          <w:tcPr>
            <w:tcW w:w="2398" w:type="dxa"/>
            <w:tcBorders/>
          </w:tcPr>
          <w:p>
            <w:pPr>
              <w:pStyle w:val="TableContents"/>
              <w:bidi w:val="0"/>
              <w:spacing w:before="0" w:after="0"/>
              <w:jc w:val="left"/>
              <w:rPr>
                <w:rFonts w:ascii="Times New Roman" w:hAnsi="Times New Roman"/>
                <w:sz w:val="20"/>
              </w:rPr>
            </w:pPr>
            <w:r>
              <w:rPr>
                <w:rFonts w:ascii="Times New Roman" w:hAnsi="Times New Roman"/>
                <w:sz w:val="20"/>
              </w:rPr>
              <w:t>ACTIVE</w:t>
            </w:r>
          </w:p>
        </w:tc>
      </w:tr>
      <w:tr>
        <w:trPr/>
        <w:tc>
          <w:tcPr>
            <w:tcW w:w="319" w:type="dxa"/>
            <w:tcBorders/>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120" w:type="dxa"/>
            <w:tcBorders/>
            <w:vAlign w:val="bottom"/>
          </w:tcPr>
          <w:p>
            <w:pPr>
              <w:pStyle w:val="TableContents"/>
              <w:bidi w:val="0"/>
              <w:spacing w:before="0" w:after="283"/>
              <w:jc w:val="left"/>
              <w:rPr/>
            </w:pPr>
            <w:r>
              <w:rPr/>
              <w:t>  </w:t>
            </w:r>
          </w:p>
        </w:tc>
        <w:tc>
          <w:tcPr>
            <w:tcW w:w="41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CRM Fundicao De Metais E Comercio De Equipamentos Eletronicos Do Brasil Ltda </w:t>
            </w:r>
            <w:r>
              <w:rPr>
                <w:rFonts w:ascii="Times New Roman" w:hAnsi="Times New Roman"/>
                <w:sz w:val="13"/>
              </w:rPr>
              <w:t></w:t>
            </w:r>
          </w:p>
        </w:tc>
        <w:tc>
          <w:tcPr>
            <w:tcW w:w="120"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c>
          <w:tcPr>
            <w:tcW w:w="120" w:type="dxa"/>
            <w:tcBorders/>
            <w:vAlign w:val="bottom"/>
          </w:tcPr>
          <w:p>
            <w:pPr>
              <w:pStyle w:val="TableContents"/>
              <w:bidi w:val="0"/>
              <w:spacing w:before="0" w:after="283"/>
              <w:jc w:val="left"/>
              <w:rPr/>
            </w:pPr>
            <w:r>
              <w:rPr/>
              <w:t>  </w:t>
            </w:r>
          </w:p>
        </w:tc>
        <w:tc>
          <w:tcPr>
            <w:tcW w:w="2398" w:type="dxa"/>
            <w:tcBorders/>
          </w:tcPr>
          <w:p>
            <w:pPr>
              <w:pStyle w:val="TableContents"/>
              <w:bidi w:val="0"/>
              <w:spacing w:before="0" w:after="0"/>
              <w:jc w:val="left"/>
              <w:rPr>
                <w:rFonts w:ascii="Times New Roman" w:hAnsi="Times New Roman"/>
                <w:sz w:val="20"/>
              </w:rPr>
            </w:pPr>
            <w:r>
              <w:rPr>
                <w:rFonts w:ascii="Times New Roman" w:hAnsi="Times New Roman"/>
                <w:sz w:val="20"/>
              </w:rPr>
              <w:t>NON-CONFORMANT</w:t>
            </w:r>
          </w:p>
        </w:tc>
      </w:tr>
      <w:tr>
        <w:trPr/>
        <w:tc>
          <w:tcPr>
            <w:tcW w:w="319" w:type="dxa"/>
            <w:tcBorders/>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120" w:type="dxa"/>
            <w:tcBorders/>
            <w:vAlign w:val="bottom"/>
          </w:tcPr>
          <w:p>
            <w:pPr>
              <w:pStyle w:val="TableContents"/>
              <w:bidi w:val="0"/>
              <w:spacing w:before="0" w:after="283"/>
              <w:jc w:val="left"/>
              <w:rPr/>
            </w:pPr>
            <w:r>
              <w:rPr/>
              <w:t>  </w:t>
            </w:r>
          </w:p>
        </w:tc>
        <w:tc>
          <w:tcPr>
            <w:tcW w:w="41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Hunan Shizhuyuan Nonferrous Metals Co., Ltd. Chenzhou Tungsten Products Branch </w:t>
            </w:r>
            <w:r>
              <w:rPr>
                <w:rFonts w:ascii="Times New Roman" w:hAnsi="Times New Roman"/>
                <w:sz w:val="13"/>
              </w:rPr>
              <w:t></w:t>
            </w:r>
          </w:p>
        </w:tc>
        <w:tc>
          <w:tcPr>
            <w:tcW w:w="120"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0"/>
              <w:jc w:val="left"/>
              <w:rPr>
                <w:rFonts w:ascii="Times New Roman" w:hAnsi="Times New Roman"/>
                <w:sz w:val="20"/>
              </w:rPr>
            </w:pPr>
            <w:r>
              <w:rPr>
                <w:rFonts w:ascii="Times New Roman" w:hAnsi="Times New Roman"/>
                <w:sz w:val="20"/>
              </w:rPr>
              <w:t>Tungsten</w:t>
            </w:r>
          </w:p>
        </w:tc>
        <w:tc>
          <w:tcPr>
            <w:tcW w:w="120"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120" w:type="dxa"/>
            <w:tcBorders/>
            <w:vAlign w:val="bottom"/>
          </w:tcPr>
          <w:p>
            <w:pPr>
              <w:pStyle w:val="TableContents"/>
              <w:bidi w:val="0"/>
              <w:spacing w:before="0" w:after="283"/>
              <w:jc w:val="left"/>
              <w:rPr/>
            </w:pPr>
            <w:r>
              <w:rPr/>
              <w:t>  </w:t>
            </w:r>
          </w:p>
        </w:tc>
        <w:tc>
          <w:tcPr>
            <w:tcW w:w="2398" w:type="dxa"/>
            <w:tcBorders/>
          </w:tcPr>
          <w:p>
            <w:pPr>
              <w:pStyle w:val="TableContents"/>
              <w:bidi w:val="0"/>
              <w:spacing w:before="0" w:after="0"/>
              <w:jc w:val="left"/>
              <w:rPr>
                <w:rFonts w:ascii="Times New Roman" w:hAnsi="Times New Roman"/>
                <w:sz w:val="20"/>
              </w:rPr>
            </w:pPr>
            <w:r>
              <w:rPr>
                <w:rFonts w:ascii="Times New Roman" w:hAnsi="Times New Roman"/>
                <w:sz w:val="20"/>
              </w:rPr>
              <w:t>NON-CONFORMANT</w:t>
            </w:r>
          </w:p>
        </w:tc>
      </w:tr>
      <w:tr>
        <w:trPr/>
        <w:tc>
          <w:tcPr>
            <w:tcW w:w="319" w:type="dxa"/>
            <w:tcBorders/>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120" w:type="dxa"/>
            <w:tcBorders/>
            <w:vAlign w:val="bottom"/>
          </w:tcPr>
          <w:p>
            <w:pPr>
              <w:pStyle w:val="TableContents"/>
              <w:bidi w:val="0"/>
              <w:spacing w:before="0" w:after="283"/>
              <w:jc w:val="left"/>
              <w:rPr/>
            </w:pPr>
            <w:r>
              <w:rPr/>
              <w:t>  </w:t>
            </w:r>
          </w:p>
        </w:tc>
        <w:tc>
          <w:tcPr>
            <w:tcW w:w="41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Jiangxi New Nanshan Technology Ltd. </w:t>
            </w:r>
            <w:r>
              <w:rPr>
                <w:rFonts w:ascii="Times New Roman" w:hAnsi="Times New Roman"/>
                <w:sz w:val="13"/>
              </w:rPr>
              <w:t></w:t>
            </w:r>
          </w:p>
        </w:tc>
        <w:tc>
          <w:tcPr>
            <w:tcW w:w="120"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120" w:type="dxa"/>
            <w:tcBorders/>
            <w:vAlign w:val="bottom"/>
          </w:tcPr>
          <w:p>
            <w:pPr>
              <w:pStyle w:val="TableContents"/>
              <w:bidi w:val="0"/>
              <w:spacing w:before="0" w:after="283"/>
              <w:jc w:val="left"/>
              <w:rPr/>
            </w:pPr>
            <w:r>
              <w:rPr/>
              <w:t>  </w:t>
            </w:r>
          </w:p>
        </w:tc>
        <w:tc>
          <w:tcPr>
            <w:tcW w:w="2398" w:type="dxa"/>
            <w:tcBorders/>
          </w:tcPr>
          <w:p>
            <w:pPr>
              <w:pStyle w:val="TableContents"/>
              <w:bidi w:val="0"/>
              <w:spacing w:before="0" w:after="0"/>
              <w:jc w:val="left"/>
              <w:rPr>
                <w:rFonts w:ascii="Times New Roman" w:hAnsi="Times New Roman"/>
                <w:sz w:val="20"/>
              </w:rPr>
            </w:pPr>
            <w:r>
              <w:rPr>
                <w:rFonts w:ascii="Times New Roman" w:hAnsi="Times New Roman"/>
                <w:sz w:val="20"/>
              </w:rPr>
              <w:t>NON-CONFORMANT</w:t>
            </w:r>
          </w:p>
        </w:tc>
      </w:tr>
      <w:tr>
        <w:trPr/>
        <w:tc>
          <w:tcPr>
            <w:tcW w:w="319" w:type="dxa"/>
            <w:tcBorders/>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120" w:type="dxa"/>
            <w:tcBorders/>
            <w:vAlign w:val="bottom"/>
          </w:tcPr>
          <w:p>
            <w:pPr>
              <w:pStyle w:val="TableContents"/>
              <w:bidi w:val="0"/>
              <w:spacing w:before="0" w:after="283"/>
              <w:jc w:val="left"/>
              <w:rPr/>
            </w:pPr>
            <w:r>
              <w:rPr/>
              <w:t>  </w:t>
            </w:r>
          </w:p>
        </w:tc>
        <w:tc>
          <w:tcPr>
            <w:tcW w:w="41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L’Orfebre S.A. </w:t>
            </w:r>
            <w:r>
              <w:rPr>
                <w:rFonts w:ascii="Times New Roman" w:hAnsi="Times New Roman"/>
                <w:sz w:val="13"/>
              </w:rPr>
              <w:t></w:t>
            </w:r>
          </w:p>
        </w:tc>
        <w:tc>
          <w:tcPr>
            <w:tcW w:w="120"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0"/>
              <w:jc w:val="left"/>
              <w:rPr>
                <w:rFonts w:ascii="Times New Roman" w:hAnsi="Times New Roman"/>
                <w:sz w:val="20"/>
              </w:rPr>
            </w:pPr>
            <w:r>
              <w:rPr>
                <w:rFonts w:ascii="Times New Roman" w:hAnsi="Times New Roman"/>
                <w:sz w:val="20"/>
              </w:rPr>
              <w:t>ANDORRA</w:t>
            </w:r>
          </w:p>
        </w:tc>
        <w:tc>
          <w:tcPr>
            <w:tcW w:w="120" w:type="dxa"/>
            <w:tcBorders/>
            <w:vAlign w:val="bottom"/>
          </w:tcPr>
          <w:p>
            <w:pPr>
              <w:pStyle w:val="TableContents"/>
              <w:bidi w:val="0"/>
              <w:spacing w:before="0" w:after="283"/>
              <w:jc w:val="left"/>
              <w:rPr/>
            </w:pPr>
            <w:r>
              <w:rPr/>
              <w:t>  </w:t>
            </w:r>
          </w:p>
        </w:tc>
        <w:tc>
          <w:tcPr>
            <w:tcW w:w="2398" w:type="dxa"/>
            <w:tcBorders/>
          </w:tcPr>
          <w:p>
            <w:pPr>
              <w:pStyle w:val="TableContents"/>
              <w:bidi w:val="0"/>
              <w:spacing w:before="0" w:after="0"/>
              <w:jc w:val="left"/>
              <w:rPr>
                <w:rFonts w:ascii="Times New Roman" w:hAnsi="Times New Roman"/>
                <w:sz w:val="20"/>
              </w:rPr>
            </w:pPr>
            <w:r>
              <w:rPr>
                <w:rFonts w:ascii="Times New Roman" w:hAnsi="Times New Roman"/>
                <w:sz w:val="20"/>
              </w:rPr>
              <w:t>NON-CONFORMANT</w:t>
            </w:r>
          </w:p>
        </w:tc>
      </w:tr>
      <w:tr>
        <w:trPr/>
        <w:tc>
          <w:tcPr>
            <w:tcW w:w="319" w:type="dxa"/>
            <w:tcBorders/>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120" w:type="dxa"/>
            <w:tcBorders/>
            <w:vAlign w:val="bottom"/>
          </w:tcPr>
          <w:p>
            <w:pPr>
              <w:pStyle w:val="TableContents"/>
              <w:bidi w:val="0"/>
              <w:spacing w:before="0" w:after="283"/>
              <w:jc w:val="left"/>
              <w:rPr/>
            </w:pPr>
            <w:r>
              <w:rPr/>
              <w:t>  </w:t>
            </w:r>
          </w:p>
        </w:tc>
        <w:tc>
          <w:tcPr>
            <w:tcW w:w="41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Precious Minerals and Smelting Limited </w:t>
            </w:r>
            <w:r>
              <w:rPr>
                <w:rFonts w:ascii="Times New Roman" w:hAnsi="Times New Roman"/>
                <w:sz w:val="13"/>
              </w:rPr>
              <w:t></w:t>
            </w:r>
          </w:p>
        </w:tc>
        <w:tc>
          <w:tcPr>
            <w:tcW w:w="120"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0"/>
              <w:jc w:val="left"/>
              <w:rPr>
                <w:rFonts w:ascii="Times New Roman" w:hAnsi="Times New Roman"/>
                <w:sz w:val="20"/>
              </w:rPr>
            </w:pPr>
            <w:r>
              <w:rPr>
                <w:rFonts w:ascii="Times New Roman" w:hAnsi="Times New Roman"/>
                <w:sz w:val="20"/>
              </w:rPr>
              <w:t>INDIA</w:t>
            </w:r>
          </w:p>
        </w:tc>
        <w:tc>
          <w:tcPr>
            <w:tcW w:w="120" w:type="dxa"/>
            <w:tcBorders/>
            <w:vAlign w:val="bottom"/>
          </w:tcPr>
          <w:p>
            <w:pPr>
              <w:pStyle w:val="TableContents"/>
              <w:bidi w:val="0"/>
              <w:spacing w:before="0" w:after="283"/>
              <w:jc w:val="left"/>
              <w:rPr/>
            </w:pPr>
            <w:r>
              <w:rPr/>
              <w:t>  </w:t>
            </w:r>
          </w:p>
        </w:tc>
        <w:tc>
          <w:tcPr>
            <w:tcW w:w="2398" w:type="dxa"/>
            <w:tcBorders/>
          </w:tcPr>
          <w:p>
            <w:pPr>
              <w:pStyle w:val="TableContents"/>
              <w:bidi w:val="0"/>
              <w:spacing w:before="0" w:after="0"/>
              <w:jc w:val="left"/>
              <w:rPr>
                <w:rFonts w:ascii="Times New Roman" w:hAnsi="Times New Roman"/>
                <w:sz w:val="20"/>
              </w:rPr>
            </w:pPr>
            <w:r>
              <w:rPr>
                <w:rFonts w:ascii="Times New Roman" w:hAnsi="Times New Roman"/>
                <w:sz w:val="20"/>
              </w:rPr>
              <w:t>NON-CONFORMANT</w:t>
            </w:r>
          </w:p>
        </w:tc>
      </w:tr>
      <w:tr>
        <w:trPr/>
        <w:tc>
          <w:tcPr>
            <w:tcW w:w="319" w:type="dxa"/>
            <w:tcBorders/>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120" w:type="dxa"/>
            <w:tcBorders/>
            <w:vAlign w:val="bottom"/>
          </w:tcPr>
          <w:p>
            <w:pPr>
              <w:pStyle w:val="TableContents"/>
              <w:bidi w:val="0"/>
              <w:spacing w:before="0" w:after="283"/>
              <w:jc w:val="left"/>
              <w:rPr/>
            </w:pPr>
            <w:r>
              <w:rPr/>
              <w:t>  </w:t>
            </w:r>
          </w:p>
        </w:tc>
        <w:tc>
          <w:tcPr>
            <w:tcW w:w="41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Torecom </w:t>
            </w:r>
            <w:r>
              <w:rPr>
                <w:rFonts w:ascii="Times New Roman" w:hAnsi="Times New Roman"/>
                <w:sz w:val="13"/>
              </w:rPr>
              <w:t></w:t>
            </w:r>
          </w:p>
        </w:tc>
        <w:tc>
          <w:tcPr>
            <w:tcW w:w="120"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0"/>
              <w:jc w:val="left"/>
              <w:rPr>
                <w:rFonts w:ascii="Times New Roman" w:hAnsi="Times New Roman"/>
                <w:sz w:val="20"/>
              </w:rPr>
            </w:pPr>
            <w:r>
              <w:rPr>
                <w:rFonts w:ascii="Times New Roman" w:hAnsi="Times New Roman"/>
                <w:sz w:val="20"/>
              </w:rPr>
              <w:t>KOREA (REPUBLIC OF)</w:t>
            </w:r>
          </w:p>
        </w:tc>
        <w:tc>
          <w:tcPr>
            <w:tcW w:w="120" w:type="dxa"/>
            <w:tcBorders/>
            <w:vAlign w:val="bottom"/>
          </w:tcPr>
          <w:p>
            <w:pPr>
              <w:pStyle w:val="TableContents"/>
              <w:bidi w:val="0"/>
              <w:spacing w:before="0" w:after="283"/>
              <w:jc w:val="left"/>
              <w:rPr/>
            </w:pPr>
            <w:r>
              <w:rPr/>
              <w:t>  </w:t>
            </w:r>
          </w:p>
        </w:tc>
        <w:tc>
          <w:tcPr>
            <w:tcW w:w="2398" w:type="dxa"/>
            <w:tcBorders/>
          </w:tcPr>
          <w:p>
            <w:pPr>
              <w:pStyle w:val="TableContents"/>
              <w:bidi w:val="0"/>
              <w:spacing w:before="0" w:after="0"/>
              <w:jc w:val="left"/>
              <w:rPr>
                <w:rFonts w:ascii="Times New Roman" w:hAnsi="Times New Roman"/>
                <w:sz w:val="20"/>
              </w:rPr>
            </w:pPr>
            <w:r>
              <w:rPr>
                <w:rFonts w:ascii="Times New Roman" w:hAnsi="Times New Roman"/>
                <w:sz w:val="20"/>
              </w:rPr>
              <w:t>NON-CONFORMANT</w:t>
            </w:r>
          </w:p>
        </w:tc>
      </w:tr>
      <w:tr>
        <w:trPr/>
        <w:tc>
          <w:tcPr>
            <w:tcW w:w="319" w:type="dxa"/>
            <w:tcBorders/>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120" w:type="dxa"/>
            <w:tcBorders/>
            <w:vAlign w:val="bottom"/>
          </w:tcPr>
          <w:p>
            <w:pPr>
              <w:pStyle w:val="TableContents"/>
              <w:bidi w:val="0"/>
              <w:spacing w:before="0" w:after="283"/>
              <w:jc w:val="left"/>
              <w:rPr/>
            </w:pPr>
            <w:r>
              <w:rPr/>
              <w:t>  </w:t>
            </w:r>
          </w:p>
        </w:tc>
        <w:tc>
          <w:tcPr>
            <w:tcW w:w="41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WEEEREFINING </w:t>
            </w:r>
            <w:r>
              <w:rPr>
                <w:rFonts w:ascii="Times New Roman" w:hAnsi="Times New Roman"/>
                <w:sz w:val="13"/>
              </w:rPr>
              <w:t></w:t>
            </w:r>
          </w:p>
        </w:tc>
        <w:tc>
          <w:tcPr>
            <w:tcW w:w="120"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0"/>
              <w:jc w:val="left"/>
              <w:rPr>
                <w:rFonts w:ascii="Times New Roman" w:hAnsi="Times New Roman"/>
                <w:sz w:val="20"/>
              </w:rPr>
            </w:pPr>
            <w:r>
              <w:rPr>
                <w:rFonts w:ascii="Times New Roman" w:hAnsi="Times New Roman"/>
                <w:sz w:val="20"/>
              </w:rPr>
              <w:t>FRANCE</w:t>
            </w:r>
          </w:p>
        </w:tc>
        <w:tc>
          <w:tcPr>
            <w:tcW w:w="120" w:type="dxa"/>
            <w:tcBorders/>
            <w:vAlign w:val="bottom"/>
          </w:tcPr>
          <w:p>
            <w:pPr>
              <w:pStyle w:val="TableContents"/>
              <w:bidi w:val="0"/>
              <w:spacing w:before="0" w:after="283"/>
              <w:jc w:val="left"/>
              <w:rPr/>
            </w:pPr>
            <w:r>
              <w:rPr/>
              <w:t>  </w:t>
            </w:r>
          </w:p>
        </w:tc>
        <w:tc>
          <w:tcPr>
            <w:tcW w:w="2398" w:type="dxa"/>
            <w:tcBorders/>
          </w:tcPr>
          <w:p>
            <w:pPr>
              <w:pStyle w:val="TableContents"/>
              <w:bidi w:val="0"/>
              <w:spacing w:before="0" w:after="0"/>
              <w:jc w:val="left"/>
              <w:rPr>
                <w:rFonts w:ascii="Times New Roman" w:hAnsi="Times New Roman"/>
                <w:sz w:val="20"/>
              </w:rPr>
            </w:pPr>
            <w:r>
              <w:rPr>
                <w:rFonts w:ascii="Times New Roman" w:hAnsi="Times New Roman"/>
                <w:sz w:val="20"/>
              </w:rPr>
              <w:t>NON-CONFORMANT</w:t>
            </w:r>
          </w:p>
        </w:tc>
      </w:tr>
      <w:tr>
        <w:trPr/>
        <w:tc>
          <w:tcPr>
            <w:tcW w:w="319" w:type="dxa"/>
            <w:tcBorders/>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120" w:type="dxa"/>
            <w:tcBorders/>
            <w:vAlign w:val="bottom"/>
          </w:tcPr>
          <w:p>
            <w:pPr>
              <w:pStyle w:val="TableContents"/>
              <w:bidi w:val="0"/>
              <w:spacing w:before="0" w:after="283"/>
              <w:jc w:val="left"/>
              <w:rPr/>
            </w:pPr>
            <w:r>
              <w:rPr/>
              <w:t>  </w:t>
            </w:r>
          </w:p>
        </w:tc>
        <w:tc>
          <w:tcPr>
            <w:tcW w:w="41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Yunnan Chengfeng Non-ferrous Metals Co., Ltd. </w:t>
            </w:r>
            <w:r>
              <w:rPr>
                <w:rFonts w:ascii="Times New Roman" w:hAnsi="Times New Roman"/>
                <w:sz w:val="13"/>
              </w:rPr>
              <w:t></w:t>
            </w:r>
          </w:p>
        </w:tc>
        <w:tc>
          <w:tcPr>
            <w:tcW w:w="120"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120" w:type="dxa"/>
            <w:tcBorders/>
            <w:vAlign w:val="bottom"/>
          </w:tcPr>
          <w:p>
            <w:pPr>
              <w:pStyle w:val="TableContents"/>
              <w:bidi w:val="0"/>
              <w:spacing w:before="0" w:after="283"/>
              <w:jc w:val="left"/>
              <w:rPr/>
            </w:pPr>
            <w:r>
              <w:rPr/>
              <w:t>  </w:t>
            </w:r>
          </w:p>
        </w:tc>
        <w:tc>
          <w:tcPr>
            <w:tcW w:w="2398" w:type="dxa"/>
            <w:tcBorders/>
          </w:tcPr>
          <w:p>
            <w:pPr>
              <w:pStyle w:val="TableContents"/>
              <w:bidi w:val="0"/>
              <w:spacing w:before="0" w:after="0"/>
              <w:jc w:val="left"/>
              <w:rPr>
                <w:rFonts w:ascii="Times New Roman" w:hAnsi="Times New Roman"/>
                <w:sz w:val="20"/>
              </w:rPr>
            </w:pPr>
            <w:r>
              <w:rPr>
                <w:rFonts w:ascii="Times New Roman" w:hAnsi="Times New Roman"/>
                <w:sz w:val="20"/>
              </w:rPr>
              <w:t>NON-CONFORMANT</w:t>
            </w:r>
          </w:p>
        </w:tc>
      </w:tr>
      <w:tr>
        <w:trPr/>
        <w:tc>
          <w:tcPr>
            <w:tcW w:w="319" w:type="dxa"/>
            <w:tcBorders/>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120" w:type="dxa"/>
            <w:tcBorders/>
            <w:vAlign w:val="bottom"/>
          </w:tcPr>
          <w:p>
            <w:pPr>
              <w:pStyle w:val="TableContents"/>
              <w:bidi w:val="0"/>
              <w:spacing w:before="0" w:after="283"/>
              <w:jc w:val="left"/>
              <w:rPr/>
            </w:pPr>
            <w:r>
              <w:rPr/>
              <w:t>  </w:t>
            </w:r>
          </w:p>
        </w:tc>
        <w:tc>
          <w:tcPr>
            <w:tcW w:w="41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 Aries Kencana Sejahtera </w:t>
            </w:r>
            <w:r>
              <w:rPr>
                <w:rFonts w:ascii="Times New Roman" w:hAnsi="Times New Roman"/>
                <w:sz w:val="13"/>
              </w:rPr>
              <w:t></w:t>
            </w:r>
          </w:p>
        </w:tc>
        <w:tc>
          <w:tcPr>
            <w:tcW w:w="120"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0"/>
              <w:jc w:val="left"/>
              <w:rPr>
                <w:rFonts w:ascii="Times New Roman" w:hAnsi="Times New Roman"/>
                <w:sz w:val="20"/>
              </w:rPr>
            </w:pPr>
            <w:r>
              <w:rPr>
                <w:rFonts w:ascii="Times New Roman" w:hAnsi="Times New Roman"/>
                <w:sz w:val="20"/>
              </w:rPr>
              <w:t>Tin</w:t>
            </w:r>
          </w:p>
        </w:tc>
        <w:tc>
          <w:tcPr>
            <w:tcW w:w="120"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0"/>
              <w:jc w:val="left"/>
              <w:rPr>
                <w:rFonts w:ascii="Times New Roman" w:hAnsi="Times New Roman"/>
                <w:sz w:val="20"/>
              </w:rPr>
            </w:pPr>
            <w:r>
              <w:rPr>
                <w:rFonts w:ascii="Times New Roman" w:hAnsi="Times New Roman"/>
                <w:sz w:val="20"/>
              </w:rPr>
              <w:t>INDONESIA</w:t>
            </w:r>
          </w:p>
        </w:tc>
        <w:tc>
          <w:tcPr>
            <w:tcW w:w="120" w:type="dxa"/>
            <w:tcBorders/>
            <w:vAlign w:val="bottom"/>
          </w:tcPr>
          <w:p>
            <w:pPr>
              <w:pStyle w:val="TableContents"/>
              <w:bidi w:val="0"/>
              <w:spacing w:before="0" w:after="283"/>
              <w:jc w:val="left"/>
              <w:rPr/>
            </w:pPr>
            <w:r>
              <w:rPr/>
              <w:t>  </w:t>
            </w:r>
          </w:p>
        </w:tc>
        <w:tc>
          <w:tcPr>
            <w:tcW w:w="2398" w:type="dxa"/>
            <w:tcBorders/>
          </w:tcPr>
          <w:p>
            <w:pPr>
              <w:pStyle w:val="TableContents"/>
              <w:bidi w:val="0"/>
              <w:spacing w:before="0" w:after="0"/>
              <w:jc w:val="left"/>
              <w:rPr>
                <w:rFonts w:ascii="Times New Roman" w:hAnsi="Times New Roman"/>
                <w:sz w:val="20"/>
              </w:rPr>
            </w:pPr>
            <w:r>
              <w:rPr>
                <w:rFonts w:ascii="Times New Roman" w:hAnsi="Times New Roman"/>
                <w:sz w:val="20"/>
              </w:rPr>
              <w:t>TARGETED</w:t>
            </w:r>
          </w:p>
        </w:tc>
      </w:tr>
      <w:tr>
        <w:trPr/>
        <w:tc>
          <w:tcPr>
            <w:tcW w:w="319" w:type="dxa"/>
            <w:tcBorders/>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120" w:type="dxa"/>
            <w:tcBorders/>
            <w:vAlign w:val="bottom"/>
          </w:tcPr>
          <w:p>
            <w:pPr>
              <w:pStyle w:val="TableContents"/>
              <w:bidi w:val="0"/>
              <w:spacing w:before="0" w:after="283"/>
              <w:jc w:val="left"/>
              <w:rPr/>
            </w:pPr>
            <w:r>
              <w:rPr/>
              <w:t>  </w:t>
            </w:r>
          </w:p>
        </w:tc>
        <w:tc>
          <w:tcPr>
            <w:tcW w:w="4197" w:type="dxa"/>
            <w:tcBorders/>
          </w:tcPr>
          <w:p>
            <w:pPr>
              <w:pStyle w:val="TableContents"/>
              <w:bidi w:val="0"/>
              <w:spacing w:before="0" w:after="0"/>
              <w:jc w:val="left"/>
              <w:rPr>
                <w:rFonts w:ascii="Times New Roman" w:hAnsi="Times New Roman"/>
                <w:sz w:val="20"/>
              </w:rPr>
            </w:pPr>
            <w:r>
              <w:rPr>
                <w:rFonts w:ascii="Times New Roman" w:hAnsi="Times New Roman"/>
                <w:sz w:val="20"/>
              </w:rPr>
              <w:t>Great Wall Precious Metals Co., Ltd. of CBPM</w:t>
            </w:r>
          </w:p>
        </w:tc>
        <w:tc>
          <w:tcPr>
            <w:tcW w:w="120"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120" w:type="dxa"/>
            <w:tcBorders/>
            <w:vAlign w:val="bottom"/>
          </w:tcPr>
          <w:p>
            <w:pPr>
              <w:pStyle w:val="TableContents"/>
              <w:bidi w:val="0"/>
              <w:spacing w:before="0" w:after="283"/>
              <w:jc w:val="left"/>
              <w:rPr/>
            </w:pPr>
            <w:r>
              <w:rPr/>
              <w:t>  </w:t>
            </w:r>
          </w:p>
        </w:tc>
        <w:tc>
          <w:tcPr>
            <w:tcW w:w="2398" w:type="dxa"/>
            <w:tcBorders/>
          </w:tcPr>
          <w:p>
            <w:pPr>
              <w:pStyle w:val="TableContents"/>
              <w:bidi w:val="0"/>
              <w:spacing w:before="0" w:after="0"/>
              <w:jc w:val="left"/>
              <w:rPr>
                <w:rFonts w:ascii="Times New Roman" w:hAnsi="Times New Roman"/>
                <w:sz w:val="20"/>
              </w:rPr>
            </w:pPr>
            <w:r>
              <w:rPr>
                <w:rFonts w:ascii="Times New Roman" w:hAnsi="Times New Roman"/>
                <w:sz w:val="20"/>
              </w:rPr>
              <w:t>TARGETED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Appendix 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46"/>
        <w:gridCol w:w="120"/>
        <w:gridCol w:w="3030"/>
        <w:gridCol w:w="120"/>
        <w:gridCol w:w="3189"/>
      </w:tblGrid>
      <w:tr>
        <w:trPr/>
        <w:tc>
          <w:tcPr>
            <w:tcW w:w="37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9" w:type="dxa"/>
            <w:tcBorders/>
            <w:vAlign w:val="center"/>
          </w:tcPr>
          <w:p>
            <w:pPr>
              <w:pStyle w:val="TableContents"/>
              <w:bidi w:val="0"/>
              <w:spacing w:before="0" w:after="283"/>
              <w:jc w:val="left"/>
              <w:rPr>
                <w:sz w:val="4"/>
                <w:szCs w:val="4"/>
              </w:rPr>
            </w:pPr>
            <w:r>
              <w:rPr>
                <w:sz w:val="4"/>
                <w:szCs w:val="4"/>
              </w:rPr>
            </w:r>
          </w:p>
        </w:tc>
      </w:tr>
      <w:tr>
        <w:trPr/>
        <w:tc>
          <w:tcPr>
            <w:tcW w:w="3746" w:type="dxa"/>
            <w:vMerge w:val="restart"/>
            <w:tcBorders/>
          </w:tcPr>
          <w:p>
            <w:pPr>
              <w:pStyle w:val="TableContents"/>
              <w:bidi w:val="0"/>
              <w:spacing w:before="0" w:after="283"/>
              <w:jc w:val="left"/>
              <w:rPr/>
            </w:pPr>
            <w:r>
              <w:rPr/>
              <w:drawing>
                <wp:inline distT="0" distB="0" distL="0" distR="0">
                  <wp:extent cx="12954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95400"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0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89" w:type="dxa"/>
            <w:tcBorders/>
          </w:tcPr>
          <w:p>
            <w:pPr>
              <w:pStyle w:val="TableContents"/>
              <w:bidi w:val="0"/>
              <w:spacing w:before="0" w:after="283"/>
              <w:jc w:val="left"/>
              <w:rPr>
                <w:sz w:val="4"/>
                <w:szCs w:val="4"/>
              </w:rPr>
            </w:pPr>
            <w:r>
              <w:rPr>
                <w:sz w:val="4"/>
                <w:szCs w:val="4"/>
              </w:rPr>
            </w:r>
          </w:p>
        </w:tc>
      </w:tr>
      <w:tr>
        <w:trPr/>
        <w:tc>
          <w:tcPr>
            <w:tcW w:w="3746"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30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89" w:type="dxa"/>
            <w:tcBorders/>
          </w:tcPr>
          <w:p>
            <w:pPr>
              <w:pStyle w:val="TableContents"/>
              <w:bidi w:val="0"/>
              <w:spacing w:before="0" w:after="283"/>
              <w:jc w:val="left"/>
              <w:rPr>
                <w:b/>
              </w:rPr>
            </w:pPr>
            <w:r>
              <w:rPr>
                <w:b/>
              </w:rPr>
              <w:t>Crowe LLP</w:t>
            </w:r>
          </w:p>
        </w:tc>
      </w:tr>
      <w:tr>
        <w:trPr/>
        <w:tc>
          <w:tcPr>
            <w:tcW w:w="3746"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30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89" w:type="dxa"/>
            <w:tcBorders/>
          </w:tcPr>
          <w:p>
            <w:pPr>
              <w:pStyle w:val="TableContents"/>
              <w:bidi w:val="0"/>
              <w:spacing w:before="0" w:after="283"/>
              <w:jc w:val="left"/>
              <w:rPr/>
            </w:pPr>
            <w:r>
              <w:rPr/>
              <w:t>Independent Member Crowe Global</w:t>
            </w:r>
          </w:p>
        </w:tc>
      </w:tr>
    </w:tbl>
    <w:p>
      <w:pPr>
        <w:pStyle w:val="TextBody"/>
        <w:bidi w:val="0"/>
        <w:spacing w:before="240" w:after="0"/>
        <w:jc w:val="center"/>
        <w:rPr>
          <w:rFonts w:ascii="Times New Roman" w:hAnsi="Times New Roman"/>
          <w:sz w:val="20"/>
        </w:rPr>
      </w:pPr>
      <w:r>
        <w:rPr>
          <w:rFonts w:ascii="Times New Roman" w:hAnsi="Times New Roman"/>
          <w:sz w:val="20"/>
        </w:rPr>
        <w:t xml:space="preserve">INDEPENDENT ACCOUNTANT’S REPORT ON CONFLICT MINERALS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Texas Instruments Incorporated </w:t>
      </w:r>
    </w:p>
    <w:p>
      <w:pPr>
        <w:pStyle w:val="TextBody"/>
        <w:bidi w:val="0"/>
        <w:spacing w:before="0" w:after="0"/>
        <w:jc w:val="left"/>
        <w:rPr>
          <w:rFonts w:ascii="Times New Roman" w:hAnsi="Times New Roman"/>
          <w:sz w:val="20"/>
        </w:rPr>
      </w:pPr>
      <w:r>
        <w:rPr>
          <w:rFonts w:ascii="Times New Roman" w:hAnsi="Times New Roman"/>
          <w:sz w:val="20"/>
        </w:rPr>
        <w:t xml:space="preserve">Dallas, Texas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design of Texas Instruments Incorporated’s (the “Company”) due diligence framework as set forth in the section titled “Design of Due Diligence” of the Conflict Minerals Report for the reporting period from January 1, 2025 through December 31, 2025, is in conformity, in all material respects, with the criteria set forth in the Organisation for Economic Co-Operation and Development Due Diligence Guidance for Responsible Supply Chains of Minerals from Conflict-Affected and High-Risk Areas, Third Edition 2016 (“OECD Due Diligence Guidance”),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Company’s description of the due diligence measures it performed, as set forth in the section titled “Due Diligence Measures Taken” of the Conflict Minerals Report for the reporting period from January 1, 2025 through December 31, 2025, is consistent, in all material respects, with the due diligence process that the Company undertook.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is responsible for the design of the Company’s due diligence framework in accordance with the OECD Due Diligence Guidance and the description of the Company’s due diligence measures set forth in the Conflict Minerals Report, and performance of the due diligence measures. Our responsibility is to express an opinion on the design of the Company’s due diligence framework and on the description of the due diligence measures the Company performed, based on our examination. </w:t>
      </w:r>
    </w:p>
    <w:p>
      <w:pPr>
        <w:pStyle w:val="TextBody"/>
        <w:bidi w:val="0"/>
        <w:spacing w:before="240" w:after="0"/>
        <w:jc w:val="left"/>
        <w:rPr>
          <w:rFonts w:ascii="Times New Roman" w:hAnsi="Times New Roman"/>
          <w:sz w:val="20"/>
        </w:rPr>
      </w:pPr>
      <w:r>
        <w:rPr>
          <w:rFonts w:ascii="Times New Roman" w:hAnsi="Times New Roman"/>
          <w:sz w:val="20"/>
        </w:rPr>
        <w:t xml:space="preserve">Our examination was conducted in accordance with attestation standards established by the American Institute of Certified Public Accountants and the standards applicable to attestation engagements contained in Government Auditing Standards, issued by the Comptroller General of the United States. Those standards require that we plan and perform the examination to obtain reasonable assurance about whether the design of the Company’s due diligence framework is in accordance with the OECD Due Diligence Guidance and whether the description of the due diligence measures the Company performed is consistent with the due diligence process the Company undertook, in all material respects. An examination involves performing procedures to obtain evidence about the Company’s due diligence framework and the description of the due diligence measures the Company performed. The nature, timing, and extent of the procedures selected depend on our judgment, including an assessment of the risks of material misstatement of the Company’s due diligence framework and its description of the due diligence measures the Company performed, whether due to fraud or error. We believe the evidence we obtained is sufficient and appropriate to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be independent and to meet our other ethical responsibilities in accordance with relevant ethical requirements relating to the engagement.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12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examination was not conducted for the purpose of evaluating: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consistency of the due diligence measures that the Company performed with either the design of the Company’s due diligence framework or the OECD Due Diligence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completeness of the Company’s description of the due diligence measures performed;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suitability of the design or operating effectiveness of the Company’s due diligence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 third party can determine from the Conflict Minerals Report if the due diligence measures the Company performed are consistent with the OECD Due Diligence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reasonable country of origin inquiry (RCOI), including the suitability of the design of the RCOI, its operating effectiveness, or the results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conclusions about the source or chain of custody of its conflict minerals, those products subject to due diligence, or the DRC Conflict Free status of its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Accordingly, we do not express an opinion or any other form of assurance on the aforementioned matters or any other matters included in any section of the Conflict Minerals Report other than the sections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 of the Company’s due diligence framework for the reporting period from January 1, 2025 through December 31, 2025, as set forth in the section titled “Design of Due Diligence” of the Conflict Minerals Report is in conformity with the OECD Due Diligence Guidance, in all material respects;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description of the due diligence measures it performed, as set forth in the section titled “Due Diligence Measures Taken” of the Conflict Minerals Report for the reporting period from January 1, 2025 through December 31, 2025, is consistent with the due diligence process that the Company undertook, in all material respects.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drawing>
                <wp:inline distT="0" distB="0" distL="0" distR="0">
                  <wp:extent cx="1381125"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81125" cy="342900"/>
                          </a:xfrm>
                          <a:prstGeom prst="rect">
                            <a:avLst/>
                          </a:prstGeom>
                        </pic:spPr>
                      </pic:pic>
                    </a:graphicData>
                  </a:graphic>
                </wp:inline>
              </w:drawing>
            </w:r>
            <w:r>
              <w:rPr/>
              <w:t xml:space="preserve"> </w:t>
            </w:r>
          </w:p>
        </w:tc>
      </w:tr>
      <w:tr>
        <w:trPr/>
        <w:tc>
          <w:tcPr>
            <w:tcW w:w="4082" w:type="dxa"/>
            <w:tcBorders/>
            <w:vAlign w:val="bottom"/>
          </w:tcPr>
          <w:p>
            <w:pPr>
              <w:pStyle w:val="TableContents"/>
              <w:bidi w:val="0"/>
              <w:spacing w:before="0" w:after="283"/>
              <w:jc w:val="left"/>
              <w:rPr/>
            </w:pPr>
            <w:r>
              <w:rPr/>
              <w:t>Crowe LLP</w:t>
            </w:r>
          </w:p>
        </w:tc>
      </w:tr>
    </w:tbl>
    <w:p>
      <w:pPr>
        <w:pStyle w:val="TextBody"/>
        <w:bidi w:val="0"/>
        <w:spacing w:before="240" w:after="0"/>
        <w:jc w:val="left"/>
        <w:rPr>
          <w:rFonts w:ascii="Times New Roman" w:hAnsi="Times New Roman"/>
          <w:sz w:val="20"/>
        </w:rPr>
      </w:pPr>
      <w:r>
        <w:rPr>
          <w:rFonts w:ascii="Times New Roman" w:hAnsi="Times New Roman"/>
          <w:sz w:val="20"/>
        </w:rPr>
        <w:t xml:space="preserve">Los Angeles, California </w:t>
      </w:r>
    </w:p>
    <w:p>
      <w:pPr>
        <w:pStyle w:val="TextBody"/>
        <w:bidi w:val="0"/>
        <w:spacing w:before="0" w:after="0"/>
        <w:jc w:val="left"/>
        <w:rPr>
          <w:rFonts w:ascii="Times New Roman" w:hAnsi="Times New Roman"/>
          <w:sz w:val="20"/>
        </w:rPr>
      </w:pPr>
      <w:r>
        <w:rPr>
          <w:rFonts w:ascii="Times New Roman" w:hAnsi="Times New Roman"/>
          <w:sz w:val="20"/>
        </w:rPr>
        <w:t xml:space="preserve">May 14,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center"/>
        <w:rPr>
          <w:rFonts w:ascii="Times New Roman" w:hAnsi="Times New Roman"/>
          <w:sz w:val="20"/>
        </w:rPr>
      </w:pPr>
      <w:r>
        <w:rPr>
          <w:rFonts w:ascii="Times New Roman" w:hAnsi="Times New Roman"/>
          <w:sz w:val="20"/>
        </w:rPr>
        <w:t xml:space="preserve">10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5147</Words>
  <Characters>27113</Characters>
  <CharactersWithSpaces>32850</CharactersWithSpaces>
  <Paragraphs>1985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