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0" w:lineRule="exact"/>
        <w:rPr>
          <w:sz w:val="24"/>
          <w:szCs w:val="24"/>
          <w:color w:val="auto"/>
        </w:rPr>
      </w:pPr>
    </w:p>
    <w:p>
      <w:pPr>
        <w:ind w:left="360"/>
        <w:spacing w:after="0" w:line="22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-233045</wp:posOffset>
            </wp:positionV>
            <wp:extent cx="131445" cy="131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" cy="131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4"/>
        </w:trPr>
        <w:tc>
          <w:tcPr>
            <w:tcW w:w="6300" w:type="dxa"/>
            <w:vAlign w:val="bottom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7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5266055</wp:posOffset>
            </wp:positionH>
            <wp:positionV relativeFrom="paragraph">
              <wp:posOffset>-626745</wp:posOffset>
            </wp:positionV>
            <wp:extent cx="58420" cy="6400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3987165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-1635760</wp:posOffset>
            </wp:positionH>
            <wp:positionV relativeFrom="paragraph">
              <wp:posOffset>15875</wp:posOffset>
            </wp:positionV>
            <wp:extent cx="6993255" cy="4648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648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60" w:space="300"/>
            <w:col w:w="8520"/>
          </w:cols>
          <w:pgMar w:left="460" w:top="221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CLARK JANET F</w:t>
        </w:r>
      </w:hyperlink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5"/>
          <w:szCs w:val="15"/>
          <w:color w:val="0000FF"/>
        </w:rPr>
        <w:t>TXN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28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-3" w:right="640" w:firstLine="3"/>
        <w:spacing w:after="0" w:line="238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197"/>
        <w:spacing w:after="0"/>
        <w:tabs>
          <w:tab w:leader="none" w:pos="516" w:val="left"/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200" w:space="623"/>
            <w:col w:w="3357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5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18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1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4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Disposed Of (D) (Instr. 3, 4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8,370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40" w:type="dxa"/>
            <w:vAlign w:val="bottom"/>
            <w:gridSpan w:val="10"/>
          </w:tcPr>
          <w:p>
            <w:pPr>
              <w:jc w:val="right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12/17/2021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232.42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232.42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188.24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7,129.31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-1922145</wp:posOffset>
            </wp:positionV>
            <wp:extent cx="29210" cy="19272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1927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44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480" w:firstLine="2"/>
        <w:spacing w:after="0" w:line="290" w:lineRule="auto"/>
        <w:tabs>
          <w:tab w:leader="none" w:pos="169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Stock units credited under the Texas Instruments 2018 Director Compensation Plan, to be settled in common stock of the Issuer following the reporting person's termination of service as a director of the Issuer. End-of-period holdings include stock units acquired pursuant to the dividend reinvestment provision of the 2018 Plan and the predecessor director compensation plan.</w:t>
      </w:r>
    </w:p>
    <w:p>
      <w:pPr>
        <w:sectPr>
          <w:pgSz w:w="11900" w:h="16838" w:orient="portrait"/>
          <w:cols w:equalWidth="0" w:num="1">
            <w:col w:w="11080"/>
          </w:cols>
          <w:pgMar w:left="460" w:top="221" w:right="359" w:bottom="1440" w:gutter="0" w:footer="0" w:header="0"/>
          <w:type w:val="continuous"/>
        </w:sectPr>
      </w:pP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Katharine Kane,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2540</wp:posOffset>
            </wp:positionV>
            <wp:extent cx="13462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-15875</wp:posOffset>
            </wp:positionV>
            <wp:extent cx="1835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1220" w:firstLine="2"/>
        <w:spacing w:after="0" w:line="335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12/17/2021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-2540</wp:posOffset>
            </wp:positionH>
            <wp:positionV relativeFrom="paragraph">
              <wp:posOffset>2540</wp:posOffset>
            </wp:positionV>
            <wp:extent cx="48577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8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720" w:space="80"/>
            <w:col w:w="2280"/>
          </w:cols>
          <w:pgMar w:left="460" w:top="221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1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216484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2021-12-17T19:14:09Z</dcterms:created>
  <dcterms:modified xsi:type="dcterms:W3CDTF">2021-12-17T19:14:09Z</dcterms:modified>
</cp:coreProperties>
</file>