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TEMPLETON RICHARD 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266" w:lineRule="exact"/>
        <w:rPr>
          <w:sz w:val="24"/>
          <w:szCs w:val="24"/>
          <w:color w:val="auto"/>
        </w:rPr>
      </w:pPr>
    </w:p>
    <w:p>
      <w:pPr>
        <w:sectPr>
          <w:pgSz w:w="11900" w:h="16838" w:orient="portrait"/>
          <w:cols w:equalWidth="0" w:num="3">
            <w:col w:w="3200" w:space="720"/>
            <w:col w:w="3300" w:space="515"/>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280" w:type="dxa"/>
            <w:vAlign w:val="bottom"/>
          </w:tcPr>
          <w:p>
            <w:pPr>
              <w:ind w:left="40"/>
              <w:spacing w:after="0"/>
              <w:rPr>
                <w:sz w:val="20"/>
                <w:szCs w:val="20"/>
                <w:color w:val="auto"/>
              </w:rPr>
            </w:pPr>
            <w:r>
              <w:rPr>
                <w:rFonts w:ascii="Arial" w:cs="Arial" w:eastAsia="Arial" w:hAnsi="Arial"/>
                <w:sz w:val="17"/>
                <w:szCs w:val="17"/>
                <w:color w:val="0000FF"/>
              </w:rPr>
              <w:t>TX</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75243</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gridSpan w:val="3"/>
          </w:tcPr>
          <w:p>
            <w:pPr>
              <w:ind w:left="820"/>
              <w:spacing w:after="0"/>
              <w:rPr>
                <w:sz w:val="20"/>
                <w:szCs w:val="20"/>
                <w:color w:val="auto"/>
              </w:rPr>
            </w:pPr>
            <w:r>
              <w:rPr>
                <w:rFonts w:ascii="Arial" w:cs="Arial" w:eastAsia="Arial" w:hAnsi="Arial"/>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ind w:left="160"/>
              <w:spacing w:after="0"/>
              <w:rPr>
                <w:sz w:val="20"/>
                <w:szCs w:val="20"/>
                <w:color w:val="auto"/>
              </w:rPr>
            </w:pPr>
            <w:r>
              <w:rPr>
                <w:rFonts w:ascii="Arial" w:cs="Arial" w:eastAsia="Arial" w:hAnsi="Arial"/>
                <w:sz w:val="17"/>
                <w:szCs w:val="17"/>
                <w:color w:val="0000FF"/>
              </w:rPr>
              <w:t>24,037</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78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173.13</w:t>
            </w:r>
          </w:p>
        </w:tc>
        <w:tc>
          <w:tcPr>
            <w:tcW w:w="1240" w:type="dxa"/>
            <w:vAlign w:val="bottom"/>
            <w:gridSpan w:val="2"/>
          </w:tcPr>
          <w:p>
            <w:pPr>
              <w:jc w:val="center"/>
              <w:ind w:right="20"/>
              <w:spacing w:after="0"/>
              <w:rPr>
                <w:sz w:val="20"/>
                <w:szCs w:val="20"/>
                <w:color w:val="auto"/>
              </w:rPr>
            </w:pPr>
            <w:r>
              <w:rPr>
                <w:rFonts w:ascii="Arial" w:cs="Arial" w:eastAsia="Arial" w:hAnsi="Arial"/>
                <w:sz w:val="17"/>
                <w:szCs w:val="17"/>
                <w:color w:val="0000FF"/>
                <w:w w:val="91"/>
              </w:rPr>
              <w:t>400,602</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48,840</w:t>
            </w:r>
            <w:r>
              <w:rPr>
                <w:rFonts w:ascii="Arial" w:cs="Arial" w:eastAsia="Arial" w:hAnsi="Arial"/>
                <w:sz w:val="22"/>
                <w:szCs w:val="22"/>
                <w:color w:val="008000"/>
                <w:w w:val="88"/>
                <w:vertAlign w:val="superscript"/>
              </w:rPr>
              <w:t>(1)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12,686.7475</w:t>
            </w:r>
            <w:r>
              <w:rPr>
                <w:rFonts w:ascii="Arial" w:cs="Arial" w:eastAsia="Arial" w:hAnsi="Arial"/>
                <w:sz w:val="22"/>
                <w:szCs w:val="22"/>
                <w:color w:val="008000"/>
                <w:w w:val="87"/>
                <w:vertAlign w:val="superscript"/>
              </w:rPr>
              <w:t>(2)</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308.0692</w:t>
            </w:r>
            <w:r>
              <w:rPr>
                <w:rFonts w:ascii="Arial" w:cs="Arial" w:eastAsia="Arial" w:hAnsi="Arial"/>
                <w:sz w:val="22"/>
                <w:szCs w:val="22"/>
                <w:color w:val="008000"/>
                <w:w w:val="87"/>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trusts for benefit of children; beneficial ownership by reporting person disclaimed.</w:t>
      </w:r>
    </w:p>
    <w:p>
      <w:pPr>
        <w:spacing w:after="0" w:line="50" w:lineRule="exact"/>
        <w:rPr>
          <w:rFonts w:ascii="Arial" w:cs="Arial" w:eastAsia="Arial" w:hAnsi="Arial"/>
          <w:sz w:val="13"/>
          <w:szCs w:val="13"/>
          <w:color w:val="008000"/>
        </w:rPr>
      </w:pPr>
    </w:p>
    <w:p>
      <w:pPr>
        <w:ind w:left="40" w:right="5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12/31/2022. (Interests in this account are denominated in units. Consequently, share amount shown is an estimate.) This statement does not include changes in beneficial ownership of shares held in such account occurring after 12/31/2022 that are eligible for deferred reporting on Form 5.</w:t>
      </w: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12/31/2022. (Interests in this account are denominated in units. Consequently, share amount shown is an estimate.) This statement does not include changes in beneficial ownership of shares held in this account occurring after 12/31/2022 that are eligible for deferred reporting on Form 5.</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02/02/2023</w:t>
            </w: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2023-02-02T15:23:44Z</dcterms:created>
  <dcterms:modified xsi:type="dcterms:W3CDTF">2023-02-02T15:23:44Z</dcterms:modified>
</cp:coreProperties>
</file>