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Securities Exchange Act of 1934 (Amendment No. )</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[_]</w:t>
      </w:r>
    </w:p>
    <w:p>
      <w:pPr>
        <w:sectPr>
          <w:pgSz w:w="11900" w:h="16838" w:orient="portrait"/>
          <w:cols w:equalWidth="0" w:num="1">
            <w:col w:w="10219"/>
          </w:cols>
          <w:pgMar w:left="240" w:top="455" w:right="1440"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[_]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Confidential, For Use of the</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by Rule 14a-6(e)(2))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Definitive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[x]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Under Rule</w:t>
      </w:r>
    </w:p>
    <w:p>
      <w:pPr>
        <w:spacing w:after="0" w:line="3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14a-12</w:t>
      </w:r>
    </w:p>
    <w:p>
      <w:pPr>
        <w:spacing w:after="0" w:line="1041" w:lineRule="exact"/>
        <w:rPr>
          <w:sz w:val="24"/>
          <w:szCs w:val="24"/>
          <w:color w:val="auto"/>
        </w:rPr>
      </w:pPr>
    </w:p>
    <w:p>
      <w:pPr>
        <w:sectPr>
          <w:pgSz w:w="11900" w:h="16838" w:orient="portrait"/>
          <w:cols w:equalWidth="0" w:num="2">
            <w:col w:w="2560" w:space="560"/>
            <w:col w:w="7099"/>
          </w:cols>
          <w:pgMar w:left="240" w:top="455" w:right="1440" w:bottom="1440" w:gutter="0" w:footer="0" w:header="0"/>
          <w:type w:val="continuous"/>
        </w:sectPr>
      </w:pPr>
    </w:p>
    <w:p>
      <w:pPr>
        <w:spacing w:after="0" w:line="6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7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Fee computed on table below per Exchange Act Rules 14a-6(i)(4) and 0-11.</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1) Title of each class of securities to which transaction applies:</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220" w:right="1919" w:hanging="212"/>
        <w:spacing w:after="0" w:line="281" w:lineRule="auto"/>
        <w:tabs>
          <w:tab w:leader="none" w:pos="234"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5) Total fee paid:</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[_] Fee paid previously with preliminary materials:</w:t>
      </w:r>
    </w:p>
    <w:p>
      <w:pPr>
        <w:spacing w:after="0" w:line="36" w:lineRule="exact"/>
        <w:rPr>
          <w:sz w:val="24"/>
          <w:szCs w:val="24"/>
          <w:color w:val="auto"/>
        </w:rPr>
      </w:pPr>
    </w:p>
    <w:p>
      <w:pPr>
        <w:ind w:left="280" w:right="1579" w:hanging="262"/>
        <w:spacing w:after="0" w:line="273" w:lineRule="auto"/>
        <w:rPr>
          <w:sz w:val="20"/>
          <w:szCs w:val="20"/>
          <w:color w:val="auto"/>
        </w:rPr>
      </w:pPr>
      <w:r>
        <w:rPr>
          <w:rFonts w:ascii="Arial" w:cs="Arial" w:eastAsia="Arial" w:hAnsi="Arial"/>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1) Amount previously paid:</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2) Form, Schedule or Registration Statement No.:</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3) Filing Party:</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type w:val="continuous"/>
        </w:sectPr>
      </w:pPr>
    </w:p>
    <w:bookmarkStart w:id="1" w:name="page2"/>
    <w:bookmarkEnd w:id="1"/>
    <w:p>
      <w:pPr>
        <w:jc w:val="center"/>
        <w:ind w:right="420"/>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4" w:lineRule="exact"/>
        <w:rPr>
          <w:sz w:val="20"/>
          <w:szCs w:val="20"/>
          <w:color w:val="auto"/>
        </w:rPr>
      </w:pPr>
    </w:p>
    <w:p>
      <w:pPr>
        <w:jc w:val="center"/>
        <w:ind w:right="420"/>
        <w:spacing w:after="0"/>
        <w:rPr>
          <w:sz w:val="20"/>
          <w:szCs w:val="20"/>
          <w:color w:val="auto"/>
        </w:rPr>
      </w:pPr>
      <w:r>
        <w:rPr>
          <w:rFonts w:ascii="Arial" w:cs="Arial" w:eastAsia="Arial" w:hAnsi="Arial"/>
          <w:sz w:val="19"/>
          <w:szCs w:val="19"/>
          <w:b w:val="1"/>
          <w:bCs w:val="1"/>
          <w:color w:val="auto"/>
        </w:rPr>
        <w:t>IMPORTANT NOTICE Regarding the Availability of Proxy Materials for the Shareholder</w:t>
      </w:r>
    </w:p>
    <w:p>
      <w:pPr>
        <w:spacing w:after="0" w:line="2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Meeting to Be Held On April 15, 2010</w:t>
      </w:r>
    </w:p>
    <w:p>
      <w:pPr>
        <w:sectPr>
          <w:pgSz w:w="11900" w:h="16838" w:orient="portrait"/>
          <w:cols w:equalWidth="0" w:num="1">
            <w:col w:w="11000"/>
          </w:cols>
          <w:pgMar w:left="660" w:top="341"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auto"/>
        </w:rPr>
        <w:t>TEXAS INSTRUMENTS</w:t>
      </w:r>
    </w:p>
    <w:p>
      <w:pPr>
        <w:spacing w:after="0" w:line="2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459105</wp:posOffset>
            </wp:positionV>
            <wp:extent cx="149225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22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ATTN: JANE NAHRA</w:t>
      </w:r>
    </w:p>
    <w:p>
      <w:pPr>
        <w:spacing w:after="0" w:line="221" w:lineRule="auto"/>
        <w:rPr>
          <w:sz w:val="20"/>
          <w:szCs w:val="20"/>
          <w:color w:val="auto"/>
        </w:rPr>
      </w:pPr>
      <w:r>
        <w:rPr>
          <w:rFonts w:ascii="Arial" w:cs="Arial" w:eastAsia="Arial" w:hAnsi="Arial"/>
          <w:sz w:val="14"/>
          <w:szCs w:val="14"/>
          <w:i w:val="1"/>
          <w:iCs w:val="1"/>
          <w:color w:val="auto"/>
        </w:rPr>
        <w:t>7839 CHURCHILL WAY</w:t>
      </w:r>
    </w:p>
    <w:p>
      <w:pPr>
        <w:spacing w:after="0" w:line="221" w:lineRule="auto"/>
        <w:rPr>
          <w:sz w:val="20"/>
          <w:szCs w:val="20"/>
          <w:color w:val="auto"/>
        </w:rPr>
      </w:pPr>
      <w:r>
        <w:rPr>
          <w:rFonts w:ascii="Arial" w:cs="Arial" w:eastAsia="Arial" w:hAnsi="Arial"/>
          <w:sz w:val="14"/>
          <w:szCs w:val="14"/>
          <w:i w:val="1"/>
          <w:iCs w:val="1"/>
          <w:color w:val="auto"/>
        </w:rPr>
        <w:t>MS 3999</w:t>
      </w:r>
    </w:p>
    <w:p>
      <w:pPr>
        <w:spacing w:after="0"/>
        <w:rPr>
          <w:sz w:val="20"/>
          <w:szCs w:val="20"/>
          <w:color w:val="auto"/>
        </w:rPr>
      </w:pPr>
      <w:r>
        <w:rPr>
          <w:rFonts w:ascii="Arial" w:cs="Arial" w:eastAsia="Arial" w:hAnsi="Arial"/>
          <w:sz w:val="14"/>
          <w:szCs w:val="14"/>
          <w:i w:val="1"/>
          <w:iCs w:val="1"/>
          <w:color w:val="auto"/>
        </w:rPr>
        <w:t>DALLAS, TX 75251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1226820</wp:posOffset>
            </wp:positionV>
            <wp:extent cx="128905"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702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1"/>
              </w:rPr>
              <w:t>Meeting Information</w:t>
            </w:r>
          </w:p>
        </w:tc>
      </w:tr>
      <w:tr>
        <w:trPr>
          <w:trHeight w:val="316"/>
        </w:trPr>
        <w:tc>
          <w:tcPr>
            <w:tcW w:w="12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Annual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3473450" cy="1200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120078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16, 2010</w:t>
      </w:r>
    </w:p>
    <w:p>
      <w:pPr>
        <w:spacing w:after="0" w:line="50" w:lineRule="exact"/>
        <w:rPr>
          <w:sz w:val="20"/>
          <w:szCs w:val="20"/>
          <w:color w:val="auto"/>
        </w:rPr>
      </w:pPr>
    </w:p>
    <w:p>
      <w:pPr>
        <w:ind w:left="120"/>
        <w:spacing w:after="0"/>
        <w:tabs>
          <w:tab w:leader="none" w:pos="740" w:val="left"/>
          <w:tab w:leader="none" w:pos="19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April 15, 2010</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10:00 a.m.</w:t>
      </w:r>
    </w:p>
    <w:p>
      <w:pPr>
        <w:spacing w:after="0" w:line="36" w:lineRule="exact"/>
        <w:rPr>
          <w:sz w:val="20"/>
          <w:szCs w:val="20"/>
          <w:color w:val="auto"/>
        </w:rPr>
      </w:pPr>
    </w:p>
    <w:p>
      <w:pPr>
        <w:jc w:val="both"/>
        <w:ind w:left="120"/>
        <w:spacing w:after="0"/>
        <w:tabs>
          <w:tab w:leader="none" w:pos="104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12500 TI Boulevard</w:t>
      </w:r>
    </w:p>
    <w:p>
      <w:pPr>
        <w:spacing w:after="0" w:line="42" w:lineRule="exact"/>
        <w:rPr>
          <w:sz w:val="20"/>
          <w:szCs w:val="20"/>
          <w:color w:val="auto"/>
        </w:rPr>
      </w:pPr>
    </w:p>
    <w:p>
      <w:pPr>
        <w:jc w:val="right"/>
        <w:ind w:right="2980"/>
        <w:spacing w:after="0"/>
        <w:rPr>
          <w:sz w:val="20"/>
          <w:szCs w:val="20"/>
          <w:color w:val="auto"/>
        </w:rPr>
      </w:pPr>
      <w:r>
        <w:rPr>
          <w:rFonts w:ascii="Arial" w:cs="Arial" w:eastAsia="Arial" w:hAnsi="Arial"/>
          <w:sz w:val="18"/>
          <w:szCs w:val="18"/>
          <w:color w:val="auto"/>
        </w:rPr>
        <w:t>Dallas, Texas 75243</w:t>
      </w:r>
    </w:p>
    <w:p>
      <w:pPr>
        <w:spacing w:after="0" w:line="200" w:lineRule="exact"/>
        <w:rPr>
          <w:sz w:val="20"/>
          <w:szCs w:val="20"/>
          <w:color w:val="auto"/>
        </w:rPr>
      </w:pPr>
    </w:p>
    <w:p>
      <w:pPr>
        <w:spacing w:after="0" w:line="3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This is not a ballot. You cannot use this notice to vote these shares. </w:t>
      </w:r>
      <w:r>
        <w:rPr>
          <w:rFonts w:ascii="Arial" w:cs="Arial" w:eastAsia="Arial" w:hAnsi="Arial"/>
          <w:sz w:val="16"/>
          <w:szCs w:val="16"/>
          <w:b w:val="1"/>
          <w:bCs w:val="1"/>
          <w:color w:val="auto"/>
        </w:rPr>
        <w:t>This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communication presents only an overview of the more complete proxy materials that are available to you on the Internet. You may view the proxy materials online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or easily request a paper copy (see reverse side).</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3477260" cy="364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7260" cy="364490"/>
                    </a:xfrm>
                    <a:prstGeom prst="rect">
                      <a:avLst/>
                    </a:prstGeom>
                    <a:noFill/>
                  </pic:spPr>
                </pic:pic>
              </a:graphicData>
            </a:graphic>
          </wp:anchor>
        </w:drawing>
      </w:r>
    </w:p>
    <w:p>
      <w:pPr>
        <w:spacing w:after="0" w:line="248" w:lineRule="exact"/>
        <w:rPr>
          <w:sz w:val="20"/>
          <w:szCs w:val="20"/>
          <w:color w:val="auto"/>
        </w:rPr>
      </w:pPr>
    </w:p>
    <w:p>
      <w:pPr>
        <w:ind w:left="60" w:right="8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941070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800" w:space="720"/>
            <w:col w:w="5480"/>
          </w:cols>
          <w:pgMar w:left="660" w:top="341" w:right="239" w:bottom="1440" w:gutter="0" w:footer="0" w:header="0"/>
          <w:type w:val="continuous"/>
        </w:sectPr>
      </w:pPr>
    </w:p>
    <w:bookmarkStart w:id="2" w:name="page3"/>
    <w:bookmarkEnd w:id="2"/>
    <w:p>
      <w:pPr>
        <w:ind w:left="3400"/>
        <w:spacing w:after="0"/>
        <w:rPr>
          <w:sz w:val="20"/>
          <w:szCs w:val="20"/>
          <w:color w:val="auto"/>
        </w:rPr>
      </w:pPr>
      <w:r>
        <w:rPr>
          <w:rFonts w:ascii="Arial" w:cs="Arial" w:eastAsia="Arial" w:hAnsi="Arial"/>
          <w:sz w:val="32"/>
          <w:szCs w:val="32"/>
          <w:b w:val="1"/>
          <w:bCs w:val="1"/>
          <w:color w:val="auto"/>
        </w:rPr>
        <w:t>— Before You Vote —</w:t>
      </w:r>
    </w:p>
    <w:p>
      <w:pPr>
        <w:spacing w:after="0" w:line="3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150495</wp:posOffset>
            </wp:positionV>
            <wp:extent cx="6740525" cy="2710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0525" cy="271018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1" w:lineRule="exact"/>
        <w:rPr>
          <w:sz w:val="20"/>
          <w:szCs w:val="20"/>
          <w:color w:val="auto"/>
        </w:rPr>
      </w:pPr>
    </w:p>
    <w:p>
      <w:pPr>
        <w:spacing w:after="0"/>
        <w:tabs>
          <w:tab w:leader="none" w:pos="3000" w:val="left"/>
        </w:tabs>
        <w:rPr>
          <w:sz w:val="20"/>
          <w:szCs w:val="20"/>
          <w:color w:val="auto"/>
        </w:rPr>
      </w:pPr>
      <w:r>
        <w:rPr>
          <w:rFonts w:ascii="Arial" w:cs="Arial" w:eastAsia="Arial" w:hAnsi="Arial"/>
          <w:sz w:val="18"/>
          <w:szCs w:val="18"/>
          <w:color w:val="auto"/>
        </w:rPr>
        <w:t>1. 2010 Notice and Proxy Statement</w:t>
      </w:r>
      <w:r>
        <w:rPr>
          <w:sz w:val="20"/>
          <w:szCs w:val="20"/>
          <w:color w:val="auto"/>
        </w:rPr>
        <w:tab/>
      </w:r>
      <w:r>
        <w:rPr>
          <w:rFonts w:ascii="Arial" w:cs="Arial" w:eastAsia="Arial" w:hAnsi="Arial"/>
          <w:sz w:val="16"/>
          <w:szCs w:val="16"/>
          <w:color w:val="auto"/>
        </w:rPr>
        <w:t>2. 2009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92" w:lineRule="exact"/>
        <w:rPr>
          <w:sz w:val="20"/>
          <w:szCs w:val="20"/>
          <w:color w:val="auto"/>
        </w:rPr>
      </w:pPr>
    </w:p>
    <w:p>
      <w:pPr>
        <w:ind w:left="1000" w:hanging="195"/>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15" w:lineRule="exact"/>
        <w:rPr>
          <w:rFonts w:ascii="Arial" w:cs="Arial" w:eastAsia="Arial" w:hAnsi="Arial"/>
          <w:sz w:val="18"/>
          <w:szCs w:val="18"/>
          <w:color w:val="auto"/>
        </w:rPr>
      </w:pPr>
    </w:p>
    <w:p>
      <w:pPr>
        <w:ind w:left="1000" w:hanging="195"/>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000" w:hanging="195"/>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218" w:lineRule="exact"/>
        <w:rPr>
          <w:rFonts w:ascii="Arial" w:cs="Arial" w:eastAsia="Arial" w:hAnsi="Arial"/>
          <w:sz w:val="18"/>
          <w:szCs w:val="18"/>
          <w:color w:val="auto"/>
        </w:rPr>
      </w:pPr>
    </w:p>
    <w:p>
      <w:pPr>
        <w:ind w:left="380" w:right="20" w:hanging="387"/>
        <w:spacing w:after="0" w:line="268"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12-Digit Control Number (located on the following page) in the subject line.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make the request as instructed above on or before April 01, 2010 to facilitate timely delivery.</w:t>
      </w:r>
    </w:p>
    <w:p>
      <w:pPr>
        <w:spacing w:after="0" w:line="294" w:lineRule="exact"/>
        <w:rPr>
          <w:sz w:val="20"/>
          <w:szCs w:val="20"/>
          <w:color w:val="auto"/>
        </w:rPr>
      </w:pPr>
    </w:p>
    <w:p>
      <w:pPr>
        <w:jc w:val="center"/>
        <w:ind w:right="580"/>
        <w:spacing w:after="0"/>
        <w:rPr>
          <w:sz w:val="20"/>
          <w:szCs w:val="20"/>
          <w:color w:val="auto"/>
        </w:rPr>
      </w:pPr>
      <w:r>
        <w:rPr>
          <w:rFonts w:ascii="Arial" w:cs="Arial" w:eastAsia="Arial" w:hAnsi="Arial"/>
          <w:sz w:val="32"/>
          <w:szCs w:val="32"/>
          <w:b w:val="1"/>
          <w:bCs w:val="1"/>
          <w:color w:val="auto"/>
        </w:rPr>
        <w:t>— How To Vote —</w:t>
      </w:r>
    </w:p>
    <w:p>
      <w:pPr>
        <w:spacing w:after="0" w:line="3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150495</wp:posOffset>
            </wp:positionV>
            <wp:extent cx="6740525" cy="1389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0525" cy="138938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 attendance ticket issued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-317500</wp:posOffset>
            </wp:positionV>
            <wp:extent cx="180340" cy="805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805815"/>
                    </a:xfrm>
                    <a:prstGeom prst="rect">
                      <a:avLst/>
                    </a:prstGeom>
                    <a:noFill/>
                  </pic:spPr>
                </pic:pic>
              </a:graphicData>
            </a:graphic>
          </wp:anchor>
        </w:drawing>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 Digit Control Number available and follow the instructions. You</w:t>
      </w:r>
      <w:r>
        <w:rPr>
          <w:rFonts w:ascii="Arial" w:cs="Arial" w:eastAsia="Arial" w:hAnsi="Arial"/>
          <w:sz w:val="18"/>
          <w:szCs w:val="18"/>
          <w:b w:val="1"/>
          <w:bCs w:val="1"/>
          <w:color w:val="auto"/>
        </w:rPr>
        <w:t xml:space="preserve"> </w:t>
      </w:r>
      <w:r>
        <w:rPr>
          <w:rFonts w:ascii="Arial" w:cs="Arial" w:eastAsia="Arial" w:hAnsi="Arial"/>
          <w:sz w:val="18"/>
          <w:szCs w:val="18"/>
          <w:color w:val="auto"/>
        </w:rPr>
        <w:t>may vote by Internet up until 11:59 p.m. Eastern Time on April 14,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664845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0"/>
          </w:cols>
          <w:pgMar w:left="960" w:top="341" w:right="359" w:bottom="1440" w:gutter="0" w:footer="0" w:header="0"/>
        </w:sectPr>
      </w:pPr>
    </w:p>
    <w:bookmarkStart w:id="3" w:name="page4"/>
    <w:bookmarkEnd w:id="3"/>
    <w:p>
      <w:pPr>
        <w:jc w:val="center"/>
        <w:ind w:right="74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356870</wp:posOffset>
            </wp:positionH>
            <wp:positionV relativeFrom="page">
              <wp:posOffset>245745</wp:posOffset>
            </wp:positionV>
            <wp:extent cx="2105025" cy="167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5025" cy="167005"/>
                    </a:xfrm>
                    <a:prstGeom prst="rect">
                      <a:avLst/>
                    </a:prstGeom>
                    <a:noFill/>
                  </pic:spPr>
                </pic:pic>
              </a:graphicData>
            </a:graphic>
          </wp:anchor>
        </w:drawing>
        <w:drawing>
          <wp:anchor simplePos="0" relativeHeight="251657728" behindDoc="1" locked="0" layoutInCell="0" allowOverlap="1">
            <wp:simplePos x="0" y="0"/>
            <wp:positionH relativeFrom="page">
              <wp:posOffset>7044055</wp:posOffset>
            </wp:positionH>
            <wp:positionV relativeFrom="page">
              <wp:posOffset>243205</wp:posOffset>
            </wp:positionV>
            <wp:extent cx="36004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325755"/>
                    </a:xfrm>
                    <a:prstGeom prst="rect">
                      <a:avLst/>
                    </a:prstGeom>
                    <a:noFill/>
                  </pic:spPr>
                </pic:pic>
              </a:graphicData>
            </a:graphic>
          </wp:anchor>
        </w:drawing>
        <w:t>Voting items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The Board of Directors recommends you vote FOR each</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of the nominees for director and the following proposal: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ind w:left="320"/>
              <w:spacing w:after="0"/>
              <w:rPr>
                <w:sz w:val="20"/>
                <w:szCs w:val="20"/>
                <w:color w:val="auto"/>
              </w:rPr>
            </w:pPr>
            <w:r>
              <w:rPr>
                <w:rFonts w:ascii="Arial" w:cs="Arial" w:eastAsia="Arial" w:hAnsi="Arial"/>
                <w:sz w:val="14"/>
                <w:szCs w:val="14"/>
                <w:color w:val="auto"/>
              </w:rPr>
              <w:t>1.</w:t>
            </w:r>
          </w:p>
        </w:tc>
        <w:tc>
          <w:tcPr>
            <w:tcW w:w="3200" w:type="dxa"/>
            <w:vAlign w:val="bottom"/>
          </w:tcPr>
          <w:p>
            <w:pPr>
              <w:ind w:left="80"/>
              <w:spacing w:after="0"/>
              <w:rPr>
                <w:sz w:val="20"/>
                <w:szCs w:val="20"/>
                <w:color w:val="auto"/>
              </w:rPr>
            </w:pPr>
            <w:r>
              <w:rPr>
                <w:rFonts w:ascii="Arial" w:cs="Arial" w:eastAsia="Arial" w:hAnsi="Arial"/>
                <w:sz w:val="14"/>
                <w:szCs w:val="14"/>
                <w:color w:val="auto"/>
              </w:rPr>
              <w:t>Election of Directors</w:t>
            </w:r>
          </w:p>
        </w:tc>
        <w:tc>
          <w:tcPr>
            <w:tcW w:w="7660" w:type="dxa"/>
            <w:vAlign w:val="bottom"/>
          </w:tcPr>
          <w:p>
            <w:pPr>
              <w:ind w:left="1980"/>
              <w:spacing w:after="0"/>
              <w:rPr>
                <w:sz w:val="20"/>
                <w:szCs w:val="20"/>
                <w:color w:val="auto"/>
              </w:rPr>
            </w:pPr>
            <w:r>
              <w:rPr>
                <w:rFonts w:ascii="Arial" w:cs="Arial" w:eastAsia="Arial" w:hAnsi="Arial"/>
                <w:sz w:val="14"/>
                <w:szCs w:val="14"/>
                <w:color w:val="auto"/>
              </w:rPr>
              <w:t>2.   Board proposal to ratify the appointment of Ernst &amp; Young LLP as</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2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Nominees:</w:t>
            </w:r>
          </w:p>
        </w:tc>
        <w:tc>
          <w:tcPr>
            <w:tcW w:w="7660" w:type="dxa"/>
            <w:vAlign w:val="bottom"/>
          </w:tcPr>
          <w:p>
            <w:pPr>
              <w:ind w:left="2260"/>
              <w:spacing w:after="0" w:line="149" w:lineRule="exact"/>
              <w:rPr>
                <w:sz w:val="20"/>
                <w:szCs w:val="20"/>
                <w:color w:val="auto"/>
              </w:rPr>
            </w:pPr>
            <w:r>
              <w:rPr>
                <w:rFonts w:ascii="Arial" w:cs="Arial" w:eastAsia="Arial" w:hAnsi="Arial"/>
                <w:sz w:val="14"/>
                <w:szCs w:val="14"/>
                <w:color w:val="auto"/>
              </w:rPr>
              <w:t>the Company's independent registered public accounting firm for</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7660" w:type="dxa"/>
            <w:vAlign w:val="bottom"/>
          </w:tcPr>
          <w:p>
            <w:pPr>
              <w:ind w:left="226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1a.</w:t>
            </w:r>
          </w:p>
        </w:tc>
        <w:tc>
          <w:tcPr>
            <w:tcW w:w="3200" w:type="dxa"/>
            <w:vAlign w:val="bottom"/>
          </w:tcPr>
          <w:p>
            <w:pPr>
              <w:ind w:left="80"/>
              <w:spacing w:after="0"/>
              <w:rPr>
                <w:sz w:val="20"/>
                <w:szCs w:val="20"/>
                <w:color w:val="auto"/>
              </w:rPr>
            </w:pPr>
            <w:r>
              <w:rPr>
                <w:rFonts w:ascii="Arial" w:cs="Arial" w:eastAsia="Arial" w:hAnsi="Arial"/>
                <w:sz w:val="14"/>
                <w:szCs w:val="14"/>
                <w:color w:val="auto"/>
              </w:rPr>
              <w:t>R. W. Babb, Jr.</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80" w:type="dxa"/>
            <w:vAlign w:val="bottom"/>
          </w:tcPr>
          <w:p>
            <w:pPr>
              <w:ind w:left="320"/>
              <w:spacing w:after="0"/>
              <w:rPr>
                <w:sz w:val="20"/>
                <w:szCs w:val="20"/>
                <w:color w:val="auto"/>
              </w:rPr>
            </w:pPr>
            <w:r>
              <w:rPr>
                <w:rFonts w:ascii="Arial" w:cs="Arial" w:eastAsia="Arial" w:hAnsi="Arial"/>
                <w:sz w:val="14"/>
                <w:szCs w:val="14"/>
                <w:color w:val="auto"/>
              </w:rPr>
              <w:t>1b.</w:t>
            </w:r>
          </w:p>
        </w:tc>
        <w:tc>
          <w:tcPr>
            <w:tcW w:w="3200" w:type="dxa"/>
            <w:vAlign w:val="bottom"/>
          </w:tcPr>
          <w:p>
            <w:pPr>
              <w:ind w:left="80"/>
              <w:spacing w:after="0"/>
              <w:rPr>
                <w:sz w:val="20"/>
                <w:szCs w:val="20"/>
                <w:color w:val="auto"/>
              </w:rPr>
            </w:pPr>
            <w:r>
              <w:rPr>
                <w:rFonts w:ascii="Arial" w:cs="Arial" w:eastAsia="Arial" w:hAnsi="Arial"/>
                <w:sz w:val="14"/>
                <w:szCs w:val="14"/>
                <w:color w:val="auto"/>
              </w:rPr>
              <w:t>D. L. Boren</w:t>
            </w:r>
          </w:p>
        </w:tc>
        <w:tc>
          <w:tcPr>
            <w:tcW w:w="7660" w:type="dxa"/>
            <w:vAlign w:val="bottom"/>
          </w:tcPr>
          <w:p>
            <w:pPr>
              <w:ind w:left="19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660" w:type="dxa"/>
            <w:vAlign w:val="bottom"/>
          </w:tcPr>
          <w:p>
            <w:pPr>
              <w:ind w:left="1980"/>
              <w:spacing w:after="0"/>
              <w:rPr>
                <w:sz w:val="20"/>
                <w:szCs w:val="20"/>
                <w:color w:val="auto"/>
              </w:rPr>
            </w:pPr>
            <w:r>
              <w:rPr>
                <w:rFonts w:ascii="Arial" w:cs="Arial" w:eastAsia="Arial" w:hAnsi="Arial"/>
                <w:sz w:val="14"/>
                <w:szCs w:val="14"/>
                <w:color w:val="auto"/>
              </w:rPr>
              <w:t>any adjournment thereof.</w:t>
            </w:r>
          </w:p>
        </w:tc>
        <w:tc>
          <w:tcPr>
            <w:tcW w:w="0" w:type="dxa"/>
            <w:vAlign w:val="bottom"/>
          </w:tcPr>
          <w:p>
            <w:pPr>
              <w:spacing w:after="0"/>
              <w:rPr>
                <w:sz w:val="1"/>
                <w:szCs w:val="1"/>
                <w:color w:val="auto"/>
              </w:rPr>
            </w:pPr>
          </w:p>
        </w:tc>
      </w:tr>
      <w:tr>
        <w:trPr>
          <w:trHeight w:val="243"/>
        </w:trPr>
        <w:tc>
          <w:tcPr>
            <w:tcW w:w="580" w:type="dxa"/>
            <w:vAlign w:val="bottom"/>
          </w:tcPr>
          <w:p>
            <w:pPr>
              <w:ind w:left="320"/>
              <w:spacing w:after="0"/>
              <w:rPr>
                <w:sz w:val="20"/>
                <w:szCs w:val="20"/>
                <w:color w:val="auto"/>
              </w:rPr>
            </w:pPr>
            <w:r>
              <w:rPr>
                <w:rFonts w:ascii="Arial" w:cs="Arial" w:eastAsia="Arial" w:hAnsi="Arial"/>
                <w:sz w:val="14"/>
                <w:szCs w:val="14"/>
                <w:color w:val="auto"/>
              </w:rPr>
              <w:t>1c.</w:t>
            </w:r>
          </w:p>
        </w:tc>
        <w:tc>
          <w:tcPr>
            <w:tcW w:w="3200" w:type="dxa"/>
            <w:vAlign w:val="bottom"/>
          </w:tcPr>
          <w:p>
            <w:pPr>
              <w:ind w:left="80"/>
              <w:spacing w:after="0"/>
              <w:rPr>
                <w:sz w:val="20"/>
                <w:szCs w:val="20"/>
                <w:color w:val="auto"/>
              </w:rPr>
            </w:pPr>
            <w:r>
              <w:rPr>
                <w:rFonts w:ascii="Arial" w:cs="Arial" w:eastAsia="Arial" w:hAnsi="Arial"/>
                <w:sz w:val="14"/>
                <w:szCs w:val="14"/>
                <w:color w:val="auto"/>
              </w:rPr>
              <w:t>D. A. Carp</w:t>
            </w:r>
          </w:p>
        </w:tc>
        <w:tc>
          <w:tcPr>
            <w:tcW w:w="7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1d.</w:t>
            </w:r>
          </w:p>
        </w:tc>
        <w:tc>
          <w:tcPr>
            <w:tcW w:w="3200" w:type="dxa"/>
            <w:vAlign w:val="bottom"/>
          </w:tcPr>
          <w:p>
            <w:pPr>
              <w:ind w:left="80"/>
              <w:spacing w:after="0"/>
              <w:rPr>
                <w:sz w:val="20"/>
                <w:szCs w:val="20"/>
                <w:color w:val="auto"/>
              </w:rPr>
            </w:pPr>
            <w:r>
              <w:rPr>
                <w:rFonts w:ascii="Arial" w:cs="Arial" w:eastAsia="Arial" w:hAnsi="Arial"/>
                <w:sz w:val="14"/>
                <w:szCs w:val="14"/>
                <w:color w:val="auto"/>
              </w:rPr>
              <w:t>C. S. Cox</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1e.</w:t>
            </w:r>
          </w:p>
        </w:tc>
        <w:tc>
          <w:tcPr>
            <w:tcW w:w="3200" w:type="dxa"/>
            <w:vAlign w:val="bottom"/>
          </w:tcPr>
          <w:p>
            <w:pPr>
              <w:ind w:left="80"/>
              <w:spacing w:after="0"/>
              <w:rPr>
                <w:sz w:val="20"/>
                <w:szCs w:val="20"/>
                <w:color w:val="auto"/>
              </w:rPr>
            </w:pPr>
            <w:r>
              <w:rPr>
                <w:rFonts w:ascii="Arial" w:cs="Arial" w:eastAsia="Arial" w:hAnsi="Arial"/>
                <w:sz w:val="14"/>
                <w:szCs w:val="14"/>
                <w:color w:val="auto"/>
              </w:rPr>
              <w:t>D. R. Goode</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1f.</w:t>
            </w:r>
          </w:p>
        </w:tc>
        <w:tc>
          <w:tcPr>
            <w:tcW w:w="3200" w:type="dxa"/>
            <w:vAlign w:val="bottom"/>
          </w:tcPr>
          <w:p>
            <w:pPr>
              <w:ind w:left="80"/>
              <w:spacing w:after="0"/>
              <w:rPr>
                <w:sz w:val="20"/>
                <w:szCs w:val="20"/>
                <w:color w:val="auto"/>
              </w:rPr>
            </w:pPr>
            <w:r>
              <w:rPr>
                <w:rFonts w:ascii="Arial" w:cs="Arial" w:eastAsia="Arial" w:hAnsi="Arial"/>
                <w:sz w:val="14"/>
                <w:szCs w:val="14"/>
                <w:color w:val="auto"/>
              </w:rPr>
              <w:t>S. P. MacMillan</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1g.</w:t>
            </w:r>
          </w:p>
        </w:tc>
        <w:tc>
          <w:tcPr>
            <w:tcW w:w="3200" w:type="dxa"/>
            <w:vAlign w:val="bottom"/>
          </w:tcPr>
          <w:p>
            <w:pPr>
              <w:ind w:left="80"/>
              <w:spacing w:after="0"/>
              <w:rPr>
                <w:sz w:val="20"/>
                <w:szCs w:val="20"/>
                <w:color w:val="auto"/>
              </w:rPr>
            </w:pPr>
            <w:r>
              <w:rPr>
                <w:rFonts w:ascii="Arial" w:cs="Arial" w:eastAsia="Arial" w:hAnsi="Arial"/>
                <w:sz w:val="14"/>
                <w:szCs w:val="14"/>
                <w:color w:val="auto"/>
              </w:rPr>
              <w:t>P. H. Patsley</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1h.</w:t>
            </w:r>
          </w:p>
        </w:tc>
        <w:tc>
          <w:tcPr>
            <w:tcW w:w="3200" w:type="dxa"/>
            <w:vAlign w:val="bottom"/>
          </w:tcPr>
          <w:p>
            <w:pPr>
              <w:ind w:left="80"/>
              <w:spacing w:after="0"/>
              <w:rPr>
                <w:sz w:val="20"/>
                <w:szCs w:val="20"/>
                <w:color w:val="auto"/>
              </w:rPr>
            </w:pPr>
            <w:r>
              <w:rPr>
                <w:rFonts w:ascii="Arial" w:cs="Arial" w:eastAsia="Arial" w:hAnsi="Arial"/>
                <w:sz w:val="14"/>
                <w:szCs w:val="14"/>
                <w:color w:val="auto"/>
              </w:rPr>
              <w:t>W. R. Sanders</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1i.</w:t>
            </w:r>
          </w:p>
        </w:tc>
        <w:tc>
          <w:tcPr>
            <w:tcW w:w="3200" w:type="dxa"/>
            <w:vAlign w:val="bottom"/>
          </w:tcPr>
          <w:p>
            <w:pPr>
              <w:ind w:left="80"/>
              <w:spacing w:after="0"/>
              <w:rPr>
                <w:sz w:val="20"/>
                <w:szCs w:val="20"/>
                <w:color w:val="auto"/>
              </w:rPr>
            </w:pPr>
            <w:r>
              <w:rPr>
                <w:rFonts w:ascii="Arial" w:cs="Arial" w:eastAsia="Arial" w:hAnsi="Arial"/>
                <w:sz w:val="14"/>
                <w:szCs w:val="14"/>
                <w:color w:val="auto"/>
              </w:rPr>
              <w:t>R. J. Simmons</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1j.</w:t>
            </w:r>
          </w:p>
        </w:tc>
        <w:tc>
          <w:tcPr>
            <w:tcW w:w="3200" w:type="dxa"/>
            <w:vAlign w:val="bottom"/>
          </w:tcPr>
          <w:p>
            <w:pPr>
              <w:ind w:left="80"/>
              <w:spacing w:after="0"/>
              <w:rPr>
                <w:sz w:val="20"/>
                <w:szCs w:val="20"/>
                <w:color w:val="auto"/>
              </w:rPr>
            </w:pPr>
            <w:r>
              <w:rPr>
                <w:rFonts w:ascii="Arial" w:cs="Arial" w:eastAsia="Arial" w:hAnsi="Arial"/>
                <w:sz w:val="14"/>
                <w:szCs w:val="14"/>
                <w:color w:val="auto"/>
              </w:rPr>
              <w:t>R. K. Templeton</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ind w:left="320"/>
              <w:spacing w:after="0"/>
              <w:rPr>
                <w:sz w:val="20"/>
                <w:szCs w:val="20"/>
                <w:color w:val="auto"/>
              </w:rPr>
            </w:pPr>
            <w:r>
              <w:rPr>
                <w:rFonts w:ascii="Arial" w:cs="Arial" w:eastAsia="Arial" w:hAnsi="Arial"/>
                <w:sz w:val="14"/>
                <w:szCs w:val="14"/>
                <w:color w:val="auto"/>
              </w:rPr>
              <w:t>1k.</w:t>
            </w:r>
          </w:p>
        </w:tc>
        <w:tc>
          <w:tcPr>
            <w:tcW w:w="3200" w:type="dxa"/>
            <w:vAlign w:val="bottom"/>
          </w:tcPr>
          <w:p>
            <w:pPr>
              <w:ind w:left="80"/>
              <w:spacing w:after="0"/>
              <w:rPr>
                <w:sz w:val="20"/>
                <w:szCs w:val="20"/>
                <w:color w:val="auto"/>
              </w:rPr>
            </w:pPr>
            <w:r>
              <w:rPr>
                <w:rFonts w:ascii="Arial" w:cs="Arial" w:eastAsia="Arial" w:hAnsi="Arial"/>
                <w:sz w:val="14"/>
                <w:szCs w:val="14"/>
                <w:color w:val="auto"/>
              </w:rPr>
              <w:t>C. T. Whitman</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4"/>
        </w:trPr>
        <w:tc>
          <w:tcPr>
            <w:tcW w:w="58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76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-1656715</wp:posOffset>
            </wp:positionV>
            <wp:extent cx="19748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485" cy="797560"/>
                    </a:xfrm>
                    <a:prstGeom prst="rect">
                      <a:avLst/>
                    </a:prstGeom>
                    <a:noFill/>
                  </pic:spPr>
                </pic:pic>
              </a:graphicData>
            </a:graphic>
          </wp:anchor>
        </w:drawing>
      </w:r>
    </w:p>
    <w:p>
      <w:pPr>
        <w:sectPr>
          <w:pgSz w:w="11900" w:h="16838" w:orient="portrait"/>
          <w:cols w:equalWidth="0" w:num="1">
            <w:col w:w="11440"/>
          </w:cols>
          <w:pgMar w:left="240" w:top="424" w:right="2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wp:posOffset>
            </wp:positionH>
            <wp:positionV relativeFrom="page">
              <wp:posOffset>1482725</wp:posOffset>
            </wp:positionV>
            <wp:extent cx="709168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1680"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4374515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2559050</wp:posOffset>
            </wp:positionV>
            <wp:extent cx="180340" cy="823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0340" cy="8235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2019-12-10T03:16:36Z</dcterms:created>
  <dcterms:modified xsi:type="dcterms:W3CDTF">2019-12-10T03:16:36Z</dcterms:modified>
</cp:coreProperties>
</file>